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18368A">
      <w:pPr>
        <w:keepNext w:val="0"/>
        <w:keepLines w:val="0"/>
        <w:pageBreakBefore w:val="0"/>
        <w:wordWrap w:val="0"/>
        <w:overflowPunct/>
        <w:topLinePunct w:val="0"/>
        <w:bidi w:val="0"/>
        <w:rPr>
          <w:rFonts w:hint="eastAsia" w:ascii="宋体" w:hAnsi="宋体" w:eastAsia="宋体" w:cs="宋体"/>
          <w:color w:val="auto"/>
          <w:spacing w:val="0"/>
          <w:highlight w:val="none"/>
          <w:lang w:val="en-US" w:eastAsia="zh-CN"/>
        </w:rPr>
        <w:sectPr>
          <w:headerReference r:id="rId3" w:type="default"/>
          <w:pgSz w:w="11906" w:h="16839"/>
          <w:pgMar w:top="1440" w:right="1080" w:bottom="1440" w:left="1080" w:header="1200" w:footer="0" w:gutter="0"/>
          <w:pgBorders>
            <w:top w:val="none" w:sz="0" w:space="0"/>
            <w:left w:val="none" w:sz="0" w:space="0"/>
            <w:bottom w:val="none" w:sz="0" w:space="0"/>
            <w:right w:val="none" w:sz="0" w:space="0"/>
          </w:pgBorders>
          <w:pgNumType w:start="1"/>
          <w:cols w:space="720" w:num="1"/>
        </w:sectPr>
      </w:pPr>
      <w:r>
        <w:rPr>
          <w:rFonts w:hint="eastAsia" w:ascii="宋体" w:hAnsi="宋体" w:eastAsia="宋体" w:cs="宋体"/>
          <w:color w:val="auto"/>
          <w:spacing w:val="0"/>
          <w:lang w:val="en-US" w:eastAsia="zh-CN"/>
        </w:rPr>
        <w:drawing>
          <wp:inline distT="0" distB="0" distL="114300" distR="114300">
            <wp:extent cx="6234430" cy="8816975"/>
            <wp:effectExtent l="0" t="0" r="13970" b="3175"/>
            <wp:docPr id="3" name="图片 3" descr="招标文件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招标文件_01"/>
                    <pic:cNvPicPr>
                      <a:picLocks noChangeAspect="1"/>
                    </pic:cNvPicPr>
                  </pic:nvPicPr>
                  <pic:blipFill>
                    <a:blip r:embed="rId28"/>
                    <a:stretch>
                      <a:fillRect/>
                    </a:stretch>
                  </pic:blipFill>
                  <pic:spPr>
                    <a:xfrm>
                      <a:off x="0" y="0"/>
                      <a:ext cx="6234430" cy="8816975"/>
                    </a:xfrm>
                    <a:prstGeom prst="rect">
                      <a:avLst/>
                    </a:prstGeom>
                  </pic:spPr>
                </pic:pic>
              </a:graphicData>
            </a:graphic>
          </wp:inline>
        </w:drawing>
      </w:r>
    </w:p>
    <w:p w14:paraId="21F8317C">
      <w:pPr>
        <w:keepNext w:val="0"/>
        <w:keepLines w:val="0"/>
        <w:pageBreakBefore w:val="0"/>
        <w:wordWrap w:val="0"/>
        <w:overflowPunct/>
        <w:topLinePunct w:val="0"/>
        <w:bidi w:val="0"/>
        <w:rPr>
          <w:rFonts w:hint="eastAsia" w:ascii="宋体" w:hAnsi="宋体" w:eastAsia="宋体" w:cs="宋体"/>
          <w:color w:val="auto"/>
          <w:spacing w:val="0"/>
          <w:highlight w:val="none"/>
          <w:lang w:val="en-US" w:eastAsia="zh-CN"/>
        </w:rPr>
        <w:sectPr>
          <w:headerReference r:id="rId4" w:type="default"/>
          <w:pgSz w:w="11906" w:h="16839"/>
          <w:pgMar w:top="1440" w:right="1080" w:bottom="1440" w:left="1080" w:header="1200" w:footer="0" w:gutter="0"/>
          <w:pgBorders>
            <w:top w:val="none" w:sz="0" w:space="0"/>
            <w:left w:val="none" w:sz="0" w:space="0"/>
            <w:bottom w:val="none" w:sz="0" w:space="0"/>
            <w:right w:val="none" w:sz="0" w:space="0"/>
          </w:pgBorders>
          <w:pgNumType w:start="1"/>
          <w:cols w:space="720" w:num="1"/>
        </w:sectPr>
      </w:pPr>
    </w:p>
    <w:p w14:paraId="4BB39EE3">
      <w:pPr>
        <w:keepNext w:val="0"/>
        <w:keepLines w:val="0"/>
        <w:pageBreakBefore w:val="0"/>
        <w:wordWrap w:val="0"/>
        <w:overflowPunct/>
        <w:topLinePunct w:val="0"/>
        <w:bidi w:val="0"/>
        <w:rPr>
          <w:rFonts w:hint="eastAsia" w:ascii="宋体" w:hAnsi="宋体" w:eastAsia="宋体" w:cs="宋体"/>
          <w:color w:val="auto"/>
          <w:spacing w:val="0"/>
          <w:highlight w:val="none"/>
        </w:rPr>
      </w:pPr>
    </w:p>
    <w:p w14:paraId="5390F332">
      <w:pPr>
        <w:keepNext w:val="0"/>
        <w:keepLines w:val="0"/>
        <w:pageBreakBefore w:val="0"/>
        <w:wordWrap w:val="0"/>
        <w:overflowPunct/>
        <w:topLinePunct w:val="0"/>
        <w:bidi w:val="0"/>
        <w:jc w:val="center"/>
        <w:rPr>
          <w:rFonts w:hint="eastAsia" w:ascii="宋体" w:hAnsi="宋体" w:eastAsia="宋体" w:cs="宋体"/>
          <w:b/>
          <w:bCs/>
          <w:color w:val="auto"/>
          <w:spacing w:val="0"/>
          <w:sz w:val="28"/>
          <w:szCs w:val="28"/>
          <w:highlight w:val="none"/>
        </w:rPr>
      </w:pPr>
      <w:r>
        <w:rPr>
          <w:rFonts w:hint="eastAsia" w:ascii="宋体" w:hAnsi="宋体" w:eastAsia="宋体" w:cs="宋体"/>
          <w:b/>
          <w:bCs/>
          <w:color w:val="auto"/>
          <w:spacing w:val="0"/>
          <w:sz w:val="28"/>
          <w:szCs w:val="28"/>
          <w:highlight w:val="none"/>
        </w:rPr>
        <w:t>目录</w:t>
      </w:r>
    </w:p>
    <w:p w14:paraId="42765639">
      <w:pPr>
        <w:pStyle w:val="11"/>
        <w:tabs>
          <w:tab w:val="right" w:leader="dot" w:pos="9746"/>
        </w:tabs>
        <w:rPr>
          <w:color w:val="auto"/>
          <w:highlight w:val="none"/>
        </w:rPr>
      </w:pPr>
      <w:r>
        <w:rPr>
          <w:rFonts w:hint="eastAsia" w:ascii="宋体" w:hAnsi="宋体" w:eastAsia="宋体" w:cs="宋体"/>
          <w:color w:val="auto"/>
          <w:spacing w:val="0"/>
          <w:sz w:val="24"/>
          <w:szCs w:val="24"/>
          <w:highlight w:val="none"/>
        </w:rPr>
        <w:fldChar w:fldCharType="begin"/>
      </w:r>
      <w:r>
        <w:rPr>
          <w:rFonts w:hint="eastAsia" w:ascii="宋体" w:hAnsi="宋体" w:eastAsia="宋体" w:cs="宋体"/>
          <w:color w:val="auto"/>
          <w:spacing w:val="0"/>
          <w:sz w:val="24"/>
          <w:szCs w:val="24"/>
          <w:highlight w:val="none"/>
        </w:rPr>
        <w:instrText xml:space="preserve">TOC \o "1-3" \h \u </w:instrText>
      </w:r>
      <w:r>
        <w:rPr>
          <w:rFonts w:hint="eastAsia" w:ascii="宋体" w:hAnsi="宋体" w:eastAsia="宋体" w:cs="宋体"/>
          <w:color w:val="auto"/>
          <w:spacing w:val="0"/>
          <w:sz w:val="24"/>
          <w:szCs w:val="24"/>
          <w:highlight w:val="none"/>
        </w:rPr>
        <w:fldChar w:fldCharType="separate"/>
      </w: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_Toc10235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第一章</w:t>
      </w:r>
      <w:r>
        <w:rPr>
          <w:rFonts w:hint="eastAsia" w:ascii="宋体" w:hAnsi="宋体" w:eastAsia="宋体" w:cs="宋体"/>
          <w:color w:val="auto"/>
          <w:spacing w:val="0"/>
          <w:szCs w:val="24"/>
          <w:highlight w:val="none"/>
        </w:rPr>
        <w:t xml:space="preserve"> </w:t>
      </w:r>
      <w:r>
        <w:rPr>
          <w:rFonts w:hint="eastAsia" w:ascii="宋体" w:hAnsi="宋体" w:eastAsia="宋体" w:cs="宋体"/>
          <w:bCs/>
          <w:color w:val="auto"/>
          <w:spacing w:val="0"/>
          <w:szCs w:val="24"/>
          <w:highlight w:val="none"/>
        </w:rPr>
        <w:t>投标人须知</w:t>
      </w:r>
      <w:r>
        <w:rPr>
          <w:color w:val="auto"/>
          <w:highlight w:val="none"/>
        </w:rPr>
        <w:tab/>
      </w:r>
      <w:r>
        <w:rPr>
          <w:color w:val="auto"/>
          <w:highlight w:val="none"/>
        </w:rPr>
        <w:fldChar w:fldCharType="begin"/>
      </w:r>
      <w:r>
        <w:rPr>
          <w:color w:val="auto"/>
          <w:highlight w:val="none"/>
        </w:rPr>
        <w:instrText xml:space="preserve"> PAGEREF _Toc10235 \h </w:instrText>
      </w:r>
      <w:r>
        <w:rPr>
          <w:color w:val="auto"/>
          <w:highlight w:val="none"/>
        </w:rPr>
        <w:fldChar w:fldCharType="separate"/>
      </w:r>
      <w:r>
        <w:rPr>
          <w:color w:val="auto"/>
          <w:highlight w:val="none"/>
        </w:rPr>
        <w:t>3</w:t>
      </w:r>
      <w:r>
        <w:rPr>
          <w:color w:val="auto"/>
          <w:highlight w:val="none"/>
        </w:rPr>
        <w:fldChar w:fldCharType="end"/>
      </w:r>
      <w:r>
        <w:rPr>
          <w:rFonts w:hint="eastAsia" w:ascii="宋体" w:hAnsi="宋体" w:eastAsia="宋体" w:cs="宋体"/>
          <w:color w:val="auto"/>
          <w:spacing w:val="0"/>
          <w:szCs w:val="24"/>
          <w:highlight w:val="none"/>
        </w:rPr>
        <w:fldChar w:fldCharType="end"/>
      </w:r>
    </w:p>
    <w:p w14:paraId="1F9B60C7">
      <w:pPr>
        <w:pStyle w:val="12"/>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_Toc384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第一节</w:t>
      </w:r>
      <w:r>
        <w:rPr>
          <w:rFonts w:hint="eastAsia" w:ascii="宋体" w:hAnsi="宋体" w:eastAsia="宋体" w:cs="宋体"/>
          <w:color w:val="auto"/>
          <w:spacing w:val="0"/>
          <w:szCs w:val="24"/>
          <w:highlight w:val="none"/>
        </w:rPr>
        <w:t xml:space="preserve"> </w:t>
      </w:r>
      <w:r>
        <w:rPr>
          <w:rFonts w:hint="eastAsia" w:ascii="宋体" w:hAnsi="宋体" w:eastAsia="宋体" w:cs="宋体"/>
          <w:bCs/>
          <w:color w:val="auto"/>
          <w:spacing w:val="0"/>
          <w:szCs w:val="24"/>
          <w:highlight w:val="none"/>
        </w:rPr>
        <w:t>投标人须知前附表</w:t>
      </w:r>
      <w:r>
        <w:rPr>
          <w:color w:val="auto"/>
          <w:highlight w:val="none"/>
        </w:rPr>
        <w:tab/>
      </w:r>
      <w:r>
        <w:rPr>
          <w:color w:val="auto"/>
          <w:highlight w:val="none"/>
        </w:rPr>
        <w:fldChar w:fldCharType="begin"/>
      </w:r>
      <w:r>
        <w:rPr>
          <w:color w:val="auto"/>
          <w:highlight w:val="none"/>
        </w:rPr>
        <w:instrText xml:space="preserve"> PAGEREF _Toc384 \h </w:instrText>
      </w:r>
      <w:r>
        <w:rPr>
          <w:color w:val="auto"/>
          <w:highlight w:val="none"/>
        </w:rPr>
        <w:fldChar w:fldCharType="separate"/>
      </w:r>
      <w:r>
        <w:rPr>
          <w:color w:val="auto"/>
          <w:highlight w:val="none"/>
        </w:rPr>
        <w:t>3</w:t>
      </w:r>
      <w:r>
        <w:rPr>
          <w:color w:val="auto"/>
          <w:highlight w:val="none"/>
        </w:rPr>
        <w:fldChar w:fldCharType="end"/>
      </w:r>
      <w:r>
        <w:rPr>
          <w:rFonts w:hint="eastAsia" w:ascii="宋体" w:hAnsi="宋体" w:eastAsia="宋体" w:cs="宋体"/>
          <w:color w:val="auto"/>
          <w:spacing w:val="0"/>
          <w:szCs w:val="24"/>
          <w:highlight w:val="none"/>
        </w:rPr>
        <w:fldChar w:fldCharType="end"/>
      </w:r>
    </w:p>
    <w:p w14:paraId="7614730B">
      <w:pPr>
        <w:pStyle w:val="12"/>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_Toc20130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第二节 重要事项时间地点一览表</w:t>
      </w:r>
      <w:r>
        <w:rPr>
          <w:color w:val="auto"/>
          <w:highlight w:val="none"/>
        </w:rPr>
        <w:tab/>
      </w:r>
      <w:r>
        <w:rPr>
          <w:color w:val="auto"/>
          <w:highlight w:val="none"/>
        </w:rPr>
        <w:fldChar w:fldCharType="begin"/>
      </w:r>
      <w:r>
        <w:rPr>
          <w:color w:val="auto"/>
          <w:highlight w:val="none"/>
        </w:rPr>
        <w:instrText xml:space="preserve"> PAGEREF _Toc20130 \h </w:instrText>
      </w:r>
      <w:r>
        <w:rPr>
          <w:color w:val="auto"/>
          <w:highlight w:val="none"/>
        </w:rPr>
        <w:fldChar w:fldCharType="separate"/>
      </w:r>
      <w:r>
        <w:rPr>
          <w:color w:val="auto"/>
          <w:highlight w:val="none"/>
        </w:rPr>
        <w:t>9</w:t>
      </w:r>
      <w:r>
        <w:rPr>
          <w:color w:val="auto"/>
          <w:highlight w:val="none"/>
        </w:rPr>
        <w:fldChar w:fldCharType="end"/>
      </w:r>
      <w:r>
        <w:rPr>
          <w:rFonts w:hint="eastAsia" w:ascii="宋体" w:hAnsi="宋体" w:eastAsia="宋体" w:cs="宋体"/>
          <w:color w:val="auto"/>
          <w:spacing w:val="0"/>
          <w:szCs w:val="24"/>
          <w:highlight w:val="none"/>
        </w:rPr>
        <w:fldChar w:fldCharType="end"/>
      </w:r>
    </w:p>
    <w:p w14:paraId="1EE2C5AC">
      <w:pPr>
        <w:pStyle w:val="12"/>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_Toc670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第三节</w:t>
      </w:r>
      <w:r>
        <w:rPr>
          <w:rFonts w:hint="eastAsia" w:ascii="宋体" w:hAnsi="宋体" w:eastAsia="宋体" w:cs="宋体"/>
          <w:color w:val="auto"/>
          <w:spacing w:val="0"/>
          <w:szCs w:val="24"/>
          <w:highlight w:val="none"/>
        </w:rPr>
        <w:t xml:space="preserve"> </w:t>
      </w:r>
      <w:r>
        <w:rPr>
          <w:rFonts w:hint="eastAsia" w:ascii="宋体" w:hAnsi="宋体" w:eastAsia="宋体" w:cs="宋体"/>
          <w:bCs/>
          <w:color w:val="auto"/>
          <w:spacing w:val="0"/>
          <w:szCs w:val="24"/>
          <w:highlight w:val="none"/>
        </w:rPr>
        <w:t>投标人须知正文</w:t>
      </w:r>
      <w:r>
        <w:rPr>
          <w:color w:val="auto"/>
          <w:highlight w:val="none"/>
        </w:rPr>
        <w:tab/>
      </w:r>
      <w:r>
        <w:rPr>
          <w:color w:val="auto"/>
          <w:highlight w:val="none"/>
        </w:rPr>
        <w:fldChar w:fldCharType="begin"/>
      </w:r>
      <w:r>
        <w:rPr>
          <w:color w:val="auto"/>
          <w:highlight w:val="none"/>
        </w:rPr>
        <w:instrText xml:space="preserve"> PAGEREF _Toc670 \h </w:instrText>
      </w:r>
      <w:r>
        <w:rPr>
          <w:color w:val="auto"/>
          <w:highlight w:val="none"/>
        </w:rPr>
        <w:fldChar w:fldCharType="separate"/>
      </w:r>
      <w:r>
        <w:rPr>
          <w:color w:val="auto"/>
          <w:highlight w:val="none"/>
        </w:rPr>
        <w:t>10</w:t>
      </w:r>
      <w:r>
        <w:rPr>
          <w:color w:val="auto"/>
          <w:highlight w:val="none"/>
        </w:rPr>
        <w:fldChar w:fldCharType="end"/>
      </w:r>
      <w:r>
        <w:rPr>
          <w:rFonts w:hint="eastAsia" w:ascii="宋体" w:hAnsi="宋体" w:eastAsia="宋体" w:cs="宋体"/>
          <w:color w:val="auto"/>
          <w:spacing w:val="0"/>
          <w:szCs w:val="24"/>
          <w:highlight w:val="none"/>
        </w:rPr>
        <w:fldChar w:fldCharType="end"/>
      </w:r>
    </w:p>
    <w:p w14:paraId="32949502">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_Toc23346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1 ．项目概况、招标范围和标段划分、投标费用等</w:t>
      </w:r>
      <w:r>
        <w:rPr>
          <w:color w:val="auto"/>
          <w:highlight w:val="none"/>
        </w:rPr>
        <w:tab/>
      </w:r>
      <w:r>
        <w:rPr>
          <w:color w:val="auto"/>
          <w:highlight w:val="none"/>
        </w:rPr>
        <w:fldChar w:fldCharType="begin"/>
      </w:r>
      <w:r>
        <w:rPr>
          <w:color w:val="auto"/>
          <w:highlight w:val="none"/>
        </w:rPr>
        <w:instrText xml:space="preserve"> PAGEREF _Toc23346 \h </w:instrText>
      </w:r>
      <w:r>
        <w:rPr>
          <w:color w:val="auto"/>
          <w:highlight w:val="none"/>
        </w:rPr>
        <w:fldChar w:fldCharType="separate"/>
      </w:r>
      <w:r>
        <w:rPr>
          <w:color w:val="auto"/>
          <w:highlight w:val="none"/>
        </w:rPr>
        <w:t>10</w:t>
      </w:r>
      <w:r>
        <w:rPr>
          <w:color w:val="auto"/>
          <w:highlight w:val="none"/>
        </w:rPr>
        <w:fldChar w:fldCharType="end"/>
      </w:r>
      <w:r>
        <w:rPr>
          <w:rFonts w:hint="eastAsia" w:ascii="宋体" w:hAnsi="宋体" w:eastAsia="宋体" w:cs="宋体"/>
          <w:color w:val="auto"/>
          <w:spacing w:val="0"/>
          <w:szCs w:val="24"/>
          <w:highlight w:val="none"/>
        </w:rPr>
        <w:fldChar w:fldCharType="end"/>
      </w:r>
    </w:p>
    <w:p w14:paraId="0464DC9E">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_Toc24520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2．</w:t>
      </w:r>
      <w:r>
        <w:rPr>
          <w:rFonts w:hint="eastAsia" w:ascii="宋体" w:hAnsi="宋体" w:eastAsia="宋体" w:cs="宋体"/>
          <w:bCs/>
          <w:color w:val="auto"/>
          <w:spacing w:val="0"/>
          <w:szCs w:val="24"/>
          <w:highlight w:val="none"/>
          <w:lang w:eastAsia="zh-CN"/>
        </w:rPr>
        <w:t>投标人</w:t>
      </w:r>
      <w:r>
        <w:rPr>
          <w:rFonts w:hint="eastAsia" w:ascii="宋体" w:hAnsi="宋体" w:eastAsia="宋体" w:cs="宋体"/>
          <w:bCs/>
          <w:color w:val="auto"/>
          <w:spacing w:val="0"/>
          <w:szCs w:val="24"/>
          <w:highlight w:val="none"/>
        </w:rPr>
        <w:t>资质要求</w:t>
      </w:r>
      <w:r>
        <w:rPr>
          <w:color w:val="auto"/>
          <w:highlight w:val="none"/>
        </w:rPr>
        <w:tab/>
      </w:r>
      <w:r>
        <w:rPr>
          <w:color w:val="auto"/>
          <w:highlight w:val="none"/>
        </w:rPr>
        <w:fldChar w:fldCharType="begin"/>
      </w:r>
      <w:r>
        <w:rPr>
          <w:color w:val="auto"/>
          <w:highlight w:val="none"/>
        </w:rPr>
        <w:instrText xml:space="preserve"> PAGEREF _Toc24520 \h </w:instrText>
      </w:r>
      <w:r>
        <w:rPr>
          <w:color w:val="auto"/>
          <w:highlight w:val="none"/>
        </w:rPr>
        <w:fldChar w:fldCharType="separate"/>
      </w:r>
      <w:r>
        <w:rPr>
          <w:color w:val="auto"/>
          <w:highlight w:val="none"/>
        </w:rPr>
        <w:t>10</w:t>
      </w:r>
      <w:r>
        <w:rPr>
          <w:color w:val="auto"/>
          <w:highlight w:val="none"/>
        </w:rPr>
        <w:fldChar w:fldCharType="end"/>
      </w:r>
      <w:r>
        <w:rPr>
          <w:rFonts w:hint="eastAsia" w:ascii="宋体" w:hAnsi="宋体" w:eastAsia="宋体" w:cs="宋体"/>
          <w:color w:val="auto"/>
          <w:spacing w:val="0"/>
          <w:szCs w:val="24"/>
          <w:highlight w:val="none"/>
        </w:rPr>
        <w:fldChar w:fldCharType="end"/>
      </w:r>
    </w:p>
    <w:p w14:paraId="604391BC">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_Toc9027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3．招标文件的获取</w:t>
      </w:r>
      <w:r>
        <w:rPr>
          <w:color w:val="auto"/>
          <w:highlight w:val="none"/>
        </w:rPr>
        <w:tab/>
      </w:r>
      <w:r>
        <w:rPr>
          <w:color w:val="auto"/>
          <w:highlight w:val="none"/>
        </w:rPr>
        <w:fldChar w:fldCharType="begin"/>
      </w:r>
      <w:r>
        <w:rPr>
          <w:color w:val="auto"/>
          <w:highlight w:val="none"/>
        </w:rPr>
        <w:instrText xml:space="preserve"> PAGEREF _Toc9027 \h </w:instrText>
      </w:r>
      <w:r>
        <w:rPr>
          <w:color w:val="auto"/>
          <w:highlight w:val="none"/>
        </w:rPr>
        <w:fldChar w:fldCharType="separate"/>
      </w:r>
      <w:r>
        <w:rPr>
          <w:color w:val="auto"/>
          <w:highlight w:val="none"/>
        </w:rPr>
        <w:t>12</w:t>
      </w:r>
      <w:r>
        <w:rPr>
          <w:color w:val="auto"/>
          <w:highlight w:val="none"/>
        </w:rPr>
        <w:fldChar w:fldCharType="end"/>
      </w:r>
      <w:r>
        <w:rPr>
          <w:rFonts w:hint="eastAsia" w:ascii="宋体" w:hAnsi="宋体" w:eastAsia="宋体" w:cs="宋体"/>
          <w:color w:val="auto"/>
          <w:spacing w:val="0"/>
          <w:szCs w:val="24"/>
          <w:highlight w:val="none"/>
        </w:rPr>
        <w:fldChar w:fldCharType="end"/>
      </w:r>
    </w:p>
    <w:p w14:paraId="653137A9">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_Toc12428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4</w:t>
      </w:r>
      <w:r>
        <w:rPr>
          <w:rFonts w:hint="eastAsia" w:ascii="宋体" w:hAnsi="宋体" w:eastAsia="宋体" w:cs="宋体"/>
          <w:bCs/>
          <w:color w:val="auto"/>
          <w:spacing w:val="0"/>
          <w:szCs w:val="24"/>
          <w:highlight w:val="none"/>
          <w:lang w:val="en-US" w:eastAsia="zh-CN"/>
        </w:rPr>
        <w:t xml:space="preserve"> </w:t>
      </w:r>
      <w:r>
        <w:rPr>
          <w:rFonts w:hint="eastAsia" w:ascii="宋体" w:hAnsi="宋体" w:eastAsia="宋体" w:cs="宋体"/>
          <w:bCs/>
          <w:color w:val="auto"/>
          <w:spacing w:val="0"/>
          <w:szCs w:val="24"/>
          <w:highlight w:val="none"/>
        </w:rPr>
        <w:t>．工期要求</w:t>
      </w:r>
      <w:r>
        <w:rPr>
          <w:color w:val="auto"/>
          <w:highlight w:val="none"/>
        </w:rPr>
        <w:tab/>
      </w:r>
      <w:r>
        <w:rPr>
          <w:color w:val="auto"/>
          <w:highlight w:val="none"/>
        </w:rPr>
        <w:fldChar w:fldCharType="begin"/>
      </w:r>
      <w:r>
        <w:rPr>
          <w:color w:val="auto"/>
          <w:highlight w:val="none"/>
        </w:rPr>
        <w:instrText xml:space="preserve"> PAGEREF _Toc12428 \h </w:instrText>
      </w:r>
      <w:r>
        <w:rPr>
          <w:color w:val="auto"/>
          <w:highlight w:val="none"/>
        </w:rPr>
        <w:fldChar w:fldCharType="separate"/>
      </w:r>
      <w:r>
        <w:rPr>
          <w:color w:val="auto"/>
          <w:highlight w:val="none"/>
        </w:rPr>
        <w:t>14</w:t>
      </w:r>
      <w:r>
        <w:rPr>
          <w:color w:val="auto"/>
          <w:highlight w:val="none"/>
        </w:rPr>
        <w:fldChar w:fldCharType="end"/>
      </w:r>
      <w:r>
        <w:rPr>
          <w:rFonts w:hint="eastAsia" w:ascii="宋体" w:hAnsi="宋体" w:eastAsia="宋体" w:cs="宋体"/>
          <w:color w:val="auto"/>
          <w:spacing w:val="0"/>
          <w:szCs w:val="24"/>
          <w:highlight w:val="none"/>
        </w:rPr>
        <w:fldChar w:fldCharType="end"/>
      </w:r>
    </w:p>
    <w:p w14:paraId="4080BBA2">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_Toc24366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5</w:t>
      </w:r>
      <w:r>
        <w:rPr>
          <w:rFonts w:hint="eastAsia" w:ascii="宋体" w:hAnsi="宋体" w:eastAsia="宋体" w:cs="宋体"/>
          <w:bCs/>
          <w:color w:val="auto"/>
          <w:spacing w:val="0"/>
          <w:szCs w:val="24"/>
          <w:highlight w:val="none"/>
          <w:lang w:val="en-US" w:eastAsia="zh-CN"/>
        </w:rPr>
        <w:t xml:space="preserve"> </w:t>
      </w:r>
      <w:r>
        <w:rPr>
          <w:rFonts w:hint="eastAsia" w:ascii="宋体" w:hAnsi="宋体" w:eastAsia="宋体" w:cs="宋体"/>
          <w:bCs/>
          <w:color w:val="auto"/>
          <w:spacing w:val="0"/>
          <w:szCs w:val="24"/>
          <w:highlight w:val="none"/>
        </w:rPr>
        <w:t>．质量标准和材料、机械要求</w:t>
      </w:r>
      <w:r>
        <w:rPr>
          <w:color w:val="auto"/>
          <w:highlight w:val="none"/>
        </w:rPr>
        <w:tab/>
      </w:r>
      <w:r>
        <w:rPr>
          <w:color w:val="auto"/>
          <w:highlight w:val="none"/>
        </w:rPr>
        <w:fldChar w:fldCharType="begin"/>
      </w:r>
      <w:r>
        <w:rPr>
          <w:color w:val="auto"/>
          <w:highlight w:val="none"/>
        </w:rPr>
        <w:instrText xml:space="preserve"> PAGEREF _Toc24366 \h </w:instrText>
      </w:r>
      <w:r>
        <w:rPr>
          <w:color w:val="auto"/>
          <w:highlight w:val="none"/>
        </w:rPr>
        <w:fldChar w:fldCharType="separate"/>
      </w:r>
      <w:r>
        <w:rPr>
          <w:color w:val="auto"/>
          <w:highlight w:val="none"/>
        </w:rPr>
        <w:t>14</w:t>
      </w:r>
      <w:r>
        <w:rPr>
          <w:color w:val="auto"/>
          <w:highlight w:val="none"/>
        </w:rPr>
        <w:fldChar w:fldCharType="end"/>
      </w:r>
      <w:r>
        <w:rPr>
          <w:rFonts w:hint="eastAsia" w:ascii="宋体" w:hAnsi="宋体" w:eastAsia="宋体" w:cs="宋体"/>
          <w:color w:val="auto"/>
          <w:spacing w:val="0"/>
          <w:szCs w:val="24"/>
          <w:highlight w:val="none"/>
        </w:rPr>
        <w:fldChar w:fldCharType="end"/>
      </w:r>
    </w:p>
    <w:p w14:paraId="137AA34B">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_Toc30402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6 ．施工条件及现场踏勘</w:t>
      </w:r>
      <w:r>
        <w:rPr>
          <w:color w:val="auto"/>
          <w:highlight w:val="none"/>
        </w:rPr>
        <w:tab/>
      </w:r>
      <w:r>
        <w:rPr>
          <w:color w:val="auto"/>
          <w:highlight w:val="none"/>
        </w:rPr>
        <w:fldChar w:fldCharType="begin"/>
      </w:r>
      <w:r>
        <w:rPr>
          <w:color w:val="auto"/>
          <w:highlight w:val="none"/>
        </w:rPr>
        <w:instrText xml:space="preserve"> PAGEREF _Toc30402 \h </w:instrText>
      </w:r>
      <w:r>
        <w:rPr>
          <w:color w:val="auto"/>
          <w:highlight w:val="none"/>
        </w:rPr>
        <w:fldChar w:fldCharType="separate"/>
      </w:r>
      <w:r>
        <w:rPr>
          <w:color w:val="auto"/>
          <w:highlight w:val="none"/>
        </w:rPr>
        <w:t>14</w:t>
      </w:r>
      <w:r>
        <w:rPr>
          <w:color w:val="auto"/>
          <w:highlight w:val="none"/>
        </w:rPr>
        <w:fldChar w:fldCharType="end"/>
      </w:r>
      <w:r>
        <w:rPr>
          <w:rFonts w:hint="eastAsia" w:ascii="宋体" w:hAnsi="宋体" w:eastAsia="宋体" w:cs="宋体"/>
          <w:color w:val="auto"/>
          <w:spacing w:val="0"/>
          <w:szCs w:val="24"/>
          <w:highlight w:val="none"/>
        </w:rPr>
        <w:fldChar w:fldCharType="end"/>
      </w:r>
    </w:p>
    <w:p w14:paraId="0D275EB3">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_Toc4298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7 ．招标文件的提问和答疑</w:t>
      </w:r>
      <w:r>
        <w:rPr>
          <w:color w:val="auto"/>
          <w:highlight w:val="none"/>
        </w:rPr>
        <w:tab/>
      </w:r>
      <w:r>
        <w:rPr>
          <w:color w:val="auto"/>
          <w:highlight w:val="none"/>
        </w:rPr>
        <w:fldChar w:fldCharType="begin"/>
      </w:r>
      <w:r>
        <w:rPr>
          <w:color w:val="auto"/>
          <w:highlight w:val="none"/>
        </w:rPr>
        <w:instrText xml:space="preserve"> PAGEREF _Toc4298 \h </w:instrText>
      </w:r>
      <w:r>
        <w:rPr>
          <w:color w:val="auto"/>
          <w:highlight w:val="none"/>
        </w:rPr>
        <w:fldChar w:fldCharType="separate"/>
      </w:r>
      <w:r>
        <w:rPr>
          <w:color w:val="auto"/>
          <w:highlight w:val="none"/>
        </w:rPr>
        <w:t>15</w:t>
      </w:r>
      <w:r>
        <w:rPr>
          <w:color w:val="auto"/>
          <w:highlight w:val="none"/>
        </w:rPr>
        <w:fldChar w:fldCharType="end"/>
      </w:r>
      <w:r>
        <w:rPr>
          <w:rFonts w:hint="eastAsia" w:ascii="宋体" w:hAnsi="宋体" w:eastAsia="宋体" w:cs="宋体"/>
          <w:color w:val="auto"/>
          <w:spacing w:val="0"/>
          <w:szCs w:val="24"/>
          <w:highlight w:val="none"/>
        </w:rPr>
        <w:fldChar w:fldCharType="end"/>
      </w:r>
    </w:p>
    <w:p w14:paraId="0FAFBEFB">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_Toc32468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8 ．</w:t>
      </w:r>
      <w:r>
        <w:rPr>
          <w:rFonts w:hint="eastAsia" w:ascii="宋体" w:hAnsi="宋体" w:eastAsia="宋体" w:cs="宋体"/>
          <w:bCs/>
          <w:color w:val="auto"/>
          <w:spacing w:val="0"/>
          <w:szCs w:val="24"/>
          <w:highlight w:val="none"/>
          <w:lang w:val="en-US" w:eastAsia="zh-CN"/>
        </w:rPr>
        <w:t>最高投标限价</w:t>
      </w:r>
      <w:r>
        <w:rPr>
          <w:color w:val="auto"/>
          <w:highlight w:val="none"/>
        </w:rPr>
        <w:tab/>
      </w:r>
      <w:r>
        <w:rPr>
          <w:color w:val="auto"/>
          <w:highlight w:val="none"/>
        </w:rPr>
        <w:fldChar w:fldCharType="begin"/>
      </w:r>
      <w:r>
        <w:rPr>
          <w:color w:val="auto"/>
          <w:highlight w:val="none"/>
        </w:rPr>
        <w:instrText xml:space="preserve"> PAGEREF _Toc32468 \h </w:instrText>
      </w:r>
      <w:r>
        <w:rPr>
          <w:color w:val="auto"/>
          <w:highlight w:val="none"/>
        </w:rPr>
        <w:fldChar w:fldCharType="separate"/>
      </w:r>
      <w:r>
        <w:rPr>
          <w:color w:val="auto"/>
          <w:highlight w:val="none"/>
        </w:rPr>
        <w:t>15</w:t>
      </w:r>
      <w:r>
        <w:rPr>
          <w:color w:val="auto"/>
          <w:highlight w:val="none"/>
        </w:rPr>
        <w:fldChar w:fldCharType="end"/>
      </w:r>
      <w:r>
        <w:rPr>
          <w:rFonts w:hint="eastAsia" w:ascii="宋体" w:hAnsi="宋体" w:eastAsia="宋体" w:cs="宋体"/>
          <w:color w:val="auto"/>
          <w:spacing w:val="0"/>
          <w:szCs w:val="24"/>
          <w:highlight w:val="none"/>
        </w:rPr>
        <w:fldChar w:fldCharType="end"/>
      </w:r>
    </w:p>
    <w:p w14:paraId="4E515525">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_Toc9474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9 ．投标报价</w:t>
      </w:r>
      <w:r>
        <w:rPr>
          <w:color w:val="auto"/>
          <w:highlight w:val="none"/>
        </w:rPr>
        <w:tab/>
      </w:r>
      <w:r>
        <w:rPr>
          <w:color w:val="auto"/>
          <w:highlight w:val="none"/>
        </w:rPr>
        <w:fldChar w:fldCharType="begin"/>
      </w:r>
      <w:r>
        <w:rPr>
          <w:color w:val="auto"/>
          <w:highlight w:val="none"/>
        </w:rPr>
        <w:instrText xml:space="preserve"> PAGEREF _Toc9474 \h </w:instrText>
      </w:r>
      <w:r>
        <w:rPr>
          <w:color w:val="auto"/>
          <w:highlight w:val="none"/>
        </w:rPr>
        <w:fldChar w:fldCharType="separate"/>
      </w:r>
      <w:r>
        <w:rPr>
          <w:color w:val="auto"/>
          <w:highlight w:val="none"/>
        </w:rPr>
        <w:t>17</w:t>
      </w:r>
      <w:r>
        <w:rPr>
          <w:color w:val="auto"/>
          <w:highlight w:val="none"/>
        </w:rPr>
        <w:fldChar w:fldCharType="end"/>
      </w:r>
      <w:r>
        <w:rPr>
          <w:rFonts w:hint="eastAsia" w:ascii="宋体" w:hAnsi="宋体" w:eastAsia="宋体" w:cs="宋体"/>
          <w:color w:val="auto"/>
          <w:spacing w:val="0"/>
          <w:szCs w:val="24"/>
          <w:highlight w:val="none"/>
        </w:rPr>
        <w:fldChar w:fldCharType="end"/>
      </w:r>
    </w:p>
    <w:p w14:paraId="6947BA92">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_Toc13188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10 ．投标文件的编制要求</w:t>
      </w:r>
      <w:r>
        <w:rPr>
          <w:color w:val="auto"/>
          <w:highlight w:val="none"/>
        </w:rPr>
        <w:tab/>
      </w:r>
      <w:r>
        <w:rPr>
          <w:color w:val="auto"/>
          <w:highlight w:val="none"/>
        </w:rPr>
        <w:fldChar w:fldCharType="begin"/>
      </w:r>
      <w:r>
        <w:rPr>
          <w:color w:val="auto"/>
          <w:highlight w:val="none"/>
        </w:rPr>
        <w:instrText xml:space="preserve"> PAGEREF _Toc13188 \h </w:instrText>
      </w:r>
      <w:r>
        <w:rPr>
          <w:color w:val="auto"/>
          <w:highlight w:val="none"/>
        </w:rPr>
        <w:fldChar w:fldCharType="separate"/>
      </w:r>
      <w:r>
        <w:rPr>
          <w:color w:val="auto"/>
          <w:highlight w:val="none"/>
        </w:rPr>
        <w:t>18</w:t>
      </w:r>
      <w:r>
        <w:rPr>
          <w:color w:val="auto"/>
          <w:highlight w:val="none"/>
        </w:rPr>
        <w:fldChar w:fldCharType="end"/>
      </w:r>
      <w:r>
        <w:rPr>
          <w:rFonts w:hint="eastAsia" w:ascii="宋体" w:hAnsi="宋体" w:eastAsia="宋体" w:cs="宋体"/>
          <w:color w:val="auto"/>
          <w:spacing w:val="0"/>
          <w:szCs w:val="24"/>
          <w:highlight w:val="none"/>
        </w:rPr>
        <w:fldChar w:fldCharType="end"/>
      </w:r>
    </w:p>
    <w:p w14:paraId="0FED3266">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_Toc20233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 xml:space="preserve">11. </w:t>
      </w:r>
      <w:r>
        <w:rPr>
          <w:rFonts w:hint="eastAsia" w:ascii="宋体" w:hAnsi="宋体" w:eastAsia="宋体" w:cs="宋体"/>
          <w:color w:val="auto"/>
          <w:spacing w:val="0"/>
          <w:szCs w:val="24"/>
          <w:highlight w:val="none"/>
        </w:rPr>
        <w:t>电子投标：</w:t>
      </w:r>
      <w:r>
        <w:rPr>
          <w:color w:val="auto"/>
          <w:highlight w:val="none"/>
        </w:rPr>
        <w:tab/>
      </w:r>
      <w:r>
        <w:rPr>
          <w:color w:val="auto"/>
          <w:highlight w:val="none"/>
        </w:rPr>
        <w:fldChar w:fldCharType="begin"/>
      </w:r>
      <w:r>
        <w:rPr>
          <w:color w:val="auto"/>
          <w:highlight w:val="none"/>
        </w:rPr>
        <w:instrText xml:space="preserve"> PAGEREF _Toc20233 \h </w:instrText>
      </w:r>
      <w:r>
        <w:rPr>
          <w:color w:val="auto"/>
          <w:highlight w:val="none"/>
        </w:rPr>
        <w:fldChar w:fldCharType="separate"/>
      </w:r>
      <w:r>
        <w:rPr>
          <w:color w:val="auto"/>
          <w:highlight w:val="none"/>
        </w:rPr>
        <w:t>21</w:t>
      </w:r>
      <w:r>
        <w:rPr>
          <w:color w:val="auto"/>
          <w:highlight w:val="none"/>
        </w:rPr>
        <w:fldChar w:fldCharType="end"/>
      </w:r>
      <w:r>
        <w:rPr>
          <w:rFonts w:hint="eastAsia" w:ascii="宋体" w:hAnsi="宋体" w:eastAsia="宋体" w:cs="宋体"/>
          <w:color w:val="auto"/>
          <w:spacing w:val="0"/>
          <w:szCs w:val="24"/>
          <w:highlight w:val="none"/>
        </w:rPr>
        <w:fldChar w:fldCharType="end"/>
      </w:r>
    </w:p>
    <w:p w14:paraId="6896D6A3">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_Toc2254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lang w:val="en-US" w:eastAsia="zh-CN"/>
        </w:rPr>
        <w:t>12.</w:t>
      </w:r>
      <w:r>
        <w:rPr>
          <w:rFonts w:hint="eastAsia" w:ascii="宋体" w:hAnsi="宋体" w:eastAsia="宋体" w:cs="宋体"/>
          <w:bCs/>
          <w:color w:val="auto"/>
          <w:spacing w:val="0"/>
          <w:w w:val="101"/>
          <w:szCs w:val="24"/>
          <w:highlight w:val="none"/>
        </w:rPr>
        <w:t xml:space="preserve"> </w:t>
      </w:r>
      <w:r>
        <w:rPr>
          <w:rFonts w:hint="eastAsia" w:ascii="宋体" w:hAnsi="宋体" w:eastAsia="宋体" w:cs="宋体"/>
          <w:bCs/>
          <w:color w:val="auto"/>
          <w:spacing w:val="0"/>
          <w:szCs w:val="24"/>
          <w:highlight w:val="none"/>
        </w:rPr>
        <w:t>电子投标及投标解密失败及突发情况的补救方案</w:t>
      </w:r>
      <w:r>
        <w:rPr>
          <w:color w:val="auto"/>
          <w:highlight w:val="none"/>
        </w:rPr>
        <w:tab/>
      </w:r>
      <w:r>
        <w:rPr>
          <w:color w:val="auto"/>
          <w:highlight w:val="none"/>
        </w:rPr>
        <w:fldChar w:fldCharType="begin"/>
      </w:r>
      <w:r>
        <w:rPr>
          <w:color w:val="auto"/>
          <w:highlight w:val="none"/>
        </w:rPr>
        <w:instrText xml:space="preserve"> PAGEREF _Toc2254 \h </w:instrText>
      </w:r>
      <w:r>
        <w:rPr>
          <w:color w:val="auto"/>
          <w:highlight w:val="none"/>
        </w:rPr>
        <w:fldChar w:fldCharType="separate"/>
      </w:r>
      <w:r>
        <w:rPr>
          <w:color w:val="auto"/>
          <w:highlight w:val="none"/>
        </w:rPr>
        <w:t>21</w:t>
      </w:r>
      <w:r>
        <w:rPr>
          <w:color w:val="auto"/>
          <w:highlight w:val="none"/>
        </w:rPr>
        <w:fldChar w:fldCharType="end"/>
      </w:r>
      <w:r>
        <w:rPr>
          <w:rFonts w:hint="eastAsia" w:ascii="宋体" w:hAnsi="宋体" w:eastAsia="宋体" w:cs="宋体"/>
          <w:color w:val="auto"/>
          <w:spacing w:val="0"/>
          <w:szCs w:val="24"/>
          <w:highlight w:val="none"/>
        </w:rPr>
        <w:fldChar w:fldCharType="end"/>
      </w:r>
    </w:p>
    <w:p w14:paraId="18915F67">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_Toc21046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13 ．投标文件的提交</w:t>
      </w:r>
      <w:r>
        <w:rPr>
          <w:color w:val="auto"/>
          <w:highlight w:val="none"/>
        </w:rPr>
        <w:tab/>
      </w:r>
      <w:r>
        <w:rPr>
          <w:color w:val="auto"/>
          <w:highlight w:val="none"/>
        </w:rPr>
        <w:fldChar w:fldCharType="begin"/>
      </w:r>
      <w:r>
        <w:rPr>
          <w:color w:val="auto"/>
          <w:highlight w:val="none"/>
        </w:rPr>
        <w:instrText xml:space="preserve"> PAGEREF _Toc21046 \h </w:instrText>
      </w:r>
      <w:r>
        <w:rPr>
          <w:color w:val="auto"/>
          <w:highlight w:val="none"/>
        </w:rPr>
        <w:fldChar w:fldCharType="separate"/>
      </w:r>
      <w:r>
        <w:rPr>
          <w:color w:val="auto"/>
          <w:highlight w:val="none"/>
        </w:rPr>
        <w:t>22</w:t>
      </w:r>
      <w:r>
        <w:rPr>
          <w:color w:val="auto"/>
          <w:highlight w:val="none"/>
        </w:rPr>
        <w:fldChar w:fldCharType="end"/>
      </w:r>
      <w:r>
        <w:rPr>
          <w:rFonts w:hint="eastAsia" w:ascii="宋体" w:hAnsi="宋体" w:eastAsia="宋体" w:cs="宋体"/>
          <w:color w:val="auto"/>
          <w:spacing w:val="0"/>
          <w:szCs w:val="24"/>
          <w:highlight w:val="none"/>
        </w:rPr>
        <w:fldChar w:fldCharType="end"/>
      </w:r>
    </w:p>
    <w:p w14:paraId="69658C0C">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_Toc32459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14 ．开标</w:t>
      </w:r>
      <w:r>
        <w:rPr>
          <w:color w:val="auto"/>
          <w:highlight w:val="none"/>
        </w:rPr>
        <w:tab/>
      </w:r>
      <w:r>
        <w:rPr>
          <w:color w:val="auto"/>
          <w:highlight w:val="none"/>
        </w:rPr>
        <w:fldChar w:fldCharType="begin"/>
      </w:r>
      <w:r>
        <w:rPr>
          <w:color w:val="auto"/>
          <w:highlight w:val="none"/>
        </w:rPr>
        <w:instrText xml:space="preserve"> PAGEREF _Toc32459 \h </w:instrText>
      </w:r>
      <w:r>
        <w:rPr>
          <w:color w:val="auto"/>
          <w:highlight w:val="none"/>
        </w:rPr>
        <w:fldChar w:fldCharType="separate"/>
      </w:r>
      <w:r>
        <w:rPr>
          <w:color w:val="auto"/>
          <w:highlight w:val="none"/>
        </w:rPr>
        <w:t>23</w:t>
      </w:r>
      <w:r>
        <w:rPr>
          <w:color w:val="auto"/>
          <w:highlight w:val="none"/>
        </w:rPr>
        <w:fldChar w:fldCharType="end"/>
      </w:r>
      <w:r>
        <w:rPr>
          <w:rFonts w:hint="eastAsia" w:ascii="宋体" w:hAnsi="宋体" w:eastAsia="宋体" w:cs="宋体"/>
          <w:color w:val="auto"/>
          <w:spacing w:val="0"/>
          <w:szCs w:val="24"/>
          <w:highlight w:val="none"/>
        </w:rPr>
        <w:fldChar w:fldCharType="end"/>
      </w:r>
    </w:p>
    <w:p w14:paraId="36A570B1">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_Toc22486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15 ．评标</w:t>
      </w:r>
      <w:r>
        <w:rPr>
          <w:color w:val="auto"/>
          <w:highlight w:val="none"/>
        </w:rPr>
        <w:tab/>
      </w:r>
      <w:r>
        <w:rPr>
          <w:color w:val="auto"/>
          <w:highlight w:val="none"/>
        </w:rPr>
        <w:fldChar w:fldCharType="begin"/>
      </w:r>
      <w:r>
        <w:rPr>
          <w:color w:val="auto"/>
          <w:highlight w:val="none"/>
        </w:rPr>
        <w:instrText xml:space="preserve"> PAGEREF _Toc22486 \h </w:instrText>
      </w:r>
      <w:r>
        <w:rPr>
          <w:color w:val="auto"/>
          <w:highlight w:val="none"/>
        </w:rPr>
        <w:fldChar w:fldCharType="separate"/>
      </w:r>
      <w:r>
        <w:rPr>
          <w:color w:val="auto"/>
          <w:highlight w:val="none"/>
        </w:rPr>
        <w:t>24</w:t>
      </w:r>
      <w:r>
        <w:rPr>
          <w:color w:val="auto"/>
          <w:highlight w:val="none"/>
        </w:rPr>
        <w:fldChar w:fldCharType="end"/>
      </w:r>
      <w:r>
        <w:rPr>
          <w:rFonts w:hint="eastAsia" w:ascii="宋体" w:hAnsi="宋体" w:eastAsia="宋体" w:cs="宋体"/>
          <w:color w:val="auto"/>
          <w:spacing w:val="0"/>
          <w:szCs w:val="24"/>
          <w:highlight w:val="none"/>
        </w:rPr>
        <w:fldChar w:fldCharType="end"/>
      </w:r>
    </w:p>
    <w:p w14:paraId="02ED19FF">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_Toc1221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16 ．</w:t>
      </w:r>
      <w:r>
        <w:rPr>
          <w:rFonts w:hint="eastAsia" w:ascii="宋体" w:hAnsi="宋体" w:eastAsia="宋体" w:cs="宋体"/>
          <w:bCs/>
          <w:color w:val="auto"/>
          <w:spacing w:val="0"/>
          <w:szCs w:val="24"/>
          <w:highlight w:val="none"/>
          <w:lang w:val="en-US" w:eastAsia="zh-CN"/>
        </w:rPr>
        <w:t>定</w:t>
      </w:r>
      <w:r>
        <w:rPr>
          <w:rFonts w:hint="eastAsia" w:ascii="宋体" w:hAnsi="宋体" w:eastAsia="宋体" w:cs="宋体"/>
          <w:bCs/>
          <w:color w:val="auto"/>
          <w:spacing w:val="0"/>
          <w:szCs w:val="24"/>
          <w:highlight w:val="none"/>
        </w:rPr>
        <w:t>标</w:t>
      </w:r>
      <w:r>
        <w:rPr>
          <w:color w:val="auto"/>
          <w:highlight w:val="none"/>
        </w:rPr>
        <w:tab/>
      </w:r>
      <w:r>
        <w:rPr>
          <w:color w:val="auto"/>
          <w:highlight w:val="none"/>
        </w:rPr>
        <w:fldChar w:fldCharType="begin"/>
      </w:r>
      <w:r>
        <w:rPr>
          <w:color w:val="auto"/>
          <w:highlight w:val="none"/>
        </w:rPr>
        <w:instrText xml:space="preserve"> PAGEREF _Toc1221 \h </w:instrText>
      </w:r>
      <w:r>
        <w:rPr>
          <w:color w:val="auto"/>
          <w:highlight w:val="none"/>
        </w:rPr>
        <w:fldChar w:fldCharType="separate"/>
      </w:r>
      <w:r>
        <w:rPr>
          <w:color w:val="auto"/>
          <w:highlight w:val="none"/>
        </w:rPr>
        <w:t>33</w:t>
      </w:r>
      <w:r>
        <w:rPr>
          <w:color w:val="auto"/>
          <w:highlight w:val="none"/>
        </w:rPr>
        <w:fldChar w:fldCharType="end"/>
      </w:r>
      <w:r>
        <w:rPr>
          <w:rFonts w:hint="eastAsia" w:ascii="宋体" w:hAnsi="宋体" w:eastAsia="宋体" w:cs="宋体"/>
          <w:color w:val="auto"/>
          <w:spacing w:val="0"/>
          <w:szCs w:val="24"/>
          <w:highlight w:val="none"/>
        </w:rPr>
        <w:fldChar w:fldCharType="end"/>
      </w:r>
    </w:p>
    <w:p w14:paraId="2D032488">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_Toc6260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lang w:val="en-US" w:eastAsia="zh-CN"/>
        </w:rPr>
        <w:t>17</w:t>
      </w:r>
      <w:r>
        <w:rPr>
          <w:rFonts w:hint="eastAsia" w:ascii="宋体" w:hAnsi="宋体" w:eastAsia="宋体" w:cs="宋体"/>
          <w:bCs/>
          <w:color w:val="auto"/>
          <w:spacing w:val="0"/>
          <w:szCs w:val="24"/>
          <w:highlight w:val="none"/>
        </w:rPr>
        <w:t xml:space="preserve"> ．</w:t>
      </w:r>
      <w:r>
        <w:rPr>
          <w:rFonts w:hint="eastAsia" w:ascii="宋体" w:hAnsi="宋体" w:eastAsia="宋体" w:cs="宋体"/>
          <w:bCs/>
          <w:color w:val="auto"/>
          <w:spacing w:val="0"/>
          <w:szCs w:val="24"/>
          <w:highlight w:val="none"/>
          <w:lang w:val="en-US" w:eastAsia="zh-CN"/>
        </w:rPr>
        <w:t>定</w:t>
      </w:r>
      <w:r>
        <w:rPr>
          <w:rFonts w:hint="eastAsia" w:ascii="宋体" w:hAnsi="宋体" w:eastAsia="宋体" w:cs="宋体"/>
          <w:bCs/>
          <w:color w:val="auto"/>
          <w:spacing w:val="0"/>
          <w:szCs w:val="24"/>
          <w:highlight w:val="none"/>
        </w:rPr>
        <w:t>标</w:t>
      </w:r>
      <w:r>
        <w:rPr>
          <w:rFonts w:hint="eastAsia" w:ascii="宋体" w:hAnsi="宋体" w:eastAsia="宋体" w:cs="宋体"/>
          <w:bCs/>
          <w:color w:val="auto"/>
          <w:spacing w:val="0"/>
          <w:szCs w:val="24"/>
          <w:highlight w:val="none"/>
          <w:lang w:val="en-US" w:eastAsia="zh-CN"/>
        </w:rPr>
        <w:t>结果</w:t>
      </w:r>
      <w:r>
        <w:rPr>
          <w:rFonts w:hint="eastAsia" w:ascii="宋体" w:hAnsi="宋体" w:eastAsia="宋体" w:cs="宋体"/>
          <w:bCs/>
          <w:color w:val="auto"/>
          <w:spacing w:val="0"/>
          <w:szCs w:val="24"/>
          <w:highlight w:val="none"/>
        </w:rPr>
        <w:t>公示</w:t>
      </w:r>
      <w:r>
        <w:rPr>
          <w:color w:val="auto"/>
          <w:highlight w:val="none"/>
        </w:rPr>
        <w:tab/>
      </w:r>
      <w:r>
        <w:rPr>
          <w:color w:val="auto"/>
          <w:highlight w:val="none"/>
        </w:rPr>
        <w:fldChar w:fldCharType="begin"/>
      </w:r>
      <w:r>
        <w:rPr>
          <w:color w:val="auto"/>
          <w:highlight w:val="none"/>
        </w:rPr>
        <w:instrText xml:space="preserve"> PAGEREF _Toc6260 \h </w:instrText>
      </w:r>
      <w:r>
        <w:rPr>
          <w:color w:val="auto"/>
          <w:highlight w:val="none"/>
        </w:rPr>
        <w:fldChar w:fldCharType="separate"/>
      </w:r>
      <w:r>
        <w:rPr>
          <w:color w:val="auto"/>
          <w:highlight w:val="none"/>
        </w:rPr>
        <w:t>35</w:t>
      </w:r>
      <w:r>
        <w:rPr>
          <w:color w:val="auto"/>
          <w:highlight w:val="none"/>
        </w:rPr>
        <w:fldChar w:fldCharType="end"/>
      </w:r>
      <w:r>
        <w:rPr>
          <w:rFonts w:hint="eastAsia" w:ascii="宋体" w:hAnsi="宋体" w:eastAsia="宋体" w:cs="宋体"/>
          <w:color w:val="auto"/>
          <w:spacing w:val="0"/>
          <w:szCs w:val="24"/>
          <w:highlight w:val="none"/>
        </w:rPr>
        <w:fldChar w:fldCharType="end"/>
      </w:r>
    </w:p>
    <w:p w14:paraId="1E4981FD">
      <w:pPr>
        <w:pStyle w:val="12"/>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_Toc1505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第四节</w:t>
      </w:r>
      <w:r>
        <w:rPr>
          <w:rFonts w:hint="eastAsia" w:ascii="宋体" w:hAnsi="宋体" w:eastAsia="宋体" w:cs="宋体"/>
          <w:color w:val="auto"/>
          <w:spacing w:val="0"/>
          <w:szCs w:val="24"/>
          <w:highlight w:val="none"/>
        </w:rPr>
        <w:t xml:space="preserve"> </w:t>
      </w:r>
      <w:r>
        <w:rPr>
          <w:rFonts w:hint="eastAsia" w:ascii="宋体" w:hAnsi="宋体" w:eastAsia="宋体" w:cs="宋体"/>
          <w:bCs/>
          <w:color w:val="auto"/>
          <w:spacing w:val="0"/>
          <w:szCs w:val="24"/>
          <w:highlight w:val="none"/>
        </w:rPr>
        <w:t>否决投标条件</w:t>
      </w:r>
      <w:r>
        <w:rPr>
          <w:color w:val="auto"/>
          <w:highlight w:val="none"/>
        </w:rPr>
        <w:tab/>
      </w:r>
      <w:r>
        <w:rPr>
          <w:color w:val="auto"/>
          <w:highlight w:val="none"/>
        </w:rPr>
        <w:fldChar w:fldCharType="begin"/>
      </w:r>
      <w:r>
        <w:rPr>
          <w:color w:val="auto"/>
          <w:highlight w:val="none"/>
        </w:rPr>
        <w:instrText xml:space="preserve"> PAGEREF _Toc1505 \h </w:instrText>
      </w:r>
      <w:r>
        <w:rPr>
          <w:color w:val="auto"/>
          <w:highlight w:val="none"/>
        </w:rPr>
        <w:fldChar w:fldCharType="separate"/>
      </w:r>
      <w:r>
        <w:rPr>
          <w:color w:val="auto"/>
          <w:highlight w:val="none"/>
        </w:rPr>
        <w:t>36</w:t>
      </w:r>
      <w:r>
        <w:rPr>
          <w:color w:val="auto"/>
          <w:highlight w:val="none"/>
        </w:rPr>
        <w:fldChar w:fldCharType="end"/>
      </w:r>
      <w:r>
        <w:rPr>
          <w:rFonts w:hint="eastAsia" w:ascii="宋体" w:hAnsi="宋体" w:eastAsia="宋体" w:cs="宋体"/>
          <w:color w:val="auto"/>
          <w:spacing w:val="0"/>
          <w:szCs w:val="24"/>
          <w:highlight w:val="none"/>
        </w:rPr>
        <w:fldChar w:fldCharType="end"/>
      </w:r>
    </w:p>
    <w:p w14:paraId="1ECFBDA3">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_Toc7264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1 ．资格评审环节</w:t>
      </w:r>
      <w:r>
        <w:rPr>
          <w:color w:val="auto"/>
          <w:highlight w:val="none"/>
        </w:rPr>
        <w:tab/>
      </w:r>
      <w:r>
        <w:rPr>
          <w:color w:val="auto"/>
          <w:highlight w:val="none"/>
        </w:rPr>
        <w:fldChar w:fldCharType="begin"/>
      </w:r>
      <w:r>
        <w:rPr>
          <w:color w:val="auto"/>
          <w:highlight w:val="none"/>
        </w:rPr>
        <w:instrText xml:space="preserve"> PAGEREF _Toc7264 \h </w:instrText>
      </w:r>
      <w:r>
        <w:rPr>
          <w:color w:val="auto"/>
          <w:highlight w:val="none"/>
        </w:rPr>
        <w:fldChar w:fldCharType="separate"/>
      </w:r>
      <w:r>
        <w:rPr>
          <w:color w:val="auto"/>
          <w:highlight w:val="none"/>
        </w:rPr>
        <w:t>36</w:t>
      </w:r>
      <w:r>
        <w:rPr>
          <w:color w:val="auto"/>
          <w:highlight w:val="none"/>
        </w:rPr>
        <w:fldChar w:fldCharType="end"/>
      </w:r>
      <w:r>
        <w:rPr>
          <w:rFonts w:hint="eastAsia" w:ascii="宋体" w:hAnsi="宋体" w:eastAsia="宋体" w:cs="宋体"/>
          <w:color w:val="auto"/>
          <w:spacing w:val="0"/>
          <w:szCs w:val="24"/>
          <w:highlight w:val="none"/>
        </w:rPr>
        <w:fldChar w:fldCharType="end"/>
      </w:r>
    </w:p>
    <w:p w14:paraId="2224486E">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_Toc29694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2 ．形式评审环节</w:t>
      </w:r>
      <w:r>
        <w:rPr>
          <w:color w:val="auto"/>
          <w:highlight w:val="none"/>
        </w:rPr>
        <w:tab/>
      </w:r>
      <w:r>
        <w:rPr>
          <w:color w:val="auto"/>
          <w:highlight w:val="none"/>
        </w:rPr>
        <w:fldChar w:fldCharType="begin"/>
      </w:r>
      <w:r>
        <w:rPr>
          <w:color w:val="auto"/>
          <w:highlight w:val="none"/>
        </w:rPr>
        <w:instrText xml:space="preserve"> PAGEREF _Toc29694 \h </w:instrText>
      </w:r>
      <w:r>
        <w:rPr>
          <w:color w:val="auto"/>
          <w:highlight w:val="none"/>
        </w:rPr>
        <w:fldChar w:fldCharType="separate"/>
      </w:r>
      <w:r>
        <w:rPr>
          <w:color w:val="auto"/>
          <w:highlight w:val="none"/>
        </w:rPr>
        <w:t>37</w:t>
      </w:r>
      <w:r>
        <w:rPr>
          <w:color w:val="auto"/>
          <w:highlight w:val="none"/>
        </w:rPr>
        <w:fldChar w:fldCharType="end"/>
      </w:r>
      <w:r>
        <w:rPr>
          <w:rFonts w:hint="eastAsia" w:ascii="宋体" w:hAnsi="宋体" w:eastAsia="宋体" w:cs="宋体"/>
          <w:color w:val="auto"/>
          <w:spacing w:val="0"/>
          <w:szCs w:val="24"/>
          <w:highlight w:val="none"/>
        </w:rPr>
        <w:fldChar w:fldCharType="end"/>
      </w:r>
    </w:p>
    <w:p w14:paraId="13DEFB87">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_Toc13699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3 ．响应性评审环节</w:t>
      </w:r>
      <w:r>
        <w:rPr>
          <w:color w:val="auto"/>
          <w:highlight w:val="none"/>
        </w:rPr>
        <w:tab/>
      </w:r>
      <w:r>
        <w:rPr>
          <w:color w:val="auto"/>
          <w:highlight w:val="none"/>
        </w:rPr>
        <w:fldChar w:fldCharType="begin"/>
      </w:r>
      <w:r>
        <w:rPr>
          <w:color w:val="auto"/>
          <w:highlight w:val="none"/>
        </w:rPr>
        <w:instrText xml:space="preserve"> PAGEREF _Toc13699 \h </w:instrText>
      </w:r>
      <w:r>
        <w:rPr>
          <w:color w:val="auto"/>
          <w:highlight w:val="none"/>
        </w:rPr>
        <w:fldChar w:fldCharType="separate"/>
      </w:r>
      <w:r>
        <w:rPr>
          <w:color w:val="auto"/>
          <w:highlight w:val="none"/>
        </w:rPr>
        <w:t>37</w:t>
      </w:r>
      <w:r>
        <w:rPr>
          <w:color w:val="auto"/>
          <w:highlight w:val="none"/>
        </w:rPr>
        <w:fldChar w:fldCharType="end"/>
      </w:r>
      <w:r>
        <w:rPr>
          <w:rFonts w:hint="eastAsia" w:ascii="宋体" w:hAnsi="宋体" w:eastAsia="宋体" w:cs="宋体"/>
          <w:color w:val="auto"/>
          <w:spacing w:val="0"/>
          <w:szCs w:val="24"/>
          <w:highlight w:val="none"/>
        </w:rPr>
        <w:fldChar w:fldCharType="end"/>
      </w:r>
    </w:p>
    <w:p w14:paraId="5AE86D3B">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_Toc2756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4 ．其他</w:t>
      </w:r>
      <w:r>
        <w:rPr>
          <w:color w:val="auto"/>
          <w:highlight w:val="none"/>
        </w:rPr>
        <w:tab/>
      </w:r>
      <w:r>
        <w:rPr>
          <w:color w:val="auto"/>
          <w:highlight w:val="none"/>
        </w:rPr>
        <w:fldChar w:fldCharType="begin"/>
      </w:r>
      <w:r>
        <w:rPr>
          <w:color w:val="auto"/>
          <w:highlight w:val="none"/>
        </w:rPr>
        <w:instrText xml:space="preserve"> PAGEREF _Toc2756 \h </w:instrText>
      </w:r>
      <w:r>
        <w:rPr>
          <w:color w:val="auto"/>
          <w:highlight w:val="none"/>
        </w:rPr>
        <w:fldChar w:fldCharType="separate"/>
      </w:r>
      <w:r>
        <w:rPr>
          <w:color w:val="auto"/>
          <w:highlight w:val="none"/>
        </w:rPr>
        <w:t>38</w:t>
      </w:r>
      <w:r>
        <w:rPr>
          <w:color w:val="auto"/>
          <w:highlight w:val="none"/>
        </w:rPr>
        <w:fldChar w:fldCharType="end"/>
      </w:r>
      <w:r>
        <w:rPr>
          <w:rFonts w:hint="eastAsia" w:ascii="宋体" w:hAnsi="宋体" w:eastAsia="宋体" w:cs="宋体"/>
          <w:color w:val="auto"/>
          <w:spacing w:val="0"/>
          <w:szCs w:val="24"/>
          <w:highlight w:val="none"/>
        </w:rPr>
        <w:fldChar w:fldCharType="end"/>
      </w:r>
    </w:p>
    <w:p w14:paraId="6675F052">
      <w:pPr>
        <w:pStyle w:val="11"/>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_Toc9411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第二章</w:t>
      </w:r>
      <w:r>
        <w:rPr>
          <w:rFonts w:hint="eastAsia" w:ascii="宋体" w:hAnsi="宋体" w:eastAsia="宋体" w:cs="宋体"/>
          <w:color w:val="auto"/>
          <w:spacing w:val="0"/>
          <w:szCs w:val="24"/>
          <w:highlight w:val="none"/>
        </w:rPr>
        <w:t xml:space="preserve"> </w:t>
      </w:r>
      <w:r>
        <w:rPr>
          <w:rFonts w:hint="eastAsia" w:ascii="宋体" w:hAnsi="宋体" w:eastAsia="宋体" w:cs="宋体"/>
          <w:bCs/>
          <w:color w:val="auto"/>
          <w:spacing w:val="0"/>
          <w:szCs w:val="24"/>
          <w:highlight w:val="none"/>
        </w:rPr>
        <w:t>中标人须知</w:t>
      </w:r>
      <w:r>
        <w:rPr>
          <w:color w:val="auto"/>
          <w:highlight w:val="none"/>
        </w:rPr>
        <w:tab/>
      </w:r>
      <w:r>
        <w:rPr>
          <w:color w:val="auto"/>
          <w:highlight w:val="none"/>
        </w:rPr>
        <w:fldChar w:fldCharType="begin"/>
      </w:r>
      <w:r>
        <w:rPr>
          <w:color w:val="auto"/>
          <w:highlight w:val="none"/>
        </w:rPr>
        <w:instrText xml:space="preserve"> PAGEREF _Toc9411 \h </w:instrText>
      </w:r>
      <w:r>
        <w:rPr>
          <w:color w:val="auto"/>
          <w:highlight w:val="none"/>
        </w:rPr>
        <w:fldChar w:fldCharType="separate"/>
      </w:r>
      <w:r>
        <w:rPr>
          <w:color w:val="auto"/>
          <w:highlight w:val="none"/>
        </w:rPr>
        <w:t>39</w:t>
      </w:r>
      <w:r>
        <w:rPr>
          <w:color w:val="auto"/>
          <w:highlight w:val="none"/>
        </w:rPr>
        <w:fldChar w:fldCharType="end"/>
      </w:r>
      <w:r>
        <w:rPr>
          <w:rFonts w:hint="eastAsia" w:ascii="宋体" w:hAnsi="宋体" w:eastAsia="宋体" w:cs="宋体"/>
          <w:color w:val="auto"/>
          <w:spacing w:val="0"/>
          <w:szCs w:val="24"/>
          <w:highlight w:val="none"/>
        </w:rPr>
        <w:fldChar w:fldCharType="end"/>
      </w:r>
    </w:p>
    <w:p w14:paraId="0AA633C5">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_Toc5110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1 ．中标通知书</w:t>
      </w:r>
      <w:r>
        <w:rPr>
          <w:color w:val="auto"/>
          <w:highlight w:val="none"/>
        </w:rPr>
        <w:tab/>
      </w:r>
      <w:r>
        <w:rPr>
          <w:color w:val="auto"/>
          <w:highlight w:val="none"/>
        </w:rPr>
        <w:fldChar w:fldCharType="begin"/>
      </w:r>
      <w:r>
        <w:rPr>
          <w:color w:val="auto"/>
          <w:highlight w:val="none"/>
        </w:rPr>
        <w:instrText xml:space="preserve"> PAGEREF _Toc5110 \h </w:instrText>
      </w:r>
      <w:r>
        <w:rPr>
          <w:color w:val="auto"/>
          <w:highlight w:val="none"/>
        </w:rPr>
        <w:fldChar w:fldCharType="separate"/>
      </w:r>
      <w:r>
        <w:rPr>
          <w:color w:val="auto"/>
          <w:highlight w:val="none"/>
        </w:rPr>
        <w:t>39</w:t>
      </w:r>
      <w:r>
        <w:rPr>
          <w:color w:val="auto"/>
          <w:highlight w:val="none"/>
        </w:rPr>
        <w:fldChar w:fldCharType="end"/>
      </w:r>
      <w:r>
        <w:rPr>
          <w:rFonts w:hint="eastAsia" w:ascii="宋体" w:hAnsi="宋体" w:eastAsia="宋体" w:cs="宋体"/>
          <w:color w:val="auto"/>
          <w:spacing w:val="0"/>
          <w:szCs w:val="24"/>
          <w:highlight w:val="none"/>
        </w:rPr>
        <w:fldChar w:fldCharType="end"/>
      </w:r>
    </w:p>
    <w:p w14:paraId="13870124">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_Toc12154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2 ．中结果公示</w:t>
      </w:r>
      <w:r>
        <w:rPr>
          <w:color w:val="auto"/>
          <w:highlight w:val="none"/>
        </w:rPr>
        <w:tab/>
      </w:r>
      <w:r>
        <w:rPr>
          <w:color w:val="auto"/>
          <w:highlight w:val="none"/>
        </w:rPr>
        <w:fldChar w:fldCharType="begin"/>
      </w:r>
      <w:r>
        <w:rPr>
          <w:color w:val="auto"/>
          <w:highlight w:val="none"/>
        </w:rPr>
        <w:instrText xml:space="preserve"> PAGEREF _Toc12154 \h </w:instrText>
      </w:r>
      <w:r>
        <w:rPr>
          <w:color w:val="auto"/>
          <w:highlight w:val="none"/>
        </w:rPr>
        <w:fldChar w:fldCharType="separate"/>
      </w:r>
      <w:r>
        <w:rPr>
          <w:color w:val="auto"/>
          <w:highlight w:val="none"/>
        </w:rPr>
        <w:t>39</w:t>
      </w:r>
      <w:r>
        <w:rPr>
          <w:color w:val="auto"/>
          <w:highlight w:val="none"/>
        </w:rPr>
        <w:fldChar w:fldCharType="end"/>
      </w:r>
      <w:r>
        <w:rPr>
          <w:rFonts w:hint="eastAsia" w:ascii="宋体" w:hAnsi="宋体" w:eastAsia="宋体" w:cs="宋体"/>
          <w:color w:val="auto"/>
          <w:spacing w:val="0"/>
          <w:szCs w:val="24"/>
          <w:highlight w:val="none"/>
        </w:rPr>
        <w:fldChar w:fldCharType="end"/>
      </w:r>
    </w:p>
    <w:p w14:paraId="1367CA8D">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_Toc32644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3 ．履约保证</w:t>
      </w:r>
      <w:r>
        <w:rPr>
          <w:color w:val="auto"/>
          <w:highlight w:val="none"/>
        </w:rPr>
        <w:tab/>
      </w:r>
      <w:r>
        <w:rPr>
          <w:color w:val="auto"/>
          <w:highlight w:val="none"/>
        </w:rPr>
        <w:fldChar w:fldCharType="begin"/>
      </w:r>
      <w:r>
        <w:rPr>
          <w:color w:val="auto"/>
          <w:highlight w:val="none"/>
        </w:rPr>
        <w:instrText xml:space="preserve"> PAGEREF _Toc32644 \h </w:instrText>
      </w:r>
      <w:r>
        <w:rPr>
          <w:color w:val="auto"/>
          <w:highlight w:val="none"/>
        </w:rPr>
        <w:fldChar w:fldCharType="separate"/>
      </w:r>
      <w:r>
        <w:rPr>
          <w:color w:val="auto"/>
          <w:highlight w:val="none"/>
        </w:rPr>
        <w:t>39</w:t>
      </w:r>
      <w:r>
        <w:rPr>
          <w:color w:val="auto"/>
          <w:highlight w:val="none"/>
        </w:rPr>
        <w:fldChar w:fldCharType="end"/>
      </w:r>
      <w:r>
        <w:rPr>
          <w:rFonts w:hint="eastAsia" w:ascii="宋体" w:hAnsi="宋体" w:eastAsia="宋体" w:cs="宋体"/>
          <w:color w:val="auto"/>
          <w:spacing w:val="0"/>
          <w:szCs w:val="24"/>
          <w:highlight w:val="none"/>
        </w:rPr>
        <w:fldChar w:fldCharType="end"/>
      </w:r>
    </w:p>
    <w:p w14:paraId="41787B4B">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_Toc19929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4 ．合同订立</w:t>
      </w:r>
      <w:r>
        <w:rPr>
          <w:color w:val="auto"/>
          <w:highlight w:val="none"/>
        </w:rPr>
        <w:tab/>
      </w:r>
      <w:r>
        <w:rPr>
          <w:color w:val="auto"/>
          <w:highlight w:val="none"/>
        </w:rPr>
        <w:fldChar w:fldCharType="begin"/>
      </w:r>
      <w:r>
        <w:rPr>
          <w:color w:val="auto"/>
          <w:highlight w:val="none"/>
        </w:rPr>
        <w:instrText xml:space="preserve"> PAGEREF _Toc19929 \h </w:instrText>
      </w:r>
      <w:r>
        <w:rPr>
          <w:color w:val="auto"/>
          <w:highlight w:val="none"/>
        </w:rPr>
        <w:fldChar w:fldCharType="separate"/>
      </w:r>
      <w:r>
        <w:rPr>
          <w:color w:val="auto"/>
          <w:highlight w:val="none"/>
        </w:rPr>
        <w:t>39</w:t>
      </w:r>
      <w:r>
        <w:rPr>
          <w:color w:val="auto"/>
          <w:highlight w:val="none"/>
        </w:rPr>
        <w:fldChar w:fldCharType="end"/>
      </w:r>
      <w:r>
        <w:rPr>
          <w:rFonts w:hint="eastAsia" w:ascii="宋体" w:hAnsi="宋体" w:eastAsia="宋体" w:cs="宋体"/>
          <w:color w:val="auto"/>
          <w:spacing w:val="0"/>
          <w:szCs w:val="24"/>
          <w:highlight w:val="none"/>
        </w:rPr>
        <w:fldChar w:fldCharType="end"/>
      </w:r>
    </w:p>
    <w:p w14:paraId="7F0361BD">
      <w:pPr>
        <w:pStyle w:val="11"/>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_Toc29932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第三章</w:t>
      </w:r>
      <w:r>
        <w:rPr>
          <w:rFonts w:hint="eastAsia" w:ascii="宋体" w:hAnsi="宋体" w:eastAsia="宋体" w:cs="宋体"/>
          <w:color w:val="auto"/>
          <w:spacing w:val="0"/>
          <w:szCs w:val="24"/>
          <w:highlight w:val="none"/>
        </w:rPr>
        <w:t xml:space="preserve"> </w:t>
      </w:r>
      <w:r>
        <w:rPr>
          <w:rFonts w:hint="eastAsia" w:ascii="宋体" w:hAnsi="宋体" w:eastAsia="宋体" w:cs="宋体"/>
          <w:bCs/>
          <w:color w:val="auto"/>
          <w:spacing w:val="0"/>
          <w:szCs w:val="24"/>
          <w:highlight w:val="none"/>
        </w:rPr>
        <w:t>拟签订合同的主要条款</w:t>
      </w:r>
      <w:r>
        <w:rPr>
          <w:color w:val="auto"/>
          <w:highlight w:val="none"/>
        </w:rPr>
        <w:tab/>
      </w:r>
      <w:r>
        <w:rPr>
          <w:color w:val="auto"/>
          <w:highlight w:val="none"/>
        </w:rPr>
        <w:fldChar w:fldCharType="begin"/>
      </w:r>
      <w:r>
        <w:rPr>
          <w:color w:val="auto"/>
          <w:highlight w:val="none"/>
        </w:rPr>
        <w:instrText xml:space="preserve"> PAGEREF _Toc29932 \h </w:instrText>
      </w:r>
      <w:r>
        <w:rPr>
          <w:color w:val="auto"/>
          <w:highlight w:val="none"/>
        </w:rPr>
        <w:fldChar w:fldCharType="separate"/>
      </w:r>
      <w:r>
        <w:rPr>
          <w:color w:val="auto"/>
          <w:highlight w:val="none"/>
        </w:rPr>
        <w:t>50</w:t>
      </w:r>
      <w:r>
        <w:rPr>
          <w:color w:val="auto"/>
          <w:highlight w:val="none"/>
        </w:rPr>
        <w:fldChar w:fldCharType="end"/>
      </w:r>
      <w:r>
        <w:rPr>
          <w:rFonts w:hint="eastAsia" w:ascii="宋体" w:hAnsi="宋体" w:eastAsia="宋体" w:cs="宋体"/>
          <w:color w:val="auto"/>
          <w:spacing w:val="0"/>
          <w:szCs w:val="24"/>
          <w:highlight w:val="none"/>
        </w:rPr>
        <w:fldChar w:fldCharType="end"/>
      </w:r>
    </w:p>
    <w:p w14:paraId="175FCA05">
      <w:pPr>
        <w:pStyle w:val="12"/>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_Toc8493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snapToGrid w:val="0"/>
          <w:color w:val="auto"/>
          <w:szCs w:val="24"/>
          <w:highlight w:val="none"/>
        </w:rPr>
        <w:t>1．工程承包方式</w:t>
      </w:r>
      <w:r>
        <w:rPr>
          <w:color w:val="auto"/>
          <w:highlight w:val="none"/>
        </w:rPr>
        <w:tab/>
      </w:r>
      <w:r>
        <w:rPr>
          <w:color w:val="auto"/>
          <w:highlight w:val="none"/>
        </w:rPr>
        <w:fldChar w:fldCharType="begin"/>
      </w:r>
      <w:r>
        <w:rPr>
          <w:color w:val="auto"/>
          <w:highlight w:val="none"/>
        </w:rPr>
        <w:instrText xml:space="preserve"> PAGEREF _Toc8493 \h </w:instrText>
      </w:r>
      <w:r>
        <w:rPr>
          <w:color w:val="auto"/>
          <w:highlight w:val="none"/>
        </w:rPr>
        <w:fldChar w:fldCharType="separate"/>
      </w:r>
      <w:r>
        <w:rPr>
          <w:color w:val="auto"/>
          <w:highlight w:val="none"/>
        </w:rPr>
        <w:t>50</w:t>
      </w:r>
      <w:r>
        <w:rPr>
          <w:color w:val="auto"/>
          <w:highlight w:val="none"/>
        </w:rPr>
        <w:fldChar w:fldCharType="end"/>
      </w:r>
      <w:r>
        <w:rPr>
          <w:rFonts w:hint="eastAsia" w:ascii="宋体" w:hAnsi="宋体" w:eastAsia="宋体" w:cs="宋体"/>
          <w:color w:val="auto"/>
          <w:spacing w:val="0"/>
          <w:szCs w:val="24"/>
          <w:highlight w:val="none"/>
        </w:rPr>
        <w:fldChar w:fldCharType="end"/>
      </w:r>
    </w:p>
    <w:p w14:paraId="1FB484E6">
      <w:pPr>
        <w:pStyle w:val="12"/>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_Toc28909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snapToGrid w:val="0"/>
          <w:color w:val="auto"/>
          <w:szCs w:val="24"/>
          <w:highlight w:val="none"/>
        </w:rPr>
        <w:t>2．工程结算原则</w:t>
      </w:r>
      <w:r>
        <w:rPr>
          <w:color w:val="auto"/>
          <w:highlight w:val="none"/>
        </w:rPr>
        <w:tab/>
      </w:r>
      <w:r>
        <w:rPr>
          <w:color w:val="auto"/>
          <w:highlight w:val="none"/>
        </w:rPr>
        <w:fldChar w:fldCharType="begin"/>
      </w:r>
      <w:r>
        <w:rPr>
          <w:color w:val="auto"/>
          <w:highlight w:val="none"/>
        </w:rPr>
        <w:instrText xml:space="preserve"> PAGEREF _Toc28909 \h </w:instrText>
      </w:r>
      <w:r>
        <w:rPr>
          <w:color w:val="auto"/>
          <w:highlight w:val="none"/>
        </w:rPr>
        <w:fldChar w:fldCharType="separate"/>
      </w:r>
      <w:r>
        <w:rPr>
          <w:color w:val="auto"/>
          <w:highlight w:val="none"/>
        </w:rPr>
        <w:t>50</w:t>
      </w:r>
      <w:r>
        <w:rPr>
          <w:color w:val="auto"/>
          <w:highlight w:val="none"/>
        </w:rPr>
        <w:fldChar w:fldCharType="end"/>
      </w:r>
      <w:r>
        <w:rPr>
          <w:rFonts w:hint="eastAsia" w:ascii="宋体" w:hAnsi="宋体" w:eastAsia="宋体" w:cs="宋体"/>
          <w:color w:val="auto"/>
          <w:spacing w:val="0"/>
          <w:szCs w:val="24"/>
          <w:highlight w:val="none"/>
        </w:rPr>
        <w:fldChar w:fldCharType="end"/>
      </w:r>
    </w:p>
    <w:p w14:paraId="72C0F1EE">
      <w:pPr>
        <w:pStyle w:val="12"/>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_Toc6483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snapToGrid w:val="0"/>
          <w:color w:val="auto"/>
          <w:szCs w:val="24"/>
          <w:highlight w:val="none"/>
        </w:rPr>
        <w:t>3．工程付款办法</w:t>
      </w:r>
      <w:r>
        <w:rPr>
          <w:color w:val="auto"/>
          <w:highlight w:val="none"/>
        </w:rPr>
        <w:tab/>
      </w:r>
      <w:r>
        <w:rPr>
          <w:color w:val="auto"/>
          <w:highlight w:val="none"/>
        </w:rPr>
        <w:fldChar w:fldCharType="begin"/>
      </w:r>
      <w:r>
        <w:rPr>
          <w:color w:val="auto"/>
          <w:highlight w:val="none"/>
        </w:rPr>
        <w:instrText xml:space="preserve"> PAGEREF _Toc6483 \h </w:instrText>
      </w:r>
      <w:r>
        <w:rPr>
          <w:color w:val="auto"/>
          <w:highlight w:val="none"/>
        </w:rPr>
        <w:fldChar w:fldCharType="separate"/>
      </w:r>
      <w:r>
        <w:rPr>
          <w:color w:val="auto"/>
          <w:highlight w:val="none"/>
        </w:rPr>
        <w:t>59</w:t>
      </w:r>
      <w:r>
        <w:rPr>
          <w:color w:val="auto"/>
          <w:highlight w:val="none"/>
        </w:rPr>
        <w:fldChar w:fldCharType="end"/>
      </w:r>
      <w:r>
        <w:rPr>
          <w:rFonts w:hint="eastAsia" w:ascii="宋体" w:hAnsi="宋体" w:eastAsia="宋体" w:cs="宋体"/>
          <w:color w:val="auto"/>
          <w:spacing w:val="0"/>
          <w:szCs w:val="24"/>
          <w:highlight w:val="none"/>
        </w:rPr>
        <w:fldChar w:fldCharType="end"/>
      </w:r>
    </w:p>
    <w:p w14:paraId="6B22F07E">
      <w:pPr>
        <w:pStyle w:val="11"/>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_Toc22943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第四章</w:t>
      </w:r>
      <w:r>
        <w:rPr>
          <w:rFonts w:hint="eastAsia" w:ascii="宋体" w:hAnsi="宋体" w:eastAsia="宋体" w:cs="宋体"/>
          <w:color w:val="auto"/>
          <w:spacing w:val="0"/>
          <w:szCs w:val="24"/>
          <w:highlight w:val="none"/>
        </w:rPr>
        <w:t xml:space="preserve"> </w:t>
      </w:r>
      <w:r>
        <w:rPr>
          <w:rFonts w:hint="eastAsia" w:ascii="宋体" w:hAnsi="宋体" w:eastAsia="宋体" w:cs="宋体"/>
          <w:bCs/>
          <w:color w:val="auto"/>
          <w:spacing w:val="0"/>
          <w:szCs w:val="24"/>
          <w:highlight w:val="none"/>
        </w:rPr>
        <w:t>技术要求</w:t>
      </w:r>
      <w:r>
        <w:rPr>
          <w:color w:val="auto"/>
          <w:highlight w:val="none"/>
        </w:rPr>
        <w:tab/>
      </w:r>
      <w:r>
        <w:rPr>
          <w:color w:val="auto"/>
          <w:highlight w:val="none"/>
        </w:rPr>
        <w:fldChar w:fldCharType="begin"/>
      </w:r>
      <w:r>
        <w:rPr>
          <w:color w:val="auto"/>
          <w:highlight w:val="none"/>
        </w:rPr>
        <w:instrText xml:space="preserve"> PAGEREF _Toc22943 \h </w:instrText>
      </w:r>
      <w:r>
        <w:rPr>
          <w:color w:val="auto"/>
          <w:highlight w:val="none"/>
        </w:rPr>
        <w:fldChar w:fldCharType="separate"/>
      </w:r>
      <w:r>
        <w:rPr>
          <w:color w:val="auto"/>
          <w:highlight w:val="none"/>
        </w:rPr>
        <w:t>63</w:t>
      </w:r>
      <w:r>
        <w:rPr>
          <w:color w:val="auto"/>
          <w:highlight w:val="none"/>
        </w:rPr>
        <w:fldChar w:fldCharType="end"/>
      </w:r>
      <w:r>
        <w:rPr>
          <w:rFonts w:hint="eastAsia" w:ascii="宋体" w:hAnsi="宋体" w:eastAsia="宋体" w:cs="宋体"/>
          <w:color w:val="auto"/>
          <w:spacing w:val="0"/>
          <w:szCs w:val="24"/>
          <w:highlight w:val="none"/>
        </w:rPr>
        <w:fldChar w:fldCharType="end"/>
      </w:r>
    </w:p>
    <w:p w14:paraId="6E41C256">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_Toc10988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1 ．房屋建筑工程建设项目</w:t>
      </w:r>
      <w:r>
        <w:rPr>
          <w:color w:val="auto"/>
          <w:highlight w:val="none"/>
        </w:rPr>
        <w:tab/>
      </w:r>
      <w:r>
        <w:rPr>
          <w:color w:val="auto"/>
          <w:highlight w:val="none"/>
        </w:rPr>
        <w:fldChar w:fldCharType="begin"/>
      </w:r>
      <w:r>
        <w:rPr>
          <w:color w:val="auto"/>
          <w:highlight w:val="none"/>
        </w:rPr>
        <w:instrText xml:space="preserve"> PAGEREF _Toc10988 \h </w:instrText>
      </w:r>
      <w:r>
        <w:rPr>
          <w:color w:val="auto"/>
          <w:highlight w:val="none"/>
        </w:rPr>
        <w:fldChar w:fldCharType="separate"/>
      </w:r>
      <w:r>
        <w:rPr>
          <w:color w:val="auto"/>
          <w:highlight w:val="none"/>
        </w:rPr>
        <w:t>63</w:t>
      </w:r>
      <w:r>
        <w:rPr>
          <w:color w:val="auto"/>
          <w:highlight w:val="none"/>
        </w:rPr>
        <w:fldChar w:fldCharType="end"/>
      </w:r>
      <w:r>
        <w:rPr>
          <w:rFonts w:hint="eastAsia" w:ascii="宋体" w:hAnsi="宋体" w:eastAsia="宋体" w:cs="宋体"/>
          <w:color w:val="auto"/>
          <w:spacing w:val="0"/>
          <w:szCs w:val="24"/>
          <w:highlight w:val="none"/>
        </w:rPr>
        <w:fldChar w:fldCharType="end"/>
      </w:r>
    </w:p>
    <w:p w14:paraId="55DF8F51">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_Toc1126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2 ．市政基础设施工程建设项目</w:t>
      </w:r>
      <w:r>
        <w:rPr>
          <w:color w:val="auto"/>
          <w:highlight w:val="none"/>
        </w:rPr>
        <w:tab/>
      </w:r>
      <w:r>
        <w:rPr>
          <w:color w:val="auto"/>
          <w:highlight w:val="none"/>
        </w:rPr>
        <w:fldChar w:fldCharType="begin"/>
      </w:r>
      <w:r>
        <w:rPr>
          <w:color w:val="auto"/>
          <w:highlight w:val="none"/>
        </w:rPr>
        <w:instrText xml:space="preserve"> PAGEREF _Toc1126 \h </w:instrText>
      </w:r>
      <w:r>
        <w:rPr>
          <w:color w:val="auto"/>
          <w:highlight w:val="none"/>
        </w:rPr>
        <w:fldChar w:fldCharType="separate"/>
      </w:r>
      <w:r>
        <w:rPr>
          <w:color w:val="auto"/>
          <w:highlight w:val="none"/>
        </w:rPr>
        <w:t>63</w:t>
      </w:r>
      <w:r>
        <w:rPr>
          <w:color w:val="auto"/>
          <w:highlight w:val="none"/>
        </w:rPr>
        <w:fldChar w:fldCharType="end"/>
      </w:r>
      <w:r>
        <w:rPr>
          <w:rFonts w:hint="eastAsia" w:ascii="宋体" w:hAnsi="宋体" w:eastAsia="宋体" w:cs="宋体"/>
          <w:color w:val="auto"/>
          <w:spacing w:val="0"/>
          <w:szCs w:val="24"/>
          <w:highlight w:val="none"/>
        </w:rPr>
        <w:fldChar w:fldCharType="end"/>
      </w:r>
    </w:p>
    <w:p w14:paraId="7D3883E4">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_Toc17417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3 ．备查要求</w:t>
      </w:r>
      <w:r>
        <w:rPr>
          <w:color w:val="auto"/>
          <w:highlight w:val="none"/>
        </w:rPr>
        <w:tab/>
      </w:r>
      <w:r>
        <w:rPr>
          <w:color w:val="auto"/>
          <w:highlight w:val="none"/>
        </w:rPr>
        <w:fldChar w:fldCharType="begin"/>
      </w:r>
      <w:r>
        <w:rPr>
          <w:color w:val="auto"/>
          <w:highlight w:val="none"/>
        </w:rPr>
        <w:instrText xml:space="preserve"> PAGEREF _Toc17417 \h </w:instrText>
      </w:r>
      <w:r>
        <w:rPr>
          <w:color w:val="auto"/>
          <w:highlight w:val="none"/>
        </w:rPr>
        <w:fldChar w:fldCharType="separate"/>
      </w:r>
      <w:r>
        <w:rPr>
          <w:color w:val="auto"/>
          <w:highlight w:val="none"/>
        </w:rPr>
        <w:t>64</w:t>
      </w:r>
      <w:r>
        <w:rPr>
          <w:color w:val="auto"/>
          <w:highlight w:val="none"/>
        </w:rPr>
        <w:fldChar w:fldCharType="end"/>
      </w:r>
      <w:r>
        <w:rPr>
          <w:rFonts w:hint="eastAsia" w:ascii="宋体" w:hAnsi="宋体" w:eastAsia="宋体" w:cs="宋体"/>
          <w:color w:val="auto"/>
          <w:spacing w:val="0"/>
          <w:szCs w:val="24"/>
          <w:highlight w:val="none"/>
        </w:rPr>
        <w:fldChar w:fldCharType="end"/>
      </w:r>
    </w:p>
    <w:p w14:paraId="016954E6">
      <w:pPr>
        <w:pStyle w:val="11"/>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_Toc17497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第五章</w:t>
      </w:r>
      <w:r>
        <w:rPr>
          <w:rFonts w:hint="eastAsia" w:ascii="宋体" w:hAnsi="宋体" w:eastAsia="宋体" w:cs="宋体"/>
          <w:color w:val="auto"/>
          <w:spacing w:val="0"/>
          <w:szCs w:val="24"/>
          <w:highlight w:val="none"/>
        </w:rPr>
        <w:t xml:space="preserve"> </w:t>
      </w:r>
      <w:r>
        <w:rPr>
          <w:rFonts w:hint="eastAsia" w:ascii="宋体" w:hAnsi="宋体" w:eastAsia="宋体" w:cs="宋体"/>
          <w:bCs/>
          <w:color w:val="auto"/>
          <w:spacing w:val="0"/>
          <w:szCs w:val="24"/>
          <w:highlight w:val="none"/>
        </w:rPr>
        <w:t>图纸和招标工程量清单</w:t>
      </w:r>
      <w:r>
        <w:rPr>
          <w:color w:val="auto"/>
          <w:highlight w:val="none"/>
        </w:rPr>
        <w:tab/>
      </w:r>
      <w:r>
        <w:rPr>
          <w:color w:val="auto"/>
          <w:highlight w:val="none"/>
        </w:rPr>
        <w:fldChar w:fldCharType="begin"/>
      </w:r>
      <w:r>
        <w:rPr>
          <w:color w:val="auto"/>
          <w:highlight w:val="none"/>
        </w:rPr>
        <w:instrText xml:space="preserve"> PAGEREF _Toc17497 \h </w:instrText>
      </w:r>
      <w:r>
        <w:rPr>
          <w:color w:val="auto"/>
          <w:highlight w:val="none"/>
        </w:rPr>
        <w:fldChar w:fldCharType="separate"/>
      </w:r>
      <w:r>
        <w:rPr>
          <w:color w:val="auto"/>
          <w:highlight w:val="none"/>
        </w:rPr>
        <w:t>65</w:t>
      </w:r>
      <w:r>
        <w:rPr>
          <w:color w:val="auto"/>
          <w:highlight w:val="none"/>
        </w:rPr>
        <w:fldChar w:fldCharType="end"/>
      </w:r>
      <w:r>
        <w:rPr>
          <w:rFonts w:hint="eastAsia" w:ascii="宋体" w:hAnsi="宋体" w:eastAsia="宋体" w:cs="宋体"/>
          <w:color w:val="auto"/>
          <w:spacing w:val="0"/>
          <w:szCs w:val="24"/>
          <w:highlight w:val="none"/>
        </w:rPr>
        <w:fldChar w:fldCharType="end"/>
      </w:r>
    </w:p>
    <w:p w14:paraId="76768BEB">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_Toc23405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1 ．图纸</w:t>
      </w:r>
      <w:r>
        <w:rPr>
          <w:color w:val="auto"/>
          <w:highlight w:val="none"/>
        </w:rPr>
        <w:tab/>
      </w:r>
      <w:r>
        <w:rPr>
          <w:color w:val="auto"/>
          <w:highlight w:val="none"/>
        </w:rPr>
        <w:fldChar w:fldCharType="begin"/>
      </w:r>
      <w:r>
        <w:rPr>
          <w:color w:val="auto"/>
          <w:highlight w:val="none"/>
        </w:rPr>
        <w:instrText xml:space="preserve"> PAGEREF _Toc23405 \h </w:instrText>
      </w:r>
      <w:r>
        <w:rPr>
          <w:color w:val="auto"/>
          <w:highlight w:val="none"/>
        </w:rPr>
        <w:fldChar w:fldCharType="separate"/>
      </w:r>
      <w:r>
        <w:rPr>
          <w:color w:val="auto"/>
          <w:highlight w:val="none"/>
        </w:rPr>
        <w:t>65</w:t>
      </w:r>
      <w:r>
        <w:rPr>
          <w:color w:val="auto"/>
          <w:highlight w:val="none"/>
        </w:rPr>
        <w:fldChar w:fldCharType="end"/>
      </w:r>
      <w:r>
        <w:rPr>
          <w:rFonts w:hint="eastAsia" w:ascii="宋体" w:hAnsi="宋体" w:eastAsia="宋体" w:cs="宋体"/>
          <w:color w:val="auto"/>
          <w:spacing w:val="0"/>
          <w:szCs w:val="24"/>
          <w:highlight w:val="none"/>
        </w:rPr>
        <w:fldChar w:fldCharType="end"/>
      </w:r>
    </w:p>
    <w:p w14:paraId="49051668">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_Toc3353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2 ．招标工程量清单</w:t>
      </w:r>
      <w:r>
        <w:rPr>
          <w:color w:val="auto"/>
          <w:highlight w:val="none"/>
        </w:rPr>
        <w:tab/>
      </w:r>
      <w:r>
        <w:rPr>
          <w:color w:val="auto"/>
          <w:highlight w:val="none"/>
        </w:rPr>
        <w:fldChar w:fldCharType="begin"/>
      </w:r>
      <w:r>
        <w:rPr>
          <w:color w:val="auto"/>
          <w:highlight w:val="none"/>
        </w:rPr>
        <w:instrText xml:space="preserve"> PAGEREF _Toc3353 \h </w:instrText>
      </w:r>
      <w:r>
        <w:rPr>
          <w:color w:val="auto"/>
          <w:highlight w:val="none"/>
        </w:rPr>
        <w:fldChar w:fldCharType="separate"/>
      </w:r>
      <w:r>
        <w:rPr>
          <w:color w:val="auto"/>
          <w:highlight w:val="none"/>
        </w:rPr>
        <w:t>65</w:t>
      </w:r>
      <w:r>
        <w:rPr>
          <w:color w:val="auto"/>
          <w:highlight w:val="none"/>
        </w:rPr>
        <w:fldChar w:fldCharType="end"/>
      </w:r>
      <w:r>
        <w:rPr>
          <w:rFonts w:hint="eastAsia" w:ascii="宋体" w:hAnsi="宋体" w:eastAsia="宋体" w:cs="宋体"/>
          <w:color w:val="auto"/>
          <w:spacing w:val="0"/>
          <w:szCs w:val="24"/>
          <w:highlight w:val="none"/>
        </w:rPr>
        <w:fldChar w:fldCharType="end"/>
      </w:r>
    </w:p>
    <w:p w14:paraId="17CE98F1">
      <w:pPr>
        <w:pStyle w:val="11"/>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_Toc5775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第六章</w:t>
      </w:r>
      <w:r>
        <w:rPr>
          <w:rFonts w:hint="eastAsia" w:ascii="宋体" w:hAnsi="宋体" w:eastAsia="宋体" w:cs="宋体"/>
          <w:color w:val="auto"/>
          <w:spacing w:val="0"/>
          <w:szCs w:val="24"/>
          <w:highlight w:val="none"/>
        </w:rPr>
        <w:t xml:space="preserve"> </w:t>
      </w:r>
      <w:r>
        <w:rPr>
          <w:rFonts w:hint="eastAsia" w:ascii="宋体" w:hAnsi="宋体" w:eastAsia="宋体" w:cs="宋体"/>
          <w:bCs/>
          <w:color w:val="auto"/>
          <w:spacing w:val="0"/>
          <w:szCs w:val="24"/>
          <w:highlight w:val="none"/>
        </w:rPr>
        <w:t>投标文件格式</w:t>
      </w:r>
      <w:r>
        <w:rPr>
          <w:color w:val="auto"/>
          <w:highlight w:val="none"/>
        </w:rPr>
        <w:tab/>
      </w:r>
      <w:r>
        <w:rPr>
          <w:color w:val="auto"/>
          <w:highlight w:val="none"/>
        </w:rPr>
        <w:fldChar w:fldCharType="begin"/>
      </w:r>
      <w:r>
        <w:rPr>
          <w:color w:val="auto"/>
          <w:highlight w:val="none"/>
        </w:rPr>
        <w:instrText xml:space="preserve"> PAGEREF _Toc5775 \h </w:instrText>
      </w:r>
      <w:r>
        <w:rPr>
          <w:color w:val="auto"/>
          <w:highlight w:val="none"/>
        </w:rPr>
        <w:fldChar w:fldCharType="separate"/>
      </w:r>
      <w:r>
        <w:rPr>
          <w:color w:val="auto"/>
          <w:highlight w:val="none"/>
        </w:rPr>
        <w:t>66</w:t>
      </w:r>
      <w:r>
        <w:rPr>
          <w:color w:val="auto"/>
          <w:highlight w:val="none"/>
        </w:rPr>
        <w:fldChar w:fldCharType="end"/>
      </w:r>
      <w:r>
        <w:rPr>
          <w:rFonts w:hint="eastAsia" w:ascii="宋体" w:hAnsi="宋体" w:eastAsia="宋体" w:cs="宋体"/>
          <w:color w:val="auto"/>
          <w:spacing w:val="0"/>
          <w:szCs w:val="24"/>
          <w:highlight w:val="none"/>
        </w:rPr>
        <w:fldChar w:fldCharType="end"/>
      </w:r>
    </w:p>
    <w:p w14:paraId="117EA034">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_Toc21804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格式一</w:t>
      </w:r>
      <w:r>
        <w:rPr>
          <w:rFonts w:hint="eastAsia" w:ascii="宋体" w:hAnsi="宋体" w:eastAsia="宋体" w:cs="宋体"/>
          <w:color w:val="auto"/>
          <w:spacing w:val="0"/>
          <w:szCs w:val="24"/>
          <w:highlight w:val="none"/>
        </w:rPr>
        <w:t xml:space="preserve"> </w:t>
      </w:r>
      <w:r>
        <w:rPr>
          <w:rFonts w:hint="eastAsia" w:ascii="宋体" w:hAnsi="宋体" w:eastAsia="宋体" w:cs="宋体"/>
          <w:bCs/>
          <w:color w:val="auto"/>
          <w:spacing w:val="0"/>
          <w:szCs w:val="24"/>
          <w:highlight w:val="none"/>
        </w:rPr>
        <w:t>封面</w:t>
      </w:r>
      <w:r>
        <w:rPr>
          <w:color w:val="auto"/>
          <w:highlight w:val="none"/>
        </w:rPr>
        <w:tab/>
      </w:r>
      <w:r>
        <w:rPr>
          <w:color w:val="auto"/>
          <w:highlight w:val="none"/>
        </w:rPr>
        <w:fldChar w:fldCharType="begin"/>
      </w:r>
      <w:r>
        <w:rPr>
          <w:color w:val="auto"/>
          <w:highlight w:val="none"/>
        </w:rPr>
        <w:instrText xml:space="preserve"> PAGEREF _Toc21804 \h </w:instrText>
      </w:r>
      <w:r>
        <w:rPr>
          <w:color w:val="auto"/>
          <w:highlight w:val="none"/>
        </w:rPr>
        <w:fldChar w:fldCharType="separate"/>
      </w:r>
      <w:r>
        <w:rPr>
          <w:color w:val="auto"/>
          <w:highlight w:val="none"/>
        </w:rPr>
        <w:t>66</w:t>
      </w:r>
      <w:r>
        <w:rPr>
          <w:color w:val="auto"/>
          <w:highlight w:val="none"/>
        </w:rPr>
        <w:fldChar w:fldCharType="end"/>
      </w:r>
      <w:r>
        <w:rPr>
          <w:rFonts w:hint="eastAsia" w:ascii="宋体" w:hAnsi="宋体" w:eastAsia="宋体" w:cs="宋体"/>
          <w:color w:val="auto"/>
          <w:spacing w:val="0"/>
          <w:szCs w:val="24"/>
          <w:highlight w:val="none"/>
        </w:rPr>
        <w:fldChar w:fldCharType="end"/>
      </w:r>
    </w:p>
    <w:p w14:paraId="10089827">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_Toc9478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格式二 投标函</w:t>
      </w:r>
      <w:r>
        <w:rPr>
          <w:color w:val="auto"/>
          <w:highlight w:val="none"/>
        </w:rPr>
        <w:tab/>
      </w:r>
      <w:r>
        <w:rPr>
          <w:color w:val="auto"/>
          <w:highlight w:val="none"/>
        </w:rPr>
        <w:fldChar w:fldCharType="begin"/>
      </w:r>
      <w:r>
        <w:rPr>
          <w:color w:val="auto"/>
          <w:highlight w:val="none"/>
        </w:rPr>
        <w:instrText xml:space="preserve"> PAGEREF _Toc9478 \h </w:instrText>
      </w:r>
      <w:r>
        <w:rPr>
          <w:color w:val="auto"/>
          <w:highlight w:val="none"/>
        </w:rPr>
        <w:fldChar w:fldCharType="separate"/>
      </w:r>
      <w:r>
        <w:rPr>
          <w:color w:val="auto"/>
          <w:highlight w:val="none"/>
        </w:rPr>
        <w:t>67</w:t>
      </w:r>
      <w:r>
        <w:rPr>
          <w:color w:val="auto"/>
          <w:highlight w:val="none"/>
        </w:rPr>
        <w:fldChar w:fldCharType="end"/>
      </w:r>
      <w:r>
        <w:rPr>
          <w:rFonts w:hint="eastAsia" w:ascii="宋体" w:hAnsi="宋体" w:eastAsia="宋体" w:cs="宋体"/>
          <w:color w:val="auto"/>
          <w:spacing w:val="0"/>
          <w:szCs w:val="24"/>
          <w:highlight w:val="none"/>
        </w:rPr>
        <w:fldChar w:fldCharType="end"/>
      </w:r>
    </w:p>
    <w:p w14:paraId="74F05D3D">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_Toc31828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格式三 各项承诺一览表</w:t>
      </w:r>
      <w:r>
        <w:rPr>
          <w:color w:val="auto"/>
          <w:highlight w:val="none"/>
        </w:rPr>
        <w:tab/>
      </w:r>
      <w:r>
        <w:rPr>
          <w:color w:val="auto"/>
          <w:highlight w:val="none"/>
        </w:rPr>
        <w:fldChar w:fldCharType="begin"/>
      </w:r>
      <w:r>
        <w:rPr>
          <w:color w:val="auto"/>
          <w:highlight w:val="none"/>
        </w:rPr>
        <w:instrText xml:space="preserve"> PAGEREF _Toc31828 \h </w:instrText>
      </w:r>
      <w:r>
        <w:rPr>
          <w:color w:val="auto"/>
          <w:highlight w:val="none"/>
        </w:rPr>
        <w:fldChar w:fldCharType="separate"/>
      </w:r>
      <w:r>
        <w:rPr>
          <w:color w:val="auto"/>
          <w:highlight w:val="none"/>
        </w:rPr>
        <w:t>68</w:t>
      </w:r>
      <w:r>
        <w:rPr>
          <w:color w:val="auto"/>
          <w:highlight w:val="none"/>
        </w:rPr>
        <w:fldChar w:fldCharType="end"/>
      </w:r>
      <w:r>
        <w:rPr>
          <w:rFonts w:hint="eastAsia" w:ascii="宋体" w:hAnsi="宋体" w:eastAsia="宋体" w:cs="宋体"/>
          <w:color w:val="auto"/>
          <w:spacing w:val="0"/>
          <w:szCs w:val="24"/>
          <w:highlight w:val="none"/>
        </w:rPr>
        <w:fldChar w:fldCharType="end"/>
      </w:r>
    </w:p>
    <w:p w14:paraId="5E83FC11">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_Toc9225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格式四 授权委托书</w:t>
      </w:r>
      <w:r>
        <w:rPr>
          <w:color w:val="auto"/>
          <w:highlight w:val="none"/>
        </w:rPr>
        <w:tab/>
      </w:r>
      <w:r>
        <w:rPr>
          <w:color w:val="auto"/>
          <w:highlight w:val="none"/>
        </w:rPr>
        <w:fldChar w:fldCharType="begin"/>
      </w:r>
      <w:r>
        <w:rPr>
          <w:color w:val="auto"/>
          <w:highlight w:val="none"/>
        </w:rPr>
        <w:instrText xml:space="preserve"> PAGEREF _Toc9225 \h </w:instrText>
      </w:r>
      <w:r>
        <w:rPr>
          <w:color w:val="auto"/>
          <w:highlight w:val="none"/>
        </w:rPr>
        <w:fldChar w:fldCharType="separate"/>
      </w:r>
      <w:r>
        <w:rPr>
          <w:color w:val="auto"/>
          <w:highlight w:val="none"/>
        </w:rPr>
        <w:t>70</w:t>
      </w:r>
      <w:r>
        <w:rPr>
          <w:color w:val="auto"/>
          <w:highlight w:val="none"/>
        </w:rPr>
        <w:fldChar w:fldCharType="end"/>
      </w:r>
      <w:r>
        <w:rPr>
          <w:rFonts w:hint="eastAsia" w:ascii="宋体" w:hAnsi="宋体" w:eastAsia="宋体" w:cs="宋体"/>
          <w:color w:val="auto"/>
          <w:spacing w:val="0"/>
          <w:szCs w:val="24"/>
          <w:highlight w:val="none"/>
        </w:rPr>
        <w:fldChar w:fldCharType="end"/>
      </w:r>
    </w:p>
    <w:p w14:paraId="4255BD42">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_Toc23932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格式五 法定代表人身份证明</w:t>
      </w:r>
      <w:r>
        <w:rPr>
          <w:color w:val="auto"/>
          <w:highlight w:val="none"/>
        </w:rPr>
        <w:tab/>
      </w:r>
      <w:r>
        <w:rPr>
          <w:color w:val="auto"/>
          <w:highlight w:val="none"/>
        </w:rPr>
        <w:fldChar w:fldCharType="begin"/>
      </w:r>
      <w:r>
        <w:rPr>
          <w:color w:val="auto"/>
          <w:highlight w:val="none"/>
        </w:rPr>
        <w:instrText xml:space="preserve"> PAGEREF _Toc23932 \h </w:instrText>
      </w:r>
      <w:r>
        <w:rPr>
          <w:color w:val="auto"/>
          <w:highlight w:val="none"/>
        </w:rPr>
        <w:fldChar w:fldCharType="separate"/>
      </w:r>
      <w:r>
        <w:rPr>
          <w:color w:val="auto"/>
          <w:highlight w:val="none"/>
        </w:rPr>
        <w:t>71</w:t>
      </w:r>
      <w:r>
        <w:rPr>
          <w:color w:val="auto"/>
          <w:highlight w:val="none"/>
        </w:rPr>
        <w:fldChar w:fldCharType="end"/>
      </w:r>
      <w:r>
        <w:rPr>
          <w:rFonts w:hint="eastAsia" w:ascii="宋体" w:hAnsi="宋体" w:eastAsia="宋体" w:cs="宋体"/>
          <w:color w:val="auto"/>
          <w:spacing w:val="0"/>
          <w:szCs w:val="24"/>
          <w:highlight w:val="none"/>
        </w:rPr>
        <w:fldChar w:fldCharType="end"/>
      </w:r>
    </w:p>
    <w:p w14:paraId="2E4740BC">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_Toc13087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格式六 联合体协议书</w:t>
      </w:r>
      <w:r>
        <w:rPr>
          <w:rFonts w:hint="eastAsia" w:ascii="宋体" w:hAnsi="宋体" w:eastAsia="宋体" w:cs="宋体"/>
          <w:bCs/>
          <w:color w:val="auto"/>
          <w:spacing w:val="0"/>
          <w:szCs w:val="24"/>
          <w:highlight w:val="none"/>
          <w:lang w:eastAsia="zh-CN"/>
        </w:rPr>
        <w:t>（</w:t>
      </w:r>
      <w:r>
        <w:rPr>
          <w:rFonts w:hint="eastAsia" w:ascii="宋体" w:hAnsi="宋体" w:eastAsia="宋体" w:cs="宋体"/>
          <w:bCs/>
          <w:color w:val="auto"/>
          <w:spacing w:val="0"/>
          <w:szCs w:val="24"/>
          <w:highlight w:val="none"/>
          <w:lang w:val="en-US" w:eastAsia="zh-CN"/>
        </w:rPr>
        <w:t>如有</w:t>
      </w:r>
      <w:r>
        <w:rPr>
          <w:rFonts w:hint="eastAsia" w:ascii="宋体" w:hAnsi="宋体" w:eastAsia="宋体" w:cs="宋体"/>
          <w:bCs/>
          <w:color w:val="auto"/>
          <w:spacing w:val="0"/>
          <w:szCs w:val="24"/>
          <w:highlight w:val="none"/>
          <w:lang w:eastAsia="zh-CN"/>
        </w:rPr>
        <w:t>）</w:t>
      </w:r>
      <w:r>
        <w:rPr>
          <w:color w:val="auto"/>
          <w:highlight w:val="none"/>
        </w:rPr>
        <w:tab/>
      </w:r>
      <w:r>
        <w:rPr>
          <w:color w:val="auto"/>
          <w:highlight w:val="none"/>
        </w:rPr>
        <w:fldChar w:fldCharType="begin"/>
      </w:r>
      <w:r>
        <w:rPr>
          <w:color w:val="auto"/>
          <w:highlight w:val="none"/>
        </w:rPr>
        <w:instrText xml:space="preserve"> PAGEREF _Toc13087 \h </w:instrText>
      </w:r>
      <w:r>
        <w:rPr>
          <w:color w:val="auto"/>
          <w:highlight w:val="none"/>
        </w:rPr>
        <w:fldChar w:fldCharType="separate"/>
      </w:r>
      <w:r>
        <w:rPr>
          <w:color w:val="auto"/>
          <w:highlight w:val="none"/>
        </w:rPr>
        <w:t>72</w:t>
      </w:r>
      <w:r>
        <w:rPr>
          <w:color w:val="auto"/>
          <w:highlight w:val="none"/>
        </w:rPr>
        <w:fldChar w:fldCharType="end"/>
      </w:r>
      <w:r>
        <w:rPr>
          <w:rFonts w:hint="eastAsia" w:ascii="宋体" w:hAnsi="宋体" w:eastAsia="宋体" w:cs="宋体"/>
          <w:color w:val="auto"/>
          <w:spacing w:val="0"/>
          <w:szCs w:val="24"/>
          <w:highlight w:val="none"/>
        </w:rPr>
        <w:fldChar w:fldCharType="end"/>
      </w:r>
    </w:p>
    <w:p w14:paraId="5D093CBA">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_Toc12591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格式七 投标人基本情况表</w:t>
      </w:r>
      <w:r>
        <w:rPr>
          <w:color w:val="auto"/>
          <w:highlight w:val="none"/>
        </w:rPr>
        <w:tab/>
      </w:r>
      <w:r>
        <w:rPr>
          <w:color w:val="auto"/>
          <w:highlight w:val="none"/>
        </w:rPr>
        <w:fldChar w:fldCharType="begin"/>
      </w:r>
      <w:r>
        <w:rPr>
          <w:color w:val="auto"/>
          <w:highlight w:val="none"/>
        </w:rPr>
        <w:instrText xml:space="preserve"> PAGEREF _Toc12591 \h </w:instrText>
      </w:r>
      <w:r>
        <w:rPr>
          <w:color w:val="auto"/>
          <w:highlight w:val="none"/>
        </w:rPr>
        <w:fldChar w:fldCharType="separate"/>
      </w:r>
      <w:r>
        <w:rPr>
          <w:color w:val="auto"/>
          <w:highlight w:val="none"/>
        </w:rPr>
        <w:t>73</w:t>
      </w:r>
      <w:r>
        <w:rPr>
          <w:color w:val="auto"/>
          <w:highlight w:val="none"/>
        </w:rPr>
        <w:fldChar w:fldCharType="end"/>
      </w:r>
      <w:r>
        <w:rPr>
          <w:rFonts w:hint="eastAsia" w:ascii="宋体" w:hAnsi="宋体" w:eastAsia="宋体" w:cs="宋体"/>
          <w:color w:val="auto"/>
          <w:spacing w:val="0"/>
          <w:szCs w:val="24"/>
          <w:highlight w:val="none"/>
        </w:rPr>
        <w:fldChar w:fldCharType="end"/>
      </w:r>
    </w:p>
    <w:p w14:paraId="15036675">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_Toc27456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格式八 项目经理简历表</w:t>
      </w:r>
      <w:r>
        <w:rPr>
          <w:color w:val="auto"/>
          <w:highlight w:val="none"/>
        </w:rPr>
        <w:tab/>
      </w:r>
      <w:r>
        <w:rPr>
          <w:color w:val="auto"/>
          <w:highlight w:val="none"/>
        </w:rPr>
        <w:fldChar w:fldCharType="begin"/>
      </w:r>
      <w:r>
        <w:rPr>
          <w:color w:val="auto"/>
          <w:highlight w:val="none"/>
        </w:rPr>
        <w:instrText xml:space="preserve"> PAGEREF _Toc27456 \h </w:instrText>
      </w:r>
      <w:r>
        <w:rPr>
          <w:color w:val="auto"/>
          <w:highlight w:val="none"/>
        </w:rPr>
        <w:fldChar w:fldCharType="separate"/>
      </w:r>
      <w:r>
        <w:rPr>
          <w:color w:val="auto"/>
          <w:highlight w:val="none"/>
        </w:rPr>
        <w:t>75</w:t>
      </w:r>
      <w:r>
        <w:rPr>
          <w:color w:val="auto"/>
          <w:highlight w:val="none"/>
        </w:rPr>
        <w:fldChar w:fldCharType="end"/>
      </w:r>
      <w:r>
        <w:rPr>
          <w:rFonts w:hint="eastAsia" w:ascii="宋体" w:hAnsi="宋体" w:eastAsia="宋体" w:cs="宋体"/>
          <w:color w:val="auto"/>
          <w:spacing w:val="0"/>
          <w:szCs w:val="24"/>
          <w:highlight w:val="none"/>
        </w:rPr>
        <w:fldChar w:fldCharType="end"/>
      </w:r>
    </w:p>
    <w:p w14:paraId="3DDCE0AA">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_Toc19646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格式九 项目经理任职声明</w:t>
      </w:r>
      <w:r>
        <w:rPr>
          <w:color w:val="auto"/>
          <w:highlight w:val="none"/>
        </w:rPr>
        <w:tab/>
      </w:r>
      <w:r>
        <w:rPr>
          <w:color w:val="auto"/>
          <w:highlight w:val="none"/>
        </w:rPr>
        <w:fldChar w:fldCharType="begin"/>
      </w:r>
      <w:r>
        <w:rPr>
          <w:color w:val="auto"/>
          <w:highlight w:val="none"/>
        </w:rPr>
        <w:instrText xml:space="preserve"> PAGEREF _Toc19646 \h </w:instrText>
      </w:r>
      <w:r>
        <w:rPr>
          <w:color w:val="auto"/>
          <w:highlight w:val="none"/>
        </w:rPr>
        <w:fldChar w:fldCharType="separate"/>
      </w:r>
      <w:r>
        <w:rPr>
          <w:color w:val="auto"/>
          <w:highlight w:val="none"/>
        </w:rPr>
        <w:t>76</w:t>
      </w:r>
      <w:r>
        <w:rPr>
          <w:color w:val="auto"/>
          <w:highlight w:val="none"/>
        </w:rPr>
        <w:fldChar w:fldCharType="end"/>
      </w:r>
      <w:r>
        <w:rPr>
          <w:rFonts w:hint="eastAsia" w:ascii="宋体" w:hAnsi="宋体" w:eastAsia="宋体" w:cs="宋体"/>
          <w:color w:val="auto"/>
          <w:spacing w:val="0"/>
          <w:szCs w:val="24"/>
          <w:highlight w:val="none"/>
        </w:rPr>
        <w:fldChar w:fldCharType="end"/>
      </w:r>
    </w:p>
    <w:p w14:paraId="6D2D3817">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_Toc13288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格式十 项目技术负责人简历表</w:t>
      </w:r>
      <w:r>
        <w:rPr>
          <w:color w:val="auto"/>
          <w:highlight w:val="none"/>
        </w:rPr>
        <w:tab/>
      </w:r>
      <w:r>
        <w:rPr>
          <w:color w:val="auto"/>
          <w:highlight w:val="none"/>
        </w:rPr>
        <w:fldChar w:fldCharType="begin"/>
      </w:r>
      <w:r>
        <w:rPr>
          <w:color w:val="auto"/>
          <w:highlight w:val="none"/>
        </w:rPr>
        <w:instrText xml:space="preserve"> PAGEREF _Toc13288 \h </w:instrText>
      </w:r>
      <w:r>
        <w:rPr>
          <w:color w:val="auto"/>
          <w:highlight w:val="none"/>
        </w:rPr>
        <w:fldChar w:fldCharType="separate"/>
      </w:r>
      <w:r>
        <w:rPr>
          <w:color w:val="auto"/>
          <w:highlight w:val="none"/>
        </w:rPr>
        <w:t>77</w:t>
      </w:r>
      <w:r>
        <w:rPr>
          <w:color w:val="auto"/>
          <w:highlight w:val="none"/>
        </w:rPr>
        <w:fldChar w:fldCharType="end"/>
      </w:r>
      <w:r>
        <w:rPr>
          <w:rFonts w:hint="eastAsia" w:ascii="宋体" w:hAnsi="宋体" w:eastAsia="宋体" w:cs="宋体"/>
          <w:color w:val="auto"/>
          <w:spacing w:val="0"/>
          <w:szCs w:val="24"/>
          <w:highlight w:val="none"/>
        </w:rPr>
        <w:fldChar w:fldCharType="end"/>
      </w:r>
    </w:p>
    <w:p w14:paraId="391C3BD1">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_Toc27504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格式十一 项目管理机构组成表</w:t>
      </w:r>
      <w:r>
        <w:rPr>
          <w:color w:val="auto"/>
          <w:highlight w:val="none"/>
        </w:rPr>
        <w:tab/>
      </w:r>
      <w:r>
        <w:rPr>
          <w:color w:val="auto"/>
          <w:highlight w:val="none"/>
        </w:rPr>
        <w:fldChar w:fldCharType="begin"/>
      </w:r>
      <w:r>
        <w:rPr>
          <w:color w:val="auto"/>
          <w:highlight w:val="none"/>
        </w:rPr>
        <w:instrText xml:space="preserve"> PAGEREF _Toc27504 \h </w:instrText>
      </w:r>
      <w:r>
        <w:rPr>
          <w:color w:val="auto"/>
          <w:highlight w:val="none"/>
        </w:rPr>
        <w:fldChar w:fldCharType="separate"/>
      </w:r>
      <w:r>
        <w:rPr>
          <w:color w:val="auto"/>
          <w:highlight w:val="none"/>
        </w:rPr>
        <w:t>78</w:t>
      </w:r>
      <w:r>
        <w:rPr>
          <w:color w:val="auto"/>
          <w:highlight w:val="none"/>
        </w:rPr>
        <w:fldChar w:fldCharType="end"/>
      </w:r>
      <w:r>
        <w:rPr>
          <w:rFonts w:hint="eastAsia" w:ascii="宋体" w:hAnsi="宋体" w:eastAsia="宋体" w:cs="宋体"/>
          <w:color w:val="auto"/>
          <w:spacing w:val="0"/>
          <w:szCs w:val="24"/>
          <w:highlight w:val="none"/>
        </w:rPr>
        <w:fldChar w:fldCharType="end"/>
      </w:r>
    </w:p>
    <w:p w14:paraId="4B60B56C">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_Toc3573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格式十二 建造师查询页（有效期+建造师签字）</w:t>
      </w:r>
      <w:r>
        <w:rPr>
          <w:color w:val="auto"/>
          <w:highlight w:val="none"/>
        </w:rPr>
        <w:tab/>
      </w:r>
      <w:r>
        <w:rPr>
          <w:color w:val="auto"/>
          <w:highlight w:val="none"/>
        </w:rPr>
        <w:fldChar w:fldCharType="begin"/>
      </w:r>
      <w:r>
        <w:rPr>
          <w:color w:val="auto"/>
          <w:highlight w:val="none"/>
        </w:rPr>
        <w:instrText xml:space="preserve"> PAGEREF _Toc3573 \h </w:instrText>
      </w:r>
      <w:r>
        <w:rPr>
          <w:color w:val="auto"/>
          <w:highlight w:val="none"/>
        </w:rPr>
        <w:fldChar w:fldCharType="separate"/>
      </w:r>
      <w:r>
        <w:rPr>
          <w:color w:val="auto"/>
          <w:highlight w:val="none"/>
        </w:rPr>
        <w:t>79</w:t>
      </w:r>
      <w:r>
        <w:rPr>
          <w:color w:val="auto"/>
          <w:highlight w:val="none"/>
        </w:rPr>
        <w:fldChar w:fldCharType="end"/>
      </w:r>
      <w:r>
        <w:rPr>
          <w:rFonts w:hint="eastAsia" w:ascii="宋体" w:hAnsi="宋体" w:eastAsia="宋体" w:cs="宋体"/>
          <w:color w:val="auto"/>
          <w:spacing w:val="0"/>
          <w:szCs w:val="24"/>
          <w:highlight w:val="none"/>
        </w:rPr>
        <w:fldChar w:fldCharType="end"/>
      </w:r>
    </w:p>
    <w:p w14:paraId="29770CB4">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_Toc23166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格式十三</w:t>
      </w:r>
      <w:r>
        <w:rPr>
          <w:rFonts w:hint="eastAsia" w:ascii="宋体" w:hAnsi="宋体" w:eastAsia="宋体" w:cs="宋体"/>
          <w:bCs/>
          <w:color w:val="auto"/>
          <w:spacing w:val="0"/>
          <w:szCs w:val="24"/>
          <w:highlight w:val="none"/>
          <w:lang w:val="en-US" w:eastAsia="zh-CN"/>
        </w:rPr>
        <w:t xml:space="preserve"> </w:t>
      </w:r>
      <w:r>
        <w:rPr>
          <w:rFonts w:hint="eastAsia" w:ascii="宋体" w:hAnsi="宋体" w:eastAsia="宋体" w:cs="宋体"/>
          <w:bCs/>
          <w:color w:val="auto"/>
          <w:spacing w:val="0"/>
          <w:szCs w:val="22"/>
          <w:highlight w:val="none"/>
        </w:rPr>
        <w:t>危险性较大的分部分项工程清单及超过一定规模的危险性较大的分部分项工程清单</w:t>
      </w:r>
      <w:r>
        <w:rPr>
          <w:color w:val="auto"/>
          <w:highlight w:val="none"/>
        </w:rPr>
        <w:tab/>
      </w:r>
      <w:r>
        <w:rPr>
          <w:color w:val="auto"/>
          <w:highlight w:val="none"/>
        </w:rPr>
        <w:fldChar w:fldCharType="begin"/>
      </w:r>
      <w:r>
        <w:rPr>
          <w:color w:val="auto"/>
          <w:highlight w:val="none"/>
        </w:rPr>
        <w:instrText xml:space="preserve"> PAGEREF _Toc23166 \h </w:instrText>
      </w:r>
      <w:r>
        <w:rPr>
          <w:color w:val="auto"/>
          <w:highlight w:val="none"/>
        </w:rPr>
        <w:fldChar w:fldCharType="separate"/>
      </w:r>
      <w:r>
        <w:rPr>
          <w:color w:val="auto"/>
          <w:highlight w:val="none"/>
        </w:rPr>
        <w:t>81</w:t>
      </w:r>
      <w:r>
        <w:rPr>
          <w:color w:val="auto"/>
          <w:highlight w:val="none"/>
        </w:rPr>
        <w:fldChar w:fldCharType="end"/>
      </w:r>
      <w:r>
        <w:rPr>
          <w:rFonts w:hint="eastAsia" w:ascii="宋体" w:hAnsi="宋体" w:eastAsia="宋体" w:cs="宋体"/>
          <w:color w:val="auto"/>
          <w:spacing w:val="0"/>
          <w:szCs w:val="24"/>
          <w:highlight w:val="none"/>
        </w:rPr>
        <w:fldChar w:fldCharType="end"/>
      </w:r>
    </w:p>
    <w:p w14:paraId="74410B8C">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_Toc27207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格式十四</w:t>
      </w:r>
      <w:r>
        <w:rPr>
          <w:rFonts w:hint="eastAsia" w:ascii="宋体" w:hAnsi="宋体" w:eastAsia="宋体" w:cs="宋体"/>
          <w:bCs/>
          <w:color w:val="auto"/>
          <w:spacing w:val="0"/>
          <w:szCs w:val="24"/>
          <w:highlight w:val="none"/>
          <w:lang w:val="en-US" w:eastAsia="zh-CN"/>
        </w:rPr>
        <w:t xml:space="preserve">  </w:t>
      </w:r>
      <w:r>
        <w:rPr>
          <w:rFonts w:hint="eastAsia" w:ascii="宋体" w:hAnsi="宋体" w:eastAsia="宋体" w:cs="宋体"/>
          <w:bCs/>
          <w:color w:val="auto"/>
          <w:spacing w:val="0"/>
          <w:position w:val="3"/>
          <w:szCs w:val="21"/>
          <w:highlight w:val="none"/>
        </w:rPr>
        <w:t>投标保证金信用承诺函</w:t>
      </w:r>
      <w:r>
        <w:rPr>
          <w:color w:val="auto"/>
          <w:highlight w:val="none"/>
        </w:rPr>
        <w:tab/>
      </w:r>
      <w:r>
        <w:rPr>
          <w:color w:val="auto"/>
          <w:highlight w:val="none"/>
        </w:rPr>
        <w:fldChar w:fldCharType="begin"/>
      </w:r>
      <w:r>
        <w:rPr>
          <w:color w:val="auto"/>
          <w:highlight w:val="none"/>
        </w:rPr>
        <w:instrText xml:space="preserve"> PAGEREF _Toc27207 \h </w:instrText>
      </w:r>
      <w:r>
        <w:rPr>
          <w:color w:val="auto"/>
          <w:highlight w:val="none"/>
        </w:rPr>
        <w:fldChar w:fldCharType="separate"/>
      </w:r>
      <w:r>
        <w:rPr>
          <w:color w:val="auto"/>
          <w:highlight w:val="none"/>
        </w:rPr>
        <w:t>86</w:t>
      </w:r>
      <w:r>
        <w:rPr>
          <w:color w:val="auto"/>
          <w:highlight w:val="none"/>
        </w:rPr>
        <w:fldChar w:fldCharType="end"/>
      </w:r>
      <w:r>
        <w:rPr>
          <w:rFonts w:hint="eastAsia" w:ascii="宋体" w:hAnsi="宋体" w:eastAsia="宋体" w:cs="宋体"/>
          <w:color w:val="auto"/>
          <w:spacing w:val="0"/>
          <w:szCs w:val="24"/>
          <w:highlight w:val="none"/>
        </w:rPr>
        <w:fldChar w:fldCharType="end"/>
      </w:r>
    </w:p>
    <w:p w14:paraId="10939297">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_Toc26027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格式十</w:t>
      </w:r>
      <w:r>
        <w:rPr>
          <w:rFonts w:hint="eastAsia" w:ascii="宋体" w:hAnsi="宋体" w:eastAsia="宋体" w:cs="宋体"/>
          <w:bCs/>
          <w:color w:val="auto"/>
          <w:spacing w:val="0"/>
          <w:szCs w:val="24"/>
          <w:highlight w:val="none"/>
          <w:lang w:eastAsia="zh-CN"/>
        </w:rPr>
        <w:t>五</w:t>
      </w:r>
      <w:r>
        <w:rPr>
          <w:rFonts w:hint="eastAsia" w:ascii="宋体" w:hAnsi="宋体" w:eastAsia="宋体" w:cs="宋体"/>
          <w:bCs/>
          <w:color w:val="auto"/>
          <w:spacing w:val="0"/>
          <w:szCs w:val="24"/>
          <w:highlight w:val="none"/>
        </w:rPr>
        <w:t xml:space="preserve">  原件一览表</w:t>
      </w:r>
      <w:r>
        <w:rPr>
          <w:color w:val="auto"/>
          <w:highlight w:val="none"/>
        </w:rPr>
        <w:tab/>
      </w:r>
      <w:r>
        <w:rPr>
          <w:color w:val="auto"/>
          <w:highlight w:val="none"/>
        </w:rPr>
        <w:fldChar w:fldCharType="begin"/>
      </w:r>
      <w:r>
        <w:rPr>
          <w:color w:val="auto"/>
          <w:highlight w:val="none"/>
        </w:rPr>
        <w:instrText xml:space="preserve"> PAGEREF _Toc26027 \h </w:instrText>
      </w:r>
      <w:r>
        <w:rPr>
          <w:color w:val="auto"/>
          <w:highlight w:val="none"/>
        </w:rPr>
        <w:fldChar w:fldCharType="separate"/>
      </w:r>
      <w:r>
        <w:rPr>
          <w:color w:val="auto"/>
          <w:highlight w:val="none"/>
        </w:rPr>
        <w:t>87</w:t>
      </w:r>
      <w:r>
        <w:rPr>
          <w:color w:val="auto"/>
          <w:highlight w:val="none"/>
        </w:rPr>
        <w:fldChar w:fldCharType="end"/>
      </w:r>
      <w:r>
        <w:rPr>
          <w:rFonts w:hint="eastAsia" w:ascii="宋体" w:hAnsi="宋体" w:eastAsia="宋体" w:cs="宋体"/>
          <w:color w:val="auto"/>
          <w:spacing w:val="0"/>
          <w:szCs w:val="24"/>
          <w:highlight w:val="none"/>
        </w:rPr>
        <w:fldChar w:fldCharType="end"/>
      </w:r>
    </w:p>
    <w:p w14:paraId="12D7B3CF">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_Toc4725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格式</w:t>
      </w:r>
      <w:r>
        <w:rPr>
          <w:rFonts w:hint="eastAsia" w:ascii="宋体" w:hAnsi="宋体" w:eastAsia="宋体" w:cs="宋体"/>
          <w:bCs/>
          <w:color w:val="auto"/>
          <w:spacing w:val="0"/>
          <w:szCs w:val="24"/>
          <w:highlight w:val="none"/>
          <w:lang w:val="en-US" w:eastAsia="zh-CN"/>
        </w:rPr>
        <w:t>十六</w:t>
      </w:r>
      <w:r>
        <w:rPr>
          <w:rFonts w:hint="eastAsia" w:ascii="宋体" w:hAnsi="宋体" w:eastAsia="宋体" w:cs="宋体"/>
          <w:color w:val="auto"/>
          <w:spacing w:val="0"/>
          <w:szCs w:val="24"/>
          <w:highlight w:val="none"/>
        </w:rPr>
        <w:t xml:space="preserve"> </w:t>
      </w:r>
      <w:r>
        <w:rPr>
          <w:rFonts w:hint="eastAsia" w:ascii="宋体" w:hAnsi="宋体" w:eastAsia="宋体" w:cs="宋体"/>
          <w:bCs/>
          <w:color w:val="auto"/>
          <w:spacing w:val="0"/>
          <w:szCs w:val="24"/>
          <w:highlight w:val="none"/>
          <w:lang w:val="en-US" w:eastAsia="zh-CN"/>
        </w:rPr>
        <w:t>定标文件</w:t>
      </w:r>
      <w:r>
        <w:rPr>
          <w:rFonts w:hint="eastAsia" w:ascii="宋体" w:hAnsi="宋体" w:eastAsia="宋体" w:cs="宋体"/>
          <w:bCs/>
          <w:color w:val="auto"/>
          <w:spacing w:val="0"/>
          <w:szCs w:val="24"/>
          <w:highlight w:val="none"/>
        </w:rPr>
        <w:t>封面</w:t>
      </w:r>
      <w:r>
        <w:rPr>
          <w:color w:val="auto"/>
          <w:highlight w:val="none"/>
        </w:rPr>
        <w:tab/>
      </w:r>
      <w:r>
        <w:rPr>
          <w:color w:val="auto"/>
          <w:highlight w:val="none"/>
        </w:rPr>
        <w:fldChar w:fldCharType="begin"/>
      </w:r>
      <w:r>
        <w:rPr>
          <w:color w:val="auto"/>
          <w:highlight w:val="none"/>
        </w:rPr>
        <w:instrText xml:space="preserve"> PAGEREF _Toc4725 \h </w:instrText>
      </w:r>
      <w:r>
        <w:rPr>
          <w:color w:val="auto"/>
          <w:highlight w:val="none"/>
        </w:rPr>
        <w:fldChar w:fldCharType="separate"/>
      </w:r>
      <w:r>
        <w:rPr>
          <w:color w:val="auto"/>
          <w:highlight w:val="none"/>
        </w:rPr>
        <w:t>89</w:t>
      </w:r>
      <w:r>
        <w:rPr>
          <w:color w:val="auto"/>
          <w:highlight w:val="none"/>
        </w:rPr>
        <w:fldChar w:fldCharType="end"/>
      </w:r>
      <w:r>
        <w:rPr>
          <w:rFonts w:hint="eastAsia" w:ascii="宋体" w:hAnsi="宋体" w:eastAsia="宋体" w:cs="宋体"/>
          <w:color w:val="auto"/>
          <w:spacing w:val="0"/>
          <w:szCs w:val="24"/>
          <w:highlight w:val="none"/>
        </w:rPr>
        <w:fldChar w:fldCharType="end"/>
      </w:r>
    </w:p>
    <w:p w14:paraId="22CE6190">
      <w:pPr>
        <w:pStyle w:val="8"/>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_Toc4519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格式</w:t>
      </w:r>
      <w:r>
        <w:rPr>
          <w:rFonts w:hint="eastAsia" w:ascii="宋体" w:hAnsi="宋体" w:eastAsia="宋体" w:cs="宋体"/>
          <w:bCs/>
          <w:color w:val="auto"/>
          <w:spacing w:val="0"/>
          <w:szCs w:val="24"/>
          <w:highlight w:val="none"/>
          <w:lang w:val="en-US" w:eastAsia="zh-CN"/>
        </w:rPr>
        <w:t>十七</w:t>
      </w:r>
      <w:r>
        <w:rPr>
          <w:rFonts w:hint="eastAsia" w:ascii="宋体" w:hAnsi="宋体" w:eastAsia="宋体" w:cs="宋体"/>
          <w:bCs/>
          <w:color w:val="auto"/>
          <w:spacing w:val="0"/>
          <w:szCs w:val="24"/>
          <w:highlight w:val="none"/>
        </w:rPr>
        <w:t xml:space="preserve"> </w:t>
      </w:r>
      <w:r>
        <w:rPr>
          <w:rFonts w:hint="eastAsia" w:ascii="宋体" w:hAnsi="宋体" w:eastAsia="宋体" w:cs="宋体"/>
          <w:bCs/>
          <w:color w:val="auto"/>
          <w:spacing w:val="0"/>
          <w:szCs w:val="24"/>
          <w:highlight w:val="none"/>
          <w:lang w:val="en-US" w:eastAsia="zh-CN"/>
        </w:rPr>
        <w:t>定标因素评审资料</w:t>
      </w:r>
      <w:r>
        <w:rPr>
          <w:color w:val="auto"/>
          <w:highlight w:val="none"/>
        </w:rPr>
        <w:tab/>
      </w:r>
      <w:r>
        <w:rPr>
          <w:color w:val="auto"/>
          <w:highlight w:val="none"/>
        </w:rPr>
        <w:fldChar w:fldCharType="begin"/>
      </w:r>
      <w:r>
        <w:rPr>
          <w:color w:val="auto"/>
          <w:highlight w:val="none"/>
        </w:rPr>
        <w:instrText xml:space="preserve"> PAGEREF _Toc4519 \h </w:instrText>
      </w:r>
      <w:r>
        <w:rPr>
          <w:color w:val="auto"/>
          <w:highlight w:val="none"/>
        </w:rPr>
        <w:fldChar w:fldCharType="separate"/>
      </w:r>
      <w:r>
        <w:rPr>
          <w:color w:val="auto"/>
          <w:highlight w:val="none"/>
        </w:rPr>
        <w:t>90</w:t>
      </w:r>
      <w:r>
        <w:rPr>
          <w:color w:val="auto"/>
          <w:highlight w:val="none"/>
        </w:rPr>
        <w:fldChar w:fldCharType="end"/>
      </w:r>
      <w:r>
        <w:rPr>
          <w:rFonts w:hint="eastAsia" w:ascii="宋体" w:hAnsi="宋体" w:eastAsia="宋体" w:cs="宋体"/>
          <w:color w:val="auto"/>
          <w:spacing w:val="0"/>
          <w:szCs w:val="24"/>
          <w:highlight w:val="none"/>
        </w:rPr>
        <w:fldChar w:fldCharType="end"/>
      </w:r>
    </w:p>
    <w:p w14:paraId="7CACCBF6">
      <w:pPr>
        <w:pStyle w:val="12"/>
        <w:tabs>
          <w:tab w:val="right" w:leader="dot" w:pos="9746"/>
        </w:tabs>
        <w:rPr>
          <w:color w:val="auto"/>
          <w:highlight w:val="none"/>
        </w:rPr>
      </w:pPr>
      <w:r>
        <w:rPr>
          <w:rFonts w:hint="eastAsia" w:ascii="宋体" w:hAnsi="宋体" w:eastAsia="宋体" w:cs="宋体"/>
          <w:color w:val="auto"/>
          <w:spacing w:val="0"/>
          <w:szCs w:val="24"/>
          <w:highlight w:val="none"/>
        </w:rPr>
        <w:fldChar w:fldCharType="begin"/>
      </w:r>
      <w:r>
        <w:rPr>
          <w:rFonts w:hint="eastAsia" w:ascii="宋体" w:hAnsi="宋体" w:eastAsia="宋体" w:cs="宋体"/>
          <w:color w:val="auto"/>
          <w:spacing w:val="0"/>
          <w:szCs w:val="24"/>
          <w:highlight w:val="none"/>
        </w:rPr>
        <w:instrText xml:space="preserve"> HYPERLINK \l _Toc7189 </w:instrText>
      </w:r>
      <w:r>
        <w:rPr>
          <w:rFonts w:hint="eastAsia" w:ascii="宋体" w:hAnsi="宋体" w:eastAsia="宋体" w:cs="宋体"/>
          <w:color w:val="auto"/>
          <w:spacing w:val="0"/>
          <w:szCs w:val="24"/>
          <w:highlight w:val="none"/>
        </w:rPr>
        <w:fldChar w:fldCharType="separate"/>
      </w:r>
      <w:r>
        <w:rPr>
          <w:rFonts w:hint="eastAsia" w:ascii="宋体" w:hAnsi="宋体" w:eastAsia="宋体" w:cs="宋体"/>
          <w:bCs/>
          <w:color w:val="auto"/>
          <w:spacing w:val="0"/>
          <w:szCs w:val="24"/>
          <w:highlight w:val="none"/>
        </w:rPr>
        <w:t>第七章</w:t>
      </w:r>
      <w:r>
        <w:rPr>
          <w:rFonts w:hint="eastAsia" w:ascii="宋体" w:hAnsi="宋体" w:eastAsia="宋体" w:cs="宋体"/>
          <w:color w:val="auto"/>
          <w:spacing w:val="0"/>
          <w:szCs w:val="24"/>
          <w:highlight w:val="none"/>
        </w:rPr>
        <w:t xml:space="preserve"> </w:t>
      </w:r>
      <w:r>
        <w:rPr>
          <w:rFonts w:hint="eastAsia" w:ascii="宋体" w:hAnsi="宋体" w:eastAsia="宋体" w:cs="宋体"/>
          <w:bCs/>
          <w:color w:val="auto"/>
          <w:spacing w:val="0"/>
          <w:szCs w:val="24"/>
          <w:highlight w:val="none"/>
        </w:rPr>
        <w:t>建设工程施工合同</w:t>
      </w:r>
      <w:r>
        <w:rPr>
          <w:color w:val="auto"/>
          <w:highlight w:val="none"/>
        </w:rPr>
        <w:tab/>
      </w:r>
      <w:r>
        <w:rPr>
          <w:color w:val="auto"/>
          <w:highlight w:val="none"/>
        </w:rPr>
        <w:fldChar w:fldCharType="begin"/>
      </w:r>
      <w:r>
        <w:rPr>
          <w:color w:val="auto"/>
          <w:highlight w:val="none"/>
        </w:rPr>
        <w:instrText xml:space="preserve"> PAGEREF _Toc7189 \h </w:instrText>
      </w:r>
      <w:r>
        <w:rPr>
          <w:color w:val="auto"/>
          <w:highlight w:val="none"/>
        </w:rPr>
        <w:fldChar w:fldCharType="separate"/>
      </w:r>
      <w:r>
        <w:rPr>
          <w:color w:val="auto"/>
          <w:highlight w:val="none"/>
        </w:rPr>
        <w:t>91</w:t>
      </w:r>
      <w:r>
        <w:rPr>
          <w:color w:val="auto"/>
          <w:highlight w:val="none"/>
        </w:rPr>
        <w:fldChar w:fldCharType="end"/>
      </w:r>
      <w:r>
        <w:rPr>
          <w:rFonts w:hint="eastAsia" w:ascii="宋体" w:hAnsi="宋体" w:eastAsia="宋体" w:cs="宋体"/>
          <w:color w:val="auto"/>
          <w:spacing w:val="0"/>
          <w:szCs w:val="24"/>
          <w:highlight w:val="none"/>
        </w:rPr>
        <w:fldChar w:fldCharType="end"/>
      </w:r>
    </w:p>
    <w:p w14:paraId="5CFA3959">
      <w:pPr>
        <w:keepNext w:val="0"/>
        <w:keepLines w:val="0"/>
        <w:pageBreakBefore w:val="0"/>
        <w:wordWrap w:val="0"/>
        <w:overflowPunct/>
        <w:topLinePunct w:val="0"/>
        <w:bidi w:val="0"/>
        <w:spacing w:line="220" w:lineRule="auto"/>
        <w:jc w:val="center"/>
        <w:rPr>
          <w:rFonts w:hint="eastAsia" w:ascii="宋体" w:hAnsi="宋体" w:eastAsia="宋体" w:cs="宋体"/>
          <w:color w:val="auto"/>
          <w:spacing w:val="0"/>
          <w:sz w:val="24"/>
          <w:szCs w:val="24"/>
          <w:highlight w:val="none"/>
        </w:rPr>
        <w:sectPr>
          <w:headerReference r:id="rId5" w:type="default"/>
          <w:footerReference r:id="rId6" w:type="default"/>
          <w:pgSz w:w="11906" w:h="16839"/>
          <w:pgMar w:top="1440" w:right="1080" w:bottom="1440" w:left="1080" w:header="1200" w:footer="1134" w:gutter="0"/>
          <w:pgBorders>
            <w:top w:val="none" w:sz="0" w:space="0"/>
            <w:left w:val="none" w:sz="0" w:space="0"/>
            <w:bottom w:val="none" w:sz="0" w:space="0"/>
            <w:right w:val="none" w:sz="0" w:space="0"/>
          </w:pgBorders>
          <w:pgNumType w:fmt="decimal" w:start="1"/>
          <w:cols w:space="720" w:num="1"/>
        </w:sectPr>
      </w:pPr>
      <w:r>
        <w:rPr>
          <w:rFonts w:hint="eastAsia" w:ascii="宋体" w:hAnsi="宋体" w:eastAsia="宋体" w:cs="宋体"/>
          <w:color w:val="auto"/>
          <w:spacing w:val="0"/>
          <w:szCs w:val="24"/>
          <w:highlight w:val="none"/>
        </w:rPr>
        <w:fldChar w:fldCharType="end"/>
      </w:r>
    </w:p>
    <w:p w14:paraId="1312E3E2">
      <w:pPr>
        <w:pStyle w:val="6"/>
        <w:keepNext w:val="0"/>
        <w:keepLines w:val="0"/>
        <w:pageBreakBefore w:val="0"/>
        <w:wordWrap w:val="0"/>
        <w:overflowPunct/>
        <w:topLinePunct w:val="0"/>
        <w:bidi w:val="0"/>
        <w:spacing w:line="272" w:lineRule="auto"/>
        <w:rPr>
          <w:rFonts w:hint="eastAsia" w:ascii="宋体" w:hAnsi="宋体" w:eastAsia="宋体" w:cs="宋体"/>
          <w:color w:val="auto"/>
          <w:spacing w:val="0"/>
          <w:highlight w:val="none"/>
        </w:rPr>
      </w:pPr>
    </w:p>
    <w:p w14:paraId="286704C0">
      <w:pPr>
        <w:keepNext w:val="0"/>
        <w:keepLines w:val="0"/>
        <w:pageBreakBefore w:val="0"/>
        <w:wordWrap w:val="0"/>
        <w:overflowPunct/>
        <w:topLinePunct w:val="0"/>
        <w:bidi w:val="0"/>
        <w:spacing w:before="78" w:line="219" w:lineRule="auto"/>
        <w:ind w:left="3416"/>
        <w:outlineLvl w:val="0"/>
        <w:rPr>
          <w:rFonts w:hint="eastAsia" w:ascii="宋体" w:hAnsi="宋体" w:eastAsia="宋体" w:cs="宋体"/>
          <w:color w:val="auto"/>
          <w:spacing w:val="0"/>
          <w:sz w:val="24"/>
          <w:szCs w:val="24"/>
          <w:highlight w:val="none"/>
        </w:rPr>
      </w:pPr>
      <w:bookmarkStart w:id="0" w:name="bookmark1"/>
      <w:bookmarkEnd w:id="0"/>
      <w:bookmarkStart w:id="1" w:name="_Toc10235"/>
      <w:r>
        <w:rPr>
          <w:rFonts w:hint="eastAsia" w:ascii="宋体" w:hAnsi="宋体" w:eastAsia="宋体" w:cs="宋体"/>
          <w:b/>
          <w:bCs/>
          <w:color w:val="auto"/>
          <w:spacing w:val="0"/>
          <w:sz w:val="24"/>
          <w:szCs w:val="24"/>
          <w:highlight w:val="none"/>
        </w:rPr>
        <w:t>第一章</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rPr>
        <w:t>投标人须知</w:t>
      </w:r>
      <w:bookmarkEnd w:id="1"/>
    </w:p>
    <w:p w14:paraId="0C6FADFC">
      <w:pPr>
        <w:keepNext w:val="0"/>
        <w:keepLines w:val="0"/>
        <w:pageBreakBefore w:val="0"/>
        <w:wordWrap w:val="0"/>
        <w:overflowPunct/>
        <w:topLinePunct w:val="0"/>
        <w:bidi w:val="0"/>
        <w:spacing w:before="156" w:line="219" w:lineRule="auto"/>
        <w:ind w:left="17"/>
        <w:outlineLvl w:val="1"/>
        <w:rPr>
          <w:rFonts w:hint="eastAsia" w:ascii="宋体" w:hAnsi="宋体" w:eastAsia="宋体" w:cs="宋体"/>
          <w:color w:val="auto"/>
          <w:spacing w:val="0"/>
          <w:sz w:val="24"/>
          <w:szCs w:val="24"/>
          <w:highlight w:val="none"/>
        </w:rPr>
      </w:pPr>
      <w:bookmarkStart w:id="2" w:name="bookmark3"/>
      <w:bookmarkEnd w:id="2"/>
      <w:bookmarkStart w:id="3" w:name="_Toc384"/>
      <w:r>
        <w:rPr>
          <w:rFonts w:hint="eastAsia" w:ascii="宋体" w:hAnsi="宋体" w:eastAsia="宋体" w:cs="宋体"/>
          <w:b/>
          <w:bCs/>
          <w:color w:val="auto"/>
          <w:spacing w:val="0"/>
          <w:sz w:val="24"/>
          <w:szCs w:val="24"/>
          <w:highlight w:val="none"/>
        </w:rPr>
        <w:t>第一节</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rPr>
        <w:t>投标人须知前附表</w:t>
      </w:r>
      <w:bookmarkEnd w:id="3"/>
    </w:p>
    <w:p w14:paraId="7004C302">
      <w:pPr>
        <w:keepNext w:val="0"/>
        <w:keepLines w:val="0"/>
        <w:pageBreakBefore w:val="0"/>
        <w:wordWrap w:val="0"/>
        <w:overflowPunct/>
        <w:topLinePunct w:val="0"/>
        <w:bidi w:val="0"/>
        <w:spacing w:before="25"/>
        <w:rPr>
          <w:rFonts w:hint="eastAsia" w:ascii="宋体" w:hAnsi="宋体" w:eastAsia="宋体" w:cs="宋体"/>
          <w:color w:val="auto"/>
          <w:spacing w:val="0"/>
          <w:highlight w:val="none"/>
        </w:rPr>
      </w:pPr>
    </w:p>
    <w:tbl>
      <w:tblPr>
        <w:tblStyle w:val="17"/>
        <w:tblW w:w="1009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82"/>
        <w:gridCol w:w="1942"/>
        <w:gridCol w:w="7574"/>
      </w:tblGrid>
      <w:tr w14:paraId="4297F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8" w:hRule="atLeast"/>
        </w:trPr>
        <w:tc>
          <w:tcPr>
            <w:tcW w:w="582" w:type="dxa"/>
            <w:vAlign w:val="center"/>
          </w:tcPr>
          <w:p w14:paraId="6646324C">
            <w:pPr>
              <w:keepNext w:val="0"/>
              <w:keepLines w:val="0"/>
              <w:pageBreakBefore w:val="0"/>
              <w:wordWrap w:val="0"/>
              <w:overflowPunct/>
              <w:topLinePunct w:val="0"/>
              <w:bidi w:val="0"/>
              <w:spacing w:before="203" w:line="209" w:lineRule="auto"/>
              <w:ind w:left="0" w:leftChars="0" w:firstLine="0" w:firstLineChars="0"/>
              <w:jc w:val="center"/>
              <w:rPr>
                <w:rFonts w:hint="eastAsia" w:asciiTheme="minorEastAsia" w:hAnsiTheme="minorEastAsia" w:eastAsiaTheme="minorEastAsia" w:cstheme="minorEastAsia"/>
                <w:color w:val="auto"/>
                <w:spacing w:val="0"/>
                <w:sz w:val="21"/>
                <w:szCs w:val="21"/>
                <w:highlight w:val="none"/>
                <w:lang w:val="en-US" w:eastAsia="zh-CN"/>
              </w:rPr>
            </w:pPr>
            <w:r>
              <w:rPr>
                <w:rFonts w:hint="eastAsia" w:asciiTheme="minorEastAsia" w:hAnsiTheme="minorEastAsia" w:eastAsiaTheme="minorEastAsia" w:cstheme="minorEastAsia"/>
                <w:color w:val="auto"/>
                <w:spacing w:val="0"/>
                <w:sz w:val="21"/>
                <w:szCs w:val="21"/>
                <w:highlight w:val="none"/>
                <w:lang w:val="en-US" w:eastAsia="zh-CN"/>
              </w:rPr>
              <w:t>序号</w:t>
            </w:r>
          </w:p>
        </w:tc>
        <w:tc>
          <w:tcPr>
            <w:tcW w:w="1942" w:type="dxa"/>
            <w:vAlign w:val="center"/>
          </w:tcPr>
          <w:p w14:paraId="2993095F">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内容</w:t>
            </w:r>
          </w:p>
        </w:tc>
        <w:tc>
          <w:tcPr>
            <w:tcW w:w="7574" w:type="dxa"/>
            <w:vAlign w:val="center"/>
          </w:tcPr>
          <w:p w14:paraId="1266C70A">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说明与要求</w:t>
            </w:r>
          </w:p>
        </w:tc>
      </w:tr>
      <w:tr w14:paraId="45F11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4" w:hRule="atLeast"/>
        </w:trPr>
        <w:tc>
          <w:tcPr>
            <w:tcW w:w="582" w:type="dxa"/>
            <w:vAlign w:val="center"/>
          </w:tcPr>
          <w:p w14:paraId="6A5576EE">
            <w:pPr>
              <w:keepNext w:val="0"/>
              <w:keepLines w:val="0"/>
              <w:pageBreakBefore w:val="0"/>
              <w:wordWrap w:val="0"/>
              <w:overflowPunct/>
              <w:topLinePunct w:val="0"/>
              <w:bidi w:val="0"/>
              <w:spacing w:before="223" w:line="195" w:lineRule="auto"/>
              <w:jc w:val="center"/>
              <w:rPr>
                <w:rFonts w:hint="eastAsia" w:asciiTheme="minorEastAsia" w:hAnsiTheme="minorEastAsia" w:eastAsiaTheme="minorEastAsia" w:cstheme="minorEastAsia"/>
                <w:color w:val="auto"/>
                <w:spacing w:val="0"/>
                <w:sz w:val="21"/>
                <w:szCs w:val="21"/>
                <w:highlight w:val="none"/>
              </w:rPr>
            </w:pPr>
            <w:bookmarkStart w:id="4" w:name="OLE_LINK2" w:colFirst="2" w:colLast="2"/>
            <w:r>
              <w:rPr>
                <w:rFonts w:hint="eastAsia" w:asciiTheme="minorEastAsia" w:hAnsiTheme="minorEastAsia" w:eastAsiaTheme="minorEastAsia" w:cstheme="minorEastAsia"/>
                <w:color w:val="auto"/>
                <w:spacing w:val="0"/>
                <w:sz w:val="21"/>
                <w:szCs w:val="21"/>
                <w:highlight w:val="none"/>
              </w:rPr>
              <w:t>1</w:t>
            </w:r>
          </w:p>
        </w:tc>
        <w:tc>
          <w:tcPr>
            <w:tcW w:w="1942" w:type="dxa"/>
            <w:vAlign w:val="center"/>
          </w:tcPr>
          <w:p w14:paraId="272AEF41">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项目名称</w:t>
            </w:r>
          </w:p>
        </w:tc>
        <w:tc>
          <w:tcPr>
            <w:tcW w:w="7574" w:type="dxa"/>
            <w:vAlign w:val="center"/>
          </w:tcPr>
          <w:p w14:paraId="2167C1D4">
            <w:pPr>
              <w:keepNext w:val="0"/>
              <w:keepLines w:val="0"/>
              <w:pageBreakBefore w:val="0"/>
              <w:widowControl w:val="0"/>
              <w:kinsoku/>
              <w:wordWrap w:val="0"/>
              <w:overflowPunct/>
              <w:topLinePunct w:val="0"/>
              <w:autoSpaceDE/>
              <w:autoSpaceDN/>
              <w:bidi w:val="0"/>
              <w:adjustRightInd w:val="0"/>
              <w:snapToGrid w:val="0"/>
              <w:spacing w:line="400" w:lineRule="exact"/>
              <w:ind w:firstLine="210" w:firstLineChars="100"/>
              <w:jc w:val="both"/>
              <w:textAlignment w:val="auto"/>
              <w:rPr>
                <w:rFonts w:hint="default"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新丰县“红韵新丰·绿谷禽乡”乡村振兴项目-新丰县回龙镇肉鸽（家禽）深加工基础配套设施项目施工</w:t>
            </w:r>
          </w:p>
        </w:tc>
      </w:tr>
      <w:tr w14:paraId="39DB6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trPr>
        <w:tc>
          <w:tcPr>
            <w:tcW w:w="582" w:type="dxa"/>
            <w:vAlign w:val="center"/>
          </w:tcPr>
          <w:p w14:paraId="5FF0401B">
            <w:pPr>
              <w:keepNext w:val="0"/>
              <w:keepLines w:val="0"/>
              <w:pageBreakBefore w:val="0"/>
              <w:wordWrap w:val="0"/>
              <w:overflowPunct/>
              <w:topLinePunct w:val="0"/>
              <w:bidi w:val="0"/>
              <w:spacing w:before="222" w:line="195"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2</w:t>
            </w:r>
          </w:p>
        </w:tc>
        <w:tc>
          <w:tcPr>
            <w:tcW w:w="1942" w:type="dxa"/>
            <w:vAlign w:val="center"/>
          </w:tcPr>
          <w:p w14:paraId="59BC460B">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项目业主</w:t>
            </w:r>
          </w:p>
        </w:tc>
        <w:tc>
          <w:tcPr>
            <w:tcW w:w="7574" w:type="dxa"/>
            <w:vAlign w:val="center"/>
          </w:tcPr>
          <w:p w14:paraId="56C96B67">
            <w:pPr>
              <w:keepNext w:val="0"/>
              <w:keepLines w:val="0"/>
              <w:pageBreakBefore w:val="0"/>
              <w:widowControl w:val="0"/>
              <w:kinsoku/>
              <w:wordWrap w:val="0"/>
              <w:overflowPunct/>
              <w:topLinePunct w:val="0"/>
              <w:autoSpaceDE/>
              <w:autoSpaceDN/>
              <w:bidi w:val="0"/>
              <w:adjustRightInd w:val="0"/>
              <w:snapToGrid w:val="0"/>
              <w:spacing w:line="400" w:lineRule="exact"/>
              <w:ind w:firstLine="210" w:firstLineChars="100"/>
              <w:jc w:val="both"/>
              <w:textAlignment w:val="auto"/>
              <w:rPr>
                <w:rFonts w:hint="default"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新丰县回龙镇人民政府</w:t>
            </w:r>
          </w:p>
        </w:tc>
      </w:tr>
      <w:tr w14:paraId="74809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0" w:hRule="atLeast"/>
        </w:trPr>
        <w:tc>
          <w:tcPr>
            <w:tcW w:w="582" w:type="dxa"/>
            <w:vAlign w:val="center"/>
          </w:tcPr>
          <w:p w14:paraId="5A665FB7">
            <w:pPr>
              <w:keepNext w:val="0"/>
              <w:keepLines w:val="0"/>
              <w:pageBreakBefore w:val="0"/>
              <w:wordWrap w:val="0"/>
              <w:overflowPunct/>
              <w:topLinePunct w:val="0"/>
              <w:bidi w:val="0"/>
              <w:spacing w:before="58" w:line="195"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3</w:t>
            </w:r>
          </w:p>
        </w:tc>
        <w:tc>
          <w:tcPr>
            <w:tcW w:w="1942" w:type="dxa"/>
            <w:vAlign w:val="center"/>
          </w:tcPr>
          <w:p w14:paraId="7DCDA516">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项目批准部门及项目批准文号</w:t>
            </w:r>
          </w:p>
        </w:tc>
        <w:tc>
          <w:tcPr>
            <w:tcW w:w="7574" w:type="dxa"/>
            <w:vAlign w:val="center"/>
          </w:tcPr>
          <w:p w14:paraId="53F2FBB3">
            <w:pPr>
              <w:keepNext w:val="0"/>
              <w:keepLines w:val="0"/>
              <w:widowControl/>
              <w:suppressLineNumbers w:val="0"/>
              <w:ind w:left="210" w:leftChars="100" w:firstLine="0" w:firstLineChars="0"/>
              <w:jc w:val="left"/>
              <w:rPr>
                <w:rFonts w:hint="default"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新丰县发展和改革局</w:t>
            </w:r>
            <w:r>
              <w:rPr>
                <w:rFonts w:hint="eastAsia" w:asciiTheme="minorEastAsia" w:hAnsiTheme="minorEastAsia" w:eastAsiaTheme="minorEastAsia" w:cstheme="minorEastAsia"/>
                <w:snapToGrid w:val="0"/>
                <w:color w:val="auto"/>
                <w:spacing w:val="0"/>
                <w:kern w:val="0"/>
                <w:sz w:val="21"/>
                <w:szCs w:val="21"/>
                <w:highlight w:val="none"/>
                <w:lang w:val="en-US" w:eastAsia="zh-CN"/>
              </w:rPr>
              <w:br w:type="textWrapping"/>
            </w:r>
            <w:r>
              <w:rPr>
                <w:rFonts w:hint="eastAsia" w:asciiTheme="minorEastAsia" w:hAnsiTheme="minorEastAsia" w:eastAsiaTheme="minorEastAsia" w:cstheme="minorEastAsia"/>
                <w:snapToGrid w:val="0"/>
                <w:color w:val="auto"/>
                <w:spacing w:val="0"/>
                <w:kern w:val="0"/>
                <w:sz w:val="21"/>
                <w:szCs w:val="21"/>
                <w:highlight w:val="none"/>
                <w:lang w:val="en-US" w:eastAsia="zh-CN"/>
              </w:rPr>
              <w:t>新丰发改投审（2026）40号、新丰发改投审（2026）41号</w:t>
            </w:r>
          </w:p>
        </w:tc>
      </w:tr>
      <w:tr w14:paraId="0C17B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1" w:hRule="atLeast"/>
        </w:trPr>
        <w:tc>
          <w:tcPr>
            <w:tcW w:w="582" w:type="dxa"/>
            <w:vAlign w:val="center"/>
          </w:tcPr>
          <w:p w14:paraId="2B24C20D">
            <w:pPr>
              <w:keepNext w:val="0"/>
              <w:keepLines w:val="0"/>
              <w:pageBreakBefore w:val="0"/>
              <w:wordWrap w:val="0"/>
              <w:overflowPunct/>
              <w:topLinePunct w:val="0"/>
              <w:bidi w:val="0"/>
              <w:spacing w:before="225" w:line="195"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4</w:t>
            </w:r>
          </w:p>
        </w:tc>
        <w:tc>
          <w:tcPr>
            <w:tcW w:w="1942" w:type="dxa"/>
            <w:vAlign w:val="center"/>
          </w:tcPr>
          <w:p w14:paraId="15D4A784">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建设地点</w:t>
            </w:r>
          </w:p>
        </w:tc>
        <w:tc>
          <w:tcPr>
            <w:tcW w:w="7574" w:type="dxa"/>
            <w:tcMar>
              <w:top w:w="0" w:type="dxa"/>
              <w:left w:w="0" w:type="dxa"/>
              <w:bottom w:w="0" w:type="dxa"/>
              <w:right w:w="0" w:type="dxa"/>
            </w:tcMar>
            <w:vAlign w:val="center"/>
          </w:tcPr>
          <w:p w14:paraId="321793EB">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default"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新丰县回龙镇</w:t>
            </w:r>
          </w:p>
        </w:tc>
      </w:tr>
      <w:tr w14:paraId="19321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6" w:hRule="atLeast"/>
        </w:trPr>
        <w:tc>
          <w:tcPr>
            <w:tcW w:w="582" w:type="dxa"/>
            <w:vAlign w:val="center"/>
          </w:tcPr>
          <w:p w14:paraId="685DD2B6">
            <w:pPr>
              <w:keepNext w:val="0"/>
              <w:keepLines w:val="0"/>
              <w:pageBreakBefore w:val="0"/>
              <w:wordWrap w:val="0"/>
              <w:overflowPunct/>
              <w:topLinePunct w:val="0"/>
              <w:bidi w:val="0"/>
              <w:spacing w:before="226" w:line="192"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5</w:t>
            </w:r>
          </w:p>
        </w:tc>
        <w:tc>
          <w:tcPr>
            <w:tcW w:w="1942" w:type="dxa"/>
            <w:vAlign w:val="center"/>
          </w:tcPr>
          <w:p w14:paraId="5402D88D">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项目代码</w:t>
            </w:r>
          </w:p>
        </w:tc>
        <w:tc>
          <w:tcPr>
            <w:tcW w:w="7574" w:type="dxa"/>
            <w:vAlign w:val="center"/>
          </w:tcPr>
          <w:p w14:paraId="1444E784">
            <w:pPr>
              <w:keepNext w:val="0"/>
              <w:keepLines w:val="0"/>
              <w:widowControl/>
              <w:suppressLineNumbers w:val="0"/>
              <w:ind w:firstLine="210" w:firstLineChars="100"/>
              <w:jc w:val="left"/>
              <w:rPr>
                <w:rFonts w:hint="default"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2604-440233-04-01-492918</w:t>
            </w:r>
          </w:p>
        </w:tc>
      </w:tr>
      <w:tr w14:paraId="120B7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1" w:hRule="atLeast"/>
        </w:trPr>
        <w:tc>
          <w:tcPr>
            <w:tcW w:w="582" w:type="dxa"/>
            <w:vAlign w:val="center"/>
          </w:tcPr>
          <w:p w14:paraId="575555D0">
            <w:pPr>
              <w:keepNext w:val="0"/>
              <w:keepLines w:val="0"/>
              <w:pageBreakBefore w:val="0"/>
              <w:wordWrap w:val="0"/>
              <w:overflowPunct/>
              <w:topLinePunct w:val="0"/>
              <w:bidi w:val="0"/>
              <w:spacing w:before="58" w:line="195"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6</w:t>
            </w:r>
          </w:p>
        </w:tc>
        <w:tc>
          <w:tcPr>
            <w:tcW w:w="1942" w:type="dxa"/>
            <w:vAlign w:val="center"/>
          </w:tcPr>
          <w:p w14:paraId="74FB8775">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资金来源及落实情况</w:t>
            </w:r>
          </w:p>
        </w:tc>
        <w:tc>
          <w:tcPr>
            <w:tcW w:w="7574" w:type="dxa"/>
            <w:vAlign w:val="center"/>
          </w:tcPr>
          <w:p w14:paraId="253BC1C2">
            <w:pPr>
              <w:keepNext w:val="0"/>
              <w:keepLines w:val="0"/>
              <w:widowControl/>
              <w:suppressLineNumbers w:val="0"/>
              <w:ind w:firstLine="210" w:firstLineChars="100"/>
              <w:jc w:val="left"/>
              <w:rPr>
                <w:rFonts w:hint="default"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中央专项彩票公益资金、统筹各类财政资金（包括专项债券资金、2024年省内东新对口帮扶资金等）安排解决，100%。</w:t>
            </w:r>
          </w:p>
        </w:tc>
      </w:tr>
      <w:tr w14:paraId="3A40D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1" w:hRule="atLeast"/>
        </w:trPr>
        <w:tc>
          <w:tcPr>
            <w:tcW w:w="582" w:type="dxa"/>
            <w:vAlign w:val="center"/>
          </w:tcPr>
          <w:p w14:paraId="15BD6D0E">
            <w:pPr>
              <w:keepNext w:val="0"/>
              <w:keepLines w:val="0"/>
              <w:pageBreakBefore w:val="0"/>
              <w:wordWrap w:val="0"/>
              <w:overflowPunct/>
              <w:topLinePunct w:val="0"/>
              <w:bidi w:val="0"/>
              <w:spacing w:before="228" w:line="192"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7</w:t>
            </w:r>
          </w:p>
        </w:tc>
        <w:tc>
          <w:tcPr>
            <w:tcW w:w="1942" w:type="dxa"/>
            <w:vAlign w:val="center"/>
          </w:tcPr>
          <w:p w14:paraId="5F84B2E3">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招标人</w:t>
            </w:r>
          </w:p>
        </w:tc>
        <w:tc>
          <w:tcPr>
            <w:tcW w:w="7574" w:type="dxa"/>
            <w:vAlign w:val="center"/>
          </w:tcPr>
          <w:p w14:paraId="59AEB723">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新丰县回龙镇人民政府</w:t>
            </w:r>
          </w:p>
        </w:tc>
      </w:tr>
      <w:tr w14:paraId="7B0FE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1" w:hRule="atLeast"/>
        </w:trPr>
        <w:tc>
          <w:tcPr>
            <w:tcW w:w="582" w:type="dxa"/>
            <w:vAlign w:val="center"/>
          </w:tcPr>
          <w:p w14:paraId="2483E53C">
            <w:pPr>
              <w:keepNext w:val="0"/>
              <w:keepLines w:val="0"/>
              <w:pageBreakBefore w:val="0"/>
              <w:wordWrap w:val="0"/>
              <w:overflowPunct/>
              <w:topLinePunct w:val="0"/>
              <w:bidi w:val="0"/>
              <w:spacing w:before="224" w:line="195"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8</w:t>
            </w:r>
          </w:p>
        </w:tc>
        <w:tc>
          <w:tcPr>
            <w:tcW w:w="1942" w:type="dxa"/>
            <w:vAlign w:val="center"/>
          </w:tcPr>
          <w:p w14:paraId="39EF10AA">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招标代理机构</w:t>
            </w:r>
          </w:p>
        </w:tc>
        <w:tc>
          <w:tcPr>
            <w:tcW w:w="7574" w:type="dxa"/>
            <w:vAlign w:val="center"/>
          </w:tcPr>
          <w:p w14:paraId="4FAAEF2D">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新丰县市政工程公司</w:t>
            </w:r>
          </w:p>
        </w:tc>
      </w:tr>
      <w:tr w14:paraId="2C951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82" w:type="dxa"/>
            <w:vAlign w:val="center"/>
          </w:tcPr>
          <w:p w14:paraId="27429BE9">
            <w:pPr>
              <w:keepNext w:val="0"/>
              <w:keepLines w:val="0"/>
              <w:pageBreakBefore w:val="0"/>
              <w:wordWrap w:val="0"/>
              <w:overflowPunct/>
              <w:topLinePunct w:val="0"/>
              <w:bidi w:val="0"/>
              <w:spacing w:before="225" w:line="195"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9</w:t>
            </w:r>
          </w:p>
        </w:tc>
        <w:tc>
          <w:tcPr>
            <w:tcW w:w="1942" w:type="dxa"/>
            <w:vAlign w:val="center"/>
          </w:tcPr>
          <w:p w14:paraId="1A6FB824">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设计单位</w:t>
            </w:r>
          </w:p>
        </w:tc>
        <w:tc>
          <w:tcPr>
            <w:tcW w:w="7574" w:type="dxa"/>
            <w:vAlign w:val="center"/>
          </w:tcPr>
          <w:p w14:paraId="26F07016">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default"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 xml:space="preserve"> 中叙设计集团有限公司</w:t>
            </w:r>
          </w:p>
        </w:tc>
      </w:tr>
      <w:bookmarkEnd w:id="4"/>
      <w:tr w14:paraId="67384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6" w:hRule="atLeast"/>
        </w:trPr>
        <w:tc>
          <w:tcPr>
            <w:tcW w:w="582" w:type="dxa"/>
            <w:vAlign w:val="center"/>
          </w:tcPr>
          <w:p w14:paraId="0E4F49AE">
            <w:pPr>
              <w:keepNext w:val="0"/>
              <w:keepLines w:val="0"/>
              <w:pageBreakBefore w:val="0"/>
              <w:wordWrap w:val="0"/>
              <w:overflowPunct/>
              <w:topLinePunct w:val="0"/>
              <w:bidi w:val="0"/>
              <w:spacing w:before="245" w:line="195"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10</w:t>
            </w:r>
          </w:p>
        </w:tc>
        <w:tc>
          <w:tcPr>
            <w:tcW w:w="1942" w:type="dxa"/>
            <w:vAlign w:val="center"/>
          </w:tcPr>
          <w:p w14:paraId="740625B4">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造价咨询单位</w:t>
            </w:r>
          </w:p>
        </w:tc>
        <w:tc>
          <w:tcPr>
            <w:tcW w:w="7574" w:type="dxa"/>
            <w:vAlign w:val="center"/>
          </w:tcPr>
          <w:p w14:paraId="26469763">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□非全过程造价咨询</w:t>
            </w:r>
            <w:r>
              <w:rPr>
                <w:rFonts w:hint="eastAsia" w:asciiTheme="minorEastAsia" w:hAnsiTheme="minorEastAsia" w:eastAsiaTheme="minorEastAsia" w:cstheme="minorEastAsia"/>
                <w:snapToGrid w:val="0"/>
                <w:color w:val="auto"/>
                <w:spacing w:val="0"/>
                <w:kern w:val="0"/>
                <w:sz w:val="21"/>
                <w:szCs w:val="21"/>
                <w:highlight w:val="none"/>
                <w:lang w:val="en-US" w:eastAsia="zh-CN"/>
              </w:rPr>
              <w:t xml:space="preserve">  </w:t>
            </w:r>
            <w:r>
              <w:rPr>
                <w:rFonts w:hint="eastAsia" w:asciiTheme="minorEastAsia" w:hAnsiTheme="minorEastAsia" w:eastAsiaTheme="minorEastAsia" w:cstheme="minorEastAsia"/>
                <w:snapToGrid w:val="0"/>
                <w:color w:val="auto"/>
                <w:spacing w:val="0"/>
                <w:kern w:val="0"/>
                <w:sz w:val="21"/>
                <w:szCs w:val="21"/>
                <w:highlight w:val="none"/>
                <w:lang w:eastAsia="zh-CN"/>
              </w:rPr>
              <w:t>☑全过程造价咨询</w:t>
            </w:r>
            <w:r>
              <w:rPr>
                <w:rFonts w:hint="eastAsia" w:asciiTheme="minorEastAsia" w:hAnsiTheme="minorEastAsia" w:eastAsiaTheme="minorEastAsia" w:cstheme="minorEastAsia"/>
                <w:snapToGrid w:val="0"/>
                <w:color w:val="auto"/>
                <w:spacing w:val="0"/>
                <w:kern w:val="0"/>
                <w:sz w:val="21"/>
                <w:szCs w:val="21"/>
                <w:highlight w:val="none"/>
                <w:lang w:val="en-US" w:eastAsia="zh-CN"/>
              </w:rPr>
              <w:t xml:space="preserve">  </w:t>
            </w:r>
          </w:p>
        </w:tc>
      </w:tr>
      <w:tr w14:paraId="7B81D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82" w:type="dxa"/>
            <w:vAlign w:val="center"/>
          </w:tcPr>
          <w:p w14:paraId="7CC381A9">
            <w:pPr>
              <w:keepNext w:val="0"/>
              <w:keepLines w:val="0"/>
              <w:pageBreakBefore w:val="0"/>
              <w:wordWrap w:val="0"/>
              <w:overflowPunct/>
              <w:topLinePunct w:val="0"/>
              <w:bidi w:val="0"/>
              <w:spacing w:before="242" w:line="195"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11</w:t>
            </w:r>
          </w:p>
        </w:tc>
        <w:tc>
          <w:tcPr>
            <w:tcW w:w="1942" w:type="dxa"/>
            <w:vAlign w:val="center"/>
          </w:tcPr>
          <w:p w14:paraId="10EACBDC">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监理单位</w:t>
            </w:r>
          </w:p>
        </w:tc>
        <w:tc>
          <w:tcPr>
            <w:tcW w:w="7574" w:type="dxa"/>
            <w:vAlign w:val="center"/>
          </w:tcPr>
          <w:p w14:paraId="5B0C57A4">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□已确定监理单位</w:t>
            </w:r>
            <w:r>
              <w:rPr>
                <w:rFonts w:hint="eastAsia" w:asciiTheme="minorEastAsia" w:hAnsiTheme="minorEastAsia" w:eastAsiaTheme="minorEastAsia" w:cstheme="minorEastAsia"/>
                <w:snapToGrid w:val="0"/>
                <w:color w:val="auto"/>
                <w:spacing w:val="0"/>
                <w:kern w:val="0"/>
                <w:sz w:val="21"/>
                <w:szCs w:val="21"/>
                <w:highlight w:val="none"/>
                <w:lang w:val="en-US" w:eastAsia="zh-CN"/>
              </w:rPr>
              <w:t xml:space="preserve">   </w:t>
            </w:r>
            <w:r>
              <w:rPr>
                <w:rFonts w:hint="eastAsia" w:asciiTheme="minorEastAsia" w:hAnsiTheme="minorEastAsia" w:eastAsiaTheme="minorEastAsia" w:cstheme="minorEastAsia"/>
                <w:snapToGrid w:val="0"/>
                <w:color w:val="auto"/>
                <w:spacing w:val="0"/>
                <w:kern w:val="0"/>
                <w:sz w:val="21"/>
                <w:szCs w:val="21"/>
                <w:highlight w:val="none"/>
                <w:lang w:eastAsia="zh-CN"/>
              </w:rPr>
              <w:t>☑未确定监理单位</w:t>
            </w:r>
          </w:p>
        </w:tc>
      </w:tr>
      <w:tr w14:paraId="1CA8C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62" w:hRule="atLeast"/>
        </w:trPr>
        <w:tc>
          <w:tcPr>
            <w:tcW w:w="582" w:type="dxa"/>
            <w:vAlign w:val="center"/>
          </w:tcPr>
          <w:p w14:paraId="79E8C597">
            <w:pPr>
              <w:keepNext w:val="0"/>
              <w:keepLines w:val="0"/>
              <w:pageBreakBefore w:val="0"/>
              <w:wordWrap w:val="0"/>
              <w:overflowPunct/>
              <w:topLinePunct w:val="0"/>
              <w:bidi w:val="0"/>
              <w:spacing w:before="58" w:line="195"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lang w:eastAsia="zh-CN"/>
              </w:rPr>
              <w:t>1</w:t>
            </w:r>
            <w:r>
              <w:rPr>
                <w:rFonts w:hint="eastAsia" w:asciiTheme="minorEastAsia" w:hAnsiTheme="minorEastAsia" w:eastAsiaTheme="minorEastAsia" w:cstheme="minorEastAsia"/>
                <w:color w:val="auto"/>
                <w:spacing w:val="0"/>
                <w:sz w:val="21"/>
                <w:szCs w:val="21"/>
                <w:highlight w:val="none"/>
              </w:rPr>
              <w:t>2</w:t>
            </w:r>
          </w:p>
        </w:tc>
        <w:tc>
          <w:tcPr>
            <w:tcW w:w="1942" w:type="dxa"/>
            <w:vAlign w:val="center"/>
          </w:tcPr>
          <w:p w14:paraId="08AD0418">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建设内容和规模</w:t>
            </w:r>
          </w:p>
        </w:tc>
        <w:tc>
          <w:tcPr>
            <w:tcW w:w="7574" w:type="dxa"/>
            <w:vAlign w:val="center"/>
          </w:tcPr>
          <w:p w14:paraId="440AF51D">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☑建设规模：</w:t>
            </w:r>
            <w:r>
              <w:rPr>
                <w:rFonts w:hint="eastAsia" w:asciiTheme="minorEastAsia" w:hAnsiTheme="minorEastAsia" w:eastAsiaTheme="minorEastAsia" w:cstheme="minorEastAsia"/>
                <w:snapToGrid w:val="0"/>
                <w:color w:val="auto"/>
                <w:spacing w:val="0"/>
                <w:kern w:val="0"/>
                <w:sz w:val="21"/>
                <w:szCs w:val="21"/>
                <w:highlight w:val="none"/>
                <w:lang w:val="en-US" w:eastAsia="zh-CN"/>
              </w:rPr>
              <w:t>/</w:t>
            </w:r>
          </w:p>
          <w:p w14:paraId="4FB22D16">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☑建设内容：</w:t>
            </w:r>
          </w:p>
          <w:p w14:paraId="1039A0DB">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default"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主要建设内容：1.肉鸽深加工配套生产设施，建设产业配套用房(投入120万元):修建肉鸽检疫检测室200m2(一楼30m2、二楼夹层170m2)，配套检测设备、通风、防潮、恒温设施及防疫消毒设备:包含畜禽疫病荧光快速检测仪1台、智能生化恒温培养箱1台、紫外透射消毒分析仪1台、实验室恒温恒湿机组3台、负压无菌新风净化机组2套、气溶胶全自动雾化消毒机2台、UVC移动壁挂消毒灯4套等;2.生产道路(投入100万元):1条道路合计0.243km(含道路开口相关费用、道路宽5-6m)，采用C30混凝土硬底化厚20cm，配套排水边沟渠工程;3.辅助设备及配套系统(投入105万元):建设速冻库2间共110平方米，蒸汽加热设备;4.产业专用电力系统(投入60万元)配置1250kVA欧式变压器(全铜)1合，敷设3x300mm2高压电缆500m，配套高低压配电柜KYN28、不锈钢IP54防护等级变压器外壳、智能监控系统;5.生产区网络监控及溯源系统(投入30万元)，在原网络监控基础上升级，布设网线3000m配置光交换机1台、高清监控设备及产品溯源系统;6.肉鸽育肥配套生产设施建设及肉鸽育肥配套用房(投入135万元)，修建乳鸽暂存间2000m、饲料仓库150m、检疫防疫室50m，配套通风、恒温、防潮设施及防疫消毒设备，解决乳鸽接收暂存、饲料储存、疫病防控的产业痛点;购买育肥饲料搅拌及配套设备;建设育肥台及装鸽框;2.肉鸽育肥产业环保设施投入、建设肉鸽育肥专用污水处理系统(投入60万元)建设日处理50m³乳鸽育肥废水处理设施1套，配套粗格栅井、细格栅井、三级化粪池;3.环保配套辅助设施(投入85万元):建设粪污系统一套，配套粪污清运设备1台，实现乳鸽粪污集中收集、无害化处理后用于农田施肥;4.肉鸽育肥产业专用电力系统，建设产业专用电力配套(投入20万元):敷设高压电缆500m，配套高低压柜、土建施工、电缆敷设施及报装调试，专项用于育肥车间通风、恒温设备、污水处理设饲料加工设备及检疫防疫设备供电，全程服务于肉鸽育肥产业生产。</w:t>
            </w:r>
          </w:p>
        </w:tc>
      </w:tr>
      <w:tr w14:paraId="55CC1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82" w:type="dxa"/>
            <w:vAlign w:val="center"/>
          </w:tcPr>
          <w:p w14:paraId="4CCDDD4A">
            <w:pPr>
              <w:keepNext w:val="0"/>
              <w:keepLines w:val="0"/>
              <w:pageBreakBefore w:val="0"/>
              <w:wordWrap w:val="0"/>
              <w:overflowPunct/>
              <w:topLinePunct w:val="0"/>
              <w:bidi w:val="0"/>
              <w:spacing w:before="57" w:line="195"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13</w:t>
            </w:r>
          </w:p>
        </w:tc>
        <w:tc>
          <w:tcPr>
            <w:tcW w:w="1942" w:type="dxa"/>
            <w:vAlign w:val="center"/>
          </w:tcPr>
          <w:p w14:paraId="49C3D684">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项目总投资</w:t>
            </w:r>
          </w:p>
        </w:tc>
        <w:tc>
          <w:tcPr>
            <w:tcW w:w="7574" w:type="dxa"/>
            <w:vAlign w:val="center"/>
          </w:tcPr>
          <w:p w14:paraId="0ABD3F97">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default"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项目估算总投资12985.00万元，其中工程费为10934.10万元，工程其他建设费用为1432.62万元，预备费618.28万元；（其中本次招标工程费约为：813.62万元）</w:t>
            </w:r>
          </w:p>
        </w:tc>
      </w:tr>
      <w:tr w14:paraId="1FFE6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6" w:hRule="atLeast"/>
        </w:trPr>
        <w:tc>
          <w:tcPr>
            <w:tcW w:w="582" w:type="dxa"/>
            <w:vAlign w:val="center"/>
          </w:tcPr>
          <w:p w14:paraId="37AD6412">
            <w:pPr>
              <w:keepNext w:val="0"/>
              <w:keepLines w:val="0"/>
              <w:pageBreakBefore w:val="0"/>
              <w:wordWrap w:val="0"/>
              <w:overflowPunct/>
              <w:topLinePunct w:val="0"/>
              <w:bidi w:val="0"/>
              <w:spacing w:before="58" w:line="195"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14</w:t>
            </w:r>
          </w:p>
        </w:tc>
        <w:tc>
          <w:tcPr>
            <w:tcW w:w="1942" w:type="dxa"/>
            <w:vAlign w:val="center"/>
          </w:tcPr>
          <w:p w14:paraId="4541B202">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招标范围</w:t>
            </w:r>
          </w:p>
        </w:tc>
        <w:tc>
          <w:tcPr>
            <w:tcW w:w="7574" w:type="dxa"/>
            <w:vAlign w:val="center"/>
          </w:tcPr>
          <w:p w14:paraId="43566349">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按审查合格的施工图纸及工程量清单内容施工</w:t>
            </w:r>
          </w:p>
        </w:tc>
      </w:tr>
      <w:tr w14:paraId="283BC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5" w:hRule="atLeast"/>
        </w:trPr>
        <w:tc>
          <w:tcPr>
            <w:tcW w:w="582" w:type="dxa"/>
            <w:vAlign w:val="center"/>
          </w:tcPr>
          <w:p w14:paraId="6D0D894F">
            <w:pPr>
              <w:keepNext w:val="0"/>
              <w:keepLines w:val="0"/>
              <w:pageBreakBefore w:val="0"/>
              <w:wordWrap w:val="0"/>
              <w:overflowPunct/>
              <w:topLinePunct w:val="0"/>
              <w:bidi w:val="0"/>
              <w:spacing w:before="58" w:line="195"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15</w:t>
            </w:r>
          </w:p>
        </w:tc>
        <w:tc>
          <w:tcPr>
            <w:tcW w:w="1942" w:type="dxa"/>
            <w:vAlign w:val="center"/>
          </w:tcPr>
          <w:p w14:paraId="182ABDA3">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标段划分</w:t>
            </w:r>
          </w:p>
        </w:tc>
        <w:tc>
          <w:tcPr>
            <w:tcW w:w="7574" w:type="dxa"/>
            <w:vAlign w:val="center"/>
          </w:tcPr>
          <w:p w14:paraId="6BC42D3F">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 xml:space="preserve">本招标项目不划分标段。 </w:t>
            </w:r>
          </w:p>
        </w:tc>
      </w:tr>
      <w:tr w14:paraId="752DA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582" w:type="dxa"/>
            <w:vAlign w:val="center"/>
          </w:tcPr>
          <w:p w14:paraId="116371BB">
            <w:pPr>
              <w:keepNext w:val="0"/>
              <w:keepLines w:val="0"/>
              <w:pageBreakBefore w:val="0"/>
              <w:wordWrap w:val="0"/>
              <w:overflowPunct/>
              <w:topLinePunct w:val="0"/>
              <w:bidi w:val="0"/>
              <w:spacing w:before="57" w:line="195" w:lineRule="auto"/>
              <w:jc w:val="center"/>
              <w:rPr>
                <w:rFonts w:hint="eastAsia" w:asciiTheme="minorEastAsia" w:hAnsiTheme="minorEastAsia" w:eastAsiaTheme="minorEastAsia" w:cstheme="minorEastAsia"/>
                <w:color w:val="auto"/>
                <w:spacing w:val="0"/>
                <w:sz w:val="21"/>
                <w:szCs w:val="21"/>
                <w:highlight w:val="none"/>
                <w:lang w:eastAsia="zh-CN"/>
              </w:rPr>
            </w:pPr>
            <w:r>
              <w:rPr>
                <w:rFonts w:hint="eastAsia" w:asciiTheme="minorEastAsia" w:hAnsiTheme="minorEastAsia" w:eastAsiaTheme="minorEastAsia" w:cstheme="minorEastAsia"/>
                <w:color w:val="auto"/>
                <w:spacing w:val="0"/>
                <w:sz w:val="21"/>
                <w:szCs w:val="21"/>
                <w:highlight w:val="none"/>
              </w:rPr>
              <w:t>16</w:t>
            </w:r>
          </w:p>
        </w:tc>
        <w:tc>
          <w:tcPr>
            <w:tcW w:w="1942" w:type="dxa"/>
            <w:vAlign w:val="center"/>
          </w:tcPr>
          <w:p w14:paraId="71369FF9">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工期</w:t>
            </w:r>
          </w:p>
        </w:tc>
        <w:tc>
          <w:tcPr>
            <w:tcW w:w="7574" w:type="dxa"/>
            <w:vAlign w:val="top"/>
          </w:tcPr>
          <w:p w14:paraId="28776C99">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本招标项目招标工期为</w:t>
            </w:r>
            <w:r>
              <w:rPr>
                <w:rFonts w:hint="eastAsia" w:asciiTheme="minorEastAsia" w:hAnsiTheme="minorEastAsia" w:eastAsiaTheme="minorEastAsia" w:cstheme="minorEastAsia"/>
                <w:snapToGrid w:val="0"/>
                <w:color w:val="auto"/>
                <w:spacing w:val="0"/>
                <w:kern w:val="0"/>
                <w:sz w:val="21"/>
                <w:szCs w:val="21"/>
                <w:highlight w:val="none"/>
                <w:u w:val="single"/>
                <w:lang w:val="en-US" w:eastAsia="zh-CN"/>
              </w:rPr>
              <w:t>180</w:t>
            </w:r>
            <w:r>
              <w:rPr>
                <w:rFonts w:hint="eastAsia" w:asciiTheme="minorEastAsia" w:hAnsiTheme="minorEastAsia" w:eastAsiaTheme="minorEastAsia" w:cstheme="minorEastAsia"/>
                <w:snapToGrid w:val="0"/>
                <w:color w:val="auto"/>
                <w:spacing w:val="0"/>
                <w:kern w:val="0"/>
                <w:sz w:val="21"/>
                <w:szCs w:val="21"/>
                <w:highlight w:val="none"/>
                <w:lang w:val="en-US" w:eastAsia="zh-CN"/>
              </w:rPr>
              <w:t>个日历天</w:t>
            </w:r>
            <w:r>
              <w:rPr>
                <w:rFonts w:hint="eastAsia" w:asciiTheme="minorEastAsia" w:hAnsiTheme="minorEastAsia" w:eastAsiaTheme="minorEastAsia" w:cstheme="minorEastAsia"/>
                <w:snapToGrid w:val="0"/>
                <w:color w:val="auto"/>
                <w:spacing w:val="0"/>
                <w:kern w:val="0"/>
                <w:sz w:val="21"/>
                <w:szCs w:val="21"/>
                <w:highlight w:val="none"/>
                <w:lang w:eastAsia="zh-CN"/>
              </w:rPr>
              <w:t>。具体如下：</w:t>
            </w:r>
          </w:p>
          <w:p w14:paraId="0286641B">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☑总工期：</w:t>
            </w:r>
            <w:r>
              <w:rPr>
                <w:rFonts w:hint="eastAsia" w:asciiTheme="minorEastAsia" w:hAnsiTheme="minorEastAsia" w:eastAsiaTheme="minorEastAsia" w:cstheme="minorEastAsia"/>
                <w:snapToGrid w:val="0"/>
                <w:color w:val="auto"/>
                <w:spacing w:val="0"/>
                <w:kern w:val="0"/>
                <w:sz w:val="21"/>
                <w:szCs w:val="21"/>
                <w:highlight w:val="none"/>
                <w:u w:val="single"/>
                <w:lang w:val="en-US" w:eastAsia="zh-CN"/>
              </w:rPr>
              <w:t>180</w:t>
            </w:r>
            <w:r>
              <w:rPr>
                <w:rFonts w:hint="eastAsia" w:asciiTheme="minorEastAsia" w:hAnsiTheme="minorEastAsia" w:eastAsiaTheme="minorEastAsia" w:cstheme="minorEastAsia"/>
                <w:snapToGrid w:val="0"/>
                <w:color w:val="auto"/>
                <w:spacing w:val="0"/>
                <w:kern w:val="0"/>
                <w:sz w:val="21"/>
                <w:szCs w:val="21"/>
                <w:highlight w:val="none"/>
                <w:u w:val="single"/>
                <w:lang w:eastAsia="zh-CN"/>
              </w:rPr>
              <w:t>天</w:t>
            </w:r>
            <w:r>
              <w:rPr>
                <w:rFonts w:hint="eastAsia" w:asciiTheme="minorEastAsia" w:hAnsiTheme="minorEastAsia" w:eastAsiaTheme="minorEastAsia" w:cstheme="minorEastAsia"/>
                <w:snapToGrid w:val="0"/>
                <w:color w:val="auto"/>
                <w:spacing w:val="0"/>
                <w:kern w:val="0"/>
                <w:sz w:val="21"/>
                <w:szCs w:val="21"/>
                <w:highlight w:val="none"/>
                <w:lang w:eastAsia="zh-CN"/>
              </w:rPr>
              <w:t xml:space="preserve"> （日历天）。</w:t>
            </w:r>
          </w:p>
          <w:p w14:paraId="0C51706C">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□计划开工日期：</w:t>
            </w:r>
            <w:r>
              <w:rPr>
                <w:rFonts w:hint="eastAsia" w:asciiTheme="minorEastAsia" w:hAnsiTheme="minorEastAsia" w:eastAsiaTheme="minorEastAsia" w:cstheme="minorEastAsia"/>
                <w:snapToGrid w:val="0"/>
                <w:color w:val="auto"/>
                <w:spacing w:val="0"/>
                <w:kern w:val="0"/>
                <w:sz w:val="21"/>
                <w:szCs w:val="21"/>
                <w:highlight w:val="none"/>
                <w:lang w:val="en-US" w:eastAsia="zh-CN"/>
              </w:rPr>
              <w:t xml:space="preserve">    </w:t>
            </w:r>
            <w:r>
              <w:rPr>
                <w:rFonts w:hint="eastAsia" w:asciiTheme="minorEastAsia" w:hAnsiTheme="minorEastAsia" w:eastAsiaTheme="minorEastAsia" w:cstheme="minorEastAsia"/>
                <w:snapToGrid w:val="0"/>
                <w:color w:val="auto"/>
                <w:spacing w:val="0"/>
                <w:kern w:val="0"/>
                <w:sz w:val="21"/>
                <w:szCs w:val="21"/>
                <w:highlight w:val="none"/>
                <w:lang w:eastAsia="zh-CN"/>
              </w:rPr>
              <w:t>年</w:t>
            </w:r>
            <w:r>
              <w:rPr>
                <w:rFonts w:hint="eastAsia" w:asciiTheme="minorEastAsia" w:hAnsiTheme="minorEastAsia" w:eastAsiaTheme="minorEastAsia" w:cstheme="minorEastAsia"/>
                <w:snapToGrid w:val="0"/>
                <w:color w:val="auto"/>
                <w:spacing w:val="0"/>
                <w:kern w:val="0"/>
                <w:sz w:val="21"/>
                <w:szCs w:val="21"/>
                <w:highlight w:val="none"/>
                <w:lang w:val="en-US" w:eastAsia="zh-CN"/>
              </w:rPr>
              <w:t xml:space="preserve">   </w:t>
            </w:r>
            <w:r>
              <w:rPr>
                <w:rFonts w:hint="eastAsia" w:asciiTheme="minorEastAsia" w:hAnsiTheme="minorEastAsia" w:eastAsiaTheme="minorEastAsia" w:cstheme="minorEastAsia"/>
                <w:snapToGrid w:val="0"/>
                <w:color w:val="auto"/>
                <w:spacing w:val="0"/>
                <w:kern w:val="0"/>
                <w:sz w:val="21"/>
                <w:szCs w:val="21"/>
                <w:highlight w:val="none"/>
                <w:lang w:eastAsia="zh-CN"/>
              </w:rPr>
              <w:t>月</w:t>
            </w:r>
            <w:r>
              <w:rPr>
                <w:rFonts w:hint="eastAsia" w:asciiTheme="minorEastAsia" w:hAnsiTheme="minorEastAsia" w:eastAsiaTheme="minorEastAsia" w:cstheme="minorEastAsia"/>
                <w:snapToGrid w:val="0"/>
                <w:color w:val="auto"/>
                <w:spacing w:val="0"/>
                <w:kern w:val="0"/>
                <w:sz w:val="21"/>
                <w:szCs w:val="21"/>
                <w:highlight w:val="none"/>
                <w:lang w:val="en-US" w:eastAsia="zh-CN"/>
              </w:rPr>
              <w:t xml:space="preserve">   </w:t>
            </w:r>
            <w:r>
              <w:rPr>
                <w:rFonts w:hint="eastAsia" w:asciiTheme="minorEastAsia" w:hAnsiTheme="minorEastAsia" w:eastAsiaTheme="minorEastAsia" w:cstheme="minorEastAsia"/>
                <w:snapToGrid w:val="0"/>
                <w:color w:val="auto"/>
                <w:spacing w:val="0"/>
                <w:kern w:val="0"/>
                <w:sz w:val="21"/>
                <w:szCs w:val="21"/>
                <w:highlight w:val="none"/>
                <w:lang w:eastAsia="zh-CN"/>
              </w:rPr>
              <w:t>日（具体开工日期以合同为准）</w:t>
            </w:r>
          </w:p>
          <w:p w14:paraId="449841C1">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□计划竣工日期：</w:t>
            </w:r>
            <w:r>
              <w:rPr>
                <w:rFonts w:hint="eastAsia" w:asciiTheme="minorEastAsia" w:hAnsiTheme="minorEastAsia" w:eastAsiaTheme="minorEastAsia" w:cstheme="minorEastAsia"/>
                <w:snapToGrid w:val="0"/>
                <w:color w:val="auto"/>
                <w:spacing w:val="0"/>
                <w:kern w:val="0"/>
                <w:sz w:val="21"/>
                <w:szCs w:val="21"/>
                <w:highlight w:val="none"/>
                <w:lang w:val="en-US" w:eastAsia="zh-CN"/>
              </w:rPr>
              <w:t xml:space="preserve">    </w:t>
            </w:r>
            <w:r>
              <w:rPr>
                <w:rFonts w:hint="eastAsia" w:asciiTheme="minorEastAsia" w:hAnsiTheme="minorEastAsia" w:eastAsiaTheme="minorEastAsia" w:cstheme="minorEastAsia"/>
                <w:snapToGrid w:val="0"/>
                <w:color w:val="auto"/>
                <w:spacing w:val="0"/>
                <w:kern w:val="0"/>
                <w:sz w:val="21"/>
                <w:szCs w:val="21"/>
                <w:highlight w:val="none"/>
                <w:lang w:eastAsia="zh-CN"/>
              </w:rPr>
              <w:t>年</w:t>
            </w:r>
            <w:r>
              <w:rPr>
                <w:rFonts w:hint="eastAsia" w:asciiTheme="minorEastAsia" w:hAnsiTheme="minorEastAsia" w:eastAsiaTheme="minorEastAsia" w:cstheme="minorEastAsia"/>
                <w:snapToGrid w:val="0"/>
                <w:color w:val="auto"/>
                <w:spacing w:val="0"/>
                <w:kern w:val="0"/>
                <w:sz w:val="21"/>
                <w:szCs w:val="21"/>
                <w:highlight w:val="none"/>
                <w:lang w:val="en-US" w:eastAsia="zh-CN"/>
              </w:rPr>
              <w:t xml:space="preserve">   </w:t>
            </w:r>
            <w:r>
              <w:rPr>
                <w:rFonts w:hint="eastAsia" w:asciiTheme="minorEastAsia" w:hAnsiTheme="minorEastAsia" w:eastAsiaTheme="minorEastAsia" w:cstheme="minorEastAsia"/>
                <w:snapToGrid w:val="0"/>
                <w:color w:val="auto"/>
                <w:spacing w:val="0"/>
                <w:kern w:val="0"/>
                <w:sz w:val="21"/>
                <w:szCs w:val="21"/>
                <w:highlight w:val="none"/>
                <w:lang w:eastAsia="zh-CN"/>
              </w:rPr>
              <w:t>月</w:t>
            </w:r>
            <w:r>
              <w:rPr>
                <w:rFonts w:hint="eastAsia" w:asciiTheme="minorEastAsia" w:hAnsiTheme="minorEastAsia" w:eastAsiaTheme="minorEastAsia" w:cstheme="minorEastAsia"/>
                <w:snapToGrid w:val="0"/>
                <w:color w:val="auto"/>
                <w:spacing w:val="0"/>
                <w:kern w:val="0"/>
                <w:sz w:val="21"/>
                <w:szCs w:val="21"/>
                <w:highlight w:val="none"/>
                <w:lang w:val="en-US" w:eastAsia="zh-CN"/>
              </w:rPr>
              <w:t xml:space="preserve">   </w:t>
            </w:r>
            <w:r>
              <w:rPr>
                <w:rFonts w:hint="eastAsia" w:asciiTheme="minorEastAsia" w:hAnsiTheme="minorEastAsia" w:eastAsiaTheme="minorEastAsia" w:cstheme="minorEastAsia"/>
                <w:snapToGrid w:val="0"/>
                <w:color w:val="auto"/>
                <w:spacing w:val="0"/>
                <w:kern w:val="0"/>
                <w:sz w:val="21"/>
                <w:szCs w:val="21"/>
                <w:highlight w:val="none"/>
                <w:lang w:eastAsia="zh-CN"/>
              </w:rPr>
              <w:t>日</w:t>
            </w:r>
          </w:p>
          <w:p w14:paraId="00EC3CC7">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□除上述总工期外，发包人还要求以下阶段工期：</w:t>
            </w:r>
            <w:r>
              <w:rPr>
                <w:rFonts w:hint="eastAsia" w:asciiTheme="minorEastAsia" w:hAnsiTheme="minorEastAsia" w:eastAsiaTheme="minorEastAsia" w:cstheme="minorEastAsia"/>
                <w:snapToGrid w:val="0"/>
                <w:color w:val="auto"/>
                <w:spacing w:val="0"/>
                <w:kern w:val="0"/>
                <w:sz w:val="21"/>
                <w:szCs w:val="21"/>
                <w:highlight w:val="none"/>
                <w:u w:val="single"/>
                <w:lang w:eastAsia="zh-CN"/>
              </w:rPr>
              <w:t xml:space="preserve">        </w:t>
            </w:r>
          </w:p>
        </w:tc>
      </w:tr>
      <w:tr w14:paraId="3875B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9" w:hRule="atLeast"/>
        </w:trPr>
        <w:tc>
          <w:tcPr>
            <w:tcW w:w="582" w:type="dxa"/>
            <w:vAlign w:val="center"/>
          </w:tcPr>
          <w:p w14:paraId="52E3A44E">
            <w:pPr>
              <w:keepNext w:val="0"/>
              <w:keepLines w:val="0"/>
              <w:pageBreakBefore w:val="0"/>
              <w:wordWrap w:val="0"/>
              <w:overflowPunct/>
              <w:topLinePunct w:val="0"/>
              <w:bidi w:val="0"/>
              <w:spacing w:before="57" w:line="195"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17</w:t>
            </w:r>
          </w:p>
        </w:tc>
        <w:tc>
          <w:tcPr>
            <w:tcW w:w="1942" w:type="dxa"/>
            <w:vAlign w:val="center"/>
          </w:tcPr>
          <w:p w14:paraId="00EDC91B">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质量标准</w:t>
            </w:r>
          </w:p>
        </w:tc>
        <w:tc>
          <w:tcPr>
            <w:tcW w:w="7574" w:type="dxa"/>
            <w:vAlign w:val="top"/>
          </w:tcPr>
          <w:p w14:paraId="19B9A4E3">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符合现行国家有关工程施工质量验收规范和标准的要求，达到验收合格标准。</w:t>
            </w:r>
          </w:p>
        </w:tc>
      </w:tr>
      <w:tr w14:paraId="11C76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63" w:hRule="atLeast"/>
        </w:trPr>
        <w:tc>
          <w:tcPr>
            <w:tcW w:w="582" w:type="dxa"/>
            <w:vMerge w:val="restart"/>
            <w:vAlign w:val="center"/>
          </w:tcPr>
          <w:p w14:paraId="23A04CC2">
            <w:pPr>
              <w:keepNext w:val="0"/>
              <w:keepLines w:val="0"/>
              <w:pageBreakBefore w:val="0"/>
              <w:wordWrap w:val="0"/>
              <w:overflowPunct/>
              <w:topLinePunct w:val="0"/>
              <w:bidi w:val="0"/>
              <w:spacing w:before="57" w:line="195"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18</w:t>
            </w:r>
          </w:p>
        </w:tc>
        <w:tc>
          <w:tcPr>
            <w:tcW w:w="1942" w:type="dxa"/>
            <w:vMerge w:val="restart"/>
            <w:vAlign w:val="center"/>
          </w:tcPr>
          <w:p w14:paraId="7B29F944">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合同类型</w:t>
            </w:r>
          </w:p>
        </w:tc>
        <w:tc>
          <w:tcPr>
            <w:tcW w:w="7574" w:type="dxa"/>
            <w:vAlign w:val="top"/>
          </w:tcPr>
          <w:p w14:paraId="50847716">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☑单价合同：发承包双方约定以工程量清单及其综合单价进行合同价款计算、调整和确认的建设工程施工合同。</w:t>
            </w:r>
          </w:p>
          <w:p w14:paraId="0CD66A51">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注：实行工程量清单计价的工程，应采用单价合同方式，即合同中的工程量清单项目综合单价在合同约定的条件内固定不变（不正常报价除外，这部分按招标文件、合同约定的原则调整综合单价），超过合同约定条件时，依据合同约定进行调整；工程量清单项目及工程量依据承包人实际完成且应予计量的工程量确定。</w:t>
            </w:r>
          </w:p>
        </w:tc>
      </w:tr>
      <w:tr w14:paraId="3DF36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8" w:hRule="atLeast"/>
        </w:trPr>
        <w:tc>
          <w:tcPr>
            <w:tcW w:w="582" w:type="dxa"/>
            <w:vMerge w:val="continue"/>
            <w:vAlign w:val="center"/>
          </w:tcPr>
          <w:p w14:paraId="15BA7645">
            <w:pPr>
              <w:keepNext w:val="0"/>
              <w:keepLines w:val="0"/>
              <w:pageBreakBefore w:val="0"/>
              <w:wordWrap w:val="0"/>
              <w:overflowPunct/>
              <w:topLinePunct w:val="0"/>
              <w:bidi w:val="0"/>
              <w:spacing w:before="57" w:line="195" w:lineRule="auto"/>
              <w:jc w:val="center"/>
              <w:rPr>
                <w:rFonts w:hint="eastAsia" w:asciiTheme="minorEastAsia" w:hAnsiTheme="minorEastAsia" w:eastAsiaTheme="minorEastAsia" w:cstheme="minorEastAsia"/>
                <w:color w:val="auto"/>
                <w:spacing w:val="0"/>
                <w:sz w:val="21"/>
                <w:szCs w:val="21"/>
                <w:highlight w:val="none"/>
              </w:rPr>
            </w:pPr>
          </w:p>
        </w:tc>
        <w:tc>
          <w:tcPr>
            <w:tcW w:w="1942" w:type="dxa"/>
            <w:vMerge w:val="continue"/>
            <w:vAlign w:val="center"/>
          </w:tcPr>
          <w:p w14:paraId="7177227A">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p>
        </w:tc>
        <w:tc>
          <w:tcPr>
            <w:tcW w:w="7574" w:type="dxa"/>
            <w:vAlign w:val="top"/>
          </w:tcPr>
          <w:p w14:paraId="23AB0662">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 xml:space="preserve">□总价合同：发承包双方约定以施工图及其预算和有关条件进行合同价款计算、调整和确认的建设工程施工合同。 </w:t>
            </w:r>
          </w:p>
          <w:p w14:paraId="25742182">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注：总价合同是以施工图纸、规范为基础，在工程任务内容明确、发包人的要求条件清楚、计价标准和要求确定的条件下，发承包双方依据承包人编制的施工图预算商谈确定合同价款。当合同约定工程施工内容和有关条件不发生变化时，发包人付给承包人的工程价款总额保持不变。当工程施工内容和有关条件发生变化时，发承包双方根据变化情况和合同约定仅调整发生变化部分的工程价款，且对工程量变化引起的合同价款调整应遵循现行建设工程工程量清单计价标准原则。</w:t>
            </w:r>
          </w:p>
        </w:tc>
      </w:tr>
      <w:tr w14:paraId="369D8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2" w:hRule="atLeast"/>
        </w:trPr>
        <w:tc>
          <w:tcPr>
            <w:tcW w:w="582" w:type="dxa"/>
            <w:vAlign w:val="center"/>
          </w:tcPr>
          <w:p w14:paraId="5175D4EB">
            <w:pPr>
              <w:keepNext w:val="0"/>
              <w:keepLines w:val="0"/>
              <w:pageBreakBefore w:val="0"/>
              <w:wordWrap w:val="0"/>
              <w:overflowPunct/>
              <w:topLinePunct w:val="0"/>
              <w:bidi w:val="0"/>
              <w:spacing w:before="19"/>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19</w:t>
            </w:r>
          </w:p>
        </w:tc>
        <w:tc>
          <w:tcPr>
            <w:tcW w:w="1942" w:type="dxa"/>
            <w:vAlign w:val="center"/>
          </w:tcPr>
          <w:p w14:paraId="0A68B9A7">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房屋建筑工程绿色建筑标准</w:t>
            </w:r>
          </w:p>
        </w:tc>
        <w:tc>
          <w:tcPr>
            <w:tcW w:w="7574" w:type="dxa"/>
            <w:vAlign w:val="center"/>
          </w:tcPr>
          <w:p w14:paraId="19E6E438">
            <w:pPr>
              <w:keepNext w:val="0"/>
              <w:keepLines w:val="0"/>
              <w:pageBreakBefore w:val="0"/>
              <w:widowControl w:val="0"/>
              <w:kinsoku/>
              <w:wordWrap w:val="0"/>
              <w:overflowPunct/>
              <w:topLinePunct w:val="0"/>
              <w:autoSpaceDE/>
              <w:autoSpaceDN/>
              <w:bidi w:val="0"/>
              <w:adjustRightInd w:val="0"/>
              <w:snapToGrid w:val="0"/>
              <w:spacing w:line="400" w:lineRule="exact"/>
              <w:ind w:firstLine="210" w:firstLineChars="100"/>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本招标项目</w:t>
            </w:r>
            <w:r>
              <w:rPr>
                <w:rFonts w:hint="eastAsia" w:asciiTheme="minorEastAsia" w:hAnsiTheme="minorEastAsia" w:eastAsiaTheme="minorEastAsia" w:cstheme="minorEastAsia"/>
                <w:snapToGrid w:val="0"/>
                <w:color w:val="auto"/>
                <w:spacing w:val="0"/>
                <w:kern w:val="0"/>
                <w:sz w:val="21"/>
                <w:szCs w:val="21"/>
                <w:highlight w:val="none"/>
                <w:u w:val="single"/>
                <w:lang w:val="en-US" w:eastAsia="zh-CN"/>
              </w:rPr>
              <w:t>不</w:t>
            </w:r>
            <w:r>
              <w:rPr>
                <w:rFonts w:hint="eastAsia" w:asciiTheme="minorEastAsia" w:hAnsiTheme="minorEastAsia" w:eastAsiaTheme="minorEastAsia" w:cstheme="minorEastAsia"/>
                <w:snapToGrid w:val="0"/>
                <w:color w:val="auto"/>
                <w:spacing w:val="0"/>
                <w:kern w:val="0"/>
                <w:sz w:val="21"/>
                <w:szCs w:val="21"/>
                <w:highlight w:val="none"/>
                <w:lang w:eastAsia="zh-CN"/>
              </w:rPr>
              <w:t>纳入绿色建设实施范围。</w:t>
            </w:r>
          </w:p>
        </w:tc>
      </w:tr>
      <w:tr w14:paraId="30980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82" w:type="dxa"/>
            <w:vAlign w:val="center"/>
          </w:tcPr>
          <w:p w14:paraId="1957D3BC">
            <w:pPr>
              <w:keepNext w:val="0"/>
              <w:keepLines w:val="0"/>
              <w:pageBreakBefore w:val="0"/>
              <w:wordWrap w:val="0"/>
              <w:overflowPunct/>
              <w:topLinePunct w:val="0"/>
              <w:bidi w:val="0"/>
              <w:spacing w:before="58" w:line="195"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19. 1</w:t>
            </w:r>
          </w:p>
        </w:tc>
        <w:tc>
          <w:tcPr>
            <w:tcW w:w="1942" w:type="dxa"/>
            <w:vAlign w:val="center"/>
          </w:tcPr>
          <w:p w14:paraId="05282A01">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装配式建筑标准</w:t>
            </w:r>
          </w:p>
        </w:tc>
        <w:tc>
          <w:tcPr>
            <w:tcW w:w="7574" w:type="dxa"/>
            <w:vAlign w:val="center"/>
          </w:tcPr>
          <w:p w14:paraId="5103124B">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本招标项目</w:t>
            </w:r>
            <w:r>
              <w:rPr>
                <w:rFonts w:hint="eastAsia" w:asciiTheme="minorEastAsia" w:hAnsiTheme="minorEastAsia" w:eastAsiaTheme="minorEastAsia" w:cstheme="minorEastAsia"/>
                <w:snapToGrid w:val="0"/>
                <w:color w:val="auto"/>
                <w:spacing w:val="0"/>
                <w:kern w:val="0"/>
                <w:sz w:val="21"/>
                <w:szCs w:val="21"/>
                <w:highlight w:val="none"/>
                <w:u w:val="single"/>
                <w:lang w:val="en-US" w:eastAsia="zh-CN"/>
              </w:rPr>
              <w:t>不</w:t>
            </w:r>
            <w:r>
              <w:rPr>
                <w:rFonts w:hint="eastAsia" w:asciiTheme="minorEastAsia" w:hAnsiTheme="minorEastAsia" w:eastAsiaTheme="minorEastAsia" w:cstheme="minorEastAsia"/>
                <w:snapToGrid w:val="0"/>
                <w:color w:val="auto"/>
                <w:spacing w:val="0"/>
                <w:kern w:val="0"/>
                <w:sz w:val="21"/>
                <w:szCs w:val="21"/>
                <w:highlight w:val="none"/>
                <w:lang w:eastAsia="zh-CN"/>
              </w:rPr>
              <w:t>纳入装配式建造建设实施范围。</w:t>
            </w:r>
          </w:p>
        </w:tc>
      </w:tr>
      <w:tr w14:paraId="77733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82" w:type="dxa"/>
            <w:vAlign w:val="center"/>
          </w:tcPr>
          <w:p w14:paraId="396056C1">
            <w:pPr>
              <w:keepNext w:val="0"/>
              <w:keepLines w:val="0"/>
              <w:pageBreakBefore w:val="0"/>
              <w:wordWrap w:val="0"/>
              <w:overflowPunct/>
              <w:topLinePunct w:val="0"/>
              <w:bidi w:val="0"/>
              <w:spacing w:before="69" w:line="188"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20</w:t>
            </w:r>
          </w:p>
        </w:tc>
        <w:tc>
          <w:tcPr>
            <w:tcW w:w="1942" w:type="dxa"/>
            <w:vAlign w:val="center"/>
          </w:tcPr>
          <w:p w14:paraId="5179D0C2">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发包人提供材料和工程设备</w:t>
            </w:r>
          </w:p>
        </w:tc>
        <w:tc>
          <w:tcPr>
            <w:tcW w:w="7574" w:type="dxa"/>
            <w:vAlign w:val="center"/>
          </w:tcPr>
          <w:p w14:paraId="5F5D383C">
            <w:pPr>
              <w:keepNext w:val="0"/>
              <w:keepLines w:val="0"/>
              <w:pageBreakBefore w:val="0"/>
              <w:widowControl w:val="0"/>
              <w:kinsoku/>
              <w:wordWrap w:val="0"/>
              <w:overflowPunct/>
              <w:topLinePunct w:val="0"/>
              <w:autoSpaceDE/>
              <w:autoSpaceDN/>
              <w:bidi w:val="0"/>
              <w:adjustRightInd w:val="0"/>
              <w:snapToGrid w:val="0"/>
              <w:spacing w:line="400" w:lineRule="exact"/>
              <w:ind w:firstLine="210" w:firstLineChars="100"/>
              <w:jc w:val="both"/>
              <w:textAlignment w:val="auto"/>
              <w:rPr>
                <w:rFonts w:hint="default" w:asciiTheme="minorEastAsia" w:hAnsiTheme="minorEastAsia" w:eastAsiaTheme="minorEastAsia" w:cstheme="minorEastAsia"/>
                <w:snapToGrid w:val="0"/>
                <w:color w:val="auto"/>
                <w:spacing w:val="0"/>
                <w:kern w:val="0"/>
                <w:sz w:val="21"/>
                <w:szCs w:val="21"/>
                <w:highlight w:val="none"/>
                <w:u w:val="singl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发包人提供材料和工程设备： ☑无     □有：</w:t>
            </w:r>
            <w:r>
              <w:rPr>
                <w:rFonts w:hint="eastAsia" w:asciiTheme="minorEastAsia" w:hAnsiTheme="minorEastAsia" w:eastAsiaTheme="minorEastAsia" w:cstheme="minorEastAsia"/>
                <w:snapToGrid w:val="0"/>
                <w:color w:val="auto"/>
                <w:spacing w:val="0"/>
                <w:kern w:val="0"/>
                <w:sz w:val="21"/>
                <w:szCs w:val="21"/>
                <w:highlight w:val="none"/>
                <w:u w:val="single"/>
                <w:lang w:val="en-US" w:eastAsia="zh-CN"/>
              </w:rPr>
              <w:t xml:space="preserve">     </w:t>
            </w:r>
          </w:p>
        </w:tc>
      </w:tr>
      <w:tr w14:paraId="7ED2D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82" w:type="dxa"/>
            <w:vAlign w:val="center"/>
          </w:tcPr>
          <w:p w14:paraId="5E86E90A">
            <w:pPr>
              <w:keepNext w:val="0"/>
              <w:keepLines w:val="0"/>
              <w:pageBreakBefore w:val="0"/>
              <w:wordWrap w:val="0"/>
              <w:overflowPunct/>
              <w:topLinePunct w:val="0"/>
              <w:bidi w:val="0"/>
              <w:spacing w:before="69" w:line="188"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21</w:t>
            </w:r>
          </w:p>
        </w:tc>
        <w:tc>
          <w:tcPr>
            <w:tcW w:w="1942" w:type="dxa"/>
            <w:vAlign w:val="center"/>
          </w:tcPr>
          <w:p w14:paraId="13A0D124">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承包人提供材料和工程设备</w:t>
            </w:r>
          </w:p>
        </w:tc>
        <w:tc>
          <w:tcPr>
            <w:tcW w:w="7574" w:type="dxa"/>
            <w:vAlign w:val="top"/>
          </w:tcPr>
          <w:p w14:paraId="39338FC0">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除招标文件约定的发包人提供的甲供材料外，合同工程所需的材料和工程设备应由承包人负责采购、运输和保管，并对其采购的材料和工程设备提供质量证明文件，满足合同约定的质量标准。若承包人提供的材料和工程设备没有合格证明材料或经检测不符合合同约定的质量标准，应立即更换，由此增加的费用和（或）工期延误由承包人承担。对发包人要求检测承包人己具有合格证明的材料、工程设备，但经检测证明该项材料、工程设备符合合同约定的质量标准的，发包人应承担由此增加的费用和（或）工期延误，并向承包人支付合理利润。</w:t>
            </w:r>
          </w:p>
          <w:p w14:paraId="706F7870">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□其它说明：鼓励承包人积极采购环保产品进行施工。</w:t>
            </w:r>
          </w:p>
        </w:tc>
      </w:tr>
      <w:tr w14:paraId="673ED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11" w:hRule="atLeast"/>
        </w:trPr>
        <w:tc>
          <w:tcPr>
            <w:tcW w:w="582" w:type="dxa"/>
            <w:vAlign w:val="center"/>
          </w:tcPr>
          <w:p w14:paraId="0AECD916">
            <w:pPr>
              <w:keepNext w:val="0"/>
              <w:keepLines w:val="0"/>
              <w:pageBreakBefore w:val="0"/>
              <w:wordWrap w:val="0"/>
              <w:overflowPunct/>
              <w:topLinePunct w:val="0"/>
              <w:bidi w:val="0"/>
              <w:spacing w:before="69" w:line="188"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22</w:t>
            </w:r>
          </w:p>
        </w:tc>
        <w:tc>
          <w:tcPr>
            <w:tcW w:w="1942" w:type="dxa"/>
            <w:vAlign w:val="center"/>
          </w:tcPr>
          <w:p w14:paraId="4CA0EE5C">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default"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最高投标限价</w:t>
            </w:r>
          </w:p>
        </w:tc>
        <w:tc>
          <w:tcPr>
            <w:tcW w:w="7574" w:type="dxa"/>
            <w:vAlign w:val="center"/>
          </w:tcPr>
          <w:p w14:paraId="57E0E62C">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本项目最高投标限价、工程量清单、图纸最终以补充公告形式在开标前7天另行发布于相关网站，各投标人可在全国公共资源交易平台（广东省·韶关市）（https://ygp.gdzwfw.gov.cn/ggzy-portal/#/440200/index）自行下载。</w:t>
            </w:r>
          </w:p>
        </w:tc>
      </w:tr>
      <w:tr w14:paraId="09FC7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50" w:hRule="atLeast"/>
        </w:trPr>
        <w:tc>
          <w:tcPr>
            <w:tcW w:w="582" w:type="dxa"/>
            <w:vAlign w:val="center"/>
          </w:tcPr>
          <w:p w14:paraId="6FD4B691">
            <w:pPr>
              <w:keepNext w:val="0"/>
              <w:keepLines w:val="0"/>
              <w:pageBreakBefore w:val="0"/>
              <w:wordWrap w:val="0"/>
              <w:overflowPunct/>
              <w:topLinePunct w:val="0"/>
              <w:bidi w:val="0"/>
              <w:spacing w:before="69" w:line="188"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23</w:t>
            </w:r>
          </w:p>
        </w:tc>
        <w:tc>
          <w:tcPr>
            <w:tcW w:w="1942" w:type="dxa"/>
            <w:vAlign w:val="center"/>
          </w:tcPr>
          <w:p w14:paraId="726CC599">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投标人的投标报价</w:t>
            </w:r>
          </w:p>
        </w:tc>
        <w:tc>
          <w:tcPr>
            <w:tcW w:w="7574" w:type="dxa"/>
            <w:vAlign w:val="center"/>
          </w:tcPr>
          <w:p w14:paraId="7EE4A704">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投标人投标时响应招标文件要求所报出的对已标价工程量清单汇总后标明的总价。投标人在投标报价填写的工程量清单的项目编码、项目名称、项目特征、计量单位、工程数量必须与招标人招标文件中提供的一致，投标价不能低于工程成本、高于最高投标限价。</w:t>
            </w:r>
          </w:p>
          <w:p w14:paraId="62EC11E4">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default"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投标报价方式： ☑工程量清单报</w:t>
            </w:r>
            <w:r>
              <w:rPr>
                <w:rFonts w:hint="eastAsia" w:asciiTheme="minorEastAsia" w:hAnsiTheme="minorEastAsia" w:eastAsiaTheme="minorEastAsia" w:cstheme="minorEastAsia"/>
                <w:snapToGrid w:val="0"/>
                <w:color w:val="auto"/>
                <w:spacing w:val="0"/>
                <w:kern w:val="0"/>
                <w:sz w:val="21"/>
                <w:szCs w:val="21"/>
                <w:highlight w:val="none"/>
                <w:lang w:val="en-US" w:eastAsia="zh-CN"/>
              </w:rPr>
              <w:t>价  □其他：</w:t>
            </w:r>
          </w:p>
          <w:p w14:paraId="04576C07">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投标报价时，应按《广东省建设工程计价依据（2018）》规定的费率报价，若招标工程量清单明确说明不计算预算包干费或另外确定预算包干费费率的，则按招标工程量清单报价。</w:t>
            </w:r>
          </w:p>
        </w:tc>
      </w:tr>
      <w:tr w14:paraId="14932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trPr>
        <w:tc>
          <w:tcPr>
            <w:tcW w:w="582" w:type="dxa"/>
            <w:vAlign w:val="center"/>
          </w:tcPr>
          <w:p w14:paraId="111A6A46">
            <w:pPr>
              <w:keepNext w:val="0"/>
              <w:keepLines w:val="0"/>
              <w:pageBreakBefore w:val="0"/>
              <w:wordWrap w:val="0"/>
              <w:overflowPunct/>
              <w:topLinePunct w:val="0"/>
              <w:bidi w:val="0"/>
              <w:spacing w:before="69" w:line="188"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24</w:t>
            </w:r>
          </w:p>
        </w:tc>
        <w:tc>
          <w:tcPr>
            <w:tcW w:w="1942" w:type="dxa"/>
            <w:vAlign w:val="center"/>
          </w:tcPr>
          <w:p w14:paraId="3DDABA5F">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投标报价风险</w:t>
            </w:r>
          </w:p>
        </w:tc>
        <w:tc>
          <w:tcPr>
            <w:tcW w:w="7574" w:type="dxa"/>
            <w:vAlign w:val="center"/>
          </w:tcPr>
          <w:p w14:paraId="79CB7B6F">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□投标人依据招标文件约定自行考虑风险因素，一旦中标，投标报价（合同价）除合同另有约定外将不因市场变化而调整。</w:t>
            </w:r>
          </w:p>
          <w:p w14:paraId="44ABD220">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☑投标报价中应包括工程量清单项目所发生的人工费、材料费、机具费、管理费、利润、措施项目费、其它项目费、税金、暂列金额、暂估价以及所有风险、责任等各项费用。</w:t>
            </w:r>
          </w:p>
          <w:p w14:paraId="788F5795">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☑人工费、材料费、机具费、管理费、利润、措施项目费（不含安全生产措施费）投标人漏报或不报，招标人视为有关费用 已包括在工程量清单项目的其它单价及合价中不予另外增加。</w:t>
            </w:r>
          </w:p>
          <w:p w14:paraId="75494CA2">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☑措施项目中的安全生产措施费，必须按国家、省级、市级（即工程所在地）行业建设主管部门的规定计算，不得作为竞争性费用。</w:t>
            </w:r>
          </w:p>
          <w:p w14:paraId="46D53994">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☑投标人应按照招标文件提供的工程量清单逐项填写单价和合价，投标人未填写的项目，招标人将视为此项费用已包括在工程量清单项目的其它单价及合价中不予另外增加。</w:t>
            </w:r>
          </w:p>
          <w:p w14:paraId="08E7429E">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☑招标人向投标人提供的有关施工现场资料及数据，是招标人现有的能使投标人利用的资料，招标人对投标人据此作出的推论及理解概不负责。</w:t>
            </w:r>
          </w:p>
          <w:p w14:paraId="28517757">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投标人应依据招标人提供的所有资料和自己对现场查勘来编制投标文件，并对招标人提供的所有资料的理解、推断和应用负责。在投标人提交其投标文件之前，视为已经考虑了现场及其周围环境的影响，中标后，不得以不完全了解现场情况为理由提出追加款项或者延长工期等索赔的要求。</w:t>
            </w:r>
          </w:p>
          <w:p w14:paraId="5E9B0729">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☑错漏项的认定。中标人已标价工程量清单中，任一清单项目未填报价格或价格为零的，招标人将视为此项费用已包括在工程量清单项目的其它单价及合价中不予另外增加。</w:t>
            </w:r>
          </w:p>
        </w:tc>
      </w:tr>
      <w:tr w14:paraId="4757F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7" w:hRule="atLeast"/>
        </w:trPr>
        <w:tc>
          <w:tcPr>
            <w:tcW w:w="582" w:type="dxa"/>
            <w:vAlign w:val="center"/>
          </w:tcPr>
          <w:p w14:paraId="188A493D">
            <w:pPr>
              <w:keepNext w:val="0"/>
              <w:keepLines w:val="0"/>
              <w:pageBreakBefore w:val="0"/>
              <w:wordWrap w:val="0"/>
              <w:overflowPunct/>
              <w:topLinePunct w:val="0"/>
              <w:bidi w:val="0"/>
              <w:spacing w:before="284" w:line="188"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25</w:t>
            </w:r>
          </w:p>
        </w:tc>
        <w:tc>
          <w:tcPr>
            <w:tcW w:w="1942" w:type="dxa"/>
            <w:vAlign w:val="center"/>
          </w:tcPr>
          <w:p w14:paraId="1069EEAC">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投标费用</w:t>
            </w:r>
          </w:p>
        </w:tc>
        <w:tc>
          <w:tcPr>
            <w:tcW w:w="7574" w:type="dxa"/>
            <w:vAlign w:val="center"/>
          </w:tcPr>
          <w:p w14:paraId="5B8B7D9A">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投标人自行承担编制与递交投标文件的一切费用。</w:t>
            </w:r>
          </w:p>
        </w:tc>
      </w:tr>
      <w:tr w14:paraId="6CDE1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82" w:type="dxa"/>
            <w:vAlign w:val="center"/>
          </w:tcPr>
          <w:p w14:paraId="3E4CF00A">
            <w:pPr>
              <w:keepNext w:val="0"/>
              <w:keepLines w:val="0"/>
              <w:pageBreakBefore w:val="0"/>
              <w:wordWrap w:val="0"/>
              <w:overflowPunct/>
              <w:topLinePunct w:val="0"/>
              <w:bidi w:val="0"/>
              <w:spacing w:before="69" w:line="188"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26</w:t>
            </w:r>
          </w:p>
        </w:tc>
        <w:tc>
          <w:tcPr>
            <w:tcW w:w="1942" w:type="dxa"/>
            <w:vAlign w:val="center"/>
          </w:tcPr>
          <w:p w14:paraId="64E24216">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投标人资格要求</w:t>
            </w:r>
          </w:p>
        </w:tc>
        <w:tc>
          <w:tcPr>
            <w:tcW w:w="7574" w:type="dxa"/>
            <w:vAlign w:val="center"/>
          </w:tcPr>
          <w:p w14:paraId="0EB7F0A3">
            <w:pPr>
              <w:wordWrap w:val="0"/>
              <w:adjustRightInd w:val="0"/>
              <w:snapToGrid w:val="0"/>
              <w:spacing w:line="400" w:lineRule="exact"/>
              <w:ind w:firstLine="210" w:firstLineChars="100"/>
              <w:rPr>
                <w:rFonts w:hint="eastAsia" w:ascii="宋体" w:hAnsi="宋体" w:eastAsia="宋体" w:cs="宋体"/>
                <w:snapToGrid w:val="0"/>
                <w:color w:val="auto"/>
                <w:kern w:val="0"/>
                <w:sz w:val="21"/>
                <w:szCs w:val="24"/>
                <w:highlight w:val="none"/>
              </w:rPr>
            </w:pPr>
            <w:r>
              <w:rPr>
                <w:rFonts w:hint="eastAsia" w:ascii="宋体" w:hAnsi="宋体" w:eastAsia="宋体" w:cs="宋体"/>
                <w:snapToGrid w:val="0"/>
                <w:color w:val="auto"/>
                <w:kern w:val="0"/>
                <w:sz w:val="21"/>
                <w:szCs w:val="24"/>
                <w:highlight w:val="none"/>
              </w:rPr>
              <w:t>1．本次招标</w:t>
            </w:r>
            <w:r>
              <w:rPr>
                <w:rFonts w:hint="eastAsia" w:ascii="宋体" w:hAnsi="宋体" w:eastAsia="宋体" w:cs="宋体"/>
                <w:b/>
                <w:bCs/>
                <w:snapToGrid w:val="0"/>
                <w:color w:val="auto"/>
                <w:kern w:val="0"/>
                <w:sz w:val="21"/>
                <w:szCs w:val="24"/>
                <w:highlight w:val="none"/>
                <w:u w:val="single"/>
                <w:lang w:val="en-US" w:eastAsia="zh-CN"/>
              </w:rPr>
              <w:t>不</w:t>
            </w:r>
            <w:r>
              <w:rPr>
                <w:rFonts w:hint="eastAsia" w:ascii="宋体" w:hAnsi="宋体" w:eastAsia="宋体" w:cs="宋体"/>
                <w:b/>
                <w:bCs/>
                <w:snapToGrid w:val="0"/>
                <w:color w:val="auto"/>
                <w:kern w:val="0"/>
                <w:sz w:val="21"/>
                <w:szCs w:val="24"/>
                <w:highlight w:val="none"/>
                <w:u w:val="single"/>
              </w:rPr>
              <w:t>接受</w:t>
            </w:r>
            <w:r>
              <w:rPr>
                <w:rFonts w:hint="eastAsia" w:ascii="宋体" w:hAnsi="宋体" w:eastAsia="宋体" w:cs="宋体"/>
                <w:snapToGrid w:val="0"/>
                <w:color w:val="auto"/>
                <w:kern w:val="0"/>
                <w:sz w:val="21"/>
                <w:szCs w:val="24"/>
                <w:highlight w:val="none"/>
              </w:rPr>
              <w:t>联合体投标。</w:t>
            </w:r>
          </w:p>
          <w:p w14:paraId="0B0AF700">
            <w:pPr>
              <w:wordWrap w:val="0"/>
              <w:adjustRightInd w:val="0"/>
              <w:snapToGrid w:val="0"/>
              <w:spacing w:line="400" w:lineRule="exact"/>
              <w:ind w:firstLine="211" w:firstLineChars="100"/>
              <w:jc w:val="left"/>
              <w:rPr>
                <w:rFonts w:hint="eastAsia" w:ascii="宋体" w:hAnsi="宋体" w:eastAsia="宋体" w:cs="宋体"/>
                <w:b/>
                <w:bCs/>
                <w:snapToGrid w:val="0"/>
                <w:color w:val="auto"/>
                <w:kern w:val="0"/>
                <w:sz w:val="21"/>
                <w:highlight w:val="none"/>
              </w:rPr>
            </w:pPr>
            <w:r>
              <w:rPr>
                <w:rFonts w:hint="eastAsia" w:ascii="宋体" w:hAnsi="宋体" w:eastAsia="宋体" w:cs="宋体"/>
                <w:b/>
                <w:bCs/>
                <w:snapToGrid w:val="0"/>
                <w:color w:val="auto"/>
                <w:kern w:val="0"/>
                <w:sz w:val="21"/>
                <w:highlight w:val="none"/>
              </w:rPr>
              <w:t>2．</w:t>
            </w:r>
            <w:r>
              <w:rPr>
                <w:rFonts w:hint="eastAsia" w:ascii="宋体" w:hAnsi="宋体" w:eastAsia="宋体" w:cs="宋体"/>
                <w:b/>
                <w:bCs/>
                <w:color w:val="auto"/>
                <w:sz w:val="21"/>
                <w:szCs w:val="21"/>
                <w:highlight w:val="none"/>
              </w:rPr>
              <w:t>资格资质要求</w:t>
            </w:r>
          </w:p>
          <w:p w14:paraId="122AEACA">
            <w:pPr>
              <w:wordWrap w:val="0"/>
              <w:adjustRightInd w:val="0"/>
              <w:snapToGrid w:val="0"/>
              <w:spacing w:line="400" w:lineRule="exact"/>
              <w:ind w:firstLine="420" w:firstLineChars="200"/>
              <w:jc w:val="left"/>
              <w:rPr>
                <w:rFonts w:ascii="Times New Roman"/>
                <w:snapToGrid w:val="0"/>
                <w:color w:val="auto"/>
                <w:kern w:val="0"/>
                <w:szCs w:val="24"/>
                <w:highlight w:val="none"/>
              </w:rPr>
            </w:pPr>
            <w:r>
              <w:rPr>
                <w:rFonts w:hint="eastAsia" w:ascii="Times New Roman"/>
                <w:snapToGrid w:val="0"/>
                <w:color w:val="auto"/>
                <w:kern w:val="0"/>
                <w:szCs w:val="24"/>
                <w:highlight w:val="none"/>
              </w:rPr>
              <w:t>2.1 投标人须具备独立法人资格，按国家法律经营。</w:t>
            </w:r>
          </w:p>
          <w:p w14:paraId="7E98614A">
            <w:pPr>
              <w:wordWrap w:val="0"/>
              <w:adjustRightInd w:val="0"/>
              <w:snapToGrid w:val="0"/>
              <w:spacing w:line="400" w:lineRule="exact"/>
              <w:ind w:firstLine="420" w:firstLineChars="200"/>
              <w:jc w:val="left"/>
              <w:rPr>
                <w:rFonts w:ascii="Times New Roman"/>
                <w:snapToGrid w:val="0"/>
                <w:color w:val="auto"/>
                <w:kern w:val="0"/>
                <w:szCs w:val="24"/>
                <w:highlight w:val="none"/>
              </w:rPr>
            </w:pPr>
            <w:r>
              <w:rPr>
                <w:rFonts w:hint="eastAsia" w:ascii="Times New Roman"/>
                <w:snapToGrid w:val="0"/>
                <w:color w:val="auto"/>
                <w:kern w:val="0"/>
                <w:szCs w:val="24"/>
                <w:highlight w:val="none"/>
              </w:rPr>
              <w:t>2.2 投标人须持有建设行政主管部门颁发的企业资质证书及安全生产许可证。</w:t>
            </w:r>
          </w:p>
          <w:p w14:paraId="7EA4B3EB">
            <w:pPr>
              <w:keepNext w:val="0"/>
              <w:keepLines w:val="0"/>
              <w:pageBreakBefore w:val="0"/>
              <w:widowControl/>
              <w:suppressLineNumbers w:val="0"/>
              <w:kinsoku/>
              <w:wordWrap/>
              <w:overflowPunct/>
              <w:topLinePunct w:val="0"/>
              <w:autoSpaceDE/>
              <w:autoSpaceDN/>
              <w:bidi w:val="0"/>
              <w:adjustRightInd/>
              <w:snapToGrid/>
              <w:spacing w:line="420" w:lineRule="exact"/>
              <w:ind w:firstLine="420" w:firstLineChars="200"/>
              <w:jc w:val="left"/>
              <w:textAlignment w:val="center"/>
              <w:rPr>
                <w:rFonts w:hint="eastAsia" w:ascii="宋体" w:hAnsi="宋体" w:eastAsia="宋体" w:cs="宋体"/>
                <w:color w:val="auto"/>
                <w:kern w:val="0"/>
                <w:sz w:val="21"/>
                <w:szCs w:val="21"/>
                <w:highlight w:val="none"/>
                <w:u w:val="single"/>
              </w:rPr>
            </w:pPr>
            <w:r>
              <w:rPr>
                <w:rFonts w:hint="eastAsia" w:ascii="Times New Roman"/>
                <w:snapToGrid w:val="0"/>
                <w:color w:val="auto"/>
                <w:kern w:val="0"/>
                <w:szCs w:val="24"/>
                <w:highlight w:val="none"/>
              </w:rPr>
              <w:t>2.3 投标人须具备以下资质：</w:t>
            </w:r>
            <w:r>
              <w:rPr>
                <w:rFonts w:hint="eastAsia" w:ascii="宋体" w:hAnsi="宋体" w:eastAsia="宋体" w:cs="宋体"/>
                <w:color w:val="auto"/>
                <w:kern w:val="0"/>
                <w:sz w:val="24"/>
                <w:szCs w:val="24"/>
                <w:highlight w:val="none"/>
              </w:rPr>
              <w:t>：</w:t>
            </w:r>
            <w:r>
              <w:rPr>
                <w:rFonts w:hint="eastAsia" w:ascii="宋体" w:hAnsi="宋体" w:eastAsia="宋体" w:cs="宋体"/>
                <w:b/>
                <w:bCs/>
                <w:snapToGrid w:val="0"/>
                <w:color w:val="auto"/>
                <w:kern w:val="0"/>
                <w:sz w:val="21"/>
                <w:szCs w:val="21"/>
                <w:highlight w:val="none"/>
                <w:u w:val="single"/>
                <w:lang w:val="en-US" w:eastAsia="zh-CN"/>
              </w:rPr>
              <w:t>具备建设行政主管部门颁发的有效的市政公用工程施工总承包三级以上（含三级）资质或建筑工程施工总承包三级以上（含三级）资质</w:t>
            </w:r>
            <w:r>
              <w:rPr>
                <w:rFonts w:hint="eastAsia" w:ascii="宋体" w:hAnsi="宋体" w:eastAsia="宋体" w:cs="宋体"/>
                <w:color w:val="auto"/>
                <w:kern w:val="0"/>
                <w:sz w:val="21"/>
                <w:szCs w:val="21"/>
                <w:highlight w:val="none"/>
                <w:u w:val="single"/>
              </w:rPr>
              <w:t>。</w:t>
            </w:r>
          </w:p>
          <w:p w14:paraId="61D93B30">
            <w:pPr>
              <w:wordWrap w:val="0"/>
              <w:adjustRightInd w:val="0"/>
              <w:snapToGrid w:val="0"/>
              <w:spacing w:line="400" w:lineRule="exact"/>
              <w:ind w:firstLine="420" w:firstLineChars="200"/>
              <w:jc w:val="left"/>
              <w:rPr>
                <w:rFonts w:ascii="Times New Roman"/>
                <w:snapToGrid w:val="0"/>
                <w:color w:val="auto"/>
                <w:kern w:val="0"/>
                <w:szCs w:val="24"/>
                <w:highlight w:val="none"/>
                <w:u w:val="none"/>
              </w:rPr>
            </w:pPr>
            <w:r>
              <w:rPr>
                <w:rFonts w:hint="eastAsia" w:ascii="Times New Roman"/>
                <w:snapToGrid w:val="0"/>
                <w:color w:val="auto"/>
                <w:kern w:val="0"/>
                <w:szCs w:val="24"/>
                <w:highlight w:val="none"/>
                <w:u w:val="none"/>
              </w:rPr>
              <w:t>。</w:t>
            </w:r>
          </w:p>
          <w:p w14:paraId="51AB695F">
            <w:pPr>
              <w:wordWrap w:val="0"/>
              <w:adjustRightInd w:val="0"/>
              <w:snapToGrid w:val="0"/>
              <w:spacing w:line="400" w:lineRule="exact"/>
              <w:ind w:firstLine="420" w:firstLineChars="200"/>
              <w:jc w:val="left"/>
              <w:rPr>
                <w:rFonts w:ascii="Times New Roman"/>
                <w:snapToGrid w:val="0"/>
                <w:color w:val="auto"/>
                <w:kern w:val="0"/>
                <w:szCs w:val="24"/>
                <w:highlight w:val="none"/>
              </w:rPr>
            </w:pPr>
            <w:r>
              <w:rPr>
                <w:rFonts w:hint="eastAsia" w:ascii="Times New Roman"/>
                <w:snapToGrid w:val="0"/>
                <w:color w:val="auto"/>
                <w:kern w:val="0"/>
                <w:szCs w:val="24"/>
                <w:highlight w:val="none"/>
              </w:rPr>
              <w:t xml:space="preserve">2.4 </w:t>
            </w:r>
            <w:r>
              <w:rPr>
                <w:rFonts w:hint="eastAsia"/>
                <w:color w:val="auto"/>
                <w:highlight w:val="none"/>
              </w:rPr>
              <w:t>根据有关文件精神，投标人的企业相关证书到期的，均按该证书的发证机构相关行业主管部门最新文件执行（如自动顺延或推迟办理延期业务的通知），投标人必须将相关文件附在该证书后面中，证明在开标日继续有效</w:t>
            </w:r>
            <w:r>
              <w:rPr>
                <w:color w:val="auto"/>
                <w:highlight w:val="none"/>
              </w:rPr>
              <w:t>。</w:t>
            </w:r>
          </w:p>
          <w:p w14:paraId="2887B0B8">
            <w:pPr>
              <w:wordWrap w:val="0"/>
              <w:adjustRightInd w:val="0"/>
              <w:snapToGrid w:val="0"/>
              <w:spacing w:line="400" w:lineRule="exact"/>
              <w:ind w:firstLine="420" w:firstLineChars="200"/>
              <w:rPr>
                <w:rFonts w:ascii="Times New Roman"/>
                <w:snapToGrid w:val="0"/>
                <w:color w:val="auto"/>
                <w:kern w:val="0"/>
                <w:szCs w:val="24"/>
                <w:highlight w:val="none"/>
              </w:rPr>
            </w:pPr>
            <w:r>
              <w:rPr>
                <w:rFonts w:hint="eastAsia" w:ascii="Times New Roman"/>
                <w:snapToGrid w:val="0"/>
                <w:color w:val="auto"/>
                <w:kern w:val="0"/>
                <w:szCs w:val="24"/>
                <w:highlight w:val="none"/>
              </w:rPr>
              <w:t>3．相关人员要求</w:t>
            </w:r>
          </w:p>
          <w:p w14:paraId="5ED80D1A">
            <w:pPr>
              <w:wordWrap w:val="0"/>
              <w:adjustRightInd w:val="0"/>
              <w:snapToGrid w:val="0"/>
              <w:spacing w:line="400" w:lineRule="exact"/>
              <w:ind w:firstLine="420" w:firstLineChars="200"/>
              <w:rPr>
                <w:rFonts w:ascii="Times New Roman"/>
                <w:snapToGrid w:val="0"/>
                <w:color w:val="auto"/>
                <w:kern w:val="0"/>
                <w:szCs w:val="24"/>
                <w:highlight w:val="none"/>
              </w:rPr>
            </w:pPr>
            <w:r>
              <w:rPr>
                <w:rFonts w:hint="eastAsia" w:ascii="Times New Roman"/>
                <w:snapToGrid w:val="0"/>
                <w:color w:val="auto"/>
                <w:kern w:val="0"/>
                <w:szCs w:val="24"/>
                <w:highlight w:val="none"/>
              </w:rPr>
              <w:t>3.1 拟派项目经理为</w:t>
            </w:r>
            <w:r>
              <w:rPr>
                <w:rFonts w:hint="eastAsia" w:ascii="宋体" w:hAnsi="宋体" w:eastAsia="宋体" w:cs="宋体"/>
                <w:b/>
                <w:bCs/>
                <w:snapToGrid w:val="0"/>
                <w:color w:val="auto"/>
                <w:kern w:val="0"/>
                <w:sz w:val="21"/>
                <w:szCs w:val="21"/>
                <w:highlight w:val="none"/>
                <w:u w:val="single"/>
                <w:lang w:val="en-US" w:eastAsia="zh-CN"/>
              </w:rPr>
              <w:t>市政公用工程或建筑工程</w:t>
            </w:r>
            <w:r>
              <w:rPr>
                <w:rFonts w:hint="eastAsia" w:ascii="宋体" w:hAnsi="宋体" w:eastAsia="宋体" w:cs="宋体"/>
                <w:b w:val="0"/>
                <w:bCs w:val="0"/>
                <w:snapToGrid w:val="0"/>
                <w:color w:val="auto"/>
                <w:kern w:val="0"/>
                <w:sz w:val="24"/>
                <w:szCs w:val="24"/>
                <w:highlight w:val="none"/>
                <w:u w:val="none"/>
                <w:lang w:val="en-US" w:eastAsia="zh-CN"/>
              </w:rPr>
              <w:t>一级或</w:t>
            </w:r>
            <w:r>
              <w:rPr>
                <w:rFonts w:hint="eastAsia" w:ascii="Times New Roman"/>
                <w:snapToGrid w:val="0"/>
                <w:color w:val="auto"/>
                <w:kern w:val="0"/>
                <w:szCs w:val="24"/>
                <w:highlight w:val="none"/>
              </w:rPr>
              <w:t>二级注册建造师，应持有住建部门印发的在使用有效期内的有效电子注册证书，同时须具备有效安全生产考核合格证明（B证，安全生产考核合格证书或“广东省建筑施工企业管理人员安全生产考核信息系统”考核合格信息打印页），且未担任其他在施（包括已中标未开工、已建成未竣工）建设工程项目的项目经理。</w:t>
            </w:r>
          </w:p>
          <w:p w14:paraId="61800AB6">
            <w:pPr>
              <w:wordWrap w:val="0"/>
              <w:adjustRightInd w:val="0"/>
              <w:snapToGrid w:val="0"/>
              <w:spacing w:line="400" w:lineRule="exact"/>
              <w:rPr>
                <w:rFonts w:ascii="Times New Roman"/>
                <w:snapToGrid w:val="0"/>
                <w:color w:val="auto"/>
                <w:kern w:val="0"/>
                <w:szCs w:val="24"/>
                <w:highlight w:val="none"/>
              </w:rPr>
            </w:pPr>
            <w:r>
              <w:rPr>
                <w:rFonts w:hint="eastAsia" w:ascii="Times New Roman"/>
                <w:snapToGrid w:val="0"/>
                <w:color w:val="auto"/>
                <w:kern w:val="0"/>
                <w:szCs w:val="24"/>
                <w:highlight w:val="none"/>
              </w:rPr>
              <w:t xml:space="preserve">    3.2 拟派项目技术负责人须具备</w:t>
            </w:r>
            <w:r>
              <w:rPr>
                <w:rFonts w:hint="eastAsia" w:ascii="宋体" w:hAnsi="宋体" w:eastAsia="宋体" w:cs="宋体"/>
                <w:b/>
                <w:bCs/>
                <w:color w:val="auto"/>
                <w:sz w:val="21"/>
                <w:szCs w:val="21"/>
                <w:highlight w:val="none"/>
                <w:u w:val="single"/>
                <w:lang w:val="en-US" w:eastAsia="zh-CN"/>
              </w:rPr>
              <w:t>工程类</w:t>
            </w:r>
            <w:r>
              <w:rPr>
                <w:rFonts w:hint="eastAsia" w:ascii="Times New Roman"/>
                <w:snapToGrid w:val="0"/>
                <w:color w:val="auto"/>
                <w:kern w:val="0"/>
                <w:szCs w:val="24"/>
                <w:highlight w:val="none"/>
              </w:rPr>
              <w:t>专业</w:t>
            </w:r>
            <w:r>
              <w:rPr>
                <w:rFonts w:hint="eastAsia" w:ascii="Times New Roman"/>
                <w:snapToGrid w:val="0"/>
                <w:color w:val="auto"/>
                <w:kern w:val="0"/>
                <w:szCs w:val="24"/>
                <w:highlight w:val="none"/>
                <w:u w:val="single"/>
              </w:rPr>
              <w:t xml:space="preserve"> 中 </w:t>
            </w:r>
            <w:r>
              <w:rPr>
                <w:rFonts w:hint="eastAsia" w:ascii="Times New Roman"/>
                <w:snapToGrid w:val="0"/>
                <w:color w:val="auto"/>
                <w:kern w:val="0"/>
                <w:szCs w:val="24"/>
                <w:highlight w:val="none"/>
              </w:rPr>
              <w:t>级以上技术职称。</w:t>
            </w:r>
          </w:p>
          <w:p w14:paraId="2A328C96">
            <w:pPr>
              <w:wordWrap w:val="0"/>
              <w:adjustRightInd w:val="0"/>
              <w:snapToGrid w:val="0"/>
              <w:spacing w:line="400" w:lineRule="exact"/>
              <w:ind w:firstLine="480"/>
              <w:rPr>
                <w:rFonts w:hint="eastAsia" w:ascii="Times New Roman"/>
                <w:snapToGrid w:val="0"/>
                <w:color w:val="auto"/>
                <w:kern w:val="0"/>
                <w:szCs w:val="24"/>
                <w:highlight w:val="none"/>
              </w:rPr>
            </w:pPr>
            <w:r>
              <w:rPr>
                <w:rFonts w:hint="eastAsia" w:ascii="Times New Roman"/>
                <w:snapToGrid w:val="0"/>
                <w:color w:val="auto"/>
                <w:kern w:val="0"/>
                <w:szCs w:val="24"/>
                <w:highlight w:val="none"/>
              </w:rPr>
              <w:t>3.3 拟派专职安全生产管理人员须具备有效安全生产考核合格证明（C证，安全生产考核合格证书或“广东省建筑施工企业管理人员安全生产考核信息系统”考核合格信息打印页），且不少于</w:t>
            </w:r>
            <w:r>
              <w:rPr>
                <w:rFonts w:hint="eastAsia" w:ascii="Times New Roman"/>
                <w:snapToGrid w:val="0"/>
                <w:color w:val="auto"/>
                <w:kern w:val="0"/>
                <w:szCs w:val="24"/>
                <w:highlight w:val="none"/>
                <w:u w:val="single"/>
              </w:rPr>
              <w:t xml:space="preserve">1 </w:t>
            </w:r>
            <w:r>
              <w:rPr>
                <w:rFonts w:hint="eastAsia" w:ascii="Times New Roman"/>
                <w:snapToGrid w:val="0"/>
                <w:color w:val="auto"/>
                <w:kern w:val="0"/>
                <w:szCs w:val="24"/>
                <w:highlight w:val="none"/>
              </w:rPr>
              <w:t xml:space="preserve">人。    </w:t>
            </w:r>
          </w:p>
          <w:p w14:paraId="7B259FDC">
            <w:pPr>
              <w:wordWrap w:val="0"/>
              <w:adjustRightInd w:val="0"/>
              <w:snapToGrid w:val="0"/>
              <w:spacing w:line="400" w:lineRule="exact"/>
              <w:ind w:firstLine="480"/>
              <w:rPr>
                <w:rFonts w:ascii="Times New Roman"/>
                <w:snapToGrid w:val="0"/>
                <w:color w:val="auto"/>
                <w:kern w:val="0"/>
                <w:szCs w:val="24"/>
                <w:highlight w:val="none"/>
              </w:rPr>
            </w:pPr>
            <w:r>
              <w:rPr>
                <w:rFonts w:hint="eastAsia" w:ascii="Times New Roman"/>
                <w:snapToGrid w:val="0"/>
                <w:color w:val="auto"/>
                <w:kern w:val="0"/>
                <w:szCs w:val="24"/>
                <w:highlight w:val="none"/>
              </w:rPr>
              <w:t>3.4 投标人与其拟派往本项目管理机构的所有人员之间必须具备合法、唯一的劳动聘用关系。拟派人员中具备注册执业资格的，其注册单位须与投标人保持一致。</w:t>
            </w:r>
          </w:p>
          <w:p w14:paraId="72E813DD">
            <w:pPr>
              <w:widowControl w:val="0"/>
              <w:kinsoku/>
              <w:wordWrap w:val="0"/>
              <w:autoSpaceDE/>
              <w:autoSpaceDN/>
              <w:spacing w:line="400" w:lineRule="exact"/>
              <w:ind w:firstLine="191" w:firstLineChars="91"/>
              <w:jc w:val="both"/>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4 ．禁止投标条款：</w:t>
            </w:r>
          </w:p>
          <w:p w14:paraId="70A7617C">
            <w:pPr>
              <w:widowControl w:val="0"/>
              <w:kinsoku/>
              <w:wordWrap w:val="0"/>
              <w:autoSpaceDE/>
              <w:autoSpaceDN/>
              <w:spacing w:line="400" w:lineRule="exact"/>
              <w:ind w:firstLine="191" w:firstLineChars="91"/>
              <w:jc w:val="both"/>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4.1  投标人不得存在下列情形之一：</w:t>
            </w:r>
          </w:p>
          <w:p w14:paraId="369DF823">
            <w:pPr>
              <w:widowControl w:val="0"/>
              <w:kinsoku/>
              <w:wordWrap w:val="0"/>
              <w:autoSpaceDE/>
              <w:autoSpaceDN/>
              <w:spacing w:line="400" w:lineRule="exact"/>
              <w:ind w:firstLine="191" w:firstLineChars="91"/>
              <w:jc w:val="both"/>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（1）为招标人不具有独立法人资格的附属机构（单位）；</w:t>
            </w:r>
          </w:p>
          <w:p w14:paraId="73BC8C58">
            <w:pPr>
              <w:widowControl w:val="0"/>
              <w:kinsoku/>
              <w:wordWrap w:val="0"/>
              <w:autoSpaceDE/>
              <w:autoSpaceDN/>
              <w:spacing w:line="400" w:lineRule="exact"/>
              <w:ind w:firstLine="191" w:firstLineChars="91"/>
              <w:jc w:val="both"/>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（2）为本招标项目前期准备提供设计或咨询服务的；</w:t>
            </w:r>
          </w:p>
          <w:p w14:paraId="7B41ACD2">
            <w:pPr>
              <w:widowControl w:val="0"/>
              <w:kinsoku/>
              <w:wordWrap w:val="0"/>
              <w:autoSpaceDE/>
              <w:autoSpaceDN/>
              <w:spacing w:line="400" w:lineRule="exact"/>
              <w:ind w:firstLine="191" w:firstLineChars="91"/>
              <w:jc w:val="both"/>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（3）与本招标项目的其他投标人为同一个单位负责人；</w:t>
            </w:r>
          </w:p>
          <w:p w14:paraId="638EBB91">
            <w:pPr>
              <w:widowControl w:val="0"/>
              <w:kinsoku/>
              <w:wordWrap w:val="0"/>
              <w:autoSpaceDE/>
              <w:autoSpaceDN/>
              <w:spacing w:line="400" w:lineRule="exact"/>
              <w:ind w:firstLine="191" w:firstLineChars="91"/>
              <w:jc w:val="both"/>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（4）与本招标项目的其他投标人存在控股、管理关系；</w:t>
            </w:r>
          </w:p>
          <w:p w14:paraId="1DE58C34">
            <w:pPr>
              <w:widowControl w:val="0"/>
              <w:kinsoku/>
              <w:wordWrap w:val="0"/>
              <w:autoSpaceDE/>
              <w:autoSpaceDN/>
              <w:spacing w:line="400" w:lineRule="exact"/>
              <w:ind w:firstLine="191" w:firstLineChars="91"/>
              <w:jc w:val="both"/>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（5）为本招标项目的监理人；</w:t>
            </w:r>
          </w:p>
          <w:p w14:paraId="4399E6AE">
            <w:pPr>
              <w:widowControl w:val="0"/>
              <w:kinsoku/>
              <w:wordWrap w:val="0"/>
              <w:autoSpaceDE/>
              <w:autoSpaceDN/>
              <w:spacing w:line="400" w:lineRule="exact"/>
              <w:ind w:firstLine="191" w:firstLineChars="91"/>
              <w:jc w:val="both"/>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（6）为本招标项目的代建人；</w:t>
            </w:r>
          </w:p>
          <w:p w14:paraId="686C88D0">
            <w:pPr>
              <w:widowControl w:val="0"/>
              <w:kinsoku/>
              <w:wordWrap w:val="0"/>
              <w:autoSpaceDE/>
              <w:autoSpaceDN/>
              <w:spacing w:line="400" w:lineRule="exact"/>
              <w:ind w:firstLine="191" w:firstLineChars="91"/>
              <w:jc w:val="both"/>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（7）为本招标项目的招标代理机构；</w:t>
            </w:r>
          </w:p>
          <w:p w14:paraId="70013F21">
            <w:pPr>
              <w:widowControl w:val="0"/>
              <w:kinsoku/>
              <w:wordWrap w:val="0"/>
              <w:autoSpaceDE/>
              <w:autoSpaceDN/>
              <w:spacing w:line="400" w:lineRule="exact"/>
              <w:ind w:firstLine="191" w:firstLineChars="91"/>
              <w:jc w:val="both"/>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（8）与本招标项目的监理人或代建人或招标代理机构同为一个 法定代表人；</w:t>
            </w:r>
          </w:p>
          <w:p w14:paraId="56F36DA9">
            <w:pPr>
              <w:widowControl w:val="0"/>
              <w:kinsoku/>
              <w:wordWrap w:val="0"/>
              <w:autoSpaceDE/>
              <w:autoSpaceDN/>
              <w:spacing w:line="400" w:lineRule="exact"/>
              <w:ind w:firstLine="191" w:firstLineChars="91"/>
              <w:jc w:val="both"/>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（9）与本招标项目的监理人或代建人或招标代理机构存在控股或参股关系；</w:t>
            </w:r>
          </w:p>
          <w:p w14:paraId="6405A779">
            <w:pPr>
              <w:widowControl w:val="0"/>
              <w:kinsoku/>
              <w:wordWrap w:val="0"/>
              <w:autoSpaceDE/>
              <w:autoSpaceDN/>
              <w:spacing w:line="400" w:lineRule="exact"/>
              <w:ind w:firstLine="191" w:firstLineChars="91"/>
              <w:jc w:val="both"/>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（10）与本招标项目的监理人或代建人或招标代理机构存在相互任职或工作关系；</w:t>
            </w:r>
          </w:p>
          <w:p w14:paraId="2C37F4C6">
            <w:pPr>
              <w:widowControl w:val="0"/>
              <w:kinsoku/>
              <w:wordWrap w:val="0"/>
              <w:autoSpaceDE/>
              <w:autoSpaceDN/>
              <w:spacing w:line="400" w:lineRule="exact"/>
              <w:ind w:firstLine="191" w:firstLineChars="91"/>
              <w:jc w:val="both"/>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（11）被依法暂停或者取消投标资格；</w:t>
            </w:r>
          </w:p>
          <w:p w14:paraId="1BD27CC7">
            <w:pPr>
              <w:widowControl w:val="0"/>
              <w:kinsoku/>
              <w:wordWrap w:val="0"/>
              <w:autoSpaceDE/>
              <w:autoSpaceDN/>
              <w:spacing w:line="400" w:lineRule="exact"/>
              <w:ind w:firstLine="191" w:firstLineChars="91"/>
              <w:jc w:val="both"/>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（12）被责令停产停业、暂扣或者吊销许可证、暂扣或者吊销执照；</w:t>
            </w:r>
          </w:p>
          <w:p w14:paraId="4CD01024">
            <w:pPr>
              <w:widowControl w:val="0"/>
              <w:kinsoku/>
              <w:wordWrap w:val="0"/>
              <w:autoSpaceDE/>
              <w:autoSpaceDN/>
              <w:spacing w:line="400" w:lineRule="exact"/>
              <w:ind w:firstLine="191" w:firstLineChars="91"/>
              <w:jc w:val="both"/>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（13）进入清算程序，或被宣告破产，或其他丧失履约能力的情形；</w:t>
            </w:r>
          </w:p>
          <w:p w14:paraId="1D913F4F">
            <w:pPr>
              <w:widowControl w:val="0"/>
              <w:kinsoku/>
              <w:wordWrap w:val="0"/>
              <w:autoSpaceDE/>
              <w:autoSpaceDN/>
              <w:spacing w:line="400" w:lineRule="exact"/>
              <w:ind w:firstLine="191" w:firstLineChars="91"/>
              <w:jc w:val="both"/>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（14）在最近三年内发生重大工程质量或安全问题（以相关行业主管部门的行政处罚决定或司法机关出具的有关法律文书为准）；</w:t>
            </w:r>
          </w:p>
          <w:p w14:paraId="65106A9B">
            <w:pPr>
              <w:widowControl w:val="0"/>
              <w:kinsoku/>
              <w:wordWrap w:val="0"/>
              <w:autoSpaceDE/>
              <w:autoSpaceDN/>
              <w:spacing w:line="400" w:lineRule="exact"/>
              <w:ind w:firstLine="191" w:firstLineChars="91"/>
              <w:jc w:val="both"/>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（15）被“信用中国 ”网站（https://www.creditchina.gov.cn）发布的《法人和非法人组织公共信用信息报告》列为严重失信主体名单的。</w:t>
            </w:r>
          </w:p>
          <w:p w14:paraId="1172D0F7">
            <w:pPr>
              <w:widowControl w:val="0"/>
              <w:kinsoku/>
              <w:wordWrap w:val="0"/>
              <w:autoSpaceDE/>
              <w:autoSpaceDN/>
              <w:spacing w:line="400" w:lineRule="exact"/>
              <w:ind w:firstLine="191" w:firstLineChars="91"/>
              <w:jc w:val="both"/>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4.2  招标人拒绝以下名单中的单位参加本次投标：</w:t>
            </w:r>
          </w:p>
          <w:tbl>
            <w:tblPr>
              <w:tblStyle w:val="17"/>
              <w:tblW w:w="71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1"/>
              <w:gridCol w:w="3450"/>
              <w:gridCol w:w="3068"/>
            </w:tblGrid>
            <w:tr w14:paraId="5968E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641" w:type="dxa"/>
                  <w:vAlign w:val="center"/>
                </w:tcPr>
                <w:p w14:paraId="11EE75E3">
                  <w:pPr>
                    <w:keepNext w:val="0"/>
                    <w:keepLines w:val="0"/>
                    <w:pageBreakBefore w:val="0"/>
                    <w:widowControl w:val="0"/>
                    <w:kinsoku/>
                    <w:wordWrap w:val="0"/>
                    <w:overflowPunct/>
                    <w:topLinePunct w:val="0"/>
                    <w:autoSpaceDE/>
                    <w:autoSpaceDN/>
                    <w:bidi w:val="0"/>
                    <w:adjustRightInd w:val="0"/>
                    <w:snapToGrid w:val="0"/>
                    <w:spacing w:line="400" w:lineRule="exact"/>
                    <w:jc w:val="both"/>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序号</w:t>
                  </w:r>
                </w:p>
              </w:tc>
              <w:tc>
                <w:tcPr>
                  <w:tcW w:w="3450" w:type="dxa"/>
                  <w:vAlign w:val="center"/>
                </w:tcPr>
                <w:p w14:paraId="2241D69E">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单位名称</w:t>
                  </w:r>
                </w:p>
              </w:tc>
              <w:tc>
                <w:tcPr>
                  <w:tcW w:w="3068" w:type="dxa"/>
                  <w:vAlign w:val="center"/>
                </w:tcPr>
                <w:p w14:paraId="72746699">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拒绝原因</w:t>
                  </w:r>
                </w:p>
              </w:tc>
            </w:tr>
            <w:tr w14:paraId="05632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641" w:type="dxa"/>
                  <w:vAlign w:val="center"/>
                </w:tcPr>
                <w:p w14:paraId="0AAD97E5">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4"/>
                      <w:szCs w:val="24"/>
                      <w:highlight w:val="none"/>
                      <w:lang w:val="en-US" w:eastAsia="zh-CN" w:bidi="ar-SA"/>
                    </w:rPr>
                    <w:t>1</w:t>
                  </w:r>
                </w:p>
              </w:tc>
              <w:tc>
                <w:tcPr>
                  <w:tcW w:w="3450" w:type="dxa"/>
                  <w:vAlign w:val="center"/>
                </w:tcPr>
                <w:p w14:paraId="38A54810">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新丰县回龙镇人民政府</w:t>
                  </w:r>
                </w:p>
              </w:tc>
              <w:tc>
                <w:tcPr>
                  <w:tcW w:w="3068" w:type="dxa"/>
                  <w:vAlign w:val="center"/>
                </w:tcPr>
                <w:p w14:paraId="57F372C3">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default"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为本招标项目的招标人</w:t>
                  </w:r>
                </w:p>
              </w:tc>
            </w:tr>
            <w:tr w14:paraId="7F1BC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641" w:type="dxa"/>
                  <w:vAlign w:val="center"/>
                </w:tcPr>
                <w:p w14:paraId="29868FD8">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4"/>
                      <w:szCs w:val="24"/>
                      <w:highlight w:val="none"/>
                      <w:lang w:val="en-US" w:eastAsia="zh-CN" w:bidi="ar-SA"/>
                    </w:rPr>
                    <w:t>2</w:t>
                  </w:r>
                </w:p>
              </w:tc>
              <w:tc>
                <w:tcPr>
                  <w:tcW w:w="3450" w:type="dxa"/>
                  <w:vAlign w:val="center"/>
                </w:tcPr>
                <w:p w14:paraId="745843AA">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新丰县市政工程公司</w:t>
                  </w:r>
                </w:p>
              </w:tc>
              <w:tc>
                <w:tcPr>
                  <w:tcW w:w="3068" w:type="dxa"/>
                  <w:vAlign w:val="center"/>
                </w:tcPr>
                <w:p w14:paraId="747B46D5">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为本招标项目的招标代理机构</w:t>
                  </w:r>
                </w:p>
              </w:tc>
            </w:tr>
            <w:tr w14:paraId="0F8EB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641" w:type="dxa"/>
                  <w:vAlign w:val="center"/>
                </w:tcPr>
                <w:p w14:paraId="567C1052">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4"/>
                      <w:szCs w:val="24"/>
                      <w:highlight w:val="none"/>
                      <w:lang w:val="en-US" w:eastAsia="zh-CN" w:bidi="ar-SA"/>
                    </w:rPr>
                    <w:t>3</w:t>
                  </w:r>
                </w:p>
              </w:tc>
              <w:tc>
                <w:tcPr>
                  <w:tcW w:w="3450" w:type="dxa"/>
                  <w:vAlign w:val="center"/>
                </w:tcPr>
                <w:p w14:paraId="7DFE29E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中叙设计集团有限公司</w:t>
                  </w:r>
                </w:p>
              </w:tc>
              <w:tc>
                <w:tcPr>
                  <w:tcW w:w="3068" w:type="dxa"/>
                  <w:vAlign w:val="center"/>
                </w:tcPr>
                <w:p w14:paraId="661942C5">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为本招标项目的施工图设计单位</w:t>
                  </w:r>
                </w:p>
              </w:tc>
            </w:tr>
            <w:tr w14:paraId="5BFF4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641" w:type="dxa"/>
                  <w:vAlign w:val="center"/>
                </w:tcPr>
                <w:p w14:paraId="0B03982B">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4"/>
                      <w:szCs w:val="24"/>
                      <w:highlight w:val="none"/>
                      <w:lang w:val="en-US" w:eastAsia="zh-CN" w:bidi="ar-SA"/>
                    </w:rPr>
                    <w:t>4</w:t>
                  </w:r>
                </w:p>
              </w:tc>
              <w:tc>
                <w:tcPr>
                  <w:tcW w:w="3450" w:type="dxa"/>
                  <w:vAlign w:val="center"/>
                </w:tcPr>
                <w:p w14:paraId="2108482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广东舍卫工程技术咨询有限公司</w:t>
                  </w:r>
                </w:p>
              </w:tc>
              <w:tc>
                <w:tcPr>
                  <w:tcW w:w="3068" w:type="dxa"/>
                  <w:vAlign w:val="center"/>
                </w:tcPr>
                <w:p w14:paraId="6AC512E2">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为本招标项目的施工图审图单位</w:t>
                  </w:r>
                </w:p>
              </w:tc>
            </w:tr>
            <w:tr w14:paraId="44CAB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641" w:type="dxa"/>
                  <w:vAlign w:val="center"/>
                </w:tcPr>
                <w:p w14:paraId="04062E7C">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4"/>
                      <w:szCs w:val="24"/>
                      <w:highlight w:val="none"/>
                      <w:lang w:val="en-US" w:eastAsia="zh-CN" w:bidi="ar-SA"/>
                    </w:rPr>
                    <w:t>5</w:t>
                  </w:r>
                </w:p>
              </w:tc>
              <w:tc>
                <w:tcPr>
                  <w:tcW w:w="3450" w:type="dxa"/>
                  <w:vAlign w:val="center"/>
                </w:tcPr>
                <w:p w14:paraId="2E106E77">
                  <w:pPr>
                    <w:wordWrap w:val="0"/>
                    <w:adjustRightInd w:val="0"/>
                    <w:snapToGrid w:val="0"/>
                    <w:spacing w:line="340" w:lineRule="exact"/>
                    <w:jc w:val="center"/>
                    <w:rPr>
                      <w:rFonts w:hint="default"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大发全过程工程咨询设计集团</w:t>
                  </w:r>
                </w:p>
              </w:tc>
              <w:tc>
                <w:tcPr>
                  <w:tcW w:w="3068" w:type="dxa"/>
                  <w:vAlign w:val="center"/>
                </w:tcPr>
                <w:p w14:paraId="06B0839B">
                  <w:pPr>
                    <w:pStyle w:val="33"/>
                    <w:wordWrap w:val="0"/>
                    <w:adjustRightInd w:val="0"/>
                    <w:snapToGrid w:val="0"/>
                    <w:spacing w:line="340" w:lineRule="exact"/>
                    <w:jc w:val="left"/>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宋体" w:hAnsi="宋体" w:eastAsia="宋体" w:cs="宋体"/>
                      <w:snapToGrid w:val="0"/>
                      <w:color w:val="auto"/>
                      <w:kern w:val="0"/>
                      <w:sz w:val="21"/>
                      <w:szCs w:val="21"/>
                      <w:highlight w:val="none"/>
                    </w:rPr>
                    <w:t>为本招标项目的</w:t>
                  </w:r>
                  <w:r>
                    <w:rPr>
                      <w:rFonts w:hint="eastAsia" w:ascii="宋体" w:hAnsi="宋体" w:cs="宋体"/>
                      <w:snapToGrid w:val="0"/>
                      <w:color w:val="auto"/>
                      <w:kern w:val="0"/>
                      <w:sz w:val="21"/>
                      <w:szCs w:val="21"/>
                      <w:highlight w:val="none"/>
                      <w:lang w:val="en-US" w:eastAsia="zh-CN"/>
                    </w:rPr>
                    <w:t>测绘</w:t>
                  </w:r>
                  <w:r>
                    <w:rPr>
                      <w:rFonts w:hint="eastAsia" w:ascii="宋体" w:hAnsi="宋体" w:eastAsia="宋体" w:cs="宋体"/>
                      <w:snapToGrid w:val="0"/>
                      <w:color w:val="auto"/>
                      <w:kern w:val="0"/>
                      <w:sz w:val="21"/>
                      <w:szCs w:val="21"/>
                      <w:highlight w:val="none"/>
                      <w:lang w:val="en-US" w:eastAsia="zh-CN"/>
                    </w:rPr>
                    <w:t>单位</w:t>
                  </w:r>
                </w:p>
              </w:tc>
            </w:tr>
            <w:tr w14:paraId="7DC9E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641" w:type="dxa"/>
                  <w:vAlign w:val="center"/>
                </w:tcPr>
                <w:p w14:paraId="067C562D">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4"/>
                      <w:szCs w:val="24"/>
                      <w:highlight w:val="none"/>
                      <w:lang w:val="en-US" w:eastAsia="zh-CN" w:bidi="ar-SA"/>
                    </w:rPr>
                    <w:t>6</w:t>
                  </w:r>
                </w:p>
              </w:tc>
              <w:tc>
                <w:tcPr>
                  <w:tcW w:w="3450" w:type="dxa"/>
                  <w:shd w:val="clear" w:color="auto" w:fill="auto"/>
                  <w:vAlign w:val="center"/>
                </w:tcPr>
                <w:p w14:paraId="2D0A06C6">
                  <w:pPr>
                    <w:wordWrap w:val="0"/>
                    <w:adjustRightInd w:val="0"/>
                    <w:snapToGrid w:val="0"/>
                    <w:spacing w:line="340" w:lineRule="exact"/>
                    <w:jc w:val="center"/>
                    <w:rPr>
                      <w:rFonts w:hint="default"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中犇工程设计有限公司</w:t>
                  </w:r>
                </w:p>
              </w:tc>
              <w:tc>
                <w:tcPr>
                  <w:tcW w:w="3068" w:type="dxa"/>
                  <w:shd w:val="clear" w:color="auto" w:fill="auto"/>
                  <w:vAlign w:val="center"/>
                </w:tcPr>
                <w:p w14:paraId="5745AFFB">
                  <w:pPr>
                    <w:pStyle w:val="33"/>
                    <w:wordWrap w:val="0"/>
                    <w:adjustRightInd w:val="0"/>
                    <w:snapToGrid w:val="0"/>
                    <w:spacing w:line="340" w:lineRule="exact"/>
                    <w:jc w:val="left"/>
                    <w:rPr>
                      <w:rFonts w:hint="eastAsia" w:ascii="宋体" w:hAnsi="宋体" w:eastAsia="宋体" w:cs="宋体"/>
                      <w:color w:val="auto"/>
                      <w:kern w:val="2"/>
                      <w:sz w:val="21"/>
                      <w:szCs w:val="21"/>
                      <w:highlight w:val="none"/>
                      <w:lang w:val="en-US" w:eastAsia="zh-CN" w:bidi="ar-SA"/>
                    </w:rPr>
                  </w:pPr>
                  <w:r>
                    <w:rPr>
                      <w:rFonts w:hint="eastAsia" w:ascii="宋体" w:hAnsi="宋体" w:cs="宋体"/>
                      <w:snapToGrid w:val="0"/>
                      <w:color w:val="auto"/>
                      <w:kern w:val="0"/>
                      <w:sz w:val="21"/>
                      <w:szCs w:val="21"/>
                      <w:highlight w:val="none"/>
                      <w:lang w:eastAsia="zh-CN"/>
                    </w:rPr>
                    <w:t>为本招标项目的造价咨询单位</w:t>
                  </w:r>
                </w:p>
              </w:tc>
            </w:tr>
          </w:tbl>
          <w:p w14:paraId="795B2716">
            <w:pPr>
              <w:widowControl w:val="0"/>
              <w:kinsoku/>
              <w:wordWrap w:val="0"/>
              <w:autoSpaceDE/>
              <w:autoSpaceDN/>
              <w:spacing w:line="400" w:lineRule="exact"/>
              <w:ind w:firstLine="191" w:firstLineChars="91"/>
              <w:jc w:val="both"/>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5 ．其他要求</w:t>
            </w:r>
          </w:p>
          <w:p w14:paraId="13DF3B3D">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color w:val="auto"/>
                <w:highlight w:val="none"/>
                <w:lang w:eastAsia="zh-CN"/>
              </w:rPr>
              <w:t>省外企业及其拟派往本项目管理机构的所有人员均须按照《广东省住房和城乡建设厅关于取消省外建筑企业和人员进粤信息备案有关工作的通知》（粤建市﹝2015﹞52 号）规定在“进粤企业和人员诚信信息登记平台 ”录入相关信息并通过数据规范检查。</w:t>
            </w:r>
          </w:p>
        </w:tc>
      </w:tr>
      <w:tr w14:paraId="22A12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1" w:hRule="atLeast"/>
        </w:trPr>
        <w:tc>
          <w:tcPr>
            <w:tcW w:w="582" w:type="dxa"/>
            <w:vAlign w:val="center"/>
          </w:tcPr>
          <w:p w14:paraId="533B01AA">
            <w:pPr>
              <w:keepNext w:val="0"/>
              <w:keepLines w:val="0"/>
              <w:pageBreakBefore w:val="0"/>
              <w:wordWrap w:val="0"/>
              <w:overflowPunct/>
              <w:topLinePunct w:val="0"/>
              <w:bidi w:val="0"/>
              <w:spacing w:before="19"/>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27</w:t>
            </w:r>
          </w:p>
        </w:tc>
        <w:tc>
          <w:tcPr>
            <w:tcW w:w="1942" w:type="dxa"/>
            <w:vAlign w:val="center"/>
          </w:tcPr>
          <w:p w14:paraId="09BC027C">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投标有效期</w:t>
            </w:r>
          </w:p>
        </w:tc>
        <w:tc>
          <w:tcPr>
            <w:tcW w:w="7574" w:type="dxa"/>
            <w:vAlign w:val="center"/>
          </w:tcPr>
          <w:p w14:paraId="22BE9E6B">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本次招标的投标有效期为</w:t>
            </w:r>
            <w:r>
              <w:rPr>
                <w:rFonts w:hint="eastAsia" w:asciiTheme="minorEastAsia" w:hAnsiTheme="minorEastAsia" w:eastAsiaTheme="minorEastAsia" w:cstheme="minorEastAsia"/>
                <w:snapToGrid w:val="0"/>
                <w:color w:val="auto"/>
                <w:spacing w:val="0"/>
                <w:kern w:val="0"/>
                <w:sz w:val="21"/>
                <w:szCs w:val="21"/>
                <w:highlight w:val="none"/>
                <w:u w:val="single"/>
                <w:lang w:eastAsia="zh-CN"/>
              </w:rPr>
              <w:t>90</w:t>
            </w:r>
            <w:r>
              <w:rPr>
                <w:rFonts w:hint="eastAsia" w:asciiTheme="minorEastAsia" w:hAnsiTheme="minorEastAsia" w:eastAsiaTheme="minorEastAsia" w:cstheme="minorEastAsia"/>
                <w:snapToGrid w:val="0"/>
                <w:color w:val="auto"/>
                <w:spacing w:val="0"/>
                <w:kern w:val="0"/>
                <w:sz w:val="21"/>
                <w:szCs w:val="21"/>
                <w:highlight w:val="none"/>
                <w:lang w:eastAsia="zh-CN"/>
              </w:rPr>
              <w:t xml:space="preserve"> 个日历天。</w:t>
            </w:r>
          </w:p>
        </w:tc>
      </w:tr>
      <w:tr w14:paraId="478C7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0" w:hRule="atLeast"/>
        </w:trPr>
        <w:tc>
          <w:tcPr>
            <w:tcW w:w="582" w:type="dxa"/>
            <w:vAlign w:val="center"/>
          </w:tcPr>
          <w:p w14:paraId="283F86DF">
            <w:pPr>
              <w:keepNext w:val="0"/>
              <w:keepLines w:val="0"/>
              <w:pageBreakBefore w:val="0"/>
              <w:wordWrap w:val="0"/>
              <w:overflowPunct/>
              <w:topLinePunct w:val="0"/>
              <w:bidi w:val="0"/>
              <w:spacing w:before="69" w:line="188" w:lineRule="auto"/>
              <w:ind w:left="205"/>
              <w:jc w:val="both"/>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28</w:t>
            </w:r>
          </w:p>
        </w:tc>
        <w:tc>
          <w:tcPr>
            <w:tcW w:w="1942" w:type="dxa"/>
            <w:vAlign w:val="center"/>
          </w:tcPr>
          <w:p w14:paraId="1DBD0974">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投标文件组成</w:t>
            </w:r>
          </w:p>
        </w:tc>
        <w:tc>
          <w:tcPr>
            <w:tcW w:w="7574" w:type="dxa"/>
            <w:vAlign w:val="center"/>
          </w:tcPr>
          <w:p w14:paraId="23815912">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投标文件包括商务标书、经济标书、施工组织设计、</w:t>
            </w:r>
            <w:r>
              <w:rPr>
                <w:rFonts w:hint="eastAsia" w:asciiTheme="minorEastAsia" w:hAnsiTheme="minorEastAsia" w:eastAsiaTheme="minorEastAsia" w:cstheme="minorEastAsia"/>
                <w:snapToGrid w:val="0"/>
                <w:color w:val="auto"/>
                <w:spacing w:val="0"/>
                <w:kern w:val="0"/>
                <w:sz w:val="21"/>
                <w:szCs w:val="21"/>
                <w:highlight w:val="none"/>
                <w:lang w:val="en-US" w:eastAsia="zh-CN"/>
              </w:rPr>
              <w:t>定标文件四</w:t>
            </w:r>
            <w:r>
              <w:rPr>
                <w:rFonts w:hint="eastAsia" w:asciiTheme="minorEastAsia" w:hAnsiTheme="minorEastAsia" w:eastAsiaTheme="minorEastAsia" w:cstheme="minorEastAsia"/>
                <w:snapToGrid w:val="0"/>
                <w:color w:val="auto"/>
                <w:spacing w:val="0"/>
                <w:kern w:val="0"/>
                <w:sz w:val="21"/>
                <w:szCs w:val="21"/>
                <w:highlight w:val="none"/>
                <w:lang w:eastAsia="zh-CN"/>
              </w:rPr>
              <w:t>个分册。</w:t>
            </w:r>
          </w:p>
        </w:tc>
      </w:tr>
      <w:tr w14:paraId="36A9F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0" w:hRule="atLeast"/>
        </w:trPr>
        <w:tc>
          <w:tcPr>
            <w:tcW w:w="582" w:type="dxa"/>
            <w:vAlign w:val="center"/>
          </w:tcPr>
          <w:p w14:paraId="3FCF4004">
            <w:pPr>
              <w:keepNext w:val="0"/>
              <w:keepLines w:val="0"/>
              <w:pageBreakBefore w:val="0"/>
              <w:wordWrap w:val="0"/>
              <w:overflowPunct/>
              <w:topLinePunct w:val="0"/>
              <w:bidi w:val="0"/>
              <w:spacing w:before="69" w:line="188" w:lineRule="auto"/>
              <w:ind w:left="205"/>
              <w:jc w:val="both"/>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29</w:t>
            </w:r>
          </w:p>
        </w:tc>
        <w:tc>
          <w:tcPr>
            <w:tcW w:w="1942" w:type="dxa"/>
            <w:vAlign w:val="center"/>
          </w:tcPr>
          <w:p w14:paraId="603A926D">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施工组织设计评审方式</w:t>
            </w:r>
          </w:p>
        </w:tc>
        <w:tc>
          <w:tcPr>
            <w:tcW w:w="7574" w:type="dxa"/>
            <w:vAlign w:val="center"/>
          </w:tcPr>
          <w:p w14:paraId="69777158">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本次招标施工组织设计</w:t>
            </w:r>
            <w:r>
              <w:rPr>
                <w:rFonts w:hint="eastAsia" w:asciiTheme="minorEastAsia" w:hAnsiTheme="minorEastAsia" w:eastAsiaTheme="minorEastAsia" w:cstheme="minorEastAsia"/>
                <w:snapToGrid w:val="0"/>
                <w:color w:val="auto"/>
                <w:spacing w:val="0"/>
                <w:kern w:val="0"/>
                <w:sz w:val="21"/>
                <w:szCs w:val="21"/>
                <w:highlight w:val="none"/>
                <w:u w:val="single"/>
                <w:lang w:eastAsia="zh-CN"/>
              </w:rPr>
              <w:t xml:space="preserve"> 不采用 </w:t>
            </w:r>
            <w:r>
              <w:rPr>
                <w:rFonts w:hint="eastAsia" w:asciiTheme="minorEastAsia" w:hAnsiTheme="minorEastAsia" w:eastAsiaTheme="minorEastAsia" w:cstheme="minorEastAsia"/>
                <w:snapToGrid w:val="0"/>
                <w:color w:val="auto"/>
                <w:spacing w:val="0"/>
                <w:kern w:val="0"/>
                <w:sz w:val="21"/>
                <w:szCs w:val="21"/>
                <w:highlight w:val="none"/>
                <w:lang w:eastAsia="zh-CN"/>
              </w:rPr>
              <w:t>“暗标 ”方式进行评审。</w:t>
            </w:r>
          </w:p>
        </w:tc>
      </w:tr>
      <w:tr w14:paraId="330DD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3" w:hRule="atLeast"/>
        </w:trPr>
        <w:tc>
          <w:tcPr>
            <w:tcW w:w="582" w:type="dxa"/>
            <w:vAlign w:val="center"/>
          </w:tcPr>
          <w:p w14:paraId="62CC727D">
            <w:pPr>
              <w:keepNext w:val="0"/>
              <w:keepLines w:val="0"/>
              <w:pageBreakBefore w:val="0"/>
              <w:wordWrap w:val="0"/>
              <w:overflowPunct/>
              <w:topLinePunct w:val="0"/>
              <w:bidi w:val="0"/>
              <w:spacing w:before="69" w:line="188" w:lineRule="auto"/>
              <w:ind w:left="209"/>
              <w:jc w:val="both"/>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30</w:t>
            </w:r>
          </w:p>
        </w:tc>
        <w:tc>
          <w:tcPr>
            <w:tcW w:w="1942" w:type="dxa"/>
            <w:vAlign w:val="center"/>
          </w:tcPr>
          <w:p w14:paraId="0B09AA64">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评标委员会</w:t>
            </w:r>
          </w:p>
        </w:tc>
        <w:tc>
          <w:tcPr>
            <w:tcW w:w="7574" w:type="dxa"/>
            <w:vAlign w:val="top"/>
          </w:tcPr>
          <w:p w14:paraId="3D59DA80">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FF0000"/>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评标委员会由</w:t>
            </w:r>
            <w:r>
              <w:rPr>
                <w:rFonts w:hint="eastAsia" w:asciiTheme="minorEastAsia" w:hAnsiTheme="minorEastAsia" w:eastAsiaTheme="minorEastAsia" w:cstheme="minorEastAsia"/>
                <w:snapToGrid w:val="0"/>
                <w:color w:val="auto"/>
                <w:spacing w:val="0"/>
                <w:kern w:val="0"/>
                <w:sz w:val="21"/>
                <w:szCs w:val="21"/>
                <w:highlight w:val="none"/>
                <w:u w:val="single"/>
                <w:lang w:eastAsia="zh-CN"/>
              </w:rPr>
              <w:t xml:space="preserve"> </w:t>
            </w:r>
            <w:r>
              <w:rPr>
                <w:rFonts w:hint="eastAsia" w:asciiTheme="minorEastAsia" w:hAnsiTheme="minorEastAsia" w:eastAsiaTheme="minorEastAsia" w:cstheme="minorEastAsia"/>
                <w:snapToGrid w:val="0"/>
                <w:color w:val="auto"/>
                <w:spacing w:val="0"/>
                <w:kern w:val="0"/>
                <w:sz w:val="21"/>
                <w:szCs w:val="21"/>
                <w:highlight w:val="none"/>
                <w:u w:val="single"/>
                <w:lang w:val="en-US" w:eastAsia="zh-CN"/>
              </w:rPr>
              <w:t>7</w:t>
            </w:r>
            <w:r>
              <w:rPr>
                <w:rFonts w:hint="eastAsia" w:asciiTheme="minorEastAsia" w:hAnsiTheme="minorEastAsia" w:eastAsiaTheme="minorEastAsia" w:cstheme="minorEastAsia"/>
                <w:snapToGrid w:val="0"/>
                <w:color w:val="auto"/>
                <w:spacing w:val="0"/>
                <w:kern w:val="0"/>
                <w:sz w:val="21"/>
                <w:szCs w:val="21"/>
                <w:highlight w:val="none"/>
                <w:u w:val="single"/>
                <w:lang w:eastAsia="zh-CN"/>
              </w:rPr>
              <w:t xml:space="preserve"> </w:t>
            </w:r>
            <w:r>
              <w:rPr>
                <w:rFonts w:hint="eastAsia" w:asciiTheme="minorEastAsia" w:hAnsiTheme="minorEastAsia" w:eastAsiaTheme="minorEastAsia" w:cstheme="minorEastAsia"/>
                <w:snapToGrid w:val="0"/>
                <w:color w:val="auto"/>
                <w:spacing w:val="0"/>
                <w:kern w:val="0"/>
                <w:sz w:val="21"/>
                <w:szCs w:val="21"/>
                <w:highlight w:val="none"/>
                <w:lang w:eastAsia="zh-CN"/>
              </w:rPr>
              <w:t>人组成，其中招标人代表</w:t>
            </w:r>
            <w:r>
              <w:rPr>
                <w:rFonts w:hint="eastAsia" w:asciiTheme="minorEastAsia" w:hAnsiTheme="minorEastAsia" w:eastAsiaTheme="minorEastAsia" w:cstheme="minorEastAsia"/>
                <w:snapToGrid w:val="0"/>
                <w:color w:val="auto"/>
                <w:spacing w:val="0"/>
                <w:kern w:val="0"/>
                <w:sz w:val="21"/>
                <w:szCs w:val="21"/>
                <w:highlight w:val="none"/>
                <w:u w:val="single"/>
                <w:lang w:eastAsia="zh-CN"/>
              </w:rPr>
              <w:t xml:space="preserve"> </w:t>
            </w:r>
            <w:r>
              <w:rPr>
                <w:rFonts w:hint="eastAsia" w:asciiTheme="minorEastAsia" w:hAnsiTheme="minorEastAsia" w:eastAsiaTheme="minorEastAsia" w:cstheme="minorEastAsia"/>
                <w:snapToGrid w:val="0"/>
                <w:color w:val="auto"/>
                <w:spacing w:val="0"/>
                <w:kern w:val="0"/>
                <w:sz w:val="21"/>
                <w:szCs w:val="21"/>
                <w:highlight w:val="none"/>
                <w:u w:val="single"/>
                <w:lang w:val="en-US" w:eastAsia="zh-CN"/>
              </w:rPr>
              <w:t>2</w:t>
            </w:r>
            <w:r>
              <w:rPr>
                <w:rFonts w:hint="eastAsia" w:asciiTheme="minorEastAsia" w:hAnsiTheme="minorEastAsia" w:eastAsiaTheme="minorEastAsia" w:cstheme="minorEastAsia"/>
                <w:snapToGrid w:val="0"/>
                <w:color w:val="auto"/>
                <w:spacing w:val="0"/>
                <w:kern w:val="0"/>
                <w:sz w:val="21"/>
                <w:szCs w:val="21"/>
                <w:highlight w:val="none"/>
                <w:u w:val="single"/>
                <w:lang w:eastAsia="zh-CN"/>
              </w:rPr>
              <w:t xml:space="preserve"> </w:t>
            </w:r>
            <w:r>
              <w:rPr>
                <w:rFonts w:hint="eastAsia" w:asciiTheme="minorEastAsia" w:hAnsiTheme="minorEastAsia" w:eastAsiaTheme="minorEastAsia" w:cstheme="minorEastAsia"/>
                <w:snapToGrid w:val="0"/>
                <w:color w:val="auto"/>
                <w:spacing w:val="0"/>
                <w:kern w:val="0"/>
                <w:sz w:val="21"/>
                <w:szCs w:val="21"/>
                <w:highlight w:val="none"/>
                <w:lang w:eastAsia="zh-CN"/>
              </w:rPr>
              <w:t>人，专家</w:t>
            </w:r>
            <w:r>
              <w:rPr>
                <w:rFonts w:hint="eastAsia" w:asciiTheme="minorEastAsia" w:hAnsiTheme="minorEastAsia" w:eastAsiaTheme="minorEastAsia" w:cstheme="minorEastAsia"/>
                <w:snapToGrid w:val="0"/>
                <w:color w:val="auto"/>
                <w:spacing w:val="0"/>
                <w:kern w:val="0"/>
                <w:sz w:val="21"/>
                <w:szCs w:val="21"/>
                <w:highlight w:val="none"/>
                <w:u w:val="single"/>
                <w:lang w:eastAsia="zh-CN"/>
              </w:rPr>
              <w:t xml:space="preserve"> </w:t>
            </w:r>
            <w:r>
              <w:rPr>
                <w:rFonts w:hint="eastAsia" w:asciiTheme="minorEastAsia" w:hAnsiTheme="minorEastAsia" w:eastAsiaTheme="minorEastAsia" w:cstheme="minorEastAsia"/>
                <w:snapToGrid w:val="0"/>
                <w:color w:val="auto"/>
                <w:spacing w:val="0"/>
                <w:kern w:val="0"/>
                <w:sz w:val="21"/>
                <w:szCs w:val="21"/>
                <w:highlight w:val="none"/>
                <w:u w:val="single"/>
                <w:lang w:val="en-US" w:eastAsia="zh-CN"/>
              </w:rPr>
              <w:t xml:space="preserve">5 </w:t>
            </w:r>
            <w:r>
              <w:rPr>
                <w:rFonts w:hint="eastAsia" w:asciiTheme="minorEastAsia" w:hAnsiTheme="minorEastAsia" w:eastAsiaTheme="minorEastAsia" w:cstheme="minorEastAsia"/>
                <w:snapToGrid w:val="0"/>
                <w:color w:val="auto"/>
                <w:spacing w:val="0"/>
                <w:kern w:val="0"/>
                <w:sz w:val="21"/>
                <w:szCs w:val="21"/>
                <w:highlight w:val="none"/>
                <w:lang w:eastAsia="zh-CN"/>
              </w:rPr>
              <w:t>人。专家从广东省综合评标评审专家库中（</w:t>
            </w:r>
            <w:r>
              <w:rPr>
                <w:rFonts w:hint="eastAsia" w:asciiTheme="minorEastAsia" w:hAnsiTheme="minorEastAsia" w:eastAsiaTheme="minorEastAsia" w:cstheme="minorEastAsia"/>
                <w:snapToGrid w:val="0"/>
                <w:color w:val="auto"/>
                <w:spacing w:val="0"/>
                <w:kern w:val="0"/>
                <w:sz w:val="21"/>
                <w:szCs w:val="21"/>
                <w:highlight w:val="none"/>
                <w:lang w:val="en-US" w:eastAsia="zh-CN"/>
              </w:rPr>
              <w:t>韶关区域、河源区域</w:t>
            </w:r>
            <w:r>
              <w:rPr>
                <w:rFonts w:hint="eastAsia" w:asciiTheme="minorEastAsia" w:hAnsiTheme="minorEastAsia" w:eastAsiaTheme="minorEastAsia" w:cstheme="minorEastAsia"/>
                <w:snapToGrid w:val="0"/>
                <w:color w:val="auto"/>
                <w:spacing w:val="0"/>
                <w:kern w:val="0"/>
                <w:sz w:val="21"/>
                <w:szCs w:val="21"/>
                <w:highlight w:val="none"/>
                <w:lang w:eastAsia="zh-CN"/>
              </w:rPr>
              <w:t>）随机抽取，其中技术类专家</w:t>
            </w:r>
            <w:r>
              <w:rPr>
                <w:rFonts w:hint="eastAsia" w:asciiTheme="minorEastAsia" w:hAnsiTheme="minorEastAsia" w:eastAsiaTheme="minorEastAsia" w:cstheme="minorEastAsia"/>
                <w:snapToGrid w:val="0"/>
                <w:color w:val="auto"/>
                <w:spacing w:val="0"/>
                <w:kern w:val="0"/>
                <w:sz w:val="21"/>
                <w:szCs w:val="21"/>
                <w:highlight w:val="none"/>
                <w:u w:val="single"/>
                <w:lang w:eastAsia="zh-CN"/>
              </w:rPr>
              <w:t xml:space="preserve"> 3 </w:t>
            </w:r>
            <w:r>
              <w:rPr>
                <w:rFonts w:hint="eastAsia" w:asciiTheme="minorEastAsia" w:hAnsiTheme="minorEastAsia" w:eastAsiaTheme="minorEastAsia" w:cstheme="minorEastAsia"/>
                <w:snapToGrid w:val="0"/>
                <w:color w:val="auto"/>
                <w:spacing w:val="0"/>
                <w:kern w:val="0"/>
                <w:sz w:val="21"/>
                <w:szCs w:val="21"/>
                <w:highlight w:val="none"/>
                <w:lang w:eastAsia="zh-CN"/>
              </w:rPr>
              <w:t>人，经济类专家</w:t>
            </w:r>
            <w:r>
              <w:rPr>
                <w:rFonts w:hint="eastAsia" w:asciiTheme="minorEastAsia" w:hAnsiTheme="minorEastAsia" w:eastAsiaTheme="minorEastAsia" w:cstheme="minorEastAsia"/>
                <w:snapToGrid w:val="0"/>
                <w:color w:val="auto"/>
                <w:spacing w:val="0"/>
                <w:kern w:val="0"/>
                <w:sz w:val="21"/>
                <w:szCs w:val="21"/>
                <w:highlight w:val="none"/>
                <w:u w:val="single"/>
                <w:lang w:eastAsia="zh-CN"/>
              </w:rPr>
              <w:t xml:space="preserve"> 2 </w:t>
            </w:r>
            <w:r>
              <w:rPr>
                <w:rFonts w:hint="eastAsia" w:asciiTheme="minorEastAsia" w:hAnsiTheme="minorEastAsia" w:eastAsiaTheme="minorEastAsia" w:cstheme="minorEastAsia"/>
                <w:snapToGrid w:val="0"/>
                <w:color w:val="auto"/>
                <w:spacing w:val="0"/>
                <w:kern w:val="0"/>
                <w:sz w:val="21"/>
                <w:szCs w:val="21"/>
                <w:highlight w:val="none"/>
                <w:lang w:eastAsia="zh-CN"/>
              </w:rPr>
              <w:t>人。</w:t>
            </w:r>
          </w:p>
          <w:p w14:paraId="667FCC15">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2"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b/>
                <w:bCs/>
                <w:snapToGrid w:val="0"/>
                <w:color w:val="auto"/>
                <w:spacing w:val="0"/>
                <w:kern w:val="0"/>
                <w:sz w:val="21"/>
                <w:szCs w:val="21"/>
                <w:highlight w:val="none"/>
                <w:lang w:val="en-US" w:eastAsia="zh-CN"/>
              </w:rPr>
              <w:t>注：根据《广东省远程异地评标招标项目范围规定(试行)》(粤发改规(2026) 8 号)，本项目采用远程异地评标方式进行评标，评标委员会员分别在主 场和副场通过电子交易系统远程参加评标活动。</w:t>
            </w:r>
          </w:p>
        </w:tc>
      </w:tr>
      <w:tr w14:paraId="37EA3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1" w:hRule="atLeast"/>
        </w:trPr>
        <w:tc>
          <w:tcPr>
            <w:tcW w:w="582" w:type="dxa"/>
            <w:vAlign w:val="center"/>
          </w:tcPr>
          <w:p w14:paraId="7A04C40E">
            <w:pPr>
              <w:keepNext w:val="0"/>
              <w:keepLines w:val="0"/>
              <w:pageBreakBefore w:val="0"/>
              <w:wordWrap w:val="0"/>
              <w:overflowPunct/>
              <w:topLinePunct w:val="0"/>
              <w:bidi w:val="0"/>
              <w:spacing w:before="258" w:line="188" w:lineRule="auto"/>
              <w:ind w:left="209" w:leftChars="0"/>
              <w:jc w:val="both"/>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31</w:t>
            </w:r>
          </w:p>
        </w:tc>
        <w:tc>
          <w:tcPr>
            <w:tcW w:w="1942" w:type="dxa"/>
            <w:vAlign w:val="center"/>
          </w:tcPr>
          <w:p w14:paraId="2DDCDBD4">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定</w:t>
            </w:r>
            <w:r>
              <w:rPr>
                <w:rFonts w:hint="eastAsia" w:asciiTheme="minorEastAsia" w:hAnsiTheme="minorEastAsia" w:eastAsiaTheme="minorEastAsia" w:cstheme="minorEastAsia"/>
                <w:snapToGrid w:val="0"/>
                <w:color w:val="auto"/>
                <w:spacing w:val="0"/>
                <w:kern w:val="0"/>
                <w:sz w:val="21"/>
                <w:szCs w:val="21"/>
                <w:highlight w:val="none"/>
                <w:lang w:eastAsia="zh-CN"/>
              </w:rPr>
              <w:t>标委员会</w:t>
            </w:r>
          </w:p>
        </w:tc>
        <w:tc>
          <w:tcPr>
            <w:tcW w:w="7574" w:type="dxa"/>
            <w:vAlign w:val="center"/>
          </w:tcPr>
          <w:p w14:paraId="6724301F">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left"/>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本</w:t>
            </w:r>
            <w:r>
              <w:rPr>
                <w:rFonts w:hint="eastAsia" w:asciiTheme="minorEastAsia" w:hAnsiTheme="minorEastAsia" w:eastAsiaTheme="minorEastAsia" w:cstheme="minorEastAsia"/>
                <w:snapToGrid w:val="0"/>
                <w:color w:val="auto"/>
                <w:spacing w:val="0"/>
                <w:kern w:val="0"/>
                <w:sz w:val="21"/>
                <w:szCs w:val="21"/>
                <w:highlight w:val="none"/>
                <w:lang w:eastAsia="zh-CN"/>
              </w:rPr>
              <w:t xml:space="preserve">项目定标委员会组成人员为 </w:t>
            </w:r>
            <w:r>
              <w:rPr>
                <w:rFonts w:hint="eastAsia" w:asciiTheme="minorEastAsia" w:hAnsiTheme="minorEastAsia" w:eastAsiaTheme="minorEastAsia" w:cstheme="minorEastAsia"/>
                <w:snapToGrid w:val="0"/>
                <w:color w:val="auto"/>
                <w:spacing w:val="0"/>
                <w:kern w:val="0"/>
                <w:sz w:val="21"/>
                <w:szCs w:val="21"/>
                <w:highlight w:val="none"/>
                <w:lang w:val="en-US" w:eastAsia="zh-CN"/>
              </w:rPr>
              <w:t xml:space="preserve">7 </w:t>
            </w:r>
            <w:r>
              <w:rPr>
                <w:rFonts w:hint="eastAsia" w:asciiTheme="minorEastAsia" w:hAnsiTheme="minorEastAsia" w:eastAsiaTheme="minorEastAsia" w:cstheme="minorEastAsia"/>
                <w:snapToGrid w:val="0"/>
                <w:color w:val="auto"/>
                <w:spacing w:val="0"/>
                <w:kern w:val="0"/>
                <w:sz w:val="21"/>
                <w:szCs w:val="21"/>
                <w:highlight w:val="none"/>
                <w:lang w:eastAsia="zh-CN"/>
              </w:rPr>
              <w:t>人</w:t>
            </w:r>
          </w:p>
        </w:tc>
      </w:tr>
      <w:tr w14:paraId="56EEF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1" w:hRule="atLeast"/>
        </w:trPr>
        <w:tc>
          <w:tcPr>
            <w:tcW w:w="582" w:type="dxa"/>
            <w:vAlign w:val="center"/>
          </w:tcPr>
          <w:p w14:paraId="687ED997">
            <w:pPr>
              <w:keepNext w:val="0"/>
              <w:keepLines w:val="0"/>
              <w:pageBreakBefore w:val="0"/>
              <w:wordWrap w:val="0"/>
              <w:overflowPunct/>
              <w:topLinePunct w:val="0"/>
              <w:bidi w:val="0"/>
              <w:spacing w:before="258" w:line="188" w:lineRule="auto"/>
              <w:ind w:left="209" w:leftChars="0"/>
              <w:jc w:val="both"/>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lang w:val="en-US" w:eastAsia="zh-CN"/>
              </w:rPr>
              <w:t>32</w:t>
            </w:r>
          </w:p>
        </w:tc>
        <w:tc>
          <w:tcPr>
            <w:tcW w:w="1942" w:type="dxa"/>
            <w:vAlign w:val="center"/>
          </w:tcPr>
          <w:p w14:paraId="31F6D15C">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评标方法</w:t>
            </w:r>
          </w:p>
        </w:tc>
        <w:tc>
          <w:tcPr>
            <w:tcW w:w="7574" w:type="dxa"/>
            <w:vAlign w:val="center"/>
          </w:tcPr>
          <w:p w14:paraId="0A98AF37">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☑综合评估法</w:t>
            </w:r>
          </w:p>
        </w:tc>
      </w:tr>
      <w:tr w14:paraId="5286A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1" w:hRule="atLeast"/>
        </w:trPr>
        <w:tc>
          <w:tcPr>
            <w:tcW w:w="582" w:type="dxa"/>
            <w:vAlign w:val="center"/>
          </w:tcPr>
          <w:p w14:paraId="4E8DF188">
            <w:pPr>
              <w:keepNext w:val="0"/>
              <w:keepLines w:val="0"/>
              <w:pageBreakBefore w:val="0"/>
              <w:wordWrap w:val="0"/>
              <w:overflowPunct/>
              <w:topLinePunct w:val="0"/>
              <w:bidi w:val="0"/>
              <w:spacing w:before="258" w:line="188" w:lineRule="auto"/>
              <w:ind w:left="209"/>
              <w:jc w:val="both"/>
              <w:rPr>
                <w:rFonts w:hint="default" w:asciiTheme="minorEastAsia" w:hAnsiTheme="minorEastAsia" w:eastAsiaTheme="minorEastAsia" w:cstheme="minorEastAsia"/>
                <w:color w:val="auto"/>
                <w:spacing w:val="0"/>
                <w:sz w:val="21"/>
                <w:szCs w:val="21"/>
                <w:highlight w:val="none"/>
                <w:lang w:val="en-US" w:eastAsia="zh-CN"/>
              </w:rPr>
            </w:pPr>
            <w:r>
              <w:rPr>
                <w:rFonts w:hint="eastAsia" w:asciiTheme="minorEastAsia" w:hAnsiTheme="minorEastAsia" w:eastAsiaTheme="minorEastAsia" w:cstheme="minorEastAsia"/>
                <w:color w:val="auto"/>
                <w:spacing w:val="0"/>
                <w:sz w:val="21"/>
                <w:szCs w:val="21"/>
                <w:highlight w:val="none"/>
                <w:lang w:val="en-US" w:eastAsia="zh-CN"/>
              </w:rPr>
              <w:t>33</w:t>
            </w:r>
          </w:p>
        </w:tc>
        <w:tc>
          <w:tcPr>
            <w:tcW w:w="1942" w:type="dxa"/>
            <w:vAlign w:val="center"/>
          </w:tcPr>
          <w:p w14:paraId="27B29271">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default"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定标办法</w:t>
            </w:r>
          </w:p>
        </w:tc>
        <w:tc>
          <w:tcPr>
            <w:tcW w:w="7574" w:type="dxa"/>
            <w:vAlign w:val="center"/>
          </w:tcPr>
          <w:p w14:paraId="019AB2E6">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default"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☑票决定标法（</w:t>
            </w:r>
            <w:r>
              <w:rPr>
                <w:rFonts w:hint="eastAsia" w:asciiTheme="minorEastAsia" w:hAnsiTheme="minorEastAsia" w:eastAsiaTheme="minorEastAsia" w:cstheme="minorEastAsia"/>
                <w:snapToGrid w:val="0"/>
                <w:color w:val="auto"/>
                <w:spacing w:val="0"/>
                <w:kern w:val="0"/>
                <w:sz w:val="21"/>
                <w:szCs w:val="21"/>
                <w:highlight w:val="none"/>
                <w:lang w:val="en-US" w:eastAsia="zh-CN"/>
              </w:rPr>
              <w:t>票决数量法</w:t>
            </w:r>
            <w:r>
              <w:rPr>
                <w:rFonts w:hint="eastAsia" w:asciiTheme="minorEastAsia" w:hAnsiTheme="minorEastAsia" w:eastAsiaTheme="minorEastAsia" w:cstheme="minorEastAsia"/>
                <w:snapToGrid w:val="0"/>
                <w:color w:val="auto"/>
                <w:spacing w:val="0"/>
                <w:kern w:val="0"/>
                <w:sz w:val="21"/>
                <w:szCs w:val="21"/>
                <w:highlight w:val="none"/>
                <w:lang w:eastAsia="zh-CN"/>
              </w:rPr>
              <w:t>）</w:t>
            </w:r>
            <w:r>
              <w:rPr>
                <w:rFonts w:hint="eastAsia" w:asciiTheme="minorEastAsia" w:hAnsiTheme="minorEastAsia" w:eastAsiaTheme="minorEastAsia" w:cstheme="minorEastAsia"/>
                <w:snapToGrid w:val="0"/>
                <w:color w:val="auto"/>
                <w:spacing w:val="0"/>
                <w:kern w:val="0"/>
                <w:sz w:val="21"/>
                <w:szCs w:val="21"/>
                <w:highlight w:val="none"/>
                <w:lang w:val="en-US" w:eastAsia="zh-CN"/>
              </w:rPr>
              <w:t xml:space="preserve">  </w:t>
            </w:r>
            <w:r>
              <w:rPr>
                <w:rFonts w:hint="eastAsia" w:asciiTheme="minorEastAsia" w:hAnsiTheme="minorEastAsia" w:eastAsiaTheme="minorEastAsia" w:cstheme="minorEastAsia"/>
                <w:snapToGrid w:val="0"/>
                <w:color w:val="auto"/>
                <w:spacing w:val="0"/>
                <w:kern w:val="0"/>
                <w:sz w:val="21"/>
                <w:szCs w:val="21"/>
                <w:highlight w:val="none"/>
                <w:lang w:eastAsia="zh-CN"/>
              </w:rPr>
              <w:t>□集体议事法</w:t>
            </w:r>
          </w:p>
        </w:tc>
      </w:tr>
      <w:tr w14:paraId="6A075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74" w:hRule="atLeast"/>
        </w:trPr>
        <w:tc>
          <w:tcPr>
            <w:tcW w:w="582" w:type="dxa"/>
            <w:vAlign w:val="center"/>
          </w:tcPr>
          <w:p w14:paraId="74C56787">
            <w:pPr>
              <w:keepNext w:val="0"/>
              <w:keepLines w:val="0"/>
              <w:pageBreakBefore w:val="0"/>
              <w:wordWrap w:val="0"/>
              <w:overflowPunct/>
              <w:topLinePunct w:val="0"/>
              <w:bidi w:val="0"/>
              <w:spacing w:before="57" w:line="195" w:lineRule="auto"/>
              <w:jc w:val="center"/>
              <w:rPr>
                <w:rFonts w:hint="default" w:asciiTheme="minorEastAsia" w:hAnsiTheme="minorEastAsia" w:eastAsiaTheme="minorEastAsia" w:cstheme="minorEastAsia"/>
                <w:color w:val="auto"/>
                <w:spacing w:val="0"/>
                <w:sz w:val="21"/>
                <w:szCs w:val="21"/>
                <w:highlight w:val="none"/>
                <w:lang w:val="en-US" w:eastAsia="zh-CN"/>
              </w:rPr>
            </w:pPr>
            <w:r>
              <w:rPr>
                <w:rFonts w:hint="eastAsia" w:asciiTheme="minorEastAsia" w:hAnsiTheme="minorEastAsia" w:eastAsiaTheme="minorEastAsia" w:cstheme="minorEastAsia"/>
                <w:color w:val="auto"/>
                <w:spacing w:val="0"/>
                <w:sz w:val="21"/>
                <w:szCs w:val="21"/>
                <w:highlight w:val="none"/>
              </w:rPr>
              <w:t>3</w:t>
            </w:r>
            <w:r>
              <w:rPr>
                <w:rFonts w:hint="eastAsia" w:asciiTheme="minorEastAsia" w:hAnsiTheme="minorEastAsia" w:eastAsiaTheme="minorEastAsia" w:cstheme="minorEastAsia"/>
                <w:color w:val="auto"/>
                <w:spacing w:val="0"/>
                <w:sz w:val="21"/>
                <w:szCs w:val="21"/>
                <w:highlight w:val="none"/>
                <w:lang w:val="en-US" w:eastAsia="zh-CN"/>
              </w:rPr>
              <w:t>4</w:t>
            </w:r>
          </w:p>
        </w:tc>
        <w:tc>
          <w:tcPr>
            <w:tcW w:w="1942" w:type="dxa"/>
            <w:vAlign w:val="center"/>
          </w:tcPr>
          <w:p w14:paraId="4CF2FFBB">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招标文件要求提交的用于评审的证书、证件、证明原件</w:t>
            </w:r>
          </w:p>
        </w:tc>
        <w:tc>
          <w:tcPr>
            <w:tcW w:w="7574" w:type="dxa"/>
            <w:vAlign w:val="top"/>
          </w:tcPr>
          <w:p w14:paraId="4683CC0F">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投标人在提交用于评审的证书、证件、证明原件的，投标人应自行将所需原件密封于文件袋（箱）中，并自行准备两张“原件一览表 ” (详见格式十五，投标人须自行填写，表格可扩展)，一张贴于文件袋（箱），一份在递交文件袋（箱）时由招标代理机构、投标人签字后交招标代理机构。招标代理机构仅代签收，不对文件袋（箱）中资料的数量、内容及真实性负责。评标结束后，招标代理机构将退回投标人的原件。若投标人未按要求提交相应证明材料原件或投标文件中证明材料的复印件与原件不一致，评审时相应证明材料不予认可。</w:t>
            </w:r>
          </w:p>
        </w:tc>
      </w:tr>
      <w:tr w14:paraId="2FADC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5" w:hRule="atLeast"/>
        </w:trPr>
        <w:tc>
          <w:tcPr>
            <w:tcW w:w="582" w:type="dxa"/>
            <w:vAlign w:val="center"/>
          </w:tcPr>
          <w:p w14:paraId="0242ED62">
            <w:pPr>
              <w:keepNext w:val="0"/>
              <w:keepLines w:val="0"/>
              <w:pageBreakBefore w:val="0"/>
              <w:wordWrap w:val="0"/>
              <w:overflowPunct/>
              <w:topLinePunct w:val="0"/>
              <w:bidi w:val="0"/>
              <w:spacing w:before="69" w:line="188" w:lineRule="auto"/>
              <w:ind w:left="209"/>
              <w:rPr>
                <w:rFonts w:hint="eastAsia" w:asciiTheme="minorEastAsia" w:hAnsiTheme="minorEastAsia" w:eastAsiaTheme="minorEastAsia" w:cstheme="minorEastAsia"/>
                <w:color w:val="auto"/>
                <w:spacing w:val="0"/>
                <w:sz w:val="21"/>
                <w:szCs w:val="21"/>
                <w:highlight w:val="none"/>
                <w:lang w:eastAsia="zh-CN"/>
              </w:rPr>
            </w:pPr>
            <w:r>
              <w:rPr>
                <w:rFonts w:hint="eastAsia" w:asciiTheme="minorEastAsia" w:hAnsiTheme="minorEastAsia" w:eastAsiaTheme="minorEastAsia" w:cstheme="minorEastAsia"/>
                <w:color w:val="auto"/>
                <w:spacing w:val="0"/>
                <w:sz w:val="21"/>
                <w:szCs w:val="21"/>
                <w:highlight w:val="none"/>
                <w:lang w:eastAsia="zh-CN"/>
              </w:rPr>
              <w:t>3</w:t>
            </w:r>
            <w:r>
              <w:rPr>
                <w:rFonts w:hint="eastAsia" w:asciiTheme="minorEastAsia" w:hAnsiTheme="minorEastAsia" w:eastAsiaTheme="minorEastAsia" w:cstheme="minorEastAsia"/>
                <w:color w:val="auto"/>
                <w:spacing w:val="0"/>
                <w:sz w:val="21"/>
                <w:szCs w:val="21"/>
                <w:highlight w:val="none"/>
                <w:lang w:val="en-US" w:eastAsia="zh-CN"/>
              </w:rPr>
              <w:t>5</w:t>
            </w:r>
          </w:p>
        </w:tc>
        <w:tc>
          <w:tcPr>
            <w:tcW w:w="1942" w:type="dxa"/>
            <w:vAlign w:val="center"/>
          </w:tcPr>
          <w:p w14:paraId="75775DAA">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招标代理费</w:t>
            </w:r>
          </w:p>
        </w:tc>
        <w:tc>
          <w:tcPr>
            <w:tcW w:w="7574" w:type="dxa"/>
            <w:vAlign w:val="center"/>
          </w:tcPr>
          <w:p w14:paraId="07BED065">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eastAsia="宋体" w:asciiTheme="minorEastAsia" w:hAnsiTheme="minorEastAsia" w:cstheme="minorEastAsia"/>
                <w:snapToGrid w:val="0"/>
                <w:color w:val="auto"/>
                <w:spacing w:val="0"/>
                <w:kern w:val="0"/>
                <w:sz w:val="21"/>
                <w:szCs w:val="21"/>
                <w:highlight w:val="none"/>
                <w:lang w:eastAsia="zh-CN"/>
              </w:rPr>
            </w:pPr>
            <w:r>
              <w:rPr>
                <w:color w:val="auto"/>
                <w:highlight w:val="none"/>
                <w:u w:val="none"/>
              </w:rPr>
              <w:t>本项目的招标代理费由中标人支付，该费用不再另行报价，由投标人在投标报价时综合考虑在内。以中标价为计费基数。</w:t>
            </w:r>
          </w:p>
        </w:tc>
      </w:tr>
      <w:tr w14:paraId="31C49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39" w:hRule="atLeast"/>
        </w:trPr>
        <w:tc>
          <w:tcPr>
            <w:tcW w:w="582" w:type="dxa"/>
            <w:vAlign w:val="center"/>
          </w:tcPr>
          <w:p w14:paraId="218DABBB">
            <w:pPr>
              <w:keepNext w:val="0"/>
              <w:keepLines w:val="0"/>
              <w:pageBreakBefore w:val="0"/>
              <w:wordWrap w:val="0"/>
              <w:overflowPunct/>
              <w:topLinePunct w:val="0"/>
              <w:bidi w:val="0"/>
              <w:spacing w:before="69" w:line="188" w:lineRule="auto"/>
              <w:jc w:val="center"/>
              <w:rPr>
                <w:rFonts w:hint="eastAsia" w:asciiTheme="minorEastAsia" w:hAnsiTheme="minorEastAsia" w:eastAsiaTheme="minorEastAsia" w:cstheme="minorEastAsia"/>
                <w:color w:val="auto"/>
                <w:spacing w:val="0"/>
                <w:sz w:val="21"/>
                <w:szCs w:val="21"/>
                <w:highlight w:val="none"/>
                <w:lang w:val="en-US" w:eastAsia="zh-CN"/>
              </w:rPr>
            </w:pPr>
            <w:r>
              <w:rPr>
                <w:rFonts w:hint="eastAsia" w:asciiTheme="minorEastAsia" w:hAnsiTheme="minorEastAsia" w:eastAsiaTheme="minorEastAsia" w:cstheme="minorEastAsia"/>
                <w:color w:val="auto"/>
                <w:spacing w:val="0"/>
                <w:sz w:val="21"/>
                <w:szCs w:val="21"/>
                <w:highlight w:val="none"/>
                <w:lang w:eastAsia="zh-CN"/>
              </w:rPr>
              <w:t>3</w:t>
            </w:r>
            <w:r>
              <w:rPr>
                <w:rFonts w:hint="eastAsia" w:asciiTheme="minorEastAsia" w:hAnsiTheme="minorEastAsia" w:eastAsiaTheme="minorEastAsia" w:cstheme="minorEastAsia"/>
                <w:color w:val="auto"/>
                <w:spacing w:val="0"/>
                <w:sz w:val="21"/>
                <w:szCs w:val="21"/>
                <w:highlight w:val="none"/>
                <w:lang w:val="en-US" w:eastAsia="zh-CN"/>
              </w:rPr>
              <w:t>6</w:t>
            </w:r>
          </w:p>
        </w:tc>
        <w:tc>
          <w:tcPr>
            <w:tcW w:w="1942" w:type="dxa"/>
            <w:vAlign w:val="center"/>
          </w:tcPr>
          <w:p w14:paraId="51CEAD35">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招标人</w:t>
            </w:r>
          </w:p>
          <w:p w14:paraId="47727871">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联系方式</w:t>
            </w:r>
          </w:p>
        </w:tc>
        <w:tc>
          <w:tcPr>
            <w:tcW w:w="7574" w:type="dxa"/>
            <w:vAlign w:val="center"/>
          </w:tcPr>
          <w:p w14:paraId="15935F1F">
            <w:pPr>
              <w:keepNext w:val="0"/>
              <w:keepLines w:val="0"/>
              <w:pageBreakBefore w:val="0"/>
              <w:widowControl w:val="0"/>
              <w:kinsoku/>
              <w:wordWrap w:val="0"/>
              <w:overflowPunct/>
              <w:topLinePunct w:val="0"/>
              <w:autoSpaceDE/>
              <w:autoSpaceDN/>
              <w:bidi w:val="0"/>
              <w:adjustRightInd w:val="0"/>
              <w:snapToGrid w:val="0"/>
              <w:spacing w:line="400" w:lineRule="exact"/>
              <w:jc w:val="left"/>
              <w:textAlignment w:val="auto"/>
              <w:rPr>
                <w:rFonts w:hint="default"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单位名称：新丰县回龙镇人民政府</w:t>
            </w:r>
          </w:p>
          <w:p w14:paraId="6EE30157">
            <w:pPr>
              <w:keepNext w:val="0"/>
              <w:keepLines w:val="0"/>
              <w:pageBreakBefore w:val="0"/>
              <w:widowControl w:val="0"/>
              <w:kinsoku/>
              <w:wordWrap w:val="0"/>
              <w:overflowPunct/>
              <w:topLinePunct w:val="0"/>
              <w:autoSpaceDE/>
              <w:autoSpaceDN/>
              <w:bidi w:val="0"/>
              <w:adjustRightInd w:val="0"/>
              <w:snapToGrid w:val="0"/>
              <w:spacing w:line="400" w:lineRule="exact"/>
              <w:jc w:val="left"/>
              <w:textAlignment w:val="auto"/>
              <w:rPr>
                <w:rFonts w:hint="default"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办公地址：新丰县回龙镇政府回龙镇委</w:t>
            </w:r>
          </w:p>
          <w:p w14:paraId="1D119ECF">
            <w:pPr>
              <w:keepNext w:val="0"/>
              <w:keepLines w:val="0"/>
              <w:pageBreakBefore w:val="0"/>
              <w:widowControl w:val="0"/>
              <w:kinsoku/>
              <w:wordWrap w:val="0"/>
              <w:overflowPunct/>
              <w:topLinePunct w:val="0"/>
              <w:autoSpaceDE/>
              <w:autoSpaceDN/>
              <w:bidi w:val="0"/>
              <w:adjustRightInd w:val="0"/>
              <w:snapToGrid w:val="0"/>
              <w:spacing w:line="400" w:lineRule="exact"/>
              <w:jc w:val="left"/>
              <w:textAlignment w:val="auto"/>
              <w:rPr>
                <w:rFonts w:hint="default"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联系人（部门）：陈工</w:t>
            </w:r>
          </w:p>
          <w:p w14:paraId="3B0F5EB6">
            <w:pPr>
              <w:keepNext w:val="0"/>
              <w:keepLines w:val="0"/>
              <w:pageBreakBefore w:val="0"/>
              <w:widowControl w:val="0"/>
              <w:kinsoku/>
              <w:wordWrap w:val="0"/>
              <w:overflowPunct/>
              <w:topLinePunct w:val="0"/>
              <w:autoSpaceDE/>
              <w:autoSpaceDN/>
              <w:bidi w:val="0"/>
              <w:adjustRightInd w:val="0"/>
              <w:snapToGrid w:val="0"/>
              <w:spacing w:line="400" w:lineRule="exact"/>
              <w:jc w:val="left"/>
              <w:textAlignment w:val="auto"/>
              <w:rPr>
                <w:rFonts w:hint="default"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联系电话：0751-8800668</w:t>
            </w:r>
          </w:p>
        </w:tc>
      </w:tr>
      <w:tr w14:paraId="7F51B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6" w:hRule="atLeast"/>
        </w:trPr>
        <w:tc>
          <w:tcPr>
            <w:tcW w:w="582" w:type="dxa"/>
            <w:vAlign w:val="center"/>
          </w:tcPr>
          <w:p w14:paraId="5EA6C0B6">
            <w:pPr>
              <w:keepNext w:val="0"/>
              <w:keepLines w:val="0"/>
              <w:pageBreakBefore w:val="0"/>
              <w:wordWrap w:val="0"/>
              <w:overflowPunct/>
              <w:topLinePunct w:val="0"/>
              <w:bidi w:val="0"/>
              <w:spacing w:before="69" w:line="188" w:lineRule="auto"/>
              <w:jc w:val="center"/>
              <w:rPr>
                <w:rFonts w:hint="default" w:asciiTheme="minorEastAsia" w:hAnsiTheme="minorEastAsia" w:eastAsiaTheme="minorEastAsia" w:cstheme="minorEastAsia"/>
                <w:color w:val="auto"/>
                <w:spacing w:val="0"/>
                <w:sz w:val="21"/>
                <w:szCs w:val="21"/>
                <w:highlight w:val="none"/>
                <w:lang w:val="en-US" w:eastAsia="zh-CN"/>
              </w:rPr>
            </w:pPr>
            <w:r>
              <w:rPr>
                <w:rFonts w:hint="eastAsia" w:asciiTheme="minorEastAsia" w:hAnsiTheme="minorEastAsia" w:eastAsiaTheme="minorEastAsia" w:cstheme="minorEastAsia"/>
                <w:color w:val="auto"/>
                <w:spacing w:val="0"/>
                <w:sz w:val="21"/>
                <w:szCs w:val="21"/>
                <w:highlight w:val="none"/>
                <w:lang w:eastAsia="zh-CN"/>
              </w:rPr>
              <w:t>3</w:t>
            </w:r>
            <w:r>
              <w:rPr>
                <w:rFonts w:hint="eastAsia" w:asciiTheme="minorEastAsia" w:hAnsiTheme="minorEastAsia" w:eastAsiaTheme="minorEastAsia" w:cstheme="minorEastAsia"/>
                <w:color w:val="auto"/>
                <w:spacing w:val="0"/>
                <w:sz w:val="21"/>
                <w:szCs w:val="21"/>
                <w:highlight w:val="none"/>
                <w:lang w:val="en-US" w:eastAsia="zh-CN"/>
              </w:rPr>
              <w:t>7</w:t>
            </w:r>
          </w:p>
        </w:tc>
        <w:tc>
          <w:tcPr>
            <w:tcW w:w="1942" w:type="dxa"/>
            <w:vAlign w:val="center"/>
          </w:tcPr>
          <w:p w14:paraId="7FE11ED6">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招标代理机构</w:t>
            </w:r>
          </w:p>
          <w:p w14:paraId="6F0F0641">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联系方式</w:t>
            </w:r>
          </w:p>
        </w:tc>
        <w:tc>
          <w:tcPr>
            <w:tcW w:w="7574" w:type="dxa"/>
            <w:vAlign w:val="center"/>
          </w:tcPr>
          <w:p w14:paraId="00C7B698">
            <w:pPr>
              <w:keepNext w:val="0"/>
              <w:keepLines w:val="0"/>
              <w:pageBreakBefore w:val="0"/>
              <w:kinsoku/>
              <w:wordWrap w:val="0"/>
              <w:overflowPunct/>
              <w:topLinePunct w:val="0"/>
              <w:autoSpaceDE/>
              <w:autoSpaceDN/>
              <w:bidi w:val="0"/>
              <w:adjustRightInd w:val="0"/>
              <w:snapToGrid w:val="0"/>
              <w:spacing w:line="360" w:lineRule="exact"/>
              <w:ind w:firstLine="210" w:firstLineChars="100"/>
              <w:jc w:val="left"/>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单位名称：新丰县市政工程公司</w:t>
            </w:r>
          </w:p>
          <w:p w14:paraId="57B97C6D">
            <w:pPr>
              <w:keepNext w:val="0"/>
              <w:keepLines w:val="0"/>
              <w:pageBreakBefore w:val="0"/>
              <w:kinsoku/>
              <w:wordWrap w:val="0"/>
              <w:overflowPunct/>
              <w:topLinePunct w:val="0"/>
              <w:autoSpaceDE/>
              <w:autoSpaceDN/>
              <w:bidi w:val="0"/>
              <w:adjustRightInd w:val="0"/>
              <w:snapToGrid w:val="0"/>
              <w:spacing w:line="360" w:lineRule="exact"/>
              <w:ind w:firstLine="210" w:firstLineChars="100"/>
              <w:jc w:val="left"/>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办公地址：新丰县丰城街道群英路新城二街1号新丰县国有资产管理集团有限公司A栋2楼</w:t>
            </w:r>
          </w:p>
          <w:p w14:paraId="5426A9E4">
            <w:pPr>
              <w:keepNext w:val="0"/>
              <w:keepLines w:val="0"/>
              <w:pageBreakBefore w:val="0"/>
              <w:kinsoku/>
              <w:wordWrap w:val="0"/>
              <w:overflowPunct/>
              <w:topLinePunct w:val="0"/>
              <w:autoSpaceDE/>
              <w:autoSpaceDN/>
              <w:bidi w:val="0"/>
              <w:adjustRightInd w:val="0"/>
              <w:snapToGrid w:val="0"/>
              <w:spacing w:line="360" w:lineRule="exact"/>
              <w:ind w:firstLine="210" w:firstLineChars="100"/>
              <w:jc w:val="left"/>
              <w:textAlignment w:val="auto"/>
              <w:rPr>
                <w:rFonts w:hint="default"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联系人（部门）：刘工，联系电话：13570797877</w:t>
            </w:r>
          </w:p>
        </w:tc>
      </w:tr>
      <w:tr w14:paraId="177C4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44" w:hRule="atLeast"/>
        </w:trPr>
        <w:tc>
          <w:tcPr>
            <w:tcW w:w="582" w:type="dxa"/>
            <w:vAlign w:val="center"/>
          </w:tcPr>
          <w:p w14:paraId="72BC2BCF">
            <w:pPr>
              <w:keepNext w:val="0"/>
              <w:keepLines w:val="0"/>
              <w:pageBreakBefore w:val="0"/>
              <w:wordWrap w:val="0"/>
              <w:overflowPunct/>
              <w:topLinePunct w:val="0"/>
              <w:bidi w:val="0"/>
              <w:spacing w:before="69" w:line="188" w:lineRule="auto"/>
              <w:jc w:val="center"/>
              <w:rPr>
                <w:rFonts w:hint="default" w:asciiTheme="minorEastAsia" w:hAnsiTheme="minorEastAsia" w:eastAsiaTheme="minorEastAsia" w:cstheme="minorEastAsia"/>
                <w:color w:val="auto"/>
                <w:spacing w:val="0"/>
                <w:sz w:val="21"/>
                <w:szCs w:val="21"/>
                <w:highlight w:val="none"/>
                <w:lang w:val="en-US" w:eastAsia="zh-CN"/>
              </w:rPr>
            </w:pPr>
            <w:r>
              <w:rPr>
                <w:rFonts w:hint="eastAsia" w:asciiTheme="minorEastAsia" w:hAnsiTheme="minorEastAsia" w:eastAsiaTheme="minorEastAsia" w:cstheme="minorEastAsia"/>
                <w:color w:val="auto"/>
                <w:spacing w:val="0"/>
                <w:sz w:val="21"/>
                <w:szCs w:val="21"/>
                <w:highlight w:val="none"/>
                <w:lang w:eastAsia="zh-CN"/>
              </w:rPr>
              <w:t>3</w:t>
            </w:r>
            <w:r>
              <w:rPr>
                <w:rFonts w:hint="eastAsia" w:asciiTheme="minorEastAsia" w:hAnsiTheme="minorEastAsia" w:eastAsiaTheme="minorEastAsia" w:cstheme="minorEastAsia"/>
                <w:color w:val="auto"/>
                <w:spacing w:val="0"/>
                <w:sz w:val="21"/>
                <w:szCs w:val="21"/>
                <w:highlight w:val="none"/>
                <w:lang w:val="en-US" w:eastAsia="zh-CN"/>
              </w:rPr>
              <w:t>8</w:t>
            </w:r>
          </w:p>
        </w:tc>
        <w:tc>
          <w:tcPr>
            <w:tcW w:w="1942" w:type="dxa"/>
            <w:vAlign w:val="center"/>
          </w:tcPr>
          <w:p w14:paraId="37CA2046">
            <w:pPr>
              <w:keepNext w:val="0"/>
              <w:keepLines w:val="0"/>
              <w:pageBreakBefore w:val="0"/>
              <w:kinsoku/>
              <w:wordWrap w:val="0"/>
              <w:overflowPunct/>
              <w:topLinePunct w:val="0"/>
              <w:autoSpaceDE/>
              <w:autoSpaceDN/>
              <w:bidi w:val="0"/>
              <w:adjustRightInd w:val="0"/>
              <w:snapToGrid w:val="0"/>
              <w:spacing w:line="360" w:lineRule="exact"/>
              <w:ind w:firstLine="210" w:firstLineChars="100"/>
              <w:jc w:val="left"/>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交易场所联系方式</w:t>
            </w:r>
          </w:p>
        </w:tc>
        <w:tc>
          <w:tcPr>
            <w:tcW w:w="7574" w:type="dxa"/>
            <w:vAlign w:val="center"/>
          </w:tcPr>
          <w:p w14:paraId="586602F9">
            <w:pPr>
              <w:keepNext w:val="0"/>
              <w:keepLines w:val="0"/>
              <w:pageBreakBefore w:val="0"/>
              <w:kinsoku/>
              <w:wordWrap w:val="0"/>
              <w:overflowPunct/>
              <w:topLinePunct w:val="0"/>
              <w:autoSpaceDE/>
              <w:autoSpaceDN/>
              <w:bidi w:val="0"/>
              <w:adjustRightInd w:val="0"/>
              <w:snapToGrid w:val="0"/>
              <w:spacing w:line="360" w:lineRule="exact"/>
              <w:ind w:firstLine="210" w:firstLineChars="100"/>
              <w:jc w:val="left"/>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单位名称：韶关市公共资源交易中心新丰分中心</w:t>
            </w:r>
          </w:p>
          <w:p w14:paraId="6E44E13A">
            <w:pPr>
              <w:keepNext w:val="0"/>
              <w:keepLines w:val="0"/>
              <w:pageBreakBefore w:val="0"/>
              <w:kinsoku/>
              <w:wordWrap w:val="0"/>
              <w:overflowPunct/>
              <w:topLinePunct w:val="0"/>
              <w:autoSpaceDE/>
              <w:autoSpaceDN/>
              <w:bidi w:val="0"/>
              <w:adjustRightInd w:val="0"/>
              <w:snapToGrid w:val="0"/>
              <w:spacing w:line="360" w:lineRule="exact"/>
              <w:ind w:left="210" w:leftChars="100" w:firstLine="0" w:firstLineChars="0"/>
              <w:jc w:val="left"/>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办公地址：新丰县丰城街道金园路53号行政服务中心5楼（韶关市公共资源交易中心新丰分中心）</w:t>
            </w:r>
          </w:p>
          <w:p w14:paraId="1E5C80AE">
            <w:pPr>
              <w:keepNext w:val="0"/>
              <w:keepLines w:val="0"/>
              <w:pageBreakBefore w:val="0"/>
              <w:kinsoku/>
              <w:wordWrap w:val="0"/>
              <w:overflowPunct/>
              <w:topLinePunct w:val="0"/>
              <w:autoSpaceDE/>
              <w:autoSpaceDN/>
              <w:bidi w:val="0"/>
              <w:adjustRightInd w:val="0"/>
              <w:snapToGrid w:val="0"/>
              <w:spacing w:line="360" w:lineRule="exact"/>
              <w:ind w:firstLine="210" w:firstLineChars="100"/>
              <w:jc w:val="left"/>
              <w:textAlignment w:val="auto"/>
              <w:rPr>
                <w:rFonts w:hint="default" w:ascii="宋体" w:hAnsi="宋体" w:eastAsia="宋体" w:cs="宋体"/>
                <w:snapToGrid w:val="0"/>
                <w:color w:val="auto"/>
                <w:kern w:val="0"/>
                <w:sz w:val="21"/>
                <w:szCs w:val="21"/>
                <w:highlight w:val="none"/>
                <w:lang w:val="en-US" w:eastAsia="zh-CN"/>
              </w:rPr>
            </w:pPr>
            <w:r>
              <w:rPr>
                <w:rFonts w:hint="default" w:ascii="宋体" w:hAnsi="宋体" w:eastAsia="宋体" w:cs="宋体"/>
                <w:snapToGrid w:val="0"/>
                <w:color w:val="auto"/>
                <w:kern w:val="0"/>
                <w:sz w:val="21"/>
                <w:szCs w:val="21"/>
                <w:highlight w:val="none"/>
                <w:lang w:val="en-US" w:eastAsia="zh-CN"/>
              </w:rPr>
              <w:t>联系人（部门）：</w:t>
            </w:r>
            <w:r>
              <w:rPr>
                <w:rFonts w:hint="eastAsia" w:ascii="宋体" w:hAnsi="宋体" w:eastAsia="宋体" w:cs="宋体"/>
                <w:snapToGrid w:val="0"/>
                <w:color w:val="auto"/>
                <w:kern w:val="0"/>
                <w:sz w:val="21"/>
                <w:szCs w:val="21"/>
                <w:highlight w:val="none"/>
                <w:lang w:val="en-US" w:eastAsia="zh-CN"/>
              </w:rPr>
              <w:t>工程交易部</w:t>
            </w:r>
          </w:p>
          <w:p w14:paraId="7FBD7195">
            <w:pPr>
              <w:keepNext w:val="0"/>
              <w:keepLines w:val="0"/>
              <w:pageBreakBefore w:val="0"/>
              <w:kinsoku/>
              <w:wordWrap w:val="0"/>
              <w:overflowPunct/>
              <w:topLinePunct w:val="0"/>
              <w:autoSpaceDE/>
              <w:autoSpaceDN/>
              <w:bidi w:val="0"/>
              <w:adjustRightInd w:val="0"/>
              <w:snapToGrid w:val="0"/>
              <w:spacing w:line="360" w:lineRule="exact"/>
              <w:ind w:firstLine="210" w:firstLineChars="100"/>
              <w:jc w:val="left"/>
              <w:textAlignment w:val="auto"/>
              <w:rPr>
                <w:rFonts w:hint="eastAsia" w:ascii="宋体" w:hAnsi="宋体" w:eastAsia="宋体" w:cs="宋体"/>
                <w:snapToGrid w:val="0"/>
                <w:color w:val="auto"/>
                <w:kern w:val="0"/>
                <w:sz w:val="21"/>
                <w:szCs w:val="21"/>
                <w:highlight w:val="none"/>
                <w:lang w:val="en-US" w:eastAsia="zh-CN"/>
              </w:rPr>
            </w:pPr>
            <w:r>
              <w:rPr>
                <w:rFonts w:hint="default" w:ascii="宋体" w:hAnsi="宋体" w:eastAsia="宋体" w:cs="宋体"/>
                <w:snapToGrid w:val="0"/>
                <w:color w:val="auto"/>
                <w:kern w:val="0"/>
                <w:sz w:val="21"/>
                <w:szCs w:val="21"/>
                <w:highlight w:val="none"/>
                <w:lang w:val="en-US" w:eastAsia="zh-CN"/>
              </w:rPr>
              <w:t>联系电话：</w:t>
            </w:r>
            <w:r>
              <w:rPr>
                <w:rFonts w:hint="eastAsia" w:ascii="宋体" w:hAnsi="宋体" w:eastAsia="宋体" w:cs="宋体"/>
                <w:snapToGrid w:val="0"/>
                <w:color w:val="auto"/>
                <w:kern w:val="0"/>
                <w:sz w:val="21"/>
                <w:szCs w:val="21"/>
                <w:highlight w:val="none"/>
                <w:lang w:val="en-US" w:eastAsia="zh-CN"/>
              </w:rPr>
              <w:t>0751-2198025</w:t>
            </w:r>
          </w:p>
        </w:tc>
      </w:tr>
      <w:tr w14:paraId="5F158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14" w:hRule="atLeast"/>
        </w:trPr>
        <w:tc>
          <w:tcPr>
            <w:tcW w:w="582" w:type="dxa"/>
            <w:vAlign w:val="center"/>
          </w:tcPr>
          <w:p w14:paraId="4443E7FB">
            <w:pPr>
              <w:keepNext w:val="0"/>
              <w:keepLines w:val="0"/>
              <w:pageBreakBefore w:val="0"/>
              <w:wordWrap w:val="0"/>
              <w:overflowPunct/>
              <w:topLinePunct w:val="0"/>
              <w:bidi w:val="0"/>
              <w:spacing w:before="69" w:line="188" w:lineRule="auto"/>
              <w:jc w:val="center"/>
              <w:rPr>
                <w:rFonts w:hint="default" w:asciiTheme="minorEastAsia" w:hAnsiTheme="minorEastAsia" w:eastAsiaTheme="minorEastAsia" w:cstheme="minorEastAsia"/>
                <w:color w:val="auto"/>
                <w:spacing w:val="0"/>
                <w:sz w:val="21"/>
                <w:szCs w:val="21"/>
                <w:highlight w:val="none"/>
                <w:lang w:val="en-US" w:eastAsia="zh-CN"/>
              </w:rPr>
            </w:pPr>
            <w:r>
              <w:rPr>
                <w:rFonts w:hint="eastAsia" w:asciiTheme="minorEastAsia" w:hAnsiTheme="minorEastAsia" w:eastAsiaTheme="minorEastAsia" w:cstheme="minorEastAsia"/>
                <w:color w:val="auto"/>
                <w:spacing w:val="0"/>
                <w:sz w:val="21"/>
                <w:szCs w:val="21"/>
                <w:highlight w:val="none"/>
                <w:lang w:eastAsia="zh-CN"/>
              </w:rPr>
              <w:t>3</w:t>
            </w:r>
            <w:r>
              <w:rPr>
                <w:rFonts w:hint="eastAsia" w:asciiTheme="minorEastAsia" w:hAnsiTheme="minorEastAsia" w:eastAsiaTheme="minorEastAsia" w:cstheme="minorEastAsia"/>
                <w:color w:val="auto"/>
                <w:spacing w:val="0"/>
                <w:sz w:val="21"/>
                <w:szCs w:val="21"/>
                <w:highlight w:val="none"/>
                <w:lang w:val="en-US" w:eastAsia="zh-CN"/>
              </w:rPr>
              <w:t>9</w:t>
            </w:r>
          </w:p>
        </w:tc>
        <w:tc>
          <w:tcPr>
            <w:tcW w:w="1942" w:type="dxa"/>
            <w:vAlign w:val="center"/>
          </w:tcPr>
          <w:p w14:paraId="52D63DD2">
            <w:pPr>
              <w:keepNext w:val="0"/>
              <w:keepLines w:val="0"/>
              <w:pageBreakBefore w:val="0"/>
              <w:kinsoku/>
              <w:wordWrap w:val="0"/>
              <w:overflowPunct/>
              <w:topLinePunct w:val="0"/>
              <w:autoSpaceDE/>
              <w:autoSpaceDN/>
              <w:bidi w:val="0"/>
              <w:adjustRightInd w:val="0"/>
              <w:snapToGrid w:val="0"/>
              <w:spacing w:line="360" w:lineRule="exact"/>
              <w:ind w:firstLine="210" w:firstLineChars="100"/>
              <w:jc w:val="left"/>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行政监督部</w:t>
            </w:r>
          </w:p>
          <w:p w14:paraId="24A1A8E8">
            <w:pPr>
              <w:keepNext w:val="0"/>
              <w:keepLines w:val="0"/>
              <w:pageBreakBefore w:val="0"/>
              <w:kinsoku/>
              <w:wordWrap w:val="0"/>
              <w:overflowPunct/>
              <w:topLinePunct w:val="0"/>
              <w:autoSpaceDE/>
              <w:autoSpaceDN/>
              <w:bidi w:val="0"/>
              <w:adjustRightInd w:val="0"/>
              <w:snapToGrid w:val="0"/>
              <w:spacing w:line="360" w:lineRule="exact"/>
              <w:ind w:firstLine="210" w:firstLineChars="100"/>
              <w:jc w:val="left"/>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门联系方式</w:t>
            </w:r>
          </w:p>
        </w:tc>
        <w:tc>
          <w:tcPr>
            <w:tcW w:w="7574" w:type="dxa"/>
            <w:vAlign w:val="center"/>
          </w:tcPr>
          <w:p w14:paraId="28E18BB7">
            <w:pPr>
              <w:keepNext w:val="0"/>
              <w:keepLines w:val="0"/>
              <w:pageBreakBefore w:val="0"/>
              <w:kinsoku/>
              <w:wordWrap w:val="0"/>
              <w:overflowPunct/>
              <w:topLinePunct w:val="0"/>
              <w:autoSpaceDE/>
              <w:autoSpaceDN/>
              <w:bidi w:val="0"/>
              <w:adjustRightInd w:val="0"/>
              <w:snapToGrid w:val="0"/>
              <w:spacing w:line="360" w:lineRule="exact"/>
              <w:ind w:firstLine="210" w:firstLineChars="100"/>
              <w:jc w:val="left"/>
              <w:textAlignment w:val="auto"/>
              <w:rPr>
                <w:rFonts w:hint="default"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单位名称：新丰县农业农村局</w:t>
            </w:r>
          </w:p>
          <w:p w14:paraId="5033ABAF">
            <w:pPr>
              <w:keepNext w:val="0"/>
              <w:keepLines w:val="0"/>
              <w:pageBreakBefore w:val="0"/>
              <w:kinsoku/>
              <w:wordWrap w:val="0"/>
              <w:overflowPunct/>
              <w:topLinePunct w:val="0"/>
              <w:autoSpaceDE/>
              <w:autoSpaceDN/>
              <w:bidi w:val="0"/>
              <w:adjustRightInd w:val="0"/>
              <w:snapToGrid w:val="0"/>
              <w:spacing w:line="360" w:lineRule="exact"/>
              <w:ind w:firstLine="210" w:firstLineChars="100"/>
              <w:jc w:val="left"/>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办公地址：新丰县丰城镇丰城大道西75号</w:t>
            </w:r>
          </w:p>
          <w:p w14:paraId="65641388">
            <w:pPr>
              <w:keepNext w:val="0"/>
              <w:keepLines w:val="0"/>
              <w:pageBreakBefore w:val="0"/>
              <w:kinsoku/>
              <w:wordWrap w:val="0"/>
              <w:overflowPunct/>
              <w:topLinePunct w:val="0"/>
              <w:autoSpaceDE/>
              <w:autoSpaceDN/>
              <w:bidi w:val="0"/>
              <w:adjustRightInd w:val="0"/>
              <w:snapToGrid w:val="0"/>
              <w:spacing w:line="360" w:lineRule="exact"/>
              <w:ind w:firstLine="210" w:firstLineChars="100"/>
              <w:jc w:val="left"/>
              <w:textAlignment w:val="auto"/>
              <w:rPr>
                <w:rFonts w:hint="default"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联系电话：0751-2295213</w:t>
            </w:r>
          </w:p>
        </w:tc>
      </w:tr>
    </w:tbl>
    <w:p w14:paraId="47216EED">
      <w:pPr>
        <w:keepNext w:val="0"/>
        <w:keepLines w:val="0"/>
        <w:pageBreakBefore w:val="0"/>
        <w:wordWrap w:val="0"/>
        <w:overflowPunct/>
        <w:topLinePunct w:val="0"/>
        <w:bidi w:val="0"/>
        <w:rPr>
          <w:rFonts w:hint="eastAsia" w:ascii="宋体" w:hAnsi="宋体" w:eastAsia="宋体" w:cs="宋体"/>
          <w:b/>
          <w:bCs/>
          <w:color w:val="auto"/>
          <w:spacing w:val="0"/>
          <w:sz w:val="24"/>
          <w:szCs w:val="24"/>
          <w:highlight w:val="none"/>
        </w:rPr>
      </w:pPr>
      <w:bookmarkStart w:id="5" w:name="bookmark115"/>
      <w:bookmarkEnd w:id="5"/>
    </w:p>
    <w:p w14:paraId="217A58D1">
      <w:pPr>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rPr>
        <w:br w:type="page"/>
      </w:r>
    </w:p>
    <w:p w14:paraId="11006A9B">
      <w:pPr>
        <w:keepNext w:val="0"/>
        <w:keepLines w:val="0"/>
        <w:pageBreakBefore w:val="0"/>
        <w:wordWrap w:val="0"/>
        <w:overflowPunct/>
        <w:topLinePunct w:val="0"/>
        <w:bidi w:val="0"/>
        <w:spacing w:before="156" w:line="219" w:lineRule="auto"/>
        <w:ind w:left="17"/>
        <w:jc w:val="left"/>
        <w:outlineLvl w:val="1"/>
        <w:rPr>
          <w:rFonts w:hint="eastAsia" w:ascii="宋体" w:hAnsi="宋体" w:eastAsia="宋体" w:cs="宋体"/>
          <w:color w:val="auto"/>
          <w:spacing w:val="0"/>
          <w:highlight w:val="none"/>
        </w:rPr>
      </w:pPr>
      <w:bookmarkStart w:id="6" w:name="_Toc20130"/>
      <w:r>
        <w:rPr>
          <w:rFonts w:hint="eastAsia" w:ascii="宋体" w:hAnsi="宋体" w:eastAsia="宋体" w:cs="宋体"/>
          <w:b/>
          <w:bCs/>
          <w:color w:val="auto"/>
          <w:spacing w:val="0"/>
          <w:sz w:val="24"/>
          <w:szCs w:val="24"/>
          <w:highlight w:val="none"/>
        </w:rPr>
        <w:t>第二节 重要事项时间地点一览表</w:t>
      </w:r>
      <w:bookmarkEnd w:id="6"/>
    </w:p>
    <w:p w14:paraId="3585DF17">
      <w:pPr>
        <w:pStyle w:val="6"/>
        <w:keepNext w:val="0"/>
        <w:keepLines w:val="0"/>
        <w:pageBreakBefore w:val="0"/>
        <w:wordWrap w:val="0"/>
        <w:overflowPunct/>
        <w:topLinePunct w:val="0"/>
        <w:bidi w:val="0"/>
        <w:rPr>
          <w:rFonts w:hint="eastAsia" w:ascii="宋体" w:hAnsi="宋体" w:eastAsia="宋体" w:cs="宋体"/>
          <w:color w:val="auto"/>
          <w:spacing w:val="0"/>
          <w:highlight w:val="none"/>
        </w:rPr>
      </w:pPr>
    </w:p>
    <w:tbl>
      <w:tblPr>
        <w:tblStyle w:val="17"/>
        <w:tblW w:w="9059" w:type="dxa"/>
        <w:tblInd w:w="-6"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421"/>
        <w:gridCol w:w="1300"/>
        <w:gridCol w:w="7338"/>
      </w:tblGrid>
      <w:tr w14:paraId="2EE6123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56" w:hRule="exact"/>
        </w:trPr>
        <w:tc>
          <w:tcPr>
            <w:tcW w:w="421" w:type="dxa"/>
            <w:tcBorders>
              <w:top w:val="single" w:color="080000" w:sz="4" w:space="0"/>
              <w:left w:val="single" w:color="080000" w:sz="4" w:space="0"/>
              <w:bottom w:val="single" w:color="080000" w:sz="4" w:space="0"/>
              <w:right w:val="single" w:color="080000" w:sz="4" w:space="0"/>
            </w:tcBorders>
            <w:noWrap w:val="0"/>
            <w:vAlign w:val="center"/>
          </w:tcPr>
          <w:p w14:paraId="34A494B2">
            <w:pPr>
              <w:pStyle w:val="33"/>
              <w:keepNext w:val="0"/>
              <w:keepLines w:val="0"/>
              <w:pageBreakBefore w:val="0"/>
              <w:suppressLineNumbers w:val="0"/>
              <w:wordWrap w:val="0"/>
              <w:overflowPunct/>
              <w:topLinePunct w:val="0"/>
              <w:bidi w:val="0"/>
              <w:adjustRightInd w:val="0"/>
              <w:snapToGrid w:val="0"/>
              <w:spacing w:before="0" w:beforeAutospacing="0" w:after="0" w:afterAutospacing="0" w:line="360" w:lineRule="exact"/>
              <w:ind w:left="0" w:leftChars="0" w:right="0" w:rightChars="0"/>
              <w:jc w:val="center"/>
              <w:rPr>
                <w:rFonts w:hint="eastAsia" w:ascii="宋体" w:hAnsi="宋体" w:eastAsia="宋体" w:cs="宋体"/>
                <w:color w:val="auto"/>
                <w:spacing w:val="0"/>
                <w:sz w:val="20"/>
                <w:szCs w:val="22"/>
                <w:highlight w:val="none"/>
              </w:rPr>
            </w:pPr>
            <w:r>
              <w:rPr>
                <w:rFonts w:hint="eastAsia" w:ascii="宋体" w:hAnsi="宋体" w:eastAsia="宋体" w:cs="宋体"/>
                <w:snapToGrid w:val="0"/>
                <w:color w:val="auto"/>
                <w:spacing w:val="0"/>
                <w:kern w:val="0"/>
                <w:sz w:val="21"/>
                <w:szCs w:val="21"/>
                <w:highlight w:val="none"/>
              </w:rPr>
              <w:t>1</w:t>
            </w:r>
          </w:p>
        </w:tc>
        <w:tc>
          <w:tcPr>
            <w:tcW w:w="1300" w:type="dxa"/>
            <w:tcBorders>
              <w:top w:val="single" w:color="080000" w:sz="4" w:space="0"/>
              <w:left w:val="single" w:color="080000" w:sz="4" w:space="0"/>
              <w:bottom w:val="single" w:color="080000" w:sz="4" w:space="0"/>
              <w:right w:val="single" w:color="080000" w:sz="4" w:space="0"/>
            </w:tcBorders>
            <w:noWrap w:val="0"/>
            <w:vAlign w:val="center"/>
          </w:tcPr>
          <w:p w14:paraId="21D888A9">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snapToGrid w:val="0"/>
                <w:color w:val="auto"/>
                <w:spacing w:val="0"/>
                <w:kern w:val="0"/>
                <w:sz w:val="21"/>
                <w:szCs w:val="21"/>
                <w:highlight w:val="none"/>
                <w:lang w:val="en-US" w:eastAsia="zh-CN" w:bidi="ar-SA"/>
              </w:rPr>
            </w:pPr>
            <w:r>
              <w:rPr>
                <w:rFonts w:hint="eastAsia" w:ascii="宋体" w:hAnsi="宋体" w:eastAsia="宋体" w:cs="宋体"/>
                <w:snapToGrid w:val="0"/>
                <w:color w:val="auto"/>
                <w:spacing w:val="0"/>
                <w:kern w:val="0"/>
                <w:sz w:val="21"/>
                <w:szCs w:val="21"/>
                <w:highlight w:val="none"/>
                <w:lang w:val="en-US" w:eastAsia="zh-CN" w:bidi="ar-SA"/>
              </w:rPr>
              <w:t>招标公告</w:t>
            </w:r>
          </w:p>
          <w:p w14:paraId="39B4A685">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leftChars="0" w:right="0" w:rightChars="0"/>
              <w:jc w:val="center"/>
              <w:rPr>
                <w:rFonts w:hint="eastAsia" w:ascii="宋体" w:hAnsi="宋体" w:eastAsia="宋体" w:cs="宋体"/>
                <w:color w:val="auto"/>
                <w:spacing w:val="0"/>
                <w:sz w:val="22"/>
                <w:szCs w:val="18"/>
                <w:highlight w:val="none"/>
              </w:rPr>
            </w:pPr>
            <w:r>
              <w:rPr>
                <w:rFonts w:hint="eastAsia" w:ascii="宋体" w:hAnsi="宋体" w:eastAsia="宋体" w:cs="宋体"/>
                <w:snapToGrid w:val="0"/>
                <w:color w:val="auto"/>
                <w:spacing w:val="0"/>
                <w:kern w:val="0"/>
                <w:sz w:val="21"/>
                <w:szCs w:val="21"/>
                <w:highlight w:val="none"/>
                <w:lang w:val="en-US" w:eastAsia="zh-CN" w:bidi="ar-SA"/>
              </w:rPr>
              <w:t xml:space="preserve">发布时间 </w:t>
            </w:r>
          </w:p>
        </w:tc>
        <w:tc>
          <w:tcPr>
            <w:tcW w:w="7338" w:type="dxa"/>
            <w:tcBorders>
              <w:top w:val="single" w:color="080000" w:sz="4" w:space="0"/>
              <w:left w:val="single" w:color="080000" w:sz="4" w:space="0"/>
              <w:bottom w:val="single" w:color="080000" w:sz="4" w:space="0"/>
              <w:right w:val="single" w:color="080000" w:sz="4" w:space="0"/>
            </w:tcBorders>
            <w:noWrap w:val="0"/>
            <w:vAlign w:val="center"/>
          </w:tcPr>
          <w:p w14:paraId="2472C52A">
            <w:pPr>
              <w:pStyle w:val="33"/>
              <w:wordWrap w:val="0"/>
              <w:adjustRightInd w:val="0"/>
              <w:snapToGrid w:val="0"/>
              <w:ind w:left="105" w:leftChars="50" w:firstLine="210" w:firstLineChars="100"/>
              <w:jc w:val="left"/>
              <w:rPr>
                <w:rFonts w:hint="eastAsia" w:asciiTheme="minorEastAsia" w:hAnsiTheme="minorEastAsia" w:eastAsiaTheme="minorEastAsia" w:cstheme="minorEastAsia"/>
                <w:color w:val="FFFFFF" w:themeColor="background1"/>
                <w:spacing w:val="0"/>
                <w:sz w:val="22"/>
                <w:szCs w:val="18"/>
                <w:highlight w:val="none"/>
                <w14:textFill>
                  <w14:solidFill>
                    <w14:schemeClr w14:val="bg1"/>
                  </w14:solidFill>
                </w14:textFill>
              </w:rPr>
            </w:pPr>
            <w:r>
              <w:rPr>
                <w:rFonts w:hint="eastAsia" w:ascii="宋体" w:hAnsi="宋体" w:eastAsia="宋体" w:cs="宋体"/>
                <w:color w:val="auto"/>
                <w:sz w:val="21"/>
                <w:szCs w:val="21"/>
                <w:highlight w:val="none"/>
                <w:u w:val="single"/>
                <w:lang w:val="en-US" w:eastAsia="zh-CN"/>
              </w:rPr>
              <w:t>2026</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lang w:val="en-US" w:eastAsia="zh-CN"/>
              </w:rPr>
              <w:t xml:space="preserve"> 10</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lang w:val="en-US" w:eastAsia="zh-CN"/>
              </w:rPr>
              <w:t xml:space="preserve"> 29 </w:t>
            </w:r>
            <w:r>
              <w:rPr>
                <w:rFonts w:hint="eastAsia" w:ascii="宋体" w:hAnsi="宋体" w:eastAsia="宋体" w:cs="宋体"/>
                <w:color w:val="auto"/>
                <w:sz w:val="21"/>
                <w:szCs w:val="21"/>
                <w:highlight w:val="none"/>
              </w:rPr>
              <w:t>日</w:t>
            </w:r>
            <w:r>
              <w:rPr>
                <w:rFonts w:hint="eastAsia" w:ascii="宋体" w:hAnsi="宋体" w:eastAsia="宋体" w:cs="宋体"/>
                <w:color w:val="auto"/>
                <w:sz w:val="21"/>
                <w:szCs w:val="21"/>
                <w:highlight w:val="none"/>
                <w:u w:val="single"/>
                <w:lang w:val="en-US" w:eastAsia="zh-CN"/>
              </w:rPr>
              <w:t>2</w:t>
            </w:r>
            <w:r>
              <w:rPr>
                <w:rFonts w:hint="eastAsia" w:ascii="宋体" w:hAnsi="宋体" w:cs="宋体"/>
                <w:color w:val="auto"/>
                <w:sz w:val="21"/>
                <w:szCs w:val="21"/>
                <w:highlight w:val="none"/>
                <w:u w:val="single"/>
                <w:lang w:val="en-US" w:eastAsia="zh-CN"/>
              </w:rPr>
              <w:t>1</w:t>
            </w:r>
            <w:r>
              <w:rPr>
                <w:rFonts w:hint="eastAsia" w:ascii="宋体" w:hAnsi="宋体" w:eastAsia="宋体" w:cs="宋体"/>
                <w:color w:val="auto"/>
                <w:sz w:val="21"/>
                <w:szCs w:val="21"/>
                <w:highlight w:val="none"/>
              </w:rPr>
              <w:t>时</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u w:val="single"/>
                <w:lang w:val="en-US" w:eastAsia="zh-CN"/>
              </w:rPr>
              <w:t>0</w:t>
            </w:r>
            <w:r>
              <w:rPr>
                <w:rFonts w:hint="eastAsia" w:ascii="宋体" w:hAnsi="宋体" w:eastAsia="宋体" w:cs="宋体"/>
                <w:color w:val="auto"/>
                <w:sz w:val="21"/>
                <w:szCs w:val="21"/>
                <w:highlight w:val="none"/>
              </w:rPr>
              <w:t>分</w:t>
            </w:r>
          </w:p>
        </w:tc>
      </w:tr>
      <w:tr w14:paraId="096946F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70" w:hRule="exact"/>
        </w:trPr>
        <w:tc>
          <w:tcPr>
            <w:tcW w:w="421" w:type="dxa"/>
            <w:tcBorders>
              <w:top w:val="single" w:color="080000" w:sz="4" w:space="0"/>
              <w:left w:val="single" w:color="080000" w:sz="4" w:space="0"/>
              <w:bottom w:val="single" w:color="080000" w:sz="4" w:space="0"/>
              <w:right w:val="single" w:color="080000" w:sz="4" w:space="0"/>
            </w:tcBorders>
            <w:noWrap w:val="0"/>
            <w:vAlign w:val="center"/>
          </w:tcPr>
          <w:p w14:paraId="739E2374">
            <w:pPr>
              <w:pStyle w:val="33"/>
              <w:keepNext w:val="0"/>
              <w:keepLines w:val="0"/>
              <w:pageBreakBefore w:val="0"/>
              <w:suppressLineNumbers w:val="0"/>
              <w:wordWrap w:val="0"/>
              <w:overflowPunct/>
              <w:topLinePunct w:val="0"/>
              <w:bidi w:val="0"/>
              <w:adjustRightInd w:val="0"/>
              <w:snapToGrid w:val="0"/>
              <w:spacing w:before="0" w:beforeAutospacing="0" w:after="0" w:afterAutospacing="0" w:line="360" w:lineRule="exact"/>
              <w:ind w:left="0" w:leftChars="0" w:right="0" w:rightChars="0"/>
              <w:jc w:val="center"/>
              <w:rPr>
                <w:rFonts w:hint="eastAsia" w:ascii="宋体" w:hAnsi="宋体" w:eastAsia="宋体" w:cs="宋体"/>
                <w:color w:val="auto"/>
                <w:spacing w:val="0"/>
                <w:sz w:val="20"/>
                <w:szCs w:val="22"/>
                <w:highlight w:val="none"/>
              </w:rPr>
            </w:pPr>
            <w:r>
              <w:rPr>
                <w:rFonts w:hint="eastAsia" w:ascii="宋体" w:hAnsi="宋体" w:eastAsia="宋体" w:cs="宋体"/>
                <w:snapToGrid w:val="0"/>
                <w:color w:val="auto"/>
                <w:spacing w:val="0"/>
                <w:kern w:val="0"/>
                <w:sz w:val="21"/>
                <w:szCs w:val="21"/>
                <w:highlight w:val="none"/>
              </w:rPr>
              <w:t>2</w:t>
            </w:r>
          </w:p>
        </w:tc>
        <w:tc>
          <w:tcPr>
            <w:tcW w:w="1300" w:type="dxa"/>
            <w:tcBorders>
              <w:top w:val="single" w:color="080000" w:sz="4" w:space="0"/>
              <w:left w:val="single" w:color="080000" w:sz="4" w:space="0"/>
              <w:bottom w:val="single" w:color="080000" w:sz="4" w:space="0"/>
              <w:right w:val="single" w:color="080000" w:sz="4" w:space="0"/>
            </w:tcBorders>
            <w:noWrap w:val="0"/>
            <w:vAlign w:val="center"/>
          </w:tcPr>
          <w:p w14:paraId="716875F1">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leftChars="0" w:right="0" w:rightChars="0"/>
              <w:jc w:val="center"/>
              <w:rPr>
                <w:rFonts w:hint="eastAsia" w:ascii="宋体" w:hAnsi="宋体" w:eastAsia="宋体" w:cs="宋体"/>
                <w:color w:val="auto"/>
                <w:spacing w:val="0"/>
                <w:sz w:val="22"/>
                <w:szCs w:val="18"/>
                <w:highlight w:val="none"/>
              </w:rPr>
            </w:pPr>
            <w:r>
              <w:rPr>
                <w:rFonts w:hint="eastAsia" w:ascii="宋体" w:hAnsi="宋体" w:eastAsia="宋体" w:cs="宋体"/>
                <w:snapToGrid w:val="0"/>
                <w:color w:val="auto"/>
                <w:spacing w:val="0"/>
                <w:kern w:val="0"/>
                <w:sz w:val="21"/>
                <w:szCs w:val="21"/>
                <w:highlight w:val="none"/>
                <w:lang w:val="en-US" w:eastAsia="zh-CN" w:bidi="ar-SA"/>
              </w:rPr>
              <w:t xml:space="preserve">获取招标文件截止时间 </w:t>
            </w:r>
          </w:p>
        </w:tc>
        <w:tc>
          <w:tcPr>
            <w:tcW w:w="7338" w:type="dxa"/>
            <w:tcBorders>
              <w:top w:val="single" w:color="080000" w:sz="4" w:space="0"/>
              <w:left w:val="single" w:color="080000" w:sz="4" w:space="0"/>
              <w:bottom w:val="single" w:color="080000" w:sz="4" w:space="0"/>
              <w:right w:val="single" w:color="080000" w:sz="4" w:space="0"/>
            </w:tcBorders>
            <w:noWrap w:val="0"/>
            <w:vAlign w:val="center"/>
          </w:tcPr>
          <w:p w14:paraId="167C31F7">
            <w:pPr>
              <w:pStyle w:val="33"/>
              <w:wordWrap w:val="0"/>
              <w:adjustRightInd w:val="0"/>
              <w:snapToGrid w:val="0"/>
              <w:ind w:left="105" w:leftChars="50" w:firstLine="210" w:firstLineChars="100"/>
              <w:jc w:val="left"/>
              <w:rPr>
                <w:rFonts w:hint="eastAsia" w:asciiTheme="minorEastAsia" w:hAnsiTheme="minorEastAsia" w:eastAsiaTheme="minorEastAsia" w:cstheme="minorEastAsia"/>
                <w:color w:val="FFFFFF" w:themeColor="background1"/>
                <w:spacing w:val="0"/>
                <w:sz w:val="22"/>
                <w:szCs w:val="18"/>
                <w:highlight w:val="none"/>
                <w14:textFill>
                  <w14:solidFill>
                    <w14:schemeClr w14:val="bg1"/>
                  </w14:solidFill>
                </w14:textFill>
              </w:rPr>
            </w:pPr>
            <w:r>
              <w:rPr>
                <w:rFonts w:hint="eastAsia" w:ascii="宋体" w:hAnsi="宋体" w:eastAsia="宋体" w:cs="宋体"/>
                <w:color w:val="auto"/>
                <w:sz w:val="21"/>
                <w:szCs w:val="21"/>
                <w:highlight w:val="none"/>
                <w:u w:val="single"/>
                <w:lang w:val="en-US" w:eastAsia="zh-CN"/>
              </w:rPr>
              <w:t>2026</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lang w:val="en-US" w:eastAsia="zh-CN"/>
              </w:rPr>
              <w:t xml:space="preserve"> 11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lang w:val="en-US" w:eastAsia="zh-CN"/>
              </w:rPr>
              <w:t xml:space="preserve"> 20 </w:t>
            </w:r>
            <w:r>
              <w:rPr>
                <w:rFonts w:hint="eastAsia" w:ascii="宋体" w:hAnsi="宋体" w:eastAsia="宋体" w:cs="宋体"/>
                <w:color w:val="auto"/>
                <w:sz w:val="21"/>
                <w:szCs w:val="21"/>
                <w:highlight w:val="none"/>
              </w:rPr>
              <w:t>日</w:t>
            </w:r>
            <w:r>
              <w:rPr>
                <w:rFonts w:hint="eastAsia" w:ascii="宋体" w:hAnsi="宋体" w:eastAsia="宋体" w:cs="宋体"/>
                <w:color w:val="auto"/>
                <w:sz w:val="21"/>
                <w:szCs w:val="21"/>
                <w:highlight w:val="none"/>
                <w:u w:val="single"/>
                <w:lang w:val="en-US" w:eastAsia="zh-CN"/>
              </w:rPr>
              <w:t>10</w:t>
            </w:r>
            <w:r>
              <w:rPr>
                <w:rFonts w:hint="eastAsia" w:ascii="宋体" w:hAnsi="宋体" w:eastAsia="宋体" w:cs="宋体"/>
                <w:color w:val="auto"/>
                <w:sz w:val="21"/>
                <w:szCs w:val="21"/>
                <w:highlight w:val="none"/>
              </w:rPr>
              <w:t>时</w:t>
            </w:r>
            <w:r>
              <w:rPr>
                <w:rFonts w:hint="eastAsia" w:ascii="宋体" w:hAnsi="宋体" w:eastAsia="宋体" w:cs="宋体"/>
                <w:color w:val="auto"/>
                <w:sz w:val="21"/>
                <w:szCs w:val="21"/>
                <w:highlight w:val="none"/>
                <w:u w:val="single"/>
                <w:lang w:val="en-US" w:eastAsia="zh-CN"/>
              </w:rPr>
              <w:t>00</w:t>
            </w:r>
            <w:r>
              <w:rPr>
                <w:rFonts w:hint="eastAsia" w:ascii="宋体" w:hAnsi="宋体" w:eastAsia="宋体" w:cs="宋体"/>
                <w:color w:val="auto"/>
                <w:sz w:val="21"/>
                <w:szCs w:val="21"/>
                <w:highlight w:val="none"/>
              </w:rPr>
              <w:t>分</w:t>
            </w:r>
          </w:p>
        </w:tc>
      </w:tr>
      <w:tr w14:paraId="0CD7108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07" w:hRule="exact"/>
        </w:trPr>
        <w:tc>
          <w:tcPr>
            <w:tcW w:w="421" w:type="dxa"/>
            <w:tcBorders>
              <w:top w:val="single" w:color="080000" w:sz="4" w:space="0"/>
              <w:left w:val="single" w:color="080000" w:sz="4" w:space="0"/>
              <w:bottom w:val="single" w:color="080000" w:sz="4" w:space="0"/>
              <w:right w:val="single" w:color="080000" w:sz="4" w:space="0"/>
            </w:tcBorders>
            <w:noWrap w:val="0"/>
            <w:vAlign w:val="center"/>
          </w:tcPr>
          <w:p w14:paraId="1876AFCF">
            <w:pPr>
              <w:pStyle w:val="33"/>
              <w:keepNext w:val="0"/>
              <w:keepLines w:val="0"/>
              <w:pageBreakBefore w:val="0"/>
              <w:suppressLineNumbers w:val="0"/>
              <w:wordWrap w:val="0"/>
              <w:overflowPunct/>
              <w:topLinePunct w:val="0"/>
              <w:bidi w:val="0"/>
              <w:adjustRightInd w:val="0"/>
              <w:snapToGrid w:val="0"/>
              <w:spacing w:before="0" w:beforeAutospacing="0" w:after="0" w:afterAutospacing="0" w:line="360" w:lineRule="exact"/>
              <w:ind w:left="0" w:leftChars="0" w:right="0" w:rightChars="0"/>
              <w:jc w:val="center"/>
              <w:rPr>
                <w:rFonts w:hint="eastAsia" w:ascii="宋体" w:hAnsi="宋体" w:eastAsia="宋体" w:cs="宋体"/>
                <w:color w:val="auto"/>
                <w:spacing w:val="0"/>
                <w:sz w:val="20"/>
                <w:szCs w:val="22"/>
                <w:highlight w:val="none"/>
              </w:rPr>
            </w:pPr>
            <w:r>
              <w:rPr>
                <w:rFonts w:hint="eastAsia" w:ascii="宋体" w:hAnsi="宋体" w:eastAsia="宋体" w:cs="宋体"/>
                <w:snapToGrid w:val="0"/>
                <w:color w:val="auto"/>
                <w:spacing w:val="0"/>
                <w:kern w:val="0"/>
                <w:sz w:val="21"/>
                <w:szCs w:val="21"/>
                <w:highlight w:val="none"/>
              </w:rPr>
              <w:t>3</w:t>
            </w:r>
          </w:p>
        </w:tc>
        <w:tc>
          <w:tcPr>
            <w:tcW w:w="1300" w:type="dxa"/>
            <w:tcBorders>
              <w:top w:val="single" w:color="080000" w:sz="4" w:space="0"/>
              <w:left w:val="single" w:color="080000" w:sz="4" w:space="0"/>
              <w:bottom w:val="single" w:color="080000" w:sz="4" w:space="0"/>
              <w:right w:val="single" w:color="080000" w:sz="4" w:space="0"/>
            </w:tcBorders>
            <w:noWrap w:val="0"/>
            <w:vAlign w:val="center"/>
          </w:tcPr>
          <w:p w14:paraId="0CA4E9C5">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snapToGrid w:val="0"/>
                <w:color w:val="auto"/>
                <w:spacing w:val="0"/>
                <w:kern w:val="0"/>
                <w:sz w:val="21"/>
                <w:szCs w:val="21"/>
                <w:highlight w:val="none"/>
                <w:lang w:val="en-US" w:eastAsia="zh-CN" w:bidi="ar-SA"/>
              </w:rPr>
            </w:pPr>
            <w:r>
              <w:rPr>
                <w:rFonts w:hint="eastAsia" w:ascii="宋体" w:hAnsi="宋体" w:eastAsia="宋体" w:cs="宋体"/>
                <w:snapToGrid w:val="0"/>
                <w:color w:val="auto"/>
                <w:spacing w:val="0"/>
                <w:kern w:val="0"/>
                <w:sz w:val="21"/>
                <w:szCs w:val="21"/>
                <w:highlight w:val="none"/>
                <w:lang w:val="en-US" w:eastAsia="zh-CN" w:bidi="ar-SA"/>
              </w:rPr>
              <w:t>网上提问</w:t>
            </w:r>
          </w:p>
          <w:p w14:paraId="0D25476D">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leftChars="0" w:right="0" w:rightChars="0"/>
              <w:jc w:val="center"/>
              <w:rPr>
                <w:rFonts w:hint="eastAsia" w:ascii="宋体" w:hAnsi="宋体" w:eastAsia="宋体" w:cs="宋体"/>
                <w:color w:val="auto"/>
                <w:spacing w:val="0"/>
                <w:sz w:val="22"/>
                <w:szCs w:val="18"/>
                <w:highlight w:val="none"/>
              </w:rPr>
            </w:pPr>
            <w:r>
              <w:rPr>
                <w:rFonts w:hint="eastAsia" w:ascii="宋体" w:hAnsi="宋体" w:eastAsia="宋体" w:cs="宋体"/>
                <w:snapToGrid w:val="0"/>
                <w:color w:val="auto"/>
                <w:spacing w:val="0"/>
                <w:kern w:val="0"/>
                <w:sz w:val="21"/>
                <w:szCs w:val="21"/>
                <w:highlight w:val="none"/>
                <w:lang w:val="en-US" w:eastAsia="zh-CN" w:bidi="ar-SA"/>
              </w:rPr>
              <w:t xml:space="preserve">截止时间 </w:t>
            </w:r>
          </w:p>
        </w:tc>
        <w:tc>
          <w:tcPr>
            <w:tcW w:w="7338" w:type="dxa"/>
            <w:tcBorders>
              <w:top w:val="single" w:color="080000" w:sz="4" w:space="0"/>
              <w:left w:val="single" w:color="080000" w:sz="4" w:space="0"/>
              <w:bottom w:val="single" w:color="080000" w:sz="4" w:space="0"/>
              <w:right w:val="single" w:color="080000" w:sz="4" w:space="0"/>
            </w:tcBorders>
            <w:noWrap w:val="0"/>
            <w:vAlign w:val="center"/>
          </w:tcPr>
          <w:p w14:paraId="5FA4117E">
            <w:pPr>
              <w:pStyle w:val="33"/>
              <w:wordWrap w:val="0"/>
              <w:adjustRightInd w:val="0"/>
              <w:snapToGrid w:val="0"/>
              <w:ind w:left="105" w:leftChars="50" w:firstLine="210" w:firstLineChars="100"/>
              <w:jc w:val="left"/>
              <w:rPr>
                <w:rFonts w:hint="eastAsia" w:asciiTheme="minorEastAsia" w:hAnsiTheme="minorEastAsia" w:eastAsiaTheme="minorEastAsia" w:cstheme="minorEastAsia"/>
                <w:color w:val="FFFFFF" w:themeColor="background1"/>
                <w:spacing w:val="0"/>
                <w:sz w:val="22"/>
                <w:szCs w:val="18"/>
                <w:highlight w:val="none"/>
                <w14:textFill>
                  <w14:solidFill>
                    <w14:schemeClr w14:val="bg1"/>
                  </w14:solidFill>
                </w14:textFill>
              </w:rPr>
            </w:pPr>
            <w:r>
              <w:rPr>
                <w:rFonts w:hint="eastAsia" w:ascii="宋体" w:hAnsi="宋体" w:eastAsia="宋体" w:cs="宋体"/>
                <w:color w:val="auto"/>
                <w:sz w:val="21"/>
                <w:szCs w:val="21"/>
                <w:highlight w:val="none"/>
                <w:u w:val="single"/>
                <w:lang w:val="en-US" w:eastAsia="zh-CN"/>
              </w:rPr>
              <w:t>2026</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lang w:val="en-US" w:eastAsia="zh-CN"/>
              </w:rPr>
              <w:t xml:space="preserve"> 11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lang w:val="en-US" w:eastAsia="zh-CN"/>
              </w:rPr>
              <w:t xml:space="preserve"> 10 </w:t>
            </w:r>
            <w:r>
              <w:rPr>
                <w:rFonts w:hint="eastAsia" w:ascii="宋体" w:hAnsi="宋体" w:eastAsia="宋体" w:cs="宋体"/>
                <w:color w:val="auto"/>
                <w:sz w:val="21"/>
                <w:szCs w:val="21"/>
                <w:highlight w:val="none"/>
              </w:rPr>
              <w:t>日</w:t>
            </w:r>
            <w:r>
              <w:rPr>
                <w:rFonts w:hint="eastAsia" w:ascii="宋体" w:hAnsi="宋体" w:eastAsia="宋体" w:cs="宋体"/>
                <w:color w:val="auto"/>
                <w:sz w:val="21"/>
                <w:szCs w:val="21"/>
                <w:highlight w:val="none"/>
                <w:u w:val="single"/>
                <w:lang w:val="en-US" w:eastAsia="zh-CN"/>
              </w:rPr>
              <w:t>16</w:t>
            </w:r>
            <w:r>
              <w:rPr>
                <w:rFonts w:hint="eastAsia" w:ascii="宋体" w:hAnsi="宋体" w:eastAsia="宋体" w:cs="宋体"/>
                <w:color w:val="auto"/>
                <w:sz w:val="21"/>
                <w:szCs w:val="21"/>
                <w:highlight w:val="none"/>
              </w:rPr>
              <w:t>时</w:t>
            </w:r>
            <w:r>
              <w:rPr>
                <w:rFonts w:hint="eastAsia" w:ascii="宋体" w:hAnsi="宋体" w:eastAsia="宋体" w:cs="宋体"/>
                <w:color w:val="auto"/>
                <w:sz w:val="21"/>
                <w:szCs w:val="21"/>
                <w:highlight w:val="none"/>
                <w:u w:val="single"/>
                <w:lang w:val="en-US" w:eastAsia="zh-CN"/>
              </w:rPr>
              <w:t>00</w:t>
            </w:r>
            <w:r>
              <w:rPr>
                <w:rFonts w:hint="eastAsia" w:ascii="宋体" w:hAnsi="宋体" w:eastAsia="宋体" w:cs="宋体"/>
                <w:color w:val="auto"/>
                <w:sz w:val="21"/>
                <w:szCs w:val="21"/>
                <w:highlight w:val="none"/>
              </w:rPr>
              <w:t>分</w:t>
            </w:r>
          </w:p>
        </w:tc>
      </w:tr>
      <w:tr w14:paraId="07C8026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73" w:hRule="exact"/>
        </w:trPr>
        <w:tc>
          <w:tcPr>
            <w:tcW w:w="421" w:type="dxa"/>
            <w:tcBorders>
              <w:top w:val="single" w:color="080000" w:sz="4" w:space="0"/>
              <w:left w:val="single" w:color="080000" w:sz="4" w:space="0"/>
              <w:bottom w:val="single" w:color="080000" w:sz="4" w:space="0"/>
              <w:right w:val="single" w:color="080000" w:sz="4" w:space="0"/>
            </w:tcBorders>
            <w:noWrap w:val="0"/>
            <w:vAlign w:val="center"/>
          </w:tcPr>
          <w:p w14:paraId="4C27EF70">
            <w:pPr>
              <w:pStyle w:val="33"/>
              <w:keepNext w:val="0"/>
              <w:keepLines w:val="0"/>
              <w:pageBreakBefore w:val="0"/>
              <w:suppressLineNumbers w:val="0"/>
              <w:wordWrap w:val="0"/>
              <w:overflowPunct/>
              <w:topLinePunct w:val="0"/>
              <w:bidi w:val="0"/>
              <w:adjustRightInd w:val="0"/>
              <w:snapToGrid w:val="0"/>
              <w:spacing w:before="0" w:beforeAutospacing="0" w:after="0" w:afterAutospacing="0" w:line="360" w:lineRule="exact"/>
              <w:ind w:left="0" w:leftChars="0" w:right="0" w:rightChars="0"/>
              <w:jc w:val="center"/>
              <w:rPr>
                <w:rFonts w:hint="eastAsia" w:ascii="宋体" w:hAnsi="宋体" w:eastAsia="宋体" w:cs="宋体"/>
                <w:color w:val="auto"/>
                <w:spacing w:val="0"/>
                <w:sz w:val="20"/>
                <w:szCs w:val="22"/>
                <w:highlight w:val="none"/>
              </w:rPr>
            </w:pPr>
            <w:r>
              <w:rPr>
                <w:rFonts w:hint="eastAsia" w:ascii="宋体" w:hAnsi="宋体" w:eastAsia="宋体" w:cs="宋体"/>
                <w:snapToGrid w:val="0"/>
                <w:color w:val="auto"/>
                <w:spacing w:val="0"/>
                <w:kern w:val="0"/>
                <w:sz w:val="21"/>
                <w:szCs w:val="21"/>
                <w:highlight w:val="none"/>
              </w:rPr>
              <w:t>4</w:t>
            </w:r>
          </w:p>
        </w:tc>
        <w:tc>
          <w:tcPr>
            <w:tcW w:w="1300" w:type="dxa"/>
            <w:tcBorders>
              <w:top w:val="single" w:color="080000" w:sz="4" w:space="0"/>
              <w:left w:val="single" w:color="080000" w:sz="4" w:space="0"/>
              <w:bottom w:val="single" w:color="080000" w:sz="4" w:space="0"/>
              <w:right w:val="single" w:color="080000" w:sz="4" w:space="0"/>
            </w:tcBorders>
            <w:noWrap w:val="0"/>
            <w:vAlign w:val="center"/>
          </w:tcPr>
          <w:p w14:paraId="53899A32">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snapToGrid w:val="0"/>
                <w:color w:val="auto"/>
                <w:spacing w:val="0"/>
                <w:kern w:val="0"/>
                <w:sz w:val="21"/>
                <w:szCs w:val="21"/>
                <w:highlight w:val="none"/>
                <w:lang w:val="en-US" w:eastAsia="zh-CN" w:bidi="ar-SA"/>
              </w:rPr>
            </w:pPr>
            <w:r>
              <w:rPr>
                <w:rFonts w:hint="eastAsia" w:ascii="宋体" w:hAnsi="宋体" w:eastAsia="宋体" w:cs="宋体"/>
                <w:snapToGrid w:val="0"/>
                <w:color w:val="auto"/>
                <w:spacing w:val="0"/>
                <w:kern w:val="0"/>
                <w:sz w:val="21"/>
                <w:szCs w:val="21"/>
                <w:highlight w:val="none"/>
                <w:lang w:val="en-US" w:eastAsia="zh-CN" w:bidi="ar-SA"/>
              </w:rPr>
              <w:t>网上答疑</w:t>
            </w:r>
          </w:p>
          <w:p w14:paraId="0B9C07EF">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leftChars="0" w:right="0" w:rightChars="0"/>
              <w:jc w:val="center"/>
              <w:rPr>
                <w:rFonts w:hint="eastAsia" w:ascii="宋体" w:hAnsi="宋体" w:eastAsia="宋体" w:cs="宋体"/>
                <w:color w:val="auto"/>
                <w:spacing w:val="0"/>
                <w:sz w:val="22"/>
                <w:szCs w:val="18"/>
                <w:highlight w:val="none"/>
              </w:rPr>
            </w:pPr>
            <w:r>
              <w:rPr>
                <w:rFonts w:hint="eastAsia" w:ascii="宋体" w:hAnsi="宋体" w:eastAsia="宋体" w:cs="宋体"/>
                <w:snapToGrid w:val="0"/>
                <w:color w:val="auto"/>
                <w:spacing w:val="0"/>
                <w:kern w:val="0"/>
                <w:sz w:val="21"/>
                <w:szCs w:val="21"/>
                <w:highlight w:val="none"/>
                <w:lang w:val="en-US" w:eastAsia="zh-CN" w:bidi="ar-SA"/>
              </w:rPr>
              <w:t>时间</w:t>
            </w:r>
          </w:p>
        </w:tc>
        <w:tc>
          <w:tcPr>
            <w:tcW w:w="7338" w:type="dxa"/>
            <w:tcBorders>
              <w:top w:val="single" w:color="080000" w:sz="4" w:space="0"/>
              <w:left w:val="single" w:color="080000" w:sz="4" w:space="0"/>
              <w:bottom w:val="single" w:color="080000" w:sz="4" w:space="0"/>
              <w:right w:val="single" w:color="080000" w:sz="4" w:space="0"/>
            </w:tcBorders>
            <w:noWrap w:val="0"/>
            <w:vAlign w:val="center"/>
          </w:tcPr>
          <w:p w14:paraId="661A35F1">
            <w:pPr>
              <w:pStyle w:val="33"/>
              <w:wordWrap w:val="0"/>
              <w:adjustRightInd w:val="0"/>
              <w:snapToGrid w:val="0"/>
              <w:ind w:firstLine="210" w:firstLineChars="100"/>
              <w:jc w:val="left"/>
              <w:rPr>
                <w:rFonts w:hint="eastAsia" w:asciiTheme="minorEastAsia" w:hAnsiTheme="minorEastAsia" w:eastAsiaTheme="minorEastAsia" w:cstheme="minorEastAsia"/>
                <w:color w:val="FFFFFF" w:themeColor="background1"/>
                <w:spacing w:val="0"/>
                <w:sz w:val="22"/>
                <w:szCs w:val="18"/>
                <w:highlight w:val="none"/>
                <w14:textFill>
                  <w14:solidFill>
                    <w14:schemeClr w14:val="bg1"/>
                  </w14:solidFill>
                </w14:textFill>
              </w:rPr>
            </w:pPr>
            <w:r>
              <w:rPr>
                <w:rFonts w:hint="eastAsia" w:ascii="宋体" w:hAnsi="宋体" w:eastAsia="宋体" w:cs="宋体"/>
                <w:color w:val="auto"/>
                <w:sz w:val="21"/>
                <w:szCs w:val="21"/>
                <w:highlight w:val="none"/>
                <w:u w:val="single"/>
                <w:lang w:val="en-US" w:eastAsia="zh-CN"/>
              </w:rPr>
              <w:t>2026</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lang w:val="en-US" w:eastAsia="zh-CN"/>
              </w:rPr>
              <w:t xml:space="preserve"> 11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lang w:val="en-US" w:eastAsia="zh-CN"/>
              </w:rPr>
              <w:t xml:space="preserve"> 10 </w:t>
            </w:r>
            <w:r>
              <w:rPr>
                <w:rFonts w:hint="eastAsia" w:ascii="宋体" w:hAnsi="宋体" w:eastAsia="宋体" w:cs="宋体"/>
                <w:color w:val="auto"/>
                <w:sz w:val="21"/>
                <w:szCs w:val="21"/>
                <w:highlight w:val="none"/>
              </w:rPr>
              <w:t>日</w:t>
            </w:r>
            <w:r>
              <w:rPr>
                <w:rFonts w:hint="eastAsia" w:ascii="宋体" w:hAnsi="宋体" w:eastAsia="宋体" w:cs="宋体"/>
                <w:color w:val="auto"/>
                <w:sz w:val="21"/>
                <w:szCs w:val="21"/>
                <w:highlight w:val="none"/>
                <w:u w:val="single"/>
                <w:lang w:val="en-US" w:eastAsia="zh-CN"/>
              </w:rPr>
              <w:t>16</w:t>
            </w:r>
            <w:r>
              <w:rPr>
                <w:rFonts w:hint="eastAsia" w:ascii="宋体" w:hAnsi="宋体" w:eastAsia="宋体" w:cs="宋体"/>
                <w:color w:val="auto"/>
                <w:sz w:val="21"/>
                <w:szCs w:val="21"/>
                <w:highlight w:val="none"/>
              </w:rPr>
              <w:t>时</w:t>
            </w:r>
            <w:r>
              <w:rPr>
                <w:rFonts w:hint="eastAsia" w:ascii="宋体" w:hAnsi="宋体" w:eastAsia="宋体" w:cs="宋体"/>
                <w:color w:val="auto"/>
                <w:sz w:val="21"/>
                <w:szCs w:val="21"/>
                <w:highlight w:val="none"/>
                <w:u w:val="single"/>
                <w:lang w:val="en-US" w:eastAsia="zh-CN"/>
              </w:rPr>
              <w:t>30</w:t>
            </w:r>
            <w:r>
              <w:rPr>
                <w:rFonts w:hint="eastAsia" w:ascii="宋体" w:hAnsi="宋体" w:eastAsia="宋体" w:cs="宋体"/>
                <w:color w:val="auto"/>
                <w:sz w:val="21"/>
                <w:szCs w:val="21"/>
                <w:highlight w:val="none"/>
              </w:rPr>
              <w:t>分至</w:t>
            </w:r>
            <w:r>
              <w:rPr>
                <w:rFonts w:hint="eastAsia" w:ascii="宋体" w:hAnsi="宋体" w:eastAsia="宋体" w:cs="宋体"/>
                <w:color w:val="auto"/>
                <w:sz w:val="21"/>
                <w:szCs w:val="21"/>
                <w:highlight w:val="none"/>
                <w:u w:val="single"/>
                <w:lang w:val="en-US" w:eastAsia="zh-CN"/>
              </w:rPr>
              <w:t>2026</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lang w:val="en-US" w:eastAsia="zh-CN"/>
              </w:rPr>
              <w:t xml:space="preserve"> 11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lang w:val="en-US" w:eastAsia="zh-CN"/>
              </w:rPr>
              <w:t xml:space="preserve"> 13 </w:t>
            </w:r>
            <w:r>
              <w:rPr>
                <w:rFonts w:hint="eastAsia" w:ascii="宋体" w:hAnsi="宋体" w:eastAsia="宋体" w:cs="宋体"/>
                <w:color w:val="auto"/>
                <w:sz w:val="21"/>
                <w:szCs w:val="21"/>
                <w:highlight w:val="none"/>
              </w:rPr>
              <w:t>日</w:t>
            </w:r>
            <w:r>
              <w:rPr>
                <w:rFonts w:hint="eastAsia" w:ascii="宋体" w:hAnsi="宋体" w:eastAsia="宋体" w:cs="宋体"/>
                <w:color w:val="auto"/>
                <w:sz w:val="21"/>
                <w:szCs w:val="21"/>
                <w:highlight w:val="none"/>
                <w:u w:val="single"/>
                <w:lang w:val="en-US" w:eastAsia="zh-CN"/>
              </w:rPr>
              <w:t>16</w:t>
            </w:r>
            <w:r>
              <w:rPr>
                <w:rFonts w:hint="eastAsia" w:ascii="宋体" w:hAnsi="宋体" w:eastAsia="宋体" w:cs="宋体"/>
                <w:color w:val="auto"/>
                <w:sz w:val="21"/>
                <w:szCs w:val="21"/>
                <w:highlight w:val="none"/>
              </w:rPr>
              <w:t>时</w:t>
            </w:r>
            <w:r>
              <w:rPr>
                <w:rFonts w:hint="eastAsia" w:ascii="宋体" w:hAnsi="宋体" w:eastAsia="宋体" w:cs="宋体"/>
                <w:color w:val="auto"/>
                <w:sz w:val="21"/>
                <w:szCs w:val="21"/>
                <w:highlight w:val="none"/>
                <w:u w:val="single"/>
                <w:lang w:val="en-US" w:eastAsia="zh-CN"/>
              </w:rPr>
              <w:t>00</w:t>
            </w:r>
            <w:r>
              <w:rPr>
                <w:rFonts w:hint="eastAsia" w:ascii="宋体" w:hAnsi="宋体" w:eastAsia="宋体" w:cs="宋体"/>
                <w:color w:val="auto"/>
                <w:sz w:val="21"/>
                <w:szCs w:val="21"/>
                <w:highlight w:val="none"/>
              </w:rPr>
              <w:t>分</w:t>
            </w:r>
          </w:p>
        </w:tc>
      </w:tr>
      <w:tr w14:paraId="70D88C3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164" w:hRule="exact"/>
        </w:trPr>
        <w:tc>
          <w:tcPr>
            <w:tcW w:w="421" w:type="dxa"/>
            <w:tcBorders>
              <w:top w:val="single" w:color="080000" w:sz="4" w:space="0"/>
              <w:left w:val="single" w:color="080000" w:sz="4" w:space="0"/>
              <w:bottom w:val="single" w:color="080000" w:sz="4" w:space="0"/>
              <w:right w:val="single" w:color="080000" w:sz="4" w:space="0"/>
            </w:tcBorders>
            <w:noWrap w:val="0"/>
            <w:vAlign w:val="center"/>
          </w:tcPr>
          <w:p w14:paraId="1AD93BF1">
            <w:pPr>
              <w:pStyle w:val="33"/>
              <w:keepNext w:val="0"/>
              <w:keepLines w:val="0"/>
              <w:pageBreakBefore w:val="0"/>
              <w:suppressLineNumbers w:val="0"/>
              <w:wordWrap w:val="0"/>
              <w:overflowPunct/>
              <w:topLinePunct w:val="0"/>
              <w:bidi w:val="0"/>
              <w:adjustRightInd w:val="0"/>
              <w:snapToGrid w:val="0"/>
              <w:spacing w:before="0" w:beforeAutospacing="0" w:after="0" w:afterAutospacing="0" w:line="360" w:lineRule="exact"/>
              <w:ind w:left="0" w:leftChars="0" w:right="0" w:rightChars="0"/>
              <w:jc w:val="center"/>
              <w:rPr>
                <w:rFonts w:hint="eastAsia" w:ascii="宋体" w:hAnsi="宋体" w:eastAsia="宋体" w:cs="宋体"/>
                <w:color w:val="auto"/>
                <w:spacing w:val="0"/>
                <w:sz w:val="20"/>
                <w:szCs w:val="22"/>
                <w:highlight w:val="none"/>
              </w:rPr>
            </w:pPr>
            <w:r>
              <w:rPr>
                <w:rFonts w:hint="eastAsia" w:ascii="宋体" w:hAnsi="宋体" w:eastAsia="宋体" w:cs="宋体"/>
                <w:snapToGrid w:val="0"/>
                <w:color w:val="auto"/>
                <w:spacing w:val="0"/>
                <w:kern w:val="0"/>
                <w:sz w:val="21"/>
                <w:szCs w:val="21"/>
                <w:highlight w:val="none"/>
              </w:rPr>
              <w:t>5</w:t>
            </w:r>
          </w:p>
        </w:tc>
        <w:tc>
          <w:tcPr>
            <w:tcW w:w="1300" w:type="dxa"/>
            <w:tcBorders>
              <w:top w:val="single" w:color="080000" w:sz="4" w:space="0"/>
              <w:left w:val="single" w:color="080000" w:sz="4" w:space="0"/>
              <w:bottom w:val="single" w:color="080000" w:sz="4" w:space="0"/>
              <w:right w:val="single" w:color="080000" w:sz="4" w:space="0"/>
            </w:tcBorders>
            <w:noWrap w:val="0"/>
            <w:vAlign w:val="center"/>
          </w:tcPr>
          <w:p w14:paraId="3DA7F47A">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snapToGrid w:val="0"/>
                <w:color w:val="auto"/>
                <w:spacing w:val="0"/>
                <w:kern w:val="0"/>
                <w:sz w:val="21"/>
                <w:szCs w:val="21"/>
                <w:highlight w:val="none"/>
                <w:lang w:val="en-US" w:eastAsia="zh-CN" w:bidi="ar-SA"/>
              </w:rPr>
            </w:pPr>
            <w:r>
              <w:rPr>
                <w:rFonts w:hint="eastAsia" w:ascii="宋体" w:hAnsi="宋体" w:eastAsia="宋体" w:cs="宋体"/>
                <w:snapToGrid w:val="0"/>
                <w:color w:val="auto"/>
                <w:spacing w:val="0"/>
                <w:kern w:val="0"/>
                <w:sz w:val="21"/>
                <w:szCs w:val="21"/>
                <w:highlight w:val="none"/>
                <w:lang w:val="en-US" w:eastAsia="zh-CN" w:bidi="ar-SA"/>
              </w:rPr>
              <w:t>投标保证缴</w:t>
            </w:r>
          </w:p>
          <w:p w14:paraId="52B4D268">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leftChars="0" w:right="0" w:rightChars="0"/>
              <w:jc w:val="center"/>
              <w:rPr>
                <w:rFonts w:hint="eastAsia" w:ascii="宋体" w:hAnsi="宋体" w:eastAsia="宋体" w:cs="宋体"/>
                <w:color w:val="auto"/>
                <w:spacing w:val="0"/>
                <w:sz w:val="22"/>
                <w:szCs w:val="18"/>
                <w:highlight w:val="none"/>
              </w:rPr>
            </w:pPr>
            <w:r>
              <w:rPr>
                <w:rFonts w:hint="eastAsia" w:ascii="宋体" w:hAnsi="宋体" w:eastAsia="宋体" w:cs="宋体"/>
                <w:snapToGrid w:val="0"/>
                <w:color w:val="auto"/>
                <w:spacing w:val="0"/>
                <w:kern w:val="0"/>
                <w:sz w:val="21"/>
                <w:szCs w:val="21"/>
                <w:highlight w:val="none"/>
                <w:lang w:val="en-US" w:eastAsia="zh-CN" w:bidi="ar-SA"/>
              </w:rPr>
              <w:t>纳截止时间</w:t>
            </w:r>
          </w:p>
        </w:tc>
        <w:tc>
          <w:tcPr>
            <w:tcW w:w="7338" w:type="dxa"/>
            <w:tcBorders>
              <w:top w:val="single" w:color="080000" w:sz="4" w:space="0"/>
              <w:left w:val="single" w:color="080000" w:sz="4" w:space="0"/>
              <w:bottom w:val="single" w:color="080000" w:sz="4" w:space="0"/>
              <w:right w:val="single" w:color="080000" w:sz="4" w:space="0"/>
            </w:tcBorders>
            <w:noWrap w:val="0"/>
            <w:vAlign w:val="center"/>
          </w:tcPr>
          <w:p w14:paraId="3B6DAED5">
            <w:pPr>
              <w:pStyle w:val="33"/>
              <w:wordWrap w:val="0"/>
              <w:adjustRightInd w:val="0"/>
              <w:snapToGrid w:val="0"/>
              <w:spacing w:line="400" w:lineRule="exact"/>
              <w:ind w:left="105" w:leftChars="50" w:firstLine="210" w:firstLineChars="1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投标保证金到账截止时间：</w:t>
            </w:r>
            <w:r>
              <w:rPr>
                <w:rFonts w:hint="eastAsia" w:ascii="宋体" w:hAnsi="宋体" w:eastAsia="宋体" w:cs="宋体"/>
                <w:color w:val="auto"/>
                <w:sz w:val="21"/>
                <w:szCs w:val="21"/>
                <w:highlight w:val="none"/>
                <w:u w:val="single"/>
                <w:lang w:val="en-US" w:eastAsia="zh-CN"/>
              </w:rPr>
              <w:t>2026</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lang w:val="en-US" w:eastAsia="zh-CN"/>
              </w:rPr>
              <w:t xml:space="preserve">  11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lang w:val="en-US" w:eastAsia="zh-CN"/>
              </w:rPr>
              <w:t xml:space="preserve"> 19 </w:t>
            </w:r>
            <w:r>
              <w:rPr>
                <w:rFonts w:hint="eastAsia" w:ascii="宋体" w:hAnsi="宋体" w:eastAsia="宋体" w:cs="宋体"/>
                <w:color w:val="auto"/>
                <w:sz w:val="21"/>
                <w:szCs w:val="21"/>
                <w:highlight w:val="none"/>
              </w:rPr>
              <w:t>日</w:t>
            </w:r>
            <w:r>
              <w:rPr>
                <w:rFonts w:hint="eastAsia" w:ascii="宋体" w:hAnsi="宋体" w:eastAsia="宋体" w:cs="宋体"/>
                <w:color w:val="auto"/>
                <w:sz w:val="21"/>
                <w:szCs w:val="21"/>
                <w:highlight w:val="none"/>
                <w:u w:val="single"/>
                <w:lang w:val="en-US" w:eastAsia="zh-CN"/>
              </w:rPr>
              <w:t>10</w:t>
            </w:r>
            <w:r>
              <w:rPr>
                <w:rFonts w:hint="eastAsia" w:ascii="宋体" w:hAnsi="宋体" w:eastAsia="宋体" w:cs="宋体"/>
                <w:color w:val="auto"/>
                <w:sz w:val="21"/>
                <w:szCs w:val="21"/>
                <w:highlight w:val="none"/>
              </w:rPr>
              <w:t>时</w:t>
            </w:r>
            <w:r>
              <w:rPr>
                <w:rFonts w:hint="eastAsia" w:ascii="宋体" w:hAnsi="宋体" w:eastAsia="宋体" w:cs="宋体"/>
                <w:color w:val="auto"/>
                <w:sz w:val="21"/>
                <w:szCs w:val="21"/>
                <w:highlight w:val="none"/>
                <w:u w:val="single"/>
                <w:lang w:val="en-US" w:eastAsia="zh-CN"/>
              </w:rPr>
              <w:t>00</w:t>
            </w:r>
            <w:r>
              <w:rPr>
                <w:rFonts w:hint="eastAsia" w:ascii="宋体" w:hAnsi="宋体" w:eastAsia="宋体" w:cs="宋体"/>
                <w:color w:val="auto"/>
                <w:sz w:val="21"/>
                <w:szCs w:val="21"/>
                <w:highlight w:val="none"/>
              </w:rPr>
              <w:t>分；</w:t>
            </w:r>
          </w:p>
          <w:p w14:paraId="6CC92163">
            <w:pPr>
              <w:pStyle w:val="33"/>
              <w:wordWrap w:val="0"/>
              <w:adjustRightInd w:val="0"/>
              <w:snapToGrid w:val="0"/>
              <w:spacing w:line="400" w:lineRule="exact"/>
              <w:ind w:left="105" w:leftChars="50" w:firstLine="210" w:firstLineChars="1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投标保证担保上传截止时间：</w:t>
            </w:r>
            <w:r>
              <w:rPr>
                <w:rFonts w:hint="eastAsia" w:ascii="宋体" w:hAnsi="宋体" w:eastAsia="宋体" w:cs="宋体"/>
                <w:color w:val="auto"/>
                <w:sz w:val="21"/>
                <w:szCs w:val="21"/>
                <w:highlight w:val="none"/>
                <w:u w:val="single"/>
                <w:lang w:val="en-US" w:eastAsia="zh-CN"/>
              </w:rPr>
              <w:t>2026</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lang w:val="en-US" w:eastAsia="zh-CN"/>
              </w:rPr>
              <w:t xml:space="preserve">  11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lang w:val="en-US" w:eastAsia="zh-CN"/>
              </w:rPr>
              <w:t xml:space="preserve"> 19 </w:t>
            </w:r>
            <w:r>
              <w:rPr>
                <w:rFonts w:hint="eastAsia" w:ascii="宋体" w:hAnsi="宋体" w:eastAsia="宋体" w:cs="宋体"/>
                <w:color w:val="auto"/>
                <w:sz w:val="21"/>
                <w:szCs w:val="21"/>
                <w:highlight w:val="none"/>
              </w:rPr>
              <w:t>日</w:t>
            </w:r>
            <w:r>
              <w:rPr>
                <w:rFonts w:hint="eastAsia" w:ascii="宋体" w:hAnsi="宋体" w:eastAsia="宋体" w:cs="宋体"/>
                <w:color w:val="auto"/>
                <w:sz w:val="21"/>
                <w:szCs w:val="21"/>
                <w:highlight w:val="none"/>
                <w:u w:val="single"/>
                <w:lang w:val="en-US" w:eastAsia="zh-CN"/>
              </w:rPr>
              <w:t>10</w:t>
            </w:r>
            <w:r>
              <w:rPr>
                <w:rFonts w:hint="eastAsia" w:ascii="宋体" w:hAnsi="宋体" w:eastAsia="宋体" w:cs="宋体"/>
                <w:color w:val="auto"/>
                <w:sz w:val="21"/>
                <w:szCs w:val="21"/>
                <w:highlight w:val="none"/>
              </w:rPr>
              <w:t>时</w:t>
            </w:r>
            <w:r>
              <w:rPr>
                <w:rFonts w:hint="eastAsia" w:ascii="宋体" w:hAnsi="宋体" w:eastAsia="宋体" w:cs="宋体"/>
                <w:color w:val="auto"/>
                <w:sz w:val="21"/>
                <w:szCs w:val="21"/>
                <w:highlight w:val="none"/>
                <w:u w:val="single"/>
                <w:lang w:val="en-US" w:eastAsia="zh-CN"/>
              </w:rPr>
              <w:t>00</w:t>
            </w:r>
            <w:r>
              <w:rPr>
                <w:rFonts w:hint="eastAsia" w:ascii="宋体" w:hAnsi="宋体" w:eastAsia="宋体" w:cs="宋体"/>
                <w:color w:val="auto"/>
                <w:sz w:val="21"/>
                <w:szCs w:val="21"/>
                <w:highlight w:val="none"/>
              </w:rPr>
              <w:t>分；</w:t>
            </w:r>
          </w:p>
          <w:p w14:paraId="281A43AA">
            <w:pPr>
              <w:pStyle w:val="33"/>
              <w:wordWrap w:val="0"/>
              <w:adjustRightInd w:val="0"/>
              <w:snapToGrid w:val="0"/>
              <w:spacing w:line="400" w:lineRule="exact"/>
              <w:ind w:left="105" w:leftChars="50" w:firstLine="210" w:firstLineChars="100"/>
              <w:rPr>
                <w:rFonts w:hint="eastAsia" w:asciiTheme="minorEastAsia" w:hAnsiTheme="minorEastAsia" w:eastAsiaTheme="minorEastAsia" w:cstheme="minorEastAsia"/>
                <w:color w:val="FFFFFF" w:themeColor="background1"/>
                <w:spacing w:val="0"/>
                <w:sz w:val="22"/>
                <w:szCs w:val="18"/>
                <w:highlight w:val="none"/>
                <w14:textFill>
                  <w14:solidFill>
                    <w14:schemeClr w14:val="bg1"/>
                  </w14:solidFill>
                </w14:textFill>
              </w:rPr>
            </w:pPr>
            <w:r>
              <w:rPr>
                <w:rFonts w:hint="eastAsia" w:ascii="宋体" w:hAnsi="宋体" w:eastAsia="宋体" w:cs="宋体"/>
                <w:color w:val="auto"/>
                <w:sz w:val="21"/>
                <w:szCs w:val="21"/>
                <w:highlight w:val="none"/>
              </w:rPr>
              <w:t>投标保证保险投保截止时间：</w:t>
            </w:r>
            <w:r>
              <w:rPr>
                <w:rFonts w:hint="eastAsia" w:ascii="宋体" w:hAnsi="宋体" w:eastAsia="宋体" w:cs="宋体"/>
                <w:color w:val="auto"/>
                <w:sz w:val="21"/>
                <w:szCs w:val="21"/>
                <w:highlight w:val="none"/>
                <w:u w:val="single"/>
                <w:lang w:val="en-US" w:eastAsia="zh-CN"/>
              </w:rPr>
              <w:t>2026</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lang w:val="en-US" w:eastAsia="zh-CN"/>
              </w:rPr>
              <w:t xml:space="preserve">  11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lang w:val="en-US" w:eastAsia="zh-CN"/>
              </w:rPr>
              <w:t xml:space="preserve"> 19 </w:t>
            </w:r>
            <w:r>
              <w:rPr>
                <w:rFonts w:hint="eastAsia" w:ascii="宋体" w:hAnsi="宋体" w:eastAsia="宋体" w:cs="宋体"/>
                <w:color w:val="auto"/>
                <w:sz w:val="21"/>
                <w:szCs w:val="21"/>
                <w:highlight w:val="none"/>
              </w:rPr>
              <w:t>日</w:t>
            </w:r>
            <w:r>
              <w:rPr>
                <w:rFonts w:hint="eastAsia" w:ascii="宋体" w:hAnsi="宋体" w:eastAsia="宋体" w:cs="宋体"/>
                <w:color w:val="auto"/>
                <w:sz w:val="21"/>
                <w:szCs w:val="21"/>
                <w:highlight w:val="none"/>
                <w:u w:val="single"/>
                <w:lang w:val="en-US" w:eastAsia="zh-CN"/>
              </w:rPr>
              <w:t>10</w:t>
            </w:r>
            <w:r>
              <w:rPr>
                <w:rFonts w:hint="eastAsia" w:ascii="宋体" w:hAnsi="宋体" w:eastAsia="宋体" w:cs="宋体"/>
                <w:color w:val="auto"/>
                <w:sz w:val="21"/>
                <w:szCs w:val="21"/>
                <w:highlight w:val="none"/>
              </w:rPr>
              <w:t>时</w:t>
            </w:r>
            <w:r>
              <w:rPr>
                <w:rFonts w:hint="eastAsia" w:ascii="宋体" w:hAnsi="宋体" w:eastAsia="宋体" w:cs="宋体"/>
                <w:color w:val="auto"/>
                <w:sz w:val="21"/>
                <w:szCs w:val="21"/>
                <w:highlight w:val="none"/>
                <w:u w:val="single"/>
                <w:lang w:val="en-US" w:eastAsia="zh-CN"/>
              </w:rPr>
              <w:t>00</w:t>
            </w:r>
            <w:r>
              <w:rPr>
                <w:rFonts w:hint="eastAsia" w:ascii="宋体" w:hAnsi="宋体" w:eastAsia="宋体" w:cs="宋体"/>
                <w:color w:val="auto"/>
                <w:sz w:val="21"/>
                <w:szCs w:val="21"/>
                <w:highlight w:val="none"/>
              </w:rPr>
              <w:t>分。</w:t>
            </w:r>
          </w:p>
        </w:tc>
      </w:tr>
      <w:tr w14:paraId="2C04852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42" w:hRule="exact"/>
        </w:trPr>
        <w:tc>
          <w:tcPr>
            <w:tcW w:w="421" w:type="dxa"/>
            <w:tcBorders>
              <w:top w:val="single" w:color="080000" w:sz="4" w:space="0"/>
              <w:left w:val="single" w:color="080000" w:sz="4" w:space="0"/>
              <w:bottom w:val="single" w:color="080000" w:sz="4" w:space="0"/>
              <w:right w:val="single" w:color="080000" w:sz="4" w:space="0"/>
            </w:tcBorders>
            <w:noWrap w:val="0"/>
            <w:vAlign w:val="center"/>
          </w:tcPr>
          <w:p w14:paraId="5C1D5FC4">
            <w:pPr>
              <w:pStyle w:val="33"/>
              <w:keepNext w:val="0"/>
              <w:keepLines w:val="0"/>
              <w:pageBreakBefore w:val="0"/>
              <w:suppressLineNumbers w:val="0"/>
              <w:wordWrap w:val="0"/>
              <w:overflowPunct/>
              <w:topLinePunct w:val="0"/>
              <w:bidi w:val="0"/>
              <w:adjustRightInd w:val="0"/>
              <w:snapToGrid w:val="0"/>
              <w:spacing w:before="0" w:beforeAutospacing="0" w:after="0" w:afterAutospacing="0" w:line="360" w:lineRule="exact"/>
              <w:ind w:left="0" w:leftChars="0" w:right="0" w:rightChars="0"/>
              <w:jc w:val="center"/>
              <w:rPr>
                <w:rFonts w:hint="eastAsia" w:ascii="宋体" w:hAnsi="宋体" w:eastAsia="宋体" w:cs="宋体"/>
                <w:color w:val="auto"/>
                <w:spacing w:val="0"/>
                <w:sz w:val="20"/>
                <w:szCs w:val="22"/>
                <w:highlight w:val="none"/>
              </w:rPr>
            </w:pPr>
            <w:r>
              <w:rPr>
                <w:rFonts w:hint="eastAsia" w:ascii="宋体" w:hAnsi="宋体" w:eastAsia="宋体" w:cs="宋体"/>
                <w:snapToGrid w:val="0"/>
                <w:color w:val="auto"/>
                <w:spacing w:val="0"/>
                <w:kern w:val="0"/>
                <w:sz w:val="21"/>
                <w:szCs w:val="21"/>
                <w:highlight w:val="none"/>
              </w:rPr>
              <w:t>6</w:t>
            </w:r>
          </w:p>
        </w:tc>
        <w:tc>
          <w:tcPr>
            <w:tcW w:w="1300" w:type="dxa"/>
            <w:tcBorders>
              <w:top w:val="single" w:color="080000" w:sz="4" w:space="0"/>
              <w:left w:val="single" w:color="080000" w:sz="4" w:space="0"/>
              <w:bottom w:val="single" w:color="080000" w:sz="4" w:space="0"/>
              <w:right w:val="single" w:color="080000" w:sz="4" w:space="0"/>
            </w:tcBorders>
            <w:noWrap w:val="0"/>
            <w:vAlign w:val="center"/>
          </w:tcPr>
          <w:p w14:paraId="1B991338">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snapToGrid w:val="0"/>
                <w:color w:val="auto"/>
                <w:spacing w:val="0"/>
                <w:kern w:val="0"/>
                <w:sz w:val="21"/>
                <w:szCs w:val="21"/>
                <w:highlight w:val="none"/>
                <w:lang w:val="en-US" w:eastAsia="zh-CN" w:bidi="ar-SA"/>
              </w:rPr>
            </w:pPr>
            <w:r>
              <w:rPr>
                <w:rFonts w:hint="eastAsia" w:ascii="宋体" w:hAnsi="宋体" w:eastAsia="宋体" w:cs="宋体"/>
                <w:snapToGrid w:val="0"/>
                <w:color w:val="auto"/>
                <w:spacing w:val="0"/>
                <w:kern w:val="0"/>
                <w:sz w:val="21"/>
                <w:szCs w:val="21"/>
                <w:highlight w:val="none"/>
                <w:lang w:val="en-US" w:eastAsia="zh-CN" w:bidi="ar-SA"/>
              </w:rPr>
              <w:t>电子投标</w:t>
            </w:r>
          </w:p>
          <w:p w14:paraId="7F1D06E0">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leftChars="0" w:right="0" w:rightChars="0"/>
              <w:jc w:val="center"/>
              <w:rPr>
                <w:rFonts w:hint="eastAsia" w:ascii="宋体" w:hAnsi="宋体" w:eastAsia="宋体" w:cs="宋体"/>
                <w:color w:val="auto"/>
                <w:spacing w:val="0"/>
                <w:sz w:val="22"/>
                <w:szCs w:val="18"/>
                <w:highlight w:val="none"/>
              </w:rPr>
            </w:pPr>
            <w:r>
              <w:rPr>
                <w:rFonts w:hint="eastAsia" w:ascii="宋体" w:hAnsi="宋体" w:eastAsia="宋体" w:cs="宋体"/>
                <w:snapToGrid w:val="0"/>
                <w:color w:val="auto"/>
                <w:spacing w:val="0"/>
                <w:kern w:val="0"/>
                <w:sz w:val="21"/>
                <w:szCs w:val="21"/>
                <w:highlight w:val="none"/>
                <w:lang w:val="en-US" w:eastAsia="zh-CN" w:bidi="ar-SA"/>
              </w:rPr>
              <w:t xml:space="preserve">截止时间 </w:t>
            </w:r>
          </w:p>
        </w:tc>
        <w:tc>
          <w:tcPr>
            <w:tcW w:w="7338" w:type="dxa"/>
            <w:tcBorders>
              <w:top w:val="single" w:color="080000" w:sz="4" w:space="0"/>
              <w:left w:val="single" w:color="080000" w:sz="4" w:space="0"/>
              <w:bottom w:val="single" w:color="080000" w:sz="4" w:space="0"/>
              <w:right w:val="single" w:color="080000" w:sz="4" w:space="0"/>
            </w:tcBorders>
            <w:noWrap w:val="0"/>
            <w:vAlign w:val="center"/>
          </w:tcPr>
          <w:p w14:paraId="404A7290">
            <w:pPr>
              <w:pStyle w:val="13"/>
              <w:wordWrap w:val="0"/>
              <w:adjustRightInd w:val="0"/>
              <w:snapToGrid w:val="0"/>
              <w:spacing w:line="240" w:lineRule="auto"/>
              <w:ind w:left="105" w:leftChars="50" w:firstLine="210" w:firstLineChars="100"/>
              <w:rPr>
                <w:rFonts w:hint="eastAsia" w:asciiTheme="minorEastAsia" w:hAnsiTheme="minorEastAsia" w:eastAsiaTheme="minorEastAsia" w:cstheme="minorEastAsia"/>
                <w:color w:val="FFFFFF" w:themeColor="background1"/>
                <w:spacing w:val="0"/>
                <w:sz w:val="22"/>
                <w:szCs w:val="18"/>
                <w:highlight w:val="none"/>
                <w14:textFill>
                  <w14:solidFill>
                    <w14:schemeClr w14:val="bg1"/>
                  </w14:solidFill>
                </w14:textFill>
              </w:rPr>
            </w:pPr>
            <w:r>
              <w:rPr>
                <w:rFonts w:hint="eastAsia" w:ascii="宋体" w:hAnsi="宋体" w:eastAsia="宋体" w:cs="宋体"/>
                <w:color w:val="auto"/>
                <w:sz w:val="21"/>
                <w:szCs w:val="21"/>
                <w:highlight w:val="none"/>
                <w:u w:val="single"/>
                <w:lang w:val="en-US" w:eastAsia="zh-CN"/>
              </w:rPr>
              <w:t>2026</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lang w:val="en-US" w:eastAsia="zh-CN"/>
              </w:rPr>
              <w:t xml:space="preserve"> 11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lang w:val="en-US" w:eastAsia="zh-CN"/>
              </w:rPr>
              <w:t xml:space="preserve"> 20  </w:t>
            </w:r>
            <w:r>
              <w:rPr>
                <w:rFonts w:hint="eastAsia" w:ascii="宋体" w:hAnsi="宋体" w:eastAsia="宋体" w:cs="宋体"/>
                <w:color w:val="auto"/>
                <w:sz w:val="21"/>
                <w:szCs w:val="21"/>
                <w:highlight w:val="none"/>
              </w:rPr>
              <w:t>日</w:t>
            </w:r>
            <w:r>
              <w:rPr>
                <w:rFonts w:hint="eastAsia" w:ascii="宋体" w:hAnsi="宋体" w:eastAsia="宋体" w:cs="宋体"/>
                <w:color w:val="auto"/>
                <w:sz w:val="21"/>
                <w:szCs w:val="21"/>
                <w:highlight w:val="none"/>
                <w:u w:val="single"/>
                <w:lang w:val="en-US" w:eastAsia="zh-CN"/>
              </w:rPr>
              <w:t xml:space="preserve"> 10  </w:t>
            </w:r>
            <w:r>
              <w:rPr>
                <w:rFonts w:hint="eastAsia" w:ascii="宋体" w:hAnsi="宋体" w:eastAsia="宋体" w:cs="宋体"/>
                <w:color w:val="auto"/>
                <w:sz w:val="21"/>
                <w:szCs w:val="21"/>
                <w:highlight w:val="none"/>
              </w:rPr>
              <w:t>时</w:t>
            </w: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u w:val="single"/>
                <w:lang w:val="en-US" w:eastAsia="zh-CN"/>
              </w:rPr>
              <w:t>0</w:t>
            </w:r>
            <w:r>
              <w:rPr>
                <w:rFonts w:hint="eastAsia" w:ascii="宋体" w:hAnsi="宋体" w:eastAsia="宋体" w:cs="宋体"/>
                <w:color w:val="auto"/>
                <w:sz w:val="21"/>
                <w:szCs w:val="21"/>
                <w:highlight w:val="none"/>
              </w:rPr>
              <w:t>分</w:t>
            </w:r>
          </w:p>
        </w:tc>
      </w:tr>
      <w:tr w14:paraId="74455D8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096" w:hRule="exact"/>
        </w:trPr>
        <w:tc>
          <w:tcPr>
            <w:tcW w:w="421" w:type="dxa"/>
            <w:tcBorders>
              <w:top w:val="single" w:color="080000" w:sz="4" w:space="0"/>
              <w:left w:val="single" w:color="080000" w:sz="4" w:space="0"/>
              <w:bottom w:val="single" w:color="080000" w:sz="4" w:space="0"/>
              <w:right w:val="single" w:color="080000" w:sz="4" w:space="0"/>
            </w:tcBorders>
            <w:noWrap w:val="0"/>
            <w:vAlign w:val="center"/>
          </w:tcPr>
          <w:p w14:paraId="36E89386">
            <w:pPr>
              <w:pStyle w:val="33"/>
              <w:keepNext w:val="0"/>
              <w:keepLines w:val="0"/>
              <w:pageBreakBefore w:val="0"/>
              <w:suppressLineNumbers w:val="0"/>
              <w:wordWrap w:val="0"/>
              <w:overflowPunct/>
              <w:topLinePunct w:val="0"/>
              <w:bidi w:val="0"/>
              <w:adjustRightInd w:val="0"/>
              <w:snapToGrid w:val="0"/>
              <w:spacing w:before="0" w:beforeAutospacing="0" w:after="0" w:afterAutospacing="0" w:line="360" w:lineRule="exact"/>
              <w:ind w:left="0" w:leftChars="0" w:right="0" w:rightChars="0"/>
              <w:jc w:val="center"/>
              <w:rPr>
                <w:rFonts w:hint="eastAsia" w:ascii="宋体" w:hAnsi="宋体" w:eastAsia="宋体" w:cs="宋体"/>
                <w:color w:val="auto"/>
                <w:spacing w:val="0"/>
                <w:sz w:val="20"/>
                <w:szCs w:val="22"/>
                <w:highlight w:val="none"/>
              </w:rPr>
            </w:pPr>
            <w:r>
              <w:rPr>
                <w:rFonts w:hint="eastAsia" w:ascii="宋体" w:hAnsi="宋体" w:eastAsia="宋体" w:cs="宋体"/>
                <w:snapToGrid w:val="0"/>
                <w:color w:val="auto"/>
                <w:spacing w:val="0"/>
                <w:kern w:val="0"/>
                <w:sz w:val="21"/>
                <w:szCs w:val="21"/>
                <w:highlight w:val="none"/>
              </w:rPr>
              <w:t>7</w:t>
            </w:r>
          </w:p>
        </w:tc>
        <w:tc>
          <w:tcPr>
            <w:tcW w:w="1300" w:type="dxa"/>
            <w:tcBorders>
              <w:top w:val="single" w:color="080000" w:sz="4" w:space="0"/>
              <w:left w:val="single" w:color="080000" w:sz="4" w:space="0"/>
              <w:bottom w:val="single" w:color="080000" w:sz="4" w:space="0"/>
              <w:right w:val="single" w:color="080000" w:sz="4" w:space="0"/>
            </w:tcBorders>
            <w:noWrap w:val="0"/>
            <w:vAlign w:val="center"/>
          </w:tcPr>
          <w:p w14:paraId="56FE220E">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snapToGrid w:val="0"/>
                <w:color w:val="auto"/>
                <w:spacing w:val="0"/>
                <w:kern w:val="0"/>
                <w:sz w:val="21"/>
                <w:szCs w:val="21"/>
                <w:highlight w:val="none"/>
                <w:lang w:val="en-US" w:eastAsia="zh-CN" w:bidi="ar-SA"/>
              </w:rPr>
            </w:pPr>
            <w:r>
              <w:rPr>
                <w:rFonts w:hint="eastAsia" w:ascii="宋体" w:hAnsi="宋体" w:eastAsia="宋体" w:cs="宋体"/>
                <w:snapToGrid w:val="0"/>
                <w:color w:val="auto"/>
                <w:spacing w:val="0"/>
                <w:kern w:val="0"/>
                <w:sz w:val="21"/>
                <w:szCs w:val="21"/>
                <w:highlight w:val="none"/>
                <w:lang w:val="en-US" w:eastAsia="zh-CN" w:bidi="ar-SA"/>
              </w:rPr>
              <w:t>投标相关资料（如有）</w:t>
            </w:r>
          </w:p>
          <w:p w14:paraId="2CF02402">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leftChars="0" w:right="0" w:rightChars="0"/>
              <w:jc w:val="center"/>
              <w:rPr>
                <w:rFonts w:hint="eastAsia" w:ascii="宋体" w:hAnsi="宋体" w:eastAsia="宋体" w:cs="宋体"/>
                <w:color w:val="auto"/>
                <w:spacing w:val="0"/>
                <w:sz w:val="22"/>
                <w:szCs w:val="18"/>
                <w:highlight w:val="none"/>
              </w:rPr>
            </w:pPr>
            <w:r>
              <w:rPr>
                <w:rFonts w:hint="eastAsia" w:ascii="宋体" w:hAnsi="宋体" w:eastAsia="宋体" w:cs="宋体"/>
                <w:snapToGrid w:val="0"/>
                <w:color w:val="auto"/>
                <w:spacing w:val="0"/>
                <w:kern w:val="0"/>
                <w:sz w:val="21"/>
                <w:szCs w:val="21"/>
                <w:highlight w:val="none"/>
                <w:lang w:val="en-US" w:eastAsia="zh-CN" w:bidi="ar-SA"/>
              </w:rPr>
              <w:t>递交时间</w:t>
            </w:r>
          </w:p>
        </w:tc>
        <w:tc>
          <w:tcPr>
            <w:tcW w:w="7338" w:type="dxa"/>
            <w:tcBorders>
              <w:top w:val="single" w:color="080000" w:sz="4" w:space="0"/>
              <w:left w:val="single" w:color="080000" w:sz="4" w:space="0"/>
              <w:bottom w:val="single" w:color="080000" w:sz="4" w:space="0"/>
              <w:right w:val="single" w:color="080000" w:sz="4" w:space="0"/>
            </w:tcBorders>
            <w:noWrap w:val="0"/>
            <w:vAlign w:val="center"/>
          </w:tcPr>
          <w:p w14:paraId="6F17BD99">
            <w:pPr>
              <w:pStyle w:val="13"/>
              <w:wordWrap w:val="0"/>
              <w:adjustRightInd w:val="0"/>
              <w:snapToGrid w:val="0"/>
              <w:spacing w:line="240" w:lineRule="auto"/>
              <w:ind w:left="105" w:leftChars="50" w:firstLine="210" w:firstLineChars="100"/>
              <w:jc w:val="left"/>
              <w:rPr>
                <w:rFonts w:hint="eastAsia" w:asciiTheme="minorEastAsia" w:hAnsiTheme="minorEastAsia" w:eastAsiaTheme="minorEastAsia" w:cstheme="minorEastAsia"/>
                <w:color w:val="FFFFFF" w:themeColor="background1"/>
                <w:spacing w:val="0"/>
                <w:sz w:val="22"/>
                <w:szCs w:val="18"/>
                <w:highlight w:val="none"/>
                <w14:textFill>
                  <w14:solidFill>
                    <w14:schemeClr w14:val="bg1"/>
                  </w14:solidFill>
                </w14:textFill>
              </w:rPr>
            </w:pPr>
            <w:r>
              <w:rPr>
                <w:rFonts w:hint="eastAsia" w:ascii="宋体" w:hAnsi="宋体" w:eastAsia="宋体" w:cs="宋体"/>
                <w:color w:val="auto"/>
                <w:sz w:val="21"/>
                <w:szCs w:val="21"/>
                <w:highlight w:val="none"/>
                <w:u w:val="single"/>
                <w:lang w:val="en-US" w:eastAsia="zh-CN"/>
              </w:rPr>
              <w:t>2026</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lang w:val="en-US" w:eastAsia="zh-CN"/>
              </w:rPr>
              <w:t xml:space="preserve">  11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lang w:val="en-US" w:eastAsia="zh-CN"/>
              </w:rPr>
              <w:t xml:space="preserve"> 20 </w:t>
            </w:r>
            <w:r>
              <w:rPr>
                <w:rFonts w:hint="eastAsia" w:ascii="宋体" w:hAnsi="宋体" w:eastAsia="宋体" w:cs="宋体"/>
                <w:color w:val="auto"/>
                <w:sz w:val="21"/>
                <w:szCs w:val="21"/>
                <w:highlight w:val="none"/>
              </w:rPr>
              <w:t>日</w:t>
            </w:r>
            <w:r>
              <w:rPr>
                <w:rFonts w:hint="eastAsia" w:ascii="宋体" w:hAnsi="宋体" w:eastAsia="宋体" w:cs="宋体"/>
                <w:color w:val="auto"/>
                <w:sz w:val="21"/>
                <w:szCs w:val="21"/>
                <w:highlight w:val="none"/>
                <w:u w:val="single"/>
                <w:lang w:val="en-US" w:eastAsia="zh-CN"/>
              </w:rPr>
              <w:t xml:space="preserve"> 9 </w:t>
            </w:r>
            <w:r>
              <w:rPr>
                <w:rFonts w:hint="eastAsia" w:ascii="宋体" w:hAnsi="宋体" w:eastAsia="宋体" w:cs="宋体"/>
                <w:color w:val="auto"/>
                <w:sz w:val="21"/>
                <w:szCs w:val="21"/>
                <w:highlight w:val="none"/>
              </w:rPr>
              <w:t>时</w:t>
            </w:r>
            <w:r>
              <w:rPr>
                <w:rFonts w:hint="eastAsia" w:ascii="宋体" w:hAnsi="宋体" w:eastAsia="宋体" w:cs="宋体"/>
                <w:color w:val="auto"/>
                <w:sz w:val="21"/>
                <w:szCs w:val="21"/>
                <w:highlight w:val="none"/>
                <w:u w:val="single"/>
                <w:lang w:val="en-US" w:eastAsia="zh-CN"/>
              </w:rPr>
              <w:t xml:space="preserve"> 30 </w:t>
            </w:r>
            <w:r>
              <w:rPr>
                <w:rFonts w:hint="eastAsia" w:ascii="宋体" w:hAnsi="宋体" w:eastAsia="宋体" w:cs="宋体"/>
                <w:color w:val="auto"/>
                <w:sz w:val="21"/>
                <w:szCs w:val="21"/>
                <w:highlight w:val="none"/>
              </w:rPr>
              <w:t>分至</w:t>
            </w:r>
            <w:r>
              <w:rPr>
                <w:rFonts w:hint="eastAsia" w:ascii="宋体" w:hAnsi="宋体" w:eastAsia="宋体" w:cs="宋体"/>
                <w:color w:val="auto"/>
                <w:sz w:val="21"/>
                <w:szCs w:val="21"/>
                <w:highlight w:val="none"/>
                <w:u w:val="single"/>
                <w:lang w:val="en-US" w:eastAsia="zh-CN"/>
              </w:rPr>
              <w:t xml:space="preserve"> 11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lang w:val="en-US" w:eastAsia="zh-CN"/>
              </w:rPr>
              <w:t xml:space="preserve"> 20 </w:t>
            </w:r>
            <w:r>
              <w:rPr>
                <w:rFonts w:hint="eastAsia" w:ascii="宋体" w:hAnsi="宋体" w:eastAsia="宋体" w:cs="宋体"/>
                <w:color w:val="auto"/>
                <w:sz w:val="21"/>
                <w:szCs w:val="21"/>
                <w:highlight w:val="none"/>
              </w:rPr>
              <w:t>日</w:t>
            </w:r>
            <w:r>
              <w:rPr>
                <w:rFonts w:hint="eastAsia" w:ascii="宋体" w:hAnsi="宋体" w:eastAsia="宋体" w:cs="宋体"/>
                <w:color w:val="auto"/>
                <w:sz w:val="21"/>
                <w:szCs w:val="21"/>
                <w:highlight w:val="none"/>
                <w:u w:val="single"/>
                <w:lang w:val="en-US" w:eastAsia="zh-CN"/>
              </w:rPr>
              <w:t xml:space="preserve"> 10  </w:t>
            </w:r>
            <w:r>
              <w:rPr>
                <w:rFonts w:hint="eastAsia" w:ascii="宋体" w:hAnsi="宋体" w:eastAsia="宋体" w:cs="宋体"/>
                <w:color w:val="auto"/>
                <w:sz w:val="21"/>
                <w:szCs w:val="21"/>
                <w:highlight w:val="none"/>
              </w:rPr>
              <w:t>时</w:t>
            </w:r>
            <w:r>
              <w:rPr>
                <w:rFonts w:hint="eastAsia" w:ascii="宋体" w:hAnsi="宋体" w:eastAsia="宋体" w:cs="宋体"/>
                <w:color w:val="auto"/>
                <w:sz w:val="21"/>
                <w:szCs w:val="21"/>
                <w:highlight w:val="none"/>
                <w:u w:val="single"/>
                <w:lang w:val="en-US" w:eastAsia="zh-CN"/>
              </w:rPr>
              <w:t xml:space="preserve"> 00  </w:t>
            </w:r>
            <w:r>
              <w:rPr>
                <w:rFonts w:hint="eastAsia" w:ascii="宋体" w:hAnsi="宋体" w:eastAsia="宋体" w:cs="宋体"/>
                <w:color w:val="auto"/>
                <w:sz w:val="21"/>
                <w:szCs w:val="21"/>
                <w:highlight w:val="none"/>
              </w:rPr>
              <w:t>分</w:t>
            </w:r>
          </w:p>
        </w:tc>
      </w:tr>
      <w:tr w14:paraId="0CB4028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096" w:hRule="exact"/>
        </w:trPr>
        <w:tc>
          <w:tcPr>
            <w:tcW w:w="421" w:type="dxa"/>
            <w:tcBorders>
              <w:top w:val="single" w:color="080000" w:sz="4" w:space="0"/>
              <w:left w:val="single" w:color="080000" w:sz="4" w:space="0"/>
              <w:bottom w:val="single" w:color="080000" w:sz="4" w:space="0"/>
              <w:right w:val="single" w:color="080000" w:sz="4" w:space="0"/>
            </w:tcBorders>
            <w:noWrap w:val="0"/>
            <w:vAlign w:val="center"/>
          </w:tcPr>
          <w:p w14:paraId="3D50274E">
            <w:pPr>
              <w:pStyle w:val="33"/>
              <w:keepNext w:val="0"/>
              <w:keepLines w:val="0"/>
              <w:pageBreakBefore w:val="0"/>
              <w:suppressLineNumbers w:val="0"/>
              <w:wordWrap w:val="0"/>
              <w:overflowPunct/>
              <w:topLinePunct w:val="0"/>
              <w:bidi w:val="0"/>
              <w:adjustRightInd w:val="0"/>
              <w:snapToGrid w:val="0"/>
              <w:spacing w:before="0" w:beforeAutospacing="0" w:after="0" w:afterAutospacing="0" w:line="360" w:lineRule="exact"/>
              <w:ind w:left="0" w:leftChars="0" w:right="0" w:rightChars="0"/>
              <w:jc w:val="center"/>
              <w:rPr>
                <w:rFonts w:hint="eastAsia" w:ascii="宋体" w:hAnsi="宋体" w:eastAsia="宋体" w:cs="宋体"/>
                <w:color w:val="auto"/>
                <w:spacing w:val="0"/>
                <w:sz w:val="20"/>
                <w:szCs w:val="22"/>
                <w:highlight w:val="none"/>
              </w:rPr>
            </w:pPr>
            <w:r>
              <w:rPr>
                <w:rFonts w:hint="eastAsia" w:ascii="宋体" w:hAnsi="宋体" w:eastAsia="宋体" w:cs="宋体"/>
                <w:snapToGrid w:val="0"/>
                <w:color w:val="auto"/>
                <w:spacing w:val="0"/>
                <w:kern w:val="0"/>
                <w:sz w:val="21"/>
                <w:szCs w:val="21"/>
                <w:highlight w:val="none"/>
              </w:rPr>
              <w:t>8</w:t>
            </w:r>
          </w:p>
        </w:tc>
        <w:tc>
          <w:tcPr>
            <w:tcW w:w="1300" w:type="dxa"/>
            <w:tcBorders>
              <w:top w:val="single" w:color="080000" w:sz="4" w:space="0"/>
              <w:left w:val="single" w:color="080000" w:sz="4" w:space="0"/>
              <w:bottom w:val="single" w:color="080000" w:sz="4" w:space="0"/>
              <w:right w:val="single" w:color="080000" w:sz="4" w:space="0"/>
            </w:tcBorders>
            <w:noWrap w:val="0"/>
            <w:vAlign w:val="center"/>
          </w:tcPr>
          <w:p w14:paraId="25CA29C7">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snapToGrid w:val="0"/>
                <w:color w:val="auto"/>
                <w:spacing w:val="0"/>
                <w:kern w:val="0"/>
                <w:sz w:val="21"/>
                <w:szCs w:val="21"/>
                <w:highlight w:val="none"/>
                <w:lang w:val="en-US" w:eastAsia="zh-CN" w:bidi="ar-SA"/>
              </w:rPr>
            </w:pPr>
            <w:r>
              <w:rPr>
                <w:rFonts w:hint="eastAsia" w:ascii="宋体" w:hAnsi="宋体" w:eastAsia="宋体" w:cs="宋体"/>
                <w:snapToGrid w:val="0"/>
                <w:color w:val="auto"/>
                <w:spacing w:val="0"/>
                <w:kern w:val="0"/>
                <w:sz w:val="21"/>
                <w:szCs w:val="21"/>
                <w:highlight w:val="none"/>
                <w:lang w:val="en-US" w:eastAsia="zh-CN" w:bidi="ar-SA"/>
              </w:rPr>
              <w:t>投标相关资料（如有）</w:t>
            </w:r>
          </w:p>
          <w:p w14:paraId="5D032348">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leftChars="0" w:right="0" w:rightChars="0"/>
              <w:jc w:val="center"/>
              <w:rPr>
                <w:rFonts w:hint="eastAsia" w:ascii="宋体" w:hAnsi="宋体" w:eastAsia="宋体" w:cs="宋体"/>
                <w:color w:val="auto"/>
                <w:spacing w:val="0"/>
                <w:sz w:val="22"/>
                <w:szCs w:val="18"/>
                <w:highlight w:val="none"/>
              </w:rPr>
            </w:pPr>
            <w:r>
              <w:rPr>
                <w:rFonts w:hint="eastAsia" w:ascii="宋体" w:hAnsi="宋体" w:eastAsia="宋体" w:cs="宋体"/>
                <w:snapToGrid w:val="0"/>
                <w:color w:val="auto"/>
                <w:spacing w:val="0"/>
                <w:kern w:val="0"/>
                <w:sz w:val="21"/>
                <w:szCs w:val="21"/>
                <w:highlight w:val="none"/>
                <w:lang w:val="en-US" w:eastAsia="zh-CN" w:bidi="ar-SA"/>
              </w:rPr>
              <w:t>递交地点</w:t>
            </w:r>
          </w:p>
        </w:tc>
        <w:tc>
          <w:tcPr>
            <w:tcW w:w="7338" w:type="dxa"/>
            <w:tcBorders>
              <w:top w:val="single" w:color="080000" w:sz="4" w:space="0"/>
              <w:left w:val="single" w:color="080000" w:sz="4" w:space="0"/>
              <w:bottom w:val="single" w:color="080000" w:sz="4" w:space="0"/>
              <w:right w:val="single" w:color="080000" w:sz="4" w:space="0"/>
            </w:tcBorders>
            <w:noWrap w:val="0"/>
            <w:vAlign w:val="center"/>
          </w:tcPr>
          <w:p w14:paraId="0C6145AA">
            <w:pPr>
              <w:adjustRightInd w:val="0"/>
              <w:snapToGrid w:val="0"/>
              <w:spacing w:line="400" w:lineRule="exac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递交场所：</w:t>
            </w:r>
            <w:r>
              <w:rPr>
                <w:rFonts w:hint="eastAsia" w:ascii="宋体" w:hAnsi="宋体" w:eastAsia="宋体" w:cs="宋体"/>
                <w:snapToGrid w:val="0"/>
                <w:color w:val="auto"/>
                <w:kern w:val="0"/>
                <w:sz w:val="21"/>
                <w:szCs w:val="21"/>
                <w:highlight w:val="none"/>
                <w:lang w:val="en-US" w:eastAsia="zh-CN"/>
              </w:rPr>
              <w:t>韶关市公共资源交易中心新丰分中心</w:t>
            </w:r>
          </w:p>
          <w:p w14:paraId="49FFC71C">
            <w:pPr>
              <w:keepNext w:val="0"/>
              <w:keepLines w:val="0"/>
              <w:pageBreakBefore w:val="0"/>
              <w:kinsoku/>
              <w:wordWrap w:val="0"/>
              <w:overflowPunct/>
              <w:topLinePunct w:val="0"/>
              <w:autoSpaceDE/>
              <w:autoSpaceDN/>
              <w:bidi w:val="0"/>
              <w:adjustRightInd w:val="0"/>
              <w:snapToGrid w:val="0"/>
              <w:spacing w:line="360" w:lineRule="exact"/>
              <w:ind w:firstLine="210" w:firstLineChars="100"/>
              <w:jc w:val="left"/>
              <w:textAlignment w:val="auto"/>
              <w:rPr>
                <w:rFonts w:hint="eastAsia" w:ascii="宋体" w:hAnsi="宋体" w:eastAsia="宋体" w:cs="宋体"/>
                <w:snapToGrid w:val="0"/>
                <w:color w:val="auto"/>
                <w:kern w:val="0"/>
                <w:sz w:val="21"/>
                <w:szCs w:val="21"/>
                <w:highlight w:val="none"/>
                <w:u w:val="single"/>
                <w:lang w:val="en-US" w:eastAsia="zh-CN"/>
              </w:rPr>
            </w:pPr>
            <w:r>
              <w:rPr>
                <w:rFonts w:hint="eastAsia" w:ascii="宋体" w:hAnsi="宋体" w:eastAsia="宋体" w:cs="宋体"/>
                <w:snapToGrid w:val="0"/>
                <w:color w:val="auto"/>
                <w:kern w:val="0"/>
                <w:sz w:val="21"/>
                <w:szCs w:val="21"/>
                <w:highlight w:val="none"/>
              </w:rPr>
              <w:t>地址：</w:t>
            </w:r>
            <w:r>
              <w:rPr>
                <w:rFonts w:hint="eastAsia" w:ascii="宋体" w:hAnsi="宋体" w:eastAsia="宋体" w:cs="宋体"/>
                <w:snapToGrid w:val="0"/>
                <w:color w:val="auto"/>
                <w:kern w:val="0"/>
                <w:sz w:val="21"/>
                <w:szCs w:val="21"/>
                <w:highlight w:val="none"/>
                <w:u w:val="single"/>
                <w:lang w:val="en-US" w:eastAsia="zh-CN"/>
              </w:rPr>
              <w:t>新丰县丰城街道金园路53号行政服务中心5楼（韶关市公共资源交易中心新丰分中心）</w:t>
            </w:r>
          </w:p>
          <w:p w14:paraId="6EB7591E">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400" w:lineRule="exact"/>
              <w:ind w:right="0" w:rightChars="0"/>
              <w:jc w:val="left"/>
              <w:rPr>
                <w:rFonts w:hint="eastAsia" w:eastAsia="宋体" w:asciiTheme="minorEastAsia" w:hAnsiTheme="minorEastAsia" w:cstheme="minorEastAsia"/>
                <w:color w:val="auto"/>
                <w:spacing w:val="0"/>
                <w:sz w:val="22"/>
                <w:szCs w:val="18"/>
                <w:highlight w:val="none"/>
                <w:lang w:eastAsia="zh-CN"/>
              </w:rPr>
            </w:pPr>
            <w:r>
              <w:rPr>
                <w:rFonts w:hint="eastAsia" w:ascii="宋体" w:hAnsi="宋体" w:eastAsia="宋体" w:cs="宋体"/>
                <w:color w:val="auto"/>
                <w:kern w:val="0"/>
                <w:sz w:val="21"/>
                <w:szCs w:val="21"/>
                <w:highlight w:val="none"/>
              </w:rPr>
              <w:t>具体递交场所以当日现场通知为准</w:t>
            </w:r>
            <w:r>
              <w:rPr>
                <w:rFonts w:hint="eastAsia" w:ascii="宋体" w:hAnsi="宋体" w:eastAsia="宋体" w:cs="宋体"/>
                <w:color w:val="auto"/>
                <w:kern w:val="0"/>
                <w:sz w:val="21"/>
                <w:szCs w:val="21"/>
                <w:highlight w:val="none"/>
                <w:lang w:eastAsia="zh-CN"/>
              </w:rPr>
              <w:t>。</w:t>
            </w:r>
          </w:p>
        </w:tc>
      </w:tr>
      <w:tr w14:paraId="6CE1578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656" w:hRule="exact"/>
        </w:trPr>
        <w:tc>
          <w:tcPr>
            <w:tcW w:w="421" w:type="dxa"/>
            <w:tcBorders>
              <w:top w:val="single" w:color="080000" w:sz="4" w:space="0"/>
              <w:left w:val="single" w:color="080000" w:sz="4" w:space="0"/>
              <w:bottom w:val="single" w:color="080000" w:sz="4" w:space="0"/>
              <w:right w:val="single" w:color="080000" w:sz="4" w:space="0"/>
            </w:tcBorders>
            <w:noWrap w:val="0"/>
            <w:vAlign w:val="center"/>
          </w:tcPr>
          <w:p w14:paraId="129C080C">
            <w:pPr>
              <w:pStyle w:val="33"/>
              <w:keepNext w:val="0"/>
              <w:keepLines w:val="0"/>
              <w:pageBreakBefore w:val="0"/>
              <w:suppressLineNumbers w:val="0"/>
              <w:wordWrap w:val="0"/>
              <w:overflowPunct/>
              <w:topLinePunct w:val="0"/>
              <w:bidi w:val="0"/>
              <w:adjustRightInd w:val="0"/>
              <w:snapToGrid w:val="0"/>
              <w:spacing w:before="0" w:beforeAutospacing="0" w:after="0" w:afterAutospacing="0" w:line="360" w:lineRule="exact"/>
              <w:ind w:left="0" w:leftChars="0" w:right="0" w:rightChars="0"/>
              <w:jc w:val="center"/>
              <w:rPr>
                <w:rFonts w:hint="eastAsia" w:ascii="宋体" w:hAnsi="宋体" w:eastAsia="宋体" w:cs="宋体"/>
                <w:color w:val="auto"/>
                <w:spacing w:val="0"/>
                <w:sz w:val="20"/>
                <w:szCs w:val="22"/>
                <w:highlight w:val="none"/>
              </w:rPr>
            </w:pPr>
            <w:r>
              <w:rPr>
                <w:rFonts w:hint="eastAsia" w:ascii="宋体" w:hAnsi="宋体" w:eastAsia="宋体" w:cs="宋体"/>
                <w:snapToGrid w:val="0"/>
                <w:color w:val="auto"/>
                <w:spacing w:val="0"/>
                <w:kern w:val="0"/>
                <w:sz w:val="21"/>
                <w:szCs w:val="21"/>
                <w:highlight w:val="none"/>
              </w:rPr>
              <w:t>9</w:t>
            </w:r>
          </w:p>
        </w:tc>
        <w:tc>
          <w:tcPr>
            <w:tcW w:w="1300" w:type="dxa"/>
            <w:tcBorders>
              <w:top w:val="single" w:color="080000" w:sz="4" w:space="0"/>
              <w:left w:val="single" w:color="080000" w:sz="4" w:space="0"/>
              <w:bottom w:val="single" w:color="080000" w:sz="4" w:space="0"/>
              <w:right w:val="single" w:color="080000" w:sz="4" w:space="0"/>
            </w:tcBorders>
            <w:noWrap w:val="0"/>
            <w:vAlign w:val="center"/>
          </w:tcPr>
          <w:p w14:paraId="31C4A038">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leftChars="0" w:right="0" w:rightChars="0"/>
              <w:jc w:val="center"/>
              <w:rPr>
                <w:rFonts w:hint="eastAsia" w:ascii="宋体" w:hAnsi="宋体" w:eastAsia="宋体" w:cs="宋体"/>
                <w:color w:val="auto"/>
                <w:spacing w:val="0"/>
                <w:sz w:val="22"/>
                <w:szCs w:val="18"/>
                <w:highlight w:val="none"/>
              </w:rPr>
            </w:pPr>
            <w:r>
              <w:rPr>
                <w:rFonts w:hint="eastAsia" w:ascii="宋体" w:hAnsi="宋体" w:eastAsia="宋体" w:cs="宋体"/>
                <w:snapToGrid w:val="0"/>
                <w:color w:val="auto"/>
                <w:spacing w:val="0"/>
                <w:kern w:val="0"/>
                <w:sz w:val="21"/>
                <w:szCs w:val="21"/>
                <w:highlight w:val="none"/>
                <w:lang w:val="en-US" w:eastAsia="zh-CN" w:bidi="ar-SA"/>
              </w:rPr>
              <w:t xml:space="preserve">开标时间 </w:t>
            </w:r>
          </w:p>
        </w:tc>
        <w:tc>
          <w:tcPr>
            <w:tcW w:w="7338" w:type="dxa"/>
            <w:tcBorders>
              <w:top w:val="single" w:color="080000" w:sz="4" w:space="0"/>
              <w:left w:val="single" w:color="080000" w:sz="4" w:space="0"/>
              <w:bottom w:val="single" w:color="080000" w:sz="4" w:space="0"/>
              <w:right w:val="single" w:color="080000" w:sz="4" w:space="0"/>
            </w:tcBorders>
            <w:noWrap w:val="0"/>
            <w:vAlign w:val="center"/>
          </w:tcPr>
          <w:p w14:paraId="2B5D22B9">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400" w:lineRule="exact"/>
              <w:ind w:left="0" w:leftChars="0" w:right="0" w:rightChars="0"/>
              <w:jc w:val="left"/>
              <w:rPr>
                <w:rFonts w:hint="eastAsia" w:asciiTheme="minorEastAsia" w:hAnsiTheme="minorEastAsia" w:eastAsiaTheme="minorEastAsia" w:cstheme="minorEastAsia"/>
                <w:color w:val="auto"/>
                <w:spacing w:val="0"/>
                <w:sz w:val="22"/>
                <w:szCs w:val="18"/>
                <w:highlight w:val="none"/>
              </w:rPr>
            </w:pPr>
            <w:r>
              <w:rPr>
                <w:rFonts w:hint="eastAsia" w:ascii="宋体" w:hAnsi="宋体" w:eastAsia="宋体" w:cs="宋体"/>
                <w:snapToGrid w:val="0"/>
                <w:color w:val="auto"/>
                <w:spacing w:val="0"/>
                <w:kern w:val="0"/>
                <w:sz w:val="21"/>
                <w:szCs w:val="21"/>
                <w:highlight w:val="none"/>
                <w:lang w:val="en-US" w:eastAsia="zh-CN" w:bidi="ar-SA"/>
              </w:rPr>
              <w:t xml:space="preserve"> </w:t>
            </w:r>
            <w:r>
              <w:rPr>
                <w:rFonts w:hint="eastAsia" w:ascii="宋体" w:hAnsi="宋体" w:eastAsia="宋体" w:cs="宋体"/>
                <w:color w:val="auto"/>
                <w:sz w:val="21"/>
                <w:szCs w:val="21"/>
                <w:highlight w:val="none"/>
                <w:u w:val="single"/>
                <w:lang w:val="en-US" w:eastAsia="zh-CN"/>
              </w:rPr>
              <w:t>2026</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lang w:val="en-US" w:eastAsia="zh-CN"/>
              </w:rPr>
              <w:t xml:space="preserve"> 11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lang w:val="en-US" w:eastAsia="zh-CN"/>
              </w:rPr>
              <w:t xml:space="preserve"> 20 </w:t>
            </w:r>
            <w:r>
              <w:rPr>
                <w:rFonts w:hint="eastAsia" w:ascii="宋体" w:hAnsi="宋体" w:eastAsia="宋体" w:cs="宋体"/>
                <w:color w:val="auto"/>
                <w:sz w:val="21"/>
                <w:szCs w:val="21"/>
                <w:highlight w:val="none"/>
              </w:rPr>
              <w:t>日</w:t>
            </w:r>
            <w:r>
              <w:rPr>
                <w:rFonts w:hint="eastAsia" w:ascii="宋体" w:hAnsi="宋体" w:eastAsia="宋体" w:cs="宋体"/>
                <w:color w:val="auto"/>
                <w:sz w:val="21"/>
                <w:szCs w:val="21"/>
                <w:highlight w:val="none"/>
                <w:u w:val="single"/>
                <w:lang w:val="en-US" w:eastAsia="zh-CN"/>
              </w:rPr>
              <w:t xml:space="preserve"> 10  </w:t>
            </w:r>
            <w:r>
              <w:rPr>
                <w:rFonts w:hint="eastAsia" w:ascii="宋体" w:hAnsi="宋体" w:eastAsia="宋体" w:cs="宋体"/>
                <w:color w:val="auto"/>
                <w:sz w:val="21"/>
                <w:szCs w:val="21"/>
                <w:highlight w:val="none"/>
              </w:rPr>
              <w:t>时</w:t>
            </w:r>
            <w:r>
              <w:rPr>
                <w:rFonts w:hint="eastAsia" w:ascii="宋体" w:hAnsi="宋体" w:eastAsia="宋体" w:cs="宋体"/>
                <w:color w:val="auto"/>
                <w:sz w:val="21"/>
                <w:szCs w:val="21"/>
                <w:highlight w:val="none"/>
                <w:u w:val="single"/>
                <w:lang w:val="en-US" w:eastAsia="zh-CN"/>
              </w:rPr>
              <w:t xml:space="preserve"> 00  </w:t>
            </w:r>
            <w:r>
              <w:rPr>
                <w:rFonts w:hint="eastAsia" w:ascii="宋体" w:hAnsi="宋体" w:eastAsia="宋体" w:cs="宋体"/>
                <w:color w:val="auto"/>
                <w:sz w:val="21"/>
                <w:szCs w:val="21"/>
                <w:highlight w:val="none"/>
              </w:rPr>
              <w:t>分</w:t>
            </w:r>
          </w:p>
        </w:tc>
      </w:tr>
      <w:tr w14:paraId="5D8D0EA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214" w:hRule="exact"/>
        </w:trPr>
        <w:tc>
          <w:tcPr>
            <w:tcW w:w="421" w:type="dxa"/>
            <w:tcBorders>
              <w:top w:val="single" w:color="080000" w:sz="4" w:space="0"/>
              <w:left w:val="single" w:color="080000" w:sz="4" w:space="0"/>
              <w:bottom w:val="single" w:color="080000" w:sz="4" w:space="0"/>
              <w:right w:val="single" w:color="080000" w:sz="4" w:space="0"/>
            </w:tcBorders>
            <w:noWrap w:val="0"/>
            <w:vAlign w:val="center"/>
          </w:tcPr>
          <w:p w14:paraId="21EA454E">
            <w:pPr>
              <w:pStyle w:val="33"/>
              <w:keepNext w:val="0"/>
              <w:keepLines w:val="0"/>
              <w:pageBreakBefore w:val="0"/>
              <w:suppressLineNumbers w:val="0"/>
              <w:wordWrap w:val="0"/>
              <w:overflowPunct/>
              <w:topLinePunct w:val="0"/>
              <w:bidi w:val="0"/>
              <w:adjustRightInd w:val="0"/>
              <w:snapToGrid w:val="0"/>
              <w:spacing w:before="0" w:beforeAutospacing="0" w:after="0" w:afterAutospacing="0" w:line="360" w:lineRule="exact"/>
              <w:ind w:left="0" w:leftChars="0" w:right="0" w:rightChars="0"/>
              <w:jc w:val="center"/>
              <w:rPr>
                <w:rFonts w:hint="eastAsia" w:ascii="宋体" w:hAnsi="宋体" w:eastAsia="宋体" w:cs="宋体"/>
                <w:color w:val="auto"/>
                <w:spacing w:val="0"/>
                <w:sz w:val="20"/>
                <w:szCs w:val="22"/>
                <w:highlight w:val="none"/>
              </w:rPr>
            </w:pPr>
            <w:r>
              <w:rPr>
                <w:rFonts w:hint="eastAsia" w:ascii="宋体" w:hAnsi="宋体" w:eastAsia="宋体" w:cs="宋体"/>
                <w:snapToGrid w:val="0"/>
                <w:color w:val="auto"/>
                <w:spacing w:val="0"/>
                <w:kern w:val="0"/>
                <w:sz w:val="21"/>
                <w:szCs w:val="21"/>
                <w:highlight w:val="none"/>
              </w:rPr>
              <w:t>10</w:t>
            </w:r>
          </w:p>
        </w:tc>
        <w:tc>
          <w:tcPr>
            <w:tcW w:w="1300" w:type="dxa"/>
            <w:tcBorders>
              <w:top w:val="single" w:color="080000" w:sz="4" w:space="0"/>
              <w:left w:val="single" w:color="080000" w:sz="4" w:space="0"/>
              <w:bottom w:val="single" w:color="080000" w:sz="4" w:space="0"/>
              <w:right w:val="single" w:color="080000" w:sz="4" w:space="0"/>
            </w:tcBorders>
            <w:noWrap w:val="0"/>
            <w:vAlign w:val="center"/>
          </w:tcPr>
          <w:p w14:paraId="3BA765A1">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leftChars="0" w:right="0" w:rightChars="0"/>
              <w:jc w:val="center"/>
              <w:rPr>
                <w:rFonts w:hint="eastAsia" w:ascii="宋体" w:hAnsi="宋体" w:eastAsia="宋体" w:cs="宋体"/>
                <w:color w:val="auto"/>
                <w:spacing w:val="0"/>
                <w:sz w:val="22"/>
                <w:szCs w:val="18"/>
                <w:highlight w:val="none"/>
              </w:rPr>
            </w:pPr>
            <w:r>
              <w:rPr>
                <w:rFonts w:hint="eastAsia" w:ascii="宋体" w:hAnsi="宋体" w:eastAsia="宋体" w:cs="宋体"/>
                <w:snapToGrid w:val="0"/>
                <w:color w:val="auto"/>
                <w:spacing w:val="0"/>
                <w:kern w:val="0"/>
                <w:sz w:val="21"/>
                <w:szCs w:val="21"/>
                <w:highlight w:val="none"/>
                <w:lang w:val="en-US" w:eastAsia="zh-CN" w:bidi="ar-SA"/>
              </w:rPr>
              <w:t xml:space="preserve">开标地点 </w:t>
            </w:r>
          </w:p>
        </w:tc>
        <w:tc>
          <w:tcPr>
            <w:tcW w:w="7338" w:type="dxa"/>
            <w:tcBorders>
              <w:top w:val="single" w:color="080000" w:sz="4" w:space="0"/>
              <w:left w:val="single" w:color="080000" w:sz="4" w:space="0"/>
              <w:bottom w:val="single" w:color="080000" w:sz="4" w:space="0"/>
              <w:right w:val="single" w:color="080000" w:sz="4" w:space="0"/>
            </w:tcBorders>
            <w:noWrap w:val="0"/>
            <w:vAlign w:val="center"/>
          </w:tcPr>
          <w:p w14:paraId="1D5BDFF7">
            <w:pPr>
              <w:keepNext w:val="0"/>
              <w:keepLines w:val="0"/>
              <w:pageBreakBefore w:val="0"/>
              <w:kinsoku/>
              <w:wordWrap w:val="0"/>
              <w:overflowPunct/>
              <w:topLinePunct w:val="0"/>
              <w:autoSpaceDE/>
              <w:autoSpaceDN/>
              <w:bidi w:val="0"/>
              <w:adjustRightInd w:val="0"/>
              <w:snapToGrid w:val="0"/>
              <w:spacing w:line="360" w:lineRule="exact"/>
              <w:ind w:firstLine="210" w:firstLineChars="100"/>
              <w:jc w:val="left"/>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开标场所：韶关市公共资源交易中心新丰分中心</w:t>
            </w:r>
          </w:p>
          <w:p w14:paraId="19761C8D">
            <w:pPr>
              <w:keepNext w:val="0"/>
              <w:keepLines w:val="0"/>
              <w:pageBreakBefore w:val="0"/>
              <w:kinsoku/>
              <w:wordWrap w:val="0"/>
              <w:overflowPunct/>
              <w:topLinePunct w:val="0"/>
              <w:autoSpaceDE/>
              <w:autoSpaceDN/>
              <w:bidi w:val="0"/>
              <w:adjustRightInd w:val="0"/>
              <w:snapToGrid w:val="0"/>
              <w:spacing w:line="360" w:lineRule="exact"/>
              <w:ind w:firstLine="210" w:firstLineChars="100"/>
              <w:jc w:val="left"/>
              <w:textAlignment w:val="auto"/>
              <w:rPr>
                <w:rFonts w:hint="eastAsia" w:ascii="宋体" w:hAnsi="宋体" w:eastAsia="宋体" w:cs="宋体"/>
                <w:snapToGrid w:val="0"/>
                <w:color w:val="auto"/>
                <w:kern w:val="0"/>
                <w:sz w:val="21"/>
                <w:szCs w:val="21"/>
                <w:highlight w:val="none"/>
                <w:u w:val="single"/>
                <w:lang w:val="en-US" w:eastAsia="zh-CN"/>
              </w:rPr>
            </w:pPr>
            <w:r>
              <w:rPr>
                <w:rFonts w:hint="eastAsia" w:ascii="宋体" w:hAnsi="宋体" w:eastAsia="宋体" w:cs="宋体"/>
                <w:snapToGrid w:val="0"/>
                <w:color w:val="auto"/>
                <w:kern w:val="0"/>
                <w:sz w:val="21"/>
                <w:szCs w:val="21"/>
                <w:highlight w:val="none"/>
                <w:lang w:val="en-US" w:eastAsia="zh-CN"/>
              </w:rPr>
              <w:t>地址：</w:t>
            </w:r>
            <w:r>
              <w:rPr>
                <w:rFonts w:hint="eastAsia" w:ascii="宋体" w:hAnsi="宋体" w:eastAsia="宋体" w:cs="宋体"/>
                <w:snapToGrid w:val="0"/>
                <w:color w:val="auto"/>
                <w:kern w:val="0"/>
                <w:sz w:val="21"/>
                <w:szCs w:val="21"/>
                <w:highlight w:val="none"/>
                <w:u w:val="single"/>
                <w:lang w:val="en-US" w:eastAsia="zh-CN"/>
              </w:rPr>
              <w:t>新丰县丰城街道金园路53号行政服务中心5楼（韶关市公共资源交易中心新丰分中心）</w:t>
            </w:r>
          </w:p>
          <w:p w14:paraId="4CA66E3F">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400" w:lineRule="exact"/>
              <w:ind w:left="0" w:leftChars="0" w:right="0" w:rightChars="0" w:firstLine="220" w:firstLineChars="100"/>
              <w:jc w:val="left"/>
              <w:rPr>
                <w:rFonts w:hint="eastAsia" w:asciiTheme="minorEastAsia" w:hAnsiTheme="minorEastAsia" w:eastAsiaTheme="minorEastAsia" w:cstheme="minorEastAsia"/>
                <w:color w:val="FFFFFF" w:themeColor="background1"/>
                <w:spacing w:val="0"/>
                <w:sz w:val="22"/>
                <w:szCs w:val="18"/>
                <w:highlight w:val="none"/>
                <w14:textFill>
                  <w14:solidFill>
                    <w14:schemeClr w14:val="bg1"/>
                  </w14:solidFill>
                </w14:textFill>
              </w:rPr>
            </w:pPr>
          </w:p>
        </w:tc>
      </w:tr>
      <w:tr w14:paraId="3C63397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246" w:hRule="exact"/>
        </w:trPr>
        <w:tc>
          <w:tcPr>
            <w:tcW w:w="1721" w:type="dxa"/>
            <w:gridSpan w:val="2"/>
            <w:tcBorders>
              <w:top w:val="single" w:color="080000" w:sz="4" w:space="0"/>
              <w:left w:val="single" w:color="080000" w:sz="4" w:space="0"/>
              <w:bottom w:val="single" w:color="080000" w:sz="4" w:space="0"/>
              <w:right w:val="single" w:color="080000" w:sz="4" w:space="0"/>
            </w:tcBorders>
            <w:noWrap w:val="0"/>
            <w:vAlign w:val="center"/>
          </w:tcPr>
          <w:p w14:paraId="175DAD21">
            <w:pPr>
              <w:pStyle w:val="33"/>
              <w:keepNext w:val="0"/>
              <w:keepLines w:val="0"/>
              <w:pageBreakBefore w:val="0"/>
              <w:suppressLineNumbers w:val="0"/>
              <w:wordWrap w:val="0"/>
              <w:overflowPunct/>
              <w:topLinePunct w:val="0"/>
              <w:bidi w:val="0"/>
              <w:adjustRightInd w:val="0"/>
              <w:snapToGrid w:val="0"/>
              <w:spacing w:before="0" w:beforeAutospacing="0" w:after="0" w:afterAutospacing="0" w:line="360" w:lineRule="exact"/>
              <w:ind w:left="0" w:leftChars="0" w:right="0" w:rightChars="0"/>
              <w:jc w:val="center"/>
              <w:rPr>
                <w:rFonts w:hint="eastAsia" w:ascii="宋体" w:hAnsi="宋体" w:eastAsia="宋体" w:cs="宋体"/>
                <w:color w:val="auto"/>
                <w:spacing w:val="0"/>
                <w:sz w:val="20"/>
                <w:szCs w:val="22"/>
                <w:highlight w:val="none"/>
              </w:rPr>
            </w:pPr>
            <w:r>
              <w:rPr>
                <w:rFonts w:hint="eastAsia" w:ascii="宋体" w:hAnsi="宋体" w:eastAsia="宋体" w:cs="宋体"/>
                <w:snapToGrid w:val="0"/>
                <w:color w:val="auto"/>
                <w:spacing w:val="0"/>
                <w:kern w:val="0"/>
                <w:sz w:val="21"/>
                <w:szCs w:val="21"/>
                <w:highlight w:val="none"/>
                <w:lang w:val="en-US" w:eastAsia="zh-CN"/>
              </w:rPr>
              <w:t>备注</w:t>
            </w:r>
          </w:p>
        </w:tc>
        <w:tc>
          <w:tcPr>
            <w:tcW w:w="7338" w:type="dxa"/>
            <w:tcBorders>
              <w:top w:val="single" w:color="080000" w:sz="4" w:space="0"/>
              <w:left w:val="single" w:color="080000" w:sz="4" w:space="0"/>
              <w:bottom w:val="single" w:color="080000" w:sz="4" w:space="0"/>
              <w:right w:val="single" w:color="080000" w:sz="4" w:space="0"/>
            </w:tcBorders>
            <w:noWrap w:val="0"/>
            <w:vAlign w:val="center"/>
          </w:tcPr>
          <w:p w14:paraId="3BCB66C0">
            <w:pPr>
              <w:pStyle w:val="33"/>
              <w:keepNext w:val="0"/>
              <w:keepLines w:val="0"/>
              <w:pageBreakBefore w:val="0"/>
              <w:suppressLineNumbers w:val="0"/>
              <w:wordWrap w:val="0"/>
              <w:overflowPunct/>
              <w:topLinePunct w:val="0"/>
              <w:bidi w:val="0"/>
              <w:adjustRightInd w:val="0"/>
              <w:snapToGrid w:val="0"/>
              <w:spacing w:before="0" w:beforeAutospacing="0" w:after="0" w:afterAutospacing="0" w:line="400" w:lineRule="exact"/>
              <w:ind w:left="0" w:leftChars="0" w:right="0" w:rightChars="0" w:firstLine="210" w:firstLineChars="100"/>
              <w:jc w:val="left"/>
              <w:rPr>
                <w:rFonts w:hint="eastAsia" w:asciiTheme="minorEastAsia" w:hAnsiTheme="minorEastAsia" w:eastAsiaTheme="minorEastAsia" w:cstheme="minorEastAsia"/>
                <w:color w:val="FFFFFF" w:themeColor="background1"/>
                <w:spacing w:val="0"/>
                <w:sz w:val="20"/>
                <w:szCs w:val="22"/>
                <w:highlight w:val="none"/>
                <w14:textFill>
                  <w14:solidFill>
                    <w14:schemeClr w14:val="bg1"/>
                  </w14:solidFill>
                </w14:textFill>
              </w:rPr>
            </w:pPr>
            <w:r>
              <w:rPr>
                <w:rFonts w:hint="eastAsia" w:ascii="宋体" w:hAnsi="宋体" w:eastAsia="宋体" w:cs="宋体"/>
                <w:snapToGrid w:val="0"/>
                <w:color w:val="auto"/>
                <w:spacing w:val="0"/>
                <w:kern w:val="0"/>
                <w:sz w:val="21"/>
                <w:szCs w:val="21"/>
                <w:highlight w:val="none"/>
              </w:rPr>
              <w:t>投标人应按有关计划时间安排办理企业CA认证、企业入库等，获取招标文件后自行下载招标文件、资料文件及招标答疑书等。若由于投标人自身原因未能及时取得上述资料的，由此发生的任何责任由投标人自负。</w:t>
            </w:r>
          </w:p>
        </w:tc>
      </w:tr>
    </w:tbl>
    <w:p w14:paraId="7A605614">
      <w:pPr>
        <w:keepNext w:val="0"/>
        <w:keepLines w:val="0"/>
        <w:pageBreakBefore w:val="0"/>
        <w:tabs>
          <w:tab w:val="left" w:pos="8820"/>
        </w:tabs>
        <w:wordWrap w:val="0"/>
        <w:overflowPunct/>
        <w:topLinePunct w:val="0"/>
        <w:bidi w:val="0"/>
        <w:rPr>
          <w:rFonts w:hint="eastAsia" w:ascii="宋体" w:hAnsi="宋体" w:eastAsia="宋体" w:cs="宋体"/>
          <w:b w:val="0"/>
          <w:bCs w:val="0"/>
          <w:color w:val="auto"/>
          <w:spacing w:val="0"/>
          <w:sz w:val="24"/>
          <w:szCs w:val="24"/>
          <w:highlight w:val="none"/>
        </w:rPr>
        <w:sectPr>
          <w:headerReference r:id="rId7" w:type="default"/>
          <w:footerReference r:id="rId8" w:type="default"/>
          <w:pgSz w:w="11906" w:h="16839"/>
          <w:pgMar w:top="1440" w:right="1080" w:bottom="1440" w:left="1080" w:header="0" w:footer="1085" w:gutter="0"/>
          <w:pgBorders>
            <w:top w:val="none" w:sz="0" w:space="0"/>
            <w:left w:val="none" w:sz="0" w:space="0"/>
            <w:bottom w:val="none" w:sz="0" w:space="0"/>
            <w:right w:val="none" w:sz="0" w:space="0"/>
          </w:pgBorders>
          <w:pgNumType w:fmt="decimal"/>
          <w:cols w:space="720" w:num="1"/>
        </w:sectPr>
      </w:pPr>
    </w:p>
    <w:p w14:paraId="174F730E">
      <w:pPr>
        <w:keepNext w:val="0"/>
        <w:keepLines w:val="0"/>
        <w:pageBreakBefore w:val="0"/>
        <w:wordWrap w:val="0"/>
        <w:overflowPunct/>
        <w:topLinePunct w:val="0"/>
        <w:bidi w:val="0"/>
        <w:jc w:val="center"/>
        <w:outlineLvl w:val="1"/>
        <w:rPr>
          <w:rFonts w:hint="eastAsia" w:ascii="宋体" w:hAnsi="宋体" w:eastAsia="宋体" w:cs="宋体"/>
          <w:color w:val="auto"/>
          <w:spacing w:val="0"/>
          <w:sz w:val="24"/>
          <w:szCs w:val="24"/>
          <w:highlight w:val="none"/>
        </w:rPr>
      </w:pPr>
      <w:bookmarkStart w:id="7" w:name="_Toc670"/>
      <w:r>
        <w:rPr>
          <w:rFonts w:hint="eastAsia" w:ascii="宋体" w:hAnsi="宋体" w:eastAsia="宋体" w:cs="宋体"/>
          <w:b/>
          <w:bCs/>
          <w:color w:val="auto"/>
          <w:spacing w:val="0"/>
          <w:sz w:val="24"/>
          <w:szCs w:val="24"/>
          <w:highlight w:val="none"/>
        </w:rPr>
        <w:t>第三节</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rPr>
        <w:t>投标人须知正文</w:t>
      </w:r>
      <w:bookmarkEnd w:id="7"/>
    </w:p>
    <w:p w14:paraId="1C9DF0B7">
      <w:pPr>
        <w:pStyle w:val="6"/>
        <w:keepNext w:val="0"/>
        <w:keepLines w:val="0"/>
        <w:pageBreakBefore w:val="0"/>
        <w:wordWrap w:val="0"/>
        <w:overflowPunct/>
        <w:topLinePunct w:val="0"/>
        <w:bidi w:val="0"/>
        <w:spacing w:line="256" w:lineRule="auto"/>
        <w:rPr>
          <w:rFonts w:hint="eastAsia" w:ascii="宋体" w:hAnsi="宋体" w:eastAsia="宋体" w:cs="宋体"/>
          <w:color w:val="auto"/>
          <w:spacing w:val="0"/>
          <w:highlight w:val="none"/>
        </w:rPr>
      </w:pPr>
    </w:p>
    <w:p w14:paraId="59F61437">
      <w:pPr>
        <w:pStyle w:val="6"/>
        <w:keepNext w:val="0"/>
        <w:keepLines w:val="0"/>
        <w:pageBreakBefore w:val="0"/>
        <w:wordWrap w:val="0"/>
        <w:overflowPunct/>
        <w:topLinePunct w:val="0"/>
        <w:bidi w:val="0"/>
        <w:spacing w:line="257" w:lineRule="auto"/>
        <w:rPr>
          <w:rFonts w:hint="eastAsia" w:ascii="宋体" w:hAnsi="宋体" w:eastAsia="宋体" w:cs="宋体"/>
          <w:color w:val="auto"/>
          <w:spacing w:val="0"/>
          <w:highlight w:val="none"/>
        </w:rPr>
      </w:pPr>
    </w:p>
    <w:p w14:paraId="3372AC6B">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u w:val="single"/>
          <w:lang w:val="en-US" w:eastAsia="zh-CN"/>
        </w:rPr>
        <w:t>新丰县“红韵新丰·绿谷禽乡”乡村振兴项目-新丰县回龙镇肉鸽(家禽)深加工基础配套设施项目</w:t>
      </w:r>
      <w:r>
        <w:rPr>
          <w:rFonts w:hint="eastAsia" w:ascii="宋体" w:hAnsi="宋体" w:eastAsia="宋体" w:cs="宋体"/>
          <w:snapToGrid w:val="0"/>
          <w:color w:val="auto"/>
          <w:spacing w:val="0"/>
          <w:kern w:val="0"/>
          <w:sz w:val="24"/>
          <w:szCs w:val="24"/>
          <w:highlight w:val="none"/>
        </w:rPr>
        <w:t>经</w:t>
      </w:r>
      <w:r>
        <w:rPr>
          <w:rFonts w:hint="eastAsia" w:ascii="宋体" w:hAnsi="宋体" w:eastAsia="宋体" w:cs="宋体"/>
          <w:snapToGrid w:val="0"/>
          <w:color w:val="auto"/>
          <w:spacing w:val="0"/>
          <w:kern w:val="0"/>
          <w:sz w:val="24"/>
          <w:szCs w:val="24"/>
          <w:highlight w:val="none"/>
          <w:u w:val="single"/>
          <w:lang w:val="en-US" w:eastAsia="zh-CN"/>
        </w:rPr>
        <w:t>新丰县</w:t>
      </w:r>
      <w:r>
        <w:rPr>
          <w:rFonts w:hint="eastAsia" w:ascii="宋体" w:hAnsi="宋体" w:eastAsia="宋体" w:cs="宋体"/>
          <w:color w:val="auto"/>
          <w:spacing w:val="0"/>
          <w:sz w:val="24"/>
          <w:szCs w:val="24"/>
          <w:highlight w:val="none"/>
          <w:u w:val="single"/>
          <w:lang w:val="en-US" w:eastAsia="zh-CN"/>
        </w:rPr>
        <w:t>发展和改革局</w:t>
      </w:r>
      <w:r>
        <w:rPr>
          <w:rFonts w:hint="eastAsia" w:ascii="宋体" w:hAnsi="宋体" w:eastAsia="宋体" w:cs="宋体"/>
          <w:snapToGrid w:val="0"/>
          <w:color w:val="auto"/>
          <w:spacing w:val="0"/>
          <w:kern w:val="0"/>
          <w:sz w:val="24"/>
          <w:szCs w:val="24"/>
          <w:highlight w:val="none"/>
        </w:rPr>
        <w:t>以</w:t>
      </w:r>
      <w:r>
        <w:rPr>
          <w:rFonts w:hint="eastAsia" w:ascii="宋体" w:hAnsi="宋体" w:eastAsia="宋体" w:cs="宋体"/>
          <w:snapToGrid w:val="0"/>
          <w:color w:val="auto"/>
          <w:spacing w:val="0"/>
          <w:kern w:val="0"/>
          <w:sz w:val="24"/>
          <w:szCs w:val="24"/>
          <w:highlight w:val="none"/>
          <w:u w:val="single"/>
        </w:rPr>
        <w:t>《</w:t>
      </w:r>
      <w:r>
        <w:rPr>
          <w:rFonts w:hint="eastAsia" w:ascii="宋体" w:hAnsi="宋体" w:eastAsia="宋体" w:cs="宋体"/>
          <w:color w:val="auto"/>
          <w:spacing w:val="0"/>
          <w:sz w:val="24"/>
          <w:szCs w:val="24"/>
          <w:highlight w:val="none"/>
          <w:u w:val="single"/>
          <w:lang w:val="en-US" w:eastAsia="zh-CN"/>
        </w:rPr>
        <w:t>新丰县发展和改革局关于新丰县“红韵新丰绿谷禽乡”乡村振兴项目可行性研究报告的批复</w:t>
      </w:r>
      <w:r>
        <w:rPr>
          <w:rFonts w:hint="eastAsia" w:ascii="宋体" w:hAnsi="宋体" w:eastAsia="宋体" w:cs="宋体"/>
          <w:snapToGrid w:val="0"/>
          <w:color w:val="auto"/>
          <w:spacing w:val="0"/>
          <w:kern w:val="0"/>
          <w:sz w:val="24"/>
          <w:szCs w:val="24"/>
          <w:highlight w:val="none"/>
          <w:u w:val="single"/>
        </w:rPr>
        <w:t>》（</w:t>
      </w:r>
      <w:r>
        <w:rPr>
          <w:rFonts w:hint="eastAsia" w:ascii="宋体" w:hAnsi="宋体" w:eastAsia="宋体" w:cs="宋体"/>
          <w:snapToGrid w:val="0"/>
          <w:color w:val="auto"/>
          <w:spacing w:val="0"/>
          <w:kern w:val="0"/>
          <w:sz w:val="24"/>
          <w:szCs w:val="24"/>
          <w:highlight w:val="none"/>
          <w:u w:val="single"/>
          <w:lang w:val="en-US" w:eastAsia="zh-CN"/>
        </w:rPr>
        <w:t>新丰发改投审〔2026〕40号</w:t>
      </w:r>
      <w:r>
        <w:rPr>
          <w:rFonts w:hint="eastAsia" w:ascii="宋体" w:hAnsi="宋体" w:eastAsia="宋体" w:cs="宋体"/>
          <w:snapToGrid w:val="0"/>
          <w:color w:val="auto"/>
          <w:spacing w:val="0"/>
          <w:kern w:val="0"/>
          <w:sz w:val="24"/>
          <w:szCs w:val="24"/>
          <w:highlight w:val="none"/>
          <w:u w:val="single"/>
        </w:rPr>
        <w:t>）</w:t>
      </w:r>
      <w:r>
        <w:rPr>
          <w:rFonts w:hint="eastAsia" w:ascii="宋体" w:hAnsi="宋体" w:eastAsia="宋体" w:cs="宋体"/>
          <w:snapToGrid w:val="0"/>
          <w:color w:val="auto"/>
          <w:spacing w:val="0"/>
          <w:kern w:val="0"/>
          <w:sz w:val="24"/>
          <w:szCs w:val="24"/>
          <w:highlight w:val="none"/>
          <w:u w:val="single"/>
          <w:lang w:eastAsia="zh-CN"/>
        </w:rPr>
        <w:t>、</w:t>
      </w:r>
      <w:r>
        <w:rPr>
          <w:rFonts w:hint="eastAsia" w:ascii="宋体" w:hAnsi="宋体" w:eastAsia="宋体" w:cs="宋体"/>
          <w:snapToGrid w:val="0"/>
          <w:color w:val="auto"/>
          <w:spacing w:val="0"/>
          <w:kern w:val="0"/>
          <w:sz w:val="24"/>
          <w:szCs w:val="24"/>
          <w:highlight w:val="none"/>
          <w:u w:val="single"/>
        </w:rPr>
        <w:t>《</w:t>
      </w:r>
      <w:r>
        <w:rPr>
          <w:rFonts w:hint="eastAsia" w:ascii="宋体" w:hAnsi="宋体" w:eastAsia="宋体" w:cs="宋体"/>
          <w:color w:val="auto"/>
          <w:spacing w:val="0"/>
          <w:sz w:val="24"/>
          <w:szCs w:val="24"/>
          <w:highlight w:val="none"/>
          <w:u w:val="single"/>
          <w:lang w:val="en-US" w:eastAsia="zh-CN"/>
        </w:rPr>
        <w:t>新丰县发展和改革局关于新丰县“红韵新丰 绿谷禽乡”乡村振兴项目初步设计概算的批复</w:t>
      </w:r>
      <w:r>
        <w:rPr>
          <w:rFonts w:hint="eastAsia" w:ascii="宋体" w:hAnsi="宋体" w:eastAsia="宋体" w:cs="宋体"/>
          <w:snapToGrid w:val="0"/>
          <w:color w:val="auto"/>
          <w:spacing w:val="0"/>
          <w:kern w:val="0"/>
          <w:sz w:val="24"/>
          <w:szCs w:val="24"/>
          <w:highlight w:val="none"/>
          <w:u w:val="single"/>
        </w:rPr>
        <w:t>》（</w:t>
      </w:r>
      <w:r>
        <w:rPr>
          <w:rFonts w:hint="eastAsia" w:ascii="宋体" w:hAnsi="宋体" w:eastAsia="宋体" w:cs="宋体"/>
          <w:snapToGrid w:val="0"/>
          <w:color w:val="auto"/>
          <w:spacing w:val="0"/>
          <w:kern w:val="0"/>
          <w:sz w:val="24"/>
          <w:szCs w:val="24"/>
          <w:highlight w:val="none"/>
          <w:u w:val="single"/>
          <w:lang w:val="en-US" w:eastAsia="zh-CN"/>
        </w:rPr>
        <w:t>新丰发改投审〔2026〕41号</w:t>
      </w:r>
      <w:r>
        <w:rPr>
          <w:rFonts w:hint="eastAsia" w:ascii="宋体" w:hAnsi="宋体" w:eastAsia="宋体" w:cs="宋体"/>
          <w:snapToGrid w:val="0"/>
          <w:color w:val="auto"/>
          <w:spacing w:val="0"/>
          <w:kern w:val="0"/>
          <w:sz w:val="24"/>
          <w:szCs w:val="24"/>
          <w:highlight w:val="none"/>
          <w:u w:val="single"/>
        </w:rPr>
        <w:t>）</w:t>
      </w:r>
      <w:r>
        <w:rPr>
          <w:rFonts w:hint="eastAsia" w:ascii="宋体" w:hAnsi="宋体" w:eastAsia="宋体" w:cs="宋体"/>
          <w:snapToGrid w:val="0"/>
          <w:color w:val="auto"/>
          <w:spacing w:val="0"/>
          <w:kern w:val="0"/>
          <w:sz w:val="24"/>
          <w:szCs w:val="24"/>
          <w:highlight w:val="none"/>
        </w:rPr>
        <w:t>批准建设，项目代码为</w:t>
      </w:r>
      <w:r>
        <w:rPr>
          <w:rFonts w:hint="eastAsia" w:ascii="宋体" w:hAnsi="宋体" w:eastAsia="宋体" w:cs="宋体"/>
          <w:snapToGrid w:val="0"/>
          <w:color w:val="auto"/>
          <w:spacing w:val="0"/>
          <w:kern w:val="0"/>
          <w:sz w:val="24"/>
          <w:szCs w:val="24"/>
          <w:highlight w:val="none"/>
          <w:u w:val="single"/>
          <w:lang w:val="en-US" w:eastAsia="zh-CN"/>
        </w:rPr>
        <w:t>2604-440233-04-01-492918</w:t>
      </w:r>
      <w:r>
        <w:rPr>
          <w:rFonts w:hint="eastAsia" w:ascii="宋体" w:hAnsi="宋体" w:eastAsia="宋体" w:cs="宋体"/>
          <w:snapToGrid w:val="0"/>
          <w:color w:val="auto"/>
          <w:spacing w:val="0"/>
          <w:kern w:val="0"/>
          <w:sz w:val="24"/>
          <w:szCs w:val="24"/>
          <w:highlight w:val="none"/>
        </w:rPr>
        <w:t>。本项目业主为</w:t>
      </w:r>
      <w:r>
        <w:rPr>
          <w:rFonts w:hint="eastAsia" w:ascii="宋体" w:hAnsi="宋体" w:eastAsia="宋体" w:cs="宋体"/>
          <w:snapToGrid w:val="0"/>
          <w:color w:val="auto"/>
          <w:spacing w:val="0"/>
          <w:kern w:val="0"/>
          <w:sz w:val="24"/>
          <w:szCs w:val="24"/>
          <w:highlight w:val="none"/>
          <w:u w:val="single"/>
          <w:lang w:val="en-US" w:eastAsia="zh-CN"/>
        </w:rPr>
        <w:t>新丰县回龙镇人民政府</w:t>
      </w:r>
      <w:r>
        <w:rPr>
          <w:rFonts w:hint="eastAsia" w:ascii="宋体" w:hAnsi="宋体" w:eastAsia="宋体" w:cs="宋体"/>
          <w:snapToGrid w:val="0"/>
          <w:color w:val="auto"/>
          <w:spacing w:val="0"/>
          <w:kern w:val="0"/>
          <w:sz w:val="24"/>
          <w:szCs w:val="24"/>
          <w:highlight w:val="none"/>
        </w:rPr>
        <w:t>，建设资金</w:t>
      </w:r>
      <w:r>
        <w:rPr>
          <w:rFonts w:hint="eastAsia" w:ascii="宋体" w:hAnsi="宋体" w:eastAsia="宋体" w:cs="宋体"/>
          <w:snapToGrid w:val="0"/>
          <w:color w:val="auto"/>
          <w:spacing w:val="0"/>
          <w:kern w:val="0"/>
          <w:sz w:val="24"/>
          <w:szCs w:val="24"/>
          <w:highlight w:val="none"/>
          <w:u w:val="none"/>
          <w:lang w:val="en-US" w:eastAsia="zh-CN"/>
        </w:rPr>
        <w:t>由中央专项彩票公益金</w:t>
      </w:r>
      <w:r>
        <w:rPr>
          <w:rFonts w:hint="eastAsia" w:asciiTheme="minorEastAsia" w:hAnsiTheme="minorEastAsia" w:eastAsiaTheme="minorEastAsia" w:cstheme="minorEastAsia"/>
          <w:snapToGrid w:val="0"/>
          <w:color w:val="auto"/>
          <w:spacing w:val="0"/>
          <w:kern w:val="0"/>
          <w:sz w:val="24"/>
          <w:szCs w:val="24"/>
          <w:highlight w:val="none"/>
          <w:u w:val="single"/>
          <w:lang w:val="en-US" w:eastAsia="zh-CN"/>
        </w:rPr>
        <w:t>、统筹各类财政资金（包括专项债券资金、2024年省内东新对口帮扶资金等）</w:t>
      </w:r>
      <w:r>
        <w:rPr>
          <w:rFonts w:hint="eastAsia" w:ascii="宋体" w:hAnsi="宋体" w:eastAsia="宋体" w:cs="宋体"/>
          <w:snapToGrid w:val="0"/>
          <w:color w:val="auto"/>
          <w:spacing w:val="0"/>
          <w:kern w:val="0"/>
          <w:sz w:val="24"/>
          <w:szCs w:val="24"/>
          <w:highlight w:val="none"/>
          <w:u w:val="single"/>
          <w:lang w:val="en-US" w:eastAsia="zh-CN"/>
        </w:rPr>
        <w:t>安排解决</w:t>
      </w:r>
      <w:r>
        <w:rPr>
          <w:rFonts w:hint="eastAsia" w:ascii="宋体" w:hAnsi="宋体" w:eastAsia="宋体" w:cs="宋体"/>
          <w:snapToGrid w:val="0"/>
          <w:color w:val="auto"/>
          <w:spacing w:val="0"/>
          <w:kern w:val="0"/>
          <w:sz w:val="24"/>
          <w:szCs w:val="24"/>
          <w:highlight w:val="none"/>
          <w:u w:val="none"/>
          <w:lang w:eastAsia="zh-CN"/>
        </w:rPr>
        <w:t>，</w:t>
      </w:r>
      <w:r>
        <w:rPr>
          <w:rFonts w:hint="eastAsia" w:ascii="宋体" w:hAnsi="宋体" w:eastAsia="宋体" w:cs="宋体"/>
          <w:snapToGrid w:val="0"/>
          <w:color w:val="auto"/>
          <w:spacing w:val="0"/>
          <w:kern w:val="0"/>
          <w:sz w:val="24"/>
          <w:szCs w:val="24"/>
          <w:highlight w:val="none"/>
        </w:rPr>
        <w:t>出资比例为</w:t>
      </w:r>
      <w:r>
        <w:rPr>
          <w:rFonts w:hint="eastAsia" w:ascii="宋体" w:hAnsi="宋体" w:eastAsia="宋体" w:cs="宋体"/>
          <w:snapToGrid w:val="0"/>
          <w:color w:val="auto"/>
          <w:spacing w:val="0"/>
          <w:kern w:val="0"/>
          <w:sz w:val="24"/>
          <w:szCs w:val="24"/>
          <w:highlight w:val="none"/>
          <w:u w:val="single"/>
        </w:rPr>
        <w:t>100%</w:t>
      </w:r>
      <w:r>
        <w:rPr>
          <w:rFonts w:hint="eastAsia" w:ascii="宋体" w:hAnsi="宋体" w:eastAsia="宋体" w:cs="宋体"/>
          <w:snapToGrid w:val="0"/>
          <w:color w:val="auto"/>
          <w:spacing w:val="0"/>
          <w:kern w:val="0"/>
          <w:sz w:val="24"/>
          <w:szCs w:val="24"/>
          <w:highlight w:val="none"/>
          <w:lang w:eastAsia="zh-CN"/>
        </w:rPr>
        <w:t>。</w:t>
      </w:r>
      <w:r>
        <w:rPr>
          <w:rFonts w:hint="eastAsia" w:ascii="宋体" w:hAnsi="宋体" w:eastAsia="宋体" w:cs="宋体"/>
          <w:snapToGrid w:val="0"/>
          <w:color w:val="auto"/>
          <w:spacing w:val="0"/>
          <w:kern w:val="0"/>
          <w:sz w:val="24"/>
          <w:szCs w:val="24"/>
          <w:highlight w:val="none"/>
        </w:rPr>
        <w:t>招标人为</w:t>
      </w:r>
      <w:r>
        <w:rPr>
          <w:rFonts w:hint="eastAsia" w:ascii="宋体" w:hAnsi="宋体" w:eastAsia="宋体" w:cs="宋体"/>
          <w:snapToGrid w:val="0"/>
          <w:color w:val="auto"/>
          <w:spacing w:val="0"/>
          <w:kern w:val="0"/>
          <w:sz w:val="24"/>
          <w:szCs w:val="24"/>
          <w:highlight w:val="none"/>
          <w:u w:val="single"/>
          <w:lang w:val="en-US" w:eastAsia="zh-CN"/>
        </w:rPr>
        <w:t>新丰县回龙镇人民政府</w:t>
      </w:r>
      <w:r>
        <w:rPr>
          <w:rFonts w:hint="eastAsia" w:ascii="宋体" w:hAnsi="宋体" w:eastAsia="宋体" w:cs="宋体"/>
          <w:snapToGrid w:val="0"/>
          <w:color w:val="auto"/>
          <w:spacing w:val="0"/>
          <w:kern w:val="0"/>
          <w:sz w:val="24"/>
          <w:szCs w:val="24"/>
          <w:highlight w:val="none"/>
        </w:rPr>
        <w:t>，招标代理机构为</w:t>
      </w:r>
      <w:r>
        <w:rPr>
          <w:rFonts w:hint="eastAsia" w:ascii="宋体" w:hAnsi="宋体" w:eastAsia="宋体" w:cs="宋体"/>
          <w:color w:val="auto"/>
          <w:spacing w:val="0"/>
          <w:sz w:val="24"/>
          <w:szCs w:val="24"/>
          <w:highlight w:val="none"/>
          <w:u w:val="single"/>
          <w:lang w:eastAsia="zh-CN"/>
        </w:rPr>
        <w:t>新丰县市政工程公司</w:t>
      </w:r>
      <w:r>
        <w:rPr>
          <w:rFonts w:hint="eastAsia" w:ascii="宋体" w:hAnsi="宋体" w:eastAsia="宋体" w:cs="宋体"/>
          <w:snapToGrid w:val="0"/>
          <w:color w:val="auto"/>
          <w:spacing w:val="0"/>
          <w:kern w:val="0"/>
          <w:sz w:val="24"/>
          <w:szCs w:val="24"/>
          <w:highlight w:val="none"/>
        </w:rPr>
        <w:t>。项目已具备招标条件，现对该项目的</w:t>
      </w:r>
      <w:r>
        <w:rPr>
          <w:rFonts w:hint="eastAsia" w:ascii="宋体" w:hAnsi="宋体" w:eastAsia="宋体" w:cs="宋体"/>
          <w:snapToGrid w:val="0"/>
          <w:color w:val="auto"/>
          <w:spacing w:val="0"/>
          <w:kern w:val="0"/>
          <w:sz w:val="24"/>
          <w:szCs w:val="24"/>
          <w:highlight w:val="none"/>
          <w:u w:val="single"/>
        </w:rPr>
        <w:t>施工</w:t>
      </w:r>
      <w:r>
        <w:rPr>
          <w:rFonts w:hint="eastAsia" w:ascii="宋体" w:hAnsi="宋体" w:eastAsia="宋体" w:cs="宋体"/>
          <w:snapToGrid w:val="0"/>
          <w:color w:val="auto"/>
          <w:spacing w:val="0"/>
          <w:kern w:val="0"/>
          <w:sz w:val="24"/>
          <w:szCs w:val="24"/>
          <w:highlight w:val="none"/>
        </w:rPr>
        <w:t>进行公开招标。</w:t>
      </w:r>
    </w:p>
    <w:p w14:paraId="1200DC08">
      <w:pPr>
        <w:keepNext w:val="0"/>
        <w:keepLines w:val="0"/>
        <w:pageBreakBefore w:val="0"/>
        <w:wordWrap w:val="0"/>
        <w:overflowPunct/>
        <w:topLinePunct w:val="0"/>
        <w:bidi w:val="0"/>
        <w:spacing w:before="79" w:line="220" w:lineRule="auto"/>
        <w:ind w:firstLine="482" w:firstLineChars="200"/>
        <w:outlineLvl w:val="2"/>
        <w:rPr>
          <w:rFonts w:hint="eastAsia" w:ascii="宋体" w:hAnsi="宋体" w:eastAsia="宋体" w:cs="宋体"/>
          <w:b/>
          <w:bCs/>
          <w:color w:val="auto"/>
          <w:spacing w:val="0"/>
          <w:sz w:val="24"/>
          <w:szCs w:val="24"/>
          <w:highlight w:val="none"/>
        </w:rPr>
      </w:pPr>
      <w:bookmarkStart w:id="8" w:name="bookmark52"/>
      <w:bookmarkEnd w:id="8"/>
      <w:bookmarkStart w:id="9" w:name="bookmark73"/>
      <w:bookmarkEnd w:id="9"/>
      <w:bookmarkStart w:id="10" w:name="bookmark59"/>
      <w:bookmarkEnd w:id="10"/>
      <w:bookmarkStart w:id="11" w:name="_Toc15993"/>
      <w:bookmarkStart w:id="12" w:name="_Toc23346"/>
      <w:r>
        <w:rPr>
          <w:rFonts w:hint="eastAsia" w:ascii="宋体" w:hAnsi="宋体" w:eastAsia="宋体" w:cs="宋体"/>
          <w:b/>
          <w:bCs/>
          <w:color w:val="auto"/>
          <w:spacing w:val="0"/>
          <w:sz w:val="24"/>
          <w:szCs w:val="24"/>
          <w:highlight w:val="none"/>
        </w:rPr>
        <w:t>1 ．项目概况、招标范围和标段划分、投标费用等</w:t>
      </w:r>
      <w:bookmarkEnd w:id="11"/>
      <w:bookmarkEnd w:id="12"/>
    </w:p>
    <w:p w14:paraId="7EF6F60F">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1.1  </w:t>
      </w:r>
      <w:r>
        <w:rPr>
          <w:rFonts w:hint="eastAsia" w:ascii="宋体" w:hAnsi="宋体" w:eastAsia="宋体" w:cs="宋体"/>
          <w:color w:val="auto"/>
          <w:spacing w:val="0"/>
          <w:sz w:val="24"/>
          <w:szCs w:val="24"/>
          <w:highlight w:val="none"/>
        </w:rPr>
        <w:t>项目概况</w:t>
      </w:r>
    </w:p>
    <w:p w14:paraId="30BBE2E0">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Fonts w:hint="eastAsia" w:asciiTheme="minorEastAsia" w:hAnsiTheme="minorEastAsia" w:eastAsiaTheme="minorEastAsia" w:cstheme="minorEastAsia"/>
          <w:snapToGrid w:val="0"/>
          <w:color w:val="auto"/>
          <w:spacing w:val="0"/>
          <w:kern w:val="0"/>
          <w:sz w:val="24"/>
          <w:szCs w:val="24"/>
          <w:highlight w:val="none"/>
          <w:u w:val="single"/>
          <w:lang w:val="en-US" w:eastAsia="zh-CN"/>
        </w:rPr>
      </w:pPr>
      <w:r>
        <w:rPr>
          <w:rFonts w:hint="eastAsia" w:ascii="宋体" w:hAnsi="宋体" w:eastAsia="宋体" w:cs="宋体"/>
          <w:b/>
          <w:bCs/>
          <w:color w:val="auto"/>
          <w:spacing w:val="0"/>
          <w:sz w:val="24"/>
          <w:szCs w:val="24"/>
          <w:highlight w:val="none"/>
        </w:rPr>
        <w:t xml:space="preserve">1.1.1  </w:t>
      </w:r>
      <w:r>
        <w:rPr>
          <w:rFonts w:hint="eastAsia" w:ascii="宋体" w:hAnsi="宋体" w:eastAsia="宋体" w:cs="宋体"/>
          <w:color w:val="auto"/>
          <w:spacing w:val="0"/>
          <w:sz w:val="24"/>
          <w:szCs w:val="24"/>
          <w:highlight w:val="none"/>
        </w:rPr>
        <w:t>建设地点：</w:t>
      </w:r>
      <w:r>
        <w:rPr>
          <w:rFonts w:hint="eastAsia" w:asciiTheme="minorEastAsia" w:hAnsiTheme="minorEastAsia" w:eastAsiaTheme="minorEastAsia" w:cstheme="minorEastAsia"/>
          <w:snapToGrid w:val="0"/>
          <w:color w:val="auto"/>
          <w:spacing w:val="0"/>
          <w:kern w:val="0"/>
          <w:sz w:val="24"/>
          <w:szCs w:val="24"/>
          <w:highlight w:val="none"/>
          <w:u w:val="single"/>
          <w:lang w:val="en-US" w:eastAsia="zh-CN"/>
        </w:rPr>
        <w:t>新丰县回龙镇。</w:t>
      </w:r>
    </w:p>
    <w:p w14:paraId="1C906079">
      <w:pPr>
        <w:keepNext w:val="0"/>
        <w:keepLines w:val="0"/>
        <w:pageBreakBefore w:val="0"/>
        <w:widowControl/>
        <w:kinsoku w:val="0"/>
        <w:wordWrap w:val="0"/>
        <w:overflowPunct/>
        <w:topLinePunct w:val="0"/>
        <w:autoSpaceDE w:val="0"/>
        <w:autoSpaceDN w:val="0"/>
        <w:bidi w:val="0"/>
        <w:adjustRightInd w:val="0"/>
        <w:snapToGrid w:val="0"/>
        <w:spacing w:line="360" w:lineRule="auto"/>
        <w:ind w:right="0" w:firstLine="482" w:firstLineChars="200"/>
        <w:textAlignment w:val="baseline"/>
        <w:outlineLvl w:val="9"/>
        <w:rPr>
          <w:rFonts w:hint="eastAsia" w:asciiTheme="minorEastAsia" w:hAnsiTheme="minorEastAsia" w:eastAsiaTheme="minorEastAsia" w:cstheme="minorEastAsia"/>
          <w:snapToGrid w:val="0"/>
          <w:color w:val="auto"/>
          <w:spacing w:val="0"/>
          <w:kern w:val="0"/>
          <w:sz w:val="24"/>
          <w:szCs w:val="24"/>
          <w:highlight w:val="none"/>
          <w:u w:val="single"/>
          <w:lang w:val="en-US" w:eastAsia="zh-CN"/>
        </w:rPr>
      </w:pPr>
      <w:r>
        <w:rPr>
          <w:rFonts w:hint="eastAsia" w:ascii="宋体" w:hAnsi="宋体" w:eastAsia="宋体" w:cs="宋体"/>
          <w:b/>
          <w:bCs/>
          <w:color w:val="auto"/>
          <w:spacing w:val="0"/>
          <w:sz w:val="24"/>
          <w:szCs w:val="24"/>
          <w:highlight w:val="none"/>
        </w:rPr>
        <w:t xml:space="preserve">1.1.2  </w:t>
      </w:r>
      <w:r>
        <w:rPr>
          <w:rFonts w:hint="eastAsia" w:ascii="宋体" w:hAnsi="宋体" w:eastAsia="宋体" w:cs="宋体"/>
          <w:color w:val="auto"/>
          <w:spacing w:val="0"/>
          <w:sz w:val="24"/>
          <w:szCs w:val="24"/>
          <w:highlight w:val="none"/>
        </w:rPr>
        <w:t>建设内容和规模：</w:t>
      </w:r>
      <w:r>
        <w:rPr>
          <w:rFonts w:hint="eastAsia" w:asciiTheme="minorEastAsia" w:hAnsiTheme="minorEastAsia" w:eastAsiaTheme="minorEastAsia" w:cstheme="minorEastAsia"/>
          <w:snapToGrid w:val="0"/>
          <w:color w:val="auto"/>
          <w:spacing w:val="0"/>
          <w:kern w:val="0"/>
          <w:sz w:val="24"/>
          <w:szCs w:val="24"/>
          <w:highlight w:val="none"/>
          <w:u w:val="single"/>
          <w:lang w:val="en-US" w:eastAsia="zh-CN"/>
        </w:rPr>
        <w:t>1.肉鸽深加工配套生产设施，建设产业配套用房(投入120万元):修建肉鸽检疫检测室200m(一楼30m2、二楼夹层170m2)，配套检测设备、通风、防潮、恒温设施及防疫消毒设备:包含畜禽疫病荧光快速检测仪1台、智能生化恒温培养箱1台、紫外透射消毒分析仪1台、实验室恒温恒湿机组3台、负压无菌新风净化机组2套、气溶胶全自动雾化消毒机2台、UVC移动壁挂消毒灯4套等;2.生产道路(投入100万元):1条道路合计0.243km(含道路开口相关费用、道路宽5-6m)，采用C30混凝土硬底化厚20cm，配套排水边沟渠工程;3.辅助设备及配套系统(投入105万元):建设速冻库2间共110平方米，蒸汽加热设备;4.产业专用电力系统(投入60万元)配置1250kVA欧式变压器(全铜)1合，敷设3x300mm2高压电缆500m，配套高低压配电柜KYN28、不锈钢IP54防护等级变压器外壳、智能监控系统;5.生产区网络监控及溯源系统(投入30万元)，在原网络监控基础上升级，布设网线3000m配置光交换机1台、高清监控设备及产品溯源系统;6.肉鸽育肥配套生产设施建设及肉鸽育肥配套用房(投入135万元)，修建乳鸽暂存间2000m、饲料仓库150m、检疫防疫室50m，配套通风、恒温、防潮设施及防疫消毒设备，解决乳鸽接收暂存、饲料储存、疫病防控的产业痛点;购买育肥饲料搅拌及配套设备;建设育肥台及装鸽框;2.肉鸽育肥产业环保设施投入、建设肉鸽育肥专用污水处理系统(投入60万元)建设日处理50m2乳鸽育肥废水处理设施1套，配套粗格栅井、细格栅井、三级化粪池;3.环保配套辅助设施(投入85万元):建设粪污系统一套，配套粪污清运设备1台，实现乳鸽粪污集中收集、无害化处理后用于农田施肥;4.肉鸽育肥产业专用电力系统，建设产业专用电力配套(投入20万元):敷设高压电缆500m，配套高低压柜、土建施工、电缆敷设施及报装调试，专项用于育肥车间通风、恒温设备、污水处理设饲料加工设备及检疫防疫设备供电，全程服务于肉鸽育肥产业生产。</w:t>
      </w:r>
    </w:p>
    <w:p w14:paraId="14F86CDF">
      <w:pPr>
        <w:keepNext w:val="0"/>
        <w:keepLines w:val="0"/>
        <w:pageBreakBefore w:val="0"/>
        <w:widowControl/>
        <w:kinsoku w:val="0"/>
        <w:wordWrap w:val="0"/>
        <w:overflowPunct/>
        <w:topLinePunct w:val="0"/>
        <w:autoSpaceDE w:val="0"/>
        <w:autoSpaceDN w:val="0"/>
        <w:bidi w:val="0"/>
        <w:adjustRightInd w:val="0"/>
        <w:snapToGrid w:val="0"/>
        <w:spacing w:line="360" w:lineRule="auto"/>
        <w:ind w:right="0" w:firstLine="482" w:firstLineChars="200"/>
        <w:textAlignment w:val="baseline"/>
        <w:outlineLvl w:val="9"/>
        <w:rPr>
          <w:rFonts w:hint="eastAsia" w:ascii="宋体" w:hAnsi="宋体" w:eastAsia="宋体" w:cs="宋体"/>
          <w:color w:val="auto"/>
          <w:spacing w:val="0"/>
          <w:sz w:val="24"/>
          <w:szCs w:val="24"/>
          <w:highlight w:val="none"/>
          <w:u w:val="none"/>
          <w:lang w:val="en-US" w:eastAsia="zh-CN"/>
        </w:rPr>
      </w:pPr>
      <w:r>
        <w:rPr>
          <w:rFonts w:hint="eastAsia" w:ascii="宋体" w:hAnsi="宋体" w:eastAsia="宋体" w:cs="宋体"/>
          <w:b/>
          <w:bCs/>
          <w:color w:val="auto"/>
          <w:spacing w:val="0"/>
          <w:sz w:val="24"/>
          <w:szCs w:val="24"/>
          <w:highlight w:val="none"/>
          <w:u w:val="none"/>
        </w:rPr>
        <w:t xml:space="preserve">1.1.3  </w:t>
      </w:r>
      <w:r>
        <w:rPr>
          <w:rFonts w:hint="eastAsia" w:ascii="宋体" w:hAnsi="宋体" w:eastAsia="宋体" w:cs="宋体"/>
          <w:color w:val="auto"/>
          <w:spacing w:val="0"/>
          <w:sz w:val="24"/>
          <w:szCs w:val="24"/>
          <w:highlight w:val="none"/>
          <w:u w:val="none"/>
        </w:rPr>
        <w:t>项目总投资</w:t>
      </w:r>
      <w:r>
        <w:rPr>
          <w:rStyle w:val="31"/>
          <w:rFonts w:hint="eastAsia" w:ascii="宋体" w:hAnsi="宋体" w:eastAsia="宋体" w:cs="宋体"/>
          <w:color w:val="auto"/>
          <w:spacing w:val="0"/>
          <w:kern w:val="0"/>
          <w:sz w:val="24"/>
          <w:szCs w:val="24"/>
          <w:highlight w:val="none"/>
          <w:u w:val="none"/>
        </w:rPr>
        <w:t>：</w:t>
      </w:r>
      <w:r>
        <w:rPr>
          <w:rFonts w:hint="eastAsia" w:ascii="宋体" w:hAnsi="宋体" w:eastAsia="宋体" w:cs="宋体"/>
          <w:color w:val="auto"/>
          <w:spacing w:val="0"/>
          <w:sz w:val="24"/>
          <w:szCs w:val="24"/>
          <w:highlight w:val="none"/>
          <w:u w:val="single"/>
          <w:lang w:val="en-US" w:eastAsia="zh-CN"/>
        </w:rPr>
        <w:t>项目估算总投资12985.00万元，其中工程费为10934.10万元，工程其他建设费用为1432.62万元，预备费618.28万元；（其中本次招标工程费约为：813.62万元）。</w:t>
      </w:r>
    </w:p>
    <w:p w14:paraId="774FE10C">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Fonts w:hint="eastAsia" w:ascii="宋体" w:hAnsi="宋体" w:eastAsia="宋体" w:cs="宋体"/>
          <w:color w:val="auto"/>
          <w:spacing w:val="0"/>
          <w:sz w:val="24"/>
          <w:szCs w:val="24"/>
          <w:highlight w:val="none"/>
          <w:u w:val="none"/>
          <w:lang w:val="en-US" w:eastAsia="zh-CN"/>
        </w:rPr>
      </w:pPr>
      <w:r>
        <w:rPr>
          <w:rFonts w:hint="eastAsia" w:ascii="宋体" w:hAnsi="宋体" w:eastAsia="宋体" w:cs="宋体"/>
          <w:b/>
          <w:bCs/>
          <w:color w:val="auto"/>
          <w:spacing w:val="0"/>
          <w:sz w:val="24"/>
          <w:szCs w:val="24"/>
          <w:highlight w:val="none"/>
          <w:u w:val="none"/>
          <w:lang w:val="en-US" w:eastAsia="zh-CN"/>
        </w:rPr>
        <w:t xml:space="preserve">1.2 </w:t>
      </w:r>
      <w:r>
        <w:rPr>
          <w:rFonts w:hint="eastAsia" w:ascii="宋体" w:hAnsi="宋体" w:eastAsia="宋体" w:cs="宋体"/>
          <w:color w:val="auto"/>
          <w:spacing w:val="0"/>
          <w:sz w:val="24"/>
          <w:szCs w:val="24"/>
          <w:highlight w:val="none"/>
          <w:u w:val="none"/>
          <w:lang w:val="en-US" w:eastAsia="zh-CN"/>
        </w:rPr>
        <w:t xml:space="preserve"> 招标范围和标段划分：</w:t>
      </w:r>
    </w:p>
    <w:p w14:paraId="0E1E0456">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Fonts w:hint="eastAsia" w:ascii="宋体" w:hAnsi="宋体" w:eastAsia="宋体" w:cs="宋体"/>
          <w:color w:val="auto"/>
          <w:spacing w:val="0"/>
          <w:sz w:val="24"/>
          <w:szCs w:val="24"/>
          <w:highlight w:val="none"/>
          <w:lang w:eastAsia="zh-CN"/>
        </w:rPr>
      </w:pPr>
      <w:r>
        <w:rPr>
          <w:rFonts w:hint="eastAsia" w:ascii="宋体" w:hAnsi="宋体" w:eastAsia="宋体" w:cs="宋体"/>
          <w:b/>
          <w:bCs/>
          <w:color w:val="auto"/>
          <w:spacing w:val="0"/>
          <w:sz w:val="24"/>
          <w:szCs w:val="24"/>
          <w:highlight w:val="none"/>
        </w:rPr>
        <w:t xml:space="preserve">1.2.1  </w:t>
      </w:r>
      <w:r>
        <w:rPr>
          <w:rFonts w:hint="eastAsia" w:ascii="宋体" w:hAnsi="宋体" w:eastAsia="宋体" w:cs="宋体"/>
          <w:color w:val="auto"/>
          <w:spacing w:val="0"/>
          <w:sz w:val="24"/>
          <w:szCs w:val="24"/>
          <w:highlight w:val="none"/>
        </w:rPr>
        <w:t>招标范围：</w:t>
      </w:r>
      <w:r>
        <w:rPr>
          <w:rFonts w:hint="eastAsia" w:ascii="宋体" w:hAnsi="宋体" w:eastAsia="宋体" w:cs="宋体"/>
          <w:color w:val="auto"/>
          <w:spacing w:val="0"/>
          <w:sz w:val="24"/>
          <w:szCs w:val="24"/>
          <w:highlight w:val="none"/>
          <w:lang w:eastAsia="zh-CN"/>
        </w:rPr>
        <w:t>按审查合格的施工图纸及工程量清单内容施工。</w:t>
      </w:r>
    </w:p>
    <w:p w14:paraId="6850164F">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Fonts w:hint="eastAsia" w:ascii="宋体" w:hAnsi="宋体" w:eastAsia="宋体" w:cs="宋体"/>
          <w:color w:val="auto"/>
          <w:spacing w:val="0"/>
          <w:sz w:val="24"/>
          <w:szCs w:val="24"/>
          <w:highlight w:val="none"/>
        </w:rPr>
      </w:pPr>
      <w:bookmarkStart w:id="13" w:name="_Toc20855"/>
      <w:bookmarkStart w:id="14" w:name="_Toc24593"/>
      <w:bookmarkStart w:id="15" w:name="_Toc28202"/>
      <w:bookmarkStart w:id="16" w:name="_Toc14190"/>
      <w:r>
        <w:rPr>
          <w:rFonts w:hint="eastAsia" w:ascii="宋体" w:hAnsi="宋体" w:eastAsia="宋体" w:cs="宋体"/>
          <w:b/>
          <w:bCs/>
          <w:color w:val="auto"/>
          <w:spacing w:val="0"/>
          <w:sz w:val="24"/>
          <w:szCs w:val="24"/>
          <w:highlight w:val="none"/>
        </w:rPr>
        <w:t xml:space="preserve">1.2.2  </w:t>
      </w:r>
      <w:r>
        <w:rPr>
          <w:rFonts w:hint="eastAsia" w:ascii="宋体" w:hAnsi="宋体" w:eastAsia="宋体" w:cs="宋体"/>
          <w:color w:val="auto"/>
          <w:spacing w:val="0"/>
          <w:sz w:val="24"/>
          <w:szCs w:val="24"/>
          <w:highlight w:val="none"/>
        </w:rPr>
        <w:t>标段划分：本招标项目不划分标段。</w:t>
      </w:r>
      <w:bookmarkEnd w:id="13"/>
      <w:bookmarkEnd w:id="14"/>
      <w:bookmarkEnd w:id="15"/>
      <w:bookmarkEnd w:id="16"/>
    </w:p>
    <w:p w14:paraId="4353393C">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1.3  </w:t>
      </w:r>
      <w:r>
        <w:rPr>
          <w:rFonts w:hint="eastAsia" w:ascii="宋体" w:hAnsi="宋体" w:eastAsia="宋体" w:cs="宋体"/>
          <w:color w:val="auto"/>
          <w:spacing w:val="0"/>
          <w:sz w:val="24"/>
          <w:szCs w:val="24"/>
          <w:highlight w:val="none"/>
        </w:rPr>
        <w:t>投标费用：投标人应承担所有准备和参加投标的相关费用，不论投标结果如何，招标人均无义务和责任承担这些费用。</w:t>
      </w:r>
    </w:p>
    <w:p w14:paraId="648CD6A3">
      <w:pPr>
        <w:wordWrap w:val="0"/>
        <w:adjustRightInd w:val="0"/>
        <w:snapToGrid w:val="0"/>
        <w:spacing w:line="360" w:lineRule="auto"/>
        <w:ind w:firstLine="241" w:firstLineChars="100"/>
        <w:jc w:val="left"/>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w:t>
      </w:r>
      <w:r>
        <w:rPr>
          <w:rFonts w:hint="eastAsia" w:ascii="宋体" w:hAnsi="宋体" w:eastAsia="宋体" w:cs="宋体"/>
          <w:b/>
          <w:bCs/>
          <w:color w:val="auto"/>
          <w:sz w:val="24"/>
          <w:szCs w:val="24"/>
          <w:highlight w:val="none"/>
        </w:rPr>
        <w:t>资格资质要求</w:t>
      </w:r>
    </w:p>
    <w:p w14:paraId="2567706F">
      <w:pPr>
        <w:wordWrap w:val="0"/>
        <w:adjustRightInd w:val="0"/>
        <w:snapToGrid w:val="0"/>
        <w:spacing w:line="400" w:lineRule="exact"/>
        <w:ind w:firstLine="240" w:firstLineChars="1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1．本次招标</w:t>
      </w:r>
      <w:r>
        <w:rPr>
          <w:rFonts w:hint="eastAsia" w:ascii="宋体" w:hAnsi="宋体" w:eastAsia="宋体" w:cs="宋体"/>
          <w:b/>
          <w:bCs/>
          <w:snapToGrid w:val="0"/>
          <w:color w:val="auto"/>
          <w:kern w:val="0"/>
          <w:sz w:val="24"/>
          <w:szCs w:val="24"/>
          <w:highlight w:val="none"/>
          <w:u w:val="single"/>
          <w:lang w:val="en-US" w:eastAsia="zh-CN"/>
        </w:rPr>
        <w:t>不</w:t>
      </w:r>
      <w:r>
        <w:rPr>
          <w:rFonts w:hint="eastAsia" w:ascii="宋体" w:hAnsi="宋体" w:eastAsia="宋体" w:cs="宋体"/>
          <w:b/>
          <w:bCs/>
          <w:snapToGrid w:val="0"/>
          <w:color w:val="auto"/>
          <w:kern w:val="0"/>
          <w:sz w:val="24"/>
          <w:szCs w:val="24"/>
          <w:highlight w:val="none"/>
          <w:u w:val="single"/>
        </w:rPr>
        <w:t>接受</w:t>
      </w:r>
      <w:r>
        <w:rPr>
          <w:rFonts w:hint="eastAsia" w:ascii="宋体" w:hAnsi="宋体" w:eastAsia="宋体" w:cs="宋体"/>
          <w:snapToGrid w:val="0"/>
          <w:color w:val="auto"/>
          <w:kern w:val="0"/>
          <w:sz w:val="24"/>
          <w:szCs w:val="24"/>
          <w:highlight w:val="none"/>
        </w:rPr>
        <w:t>联合体投标。</w:t>
      </w:r>
    </w:p>
    <w:p w14:paraId="292E4584">
      <w:pPr>
        <w:wordWrap w:val="0"/>
        <w:adjustRightInd w:val="0"/>
        <w:snapToGrid w:val="0"/>
        <w:spacing w:line="400" w:lineRule="exact"/>
        <w:ind w:firstLine="241" w:firstLineChars="100"/>
        <w:jc w:val="left"/>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w:t>
      </w:r>
      <w:r>
        <w:rPr>
          <w:rFonts w:hint="eastAsia" w:ascii="宋体" w:hAnsi="宋体" w:eastAsia="宋体" w:cs="宋体"/>
          <w:b/>
          <w:bCs/>
          <w:color w:val="auto"/>
          <w:sz w:val="24"/>
          <w:szCs w:val="24"/>
          <w:highlight w:val="none"/>
        </w:rPr>
        <w:t>资格资质要求</w:t>
      </w:r>
    </w:p>
    <w:p w14:paraId="3327C7E3">
      <w:pPr>
        <w:wordWrap w:val="0"/>
        <w:adjustRightInd w:val="0"/>
        <w:snapToGrid w:val="0"/>
        <w:spacing w:line="400" w:lineRule="exact"/>
        <w:ind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2.1 投标人须具备独立法人资格，按国家法律经营。</w:t>
      </w:r>
    </w:p>
    <w:p w14:paraId="3B1CBF5E">
      <w:pPr>
        <w:wordWrap w:val="0"/>
        <w:adjustRightInd w:val="0"/>
        <w:snapToGrid w:val="0"/>
        <w:spacing w:line="400" w:lineRule="exact"/>
        <w:ind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2.2 投标人须持有建设行政主管部门颁发的企业资质证书及安全生产许可证。</w:t>
      </w:r>
    </w:p>
    <w:p w14:paraId="566CA947">
      <w:pPr>
        <w:keepNext w:val="0"/>
        <w:keepLines w:val="0"/>
        <w:pageBreakBefore w:val="0"/>
        <w:widowControl/>
        <w:suppressLineNumbers w:val="0"/>
        <w:kinsoku/>
        <w:wordWrap/>
        <w:overflowPunct/>
        <w:topLinePunct w:val="0"/>
        <w:autoSpaceDE/>
        <w:autoSpaceDN/>
        <w:bidi w:val="0"/>
        <w:adjustRightInd/>
        <w:snapToGrid/>
        <w:spacing w:line="420" w:lineRule="exact"/>
        <w:ind w:firstLine="480" w:firstLineChars="200"/>
        <w:jc w:val="left"/>
        <w:textAlignment w:val="center"/>
        <w:rPr>
          <w:rFonts w:hint="eastAsia" w:ascii="宋体" w:hAnsi="宋体" w:eastAsia="宋体" w:cs="宋体"/>
          <w:snapToGrid w:val="0"/>
          <w:color w:val="auto"/>
          <w:kern w:val="0"/>
          <w:sz w:val="24"/>
          <w:szCs w:val="24"/>
          <w:highlight w:val="none"/>
          <w:u w:val="none"/>
        </w:rPr>
      </w:pPr>
      <w:r>
        <w:rPr>
          <w:rFonts w:hint="eastAsia" w:ascii="宋体" w:hAnsi="宋体" w:eastAsia="宋体" w:cs="宋体"/>
          <w:snapToGrid w:val="0"/>
          <w:color w:val="auto"/>
          <w:kern w:val="0"/>
          <w:sz w:val="24"/>
          <w:szCs w:val="24"/>
          <w:highlight w:val="none"/>
        </w:rPr>
        <w:t>2.3 投标人须具备以下资质：</w:t>
      </w:r>
      <w:r>
        <w:rPr>
          <w:rFonts w:hint="eastAsia" w:ascii="宋体" w:hAnsi="宋体" w:eastAsia="宋体" w:cs="宋体"/>
          <w:b/>
          <w:bCs/>
          <w:snapToGrid w:val="0"/>
          <w:color w:val="auto"/>
          <w:kern w:val="0"/>
          <w:sz w:val="24"/>
          <w:szCs w:val="24"/>
          <w:highlight w:val="none"/>
          <w:u w:val="single"/>
          <w:lang w:val="en-US" w:eastAsia="zh-CN"/>
        </w:rPr>
        <w:t>具备建设行政主管部门颁发的有效的市政公用工程施工总承包</w:t>
      </w:r>
      <w:r>
        <w:rPr>
          <w:rFonts w:hint="eastAsia" w:ascii="宋体" w:hAnsi="宋体" w:eastAsia="宋体" w:cs="宋体"/>
          <w:b/>
          <w:bCs/>
          <w:snapToGrid w:val="0"/>
          <w:color w:val="auto"/>
          <w:kern w:val="0"/>
          <w:sz w:val="21"/>
          <w:szCs w:val="21"/>
          <w:highlight w:val="none"/>
          <w:u w:val="single"/>
          <w:lang w:val="en-US" w:eastAsia="zh-CN"/>
        </w:rPr>
        <w:t>三</w:t>
      </w:r>
      <w:r>
        <w:rPr>
          <w:rFonts w:hint="eastAsia" w:ascii="宋体" w:hAnsi="宋体" w:eastAsia="宋体" w:cs="宋体"/>
          <w:b/>
          <w:bCs/>
          <w:snapToGrid w:val="0"/>
          <w:color w:val="auto"/>
          <w:kern w:val="0"/>
          <w:sz w:val="24"/>
          <w:szCs w:val="24"/>
          <w:highlight w:val="none"/>
          <w:u w:val="single"/>
          <w:lang w:val="en-US" w:eastAsia="zh-CN"/>
        </w:rPr>
        <w:t>级以上（含</w:t>
      </w:r>
      <w:r>
        <w:rPr>
          <w:rFonts w:hint="eastAsia" w:ascii="宋体" w:hAnsi="宋体" w:eastAsia="宋体" w:cs="宋体"/>
          <w:b/>
          <w:bCs/>
          <w:snapToGrid w:val="0"/>
          <w:color w:val="auto"/>
          <w:kern w:val="0"/>
          <w:sz w:val="21"/>
          <w:szCs w:val="21"/>
          <w:highlight w:val="none"/>
          <w:u w:val="single"/>
          <w:lang w:val="en-US" w:eastAsia="zh-CN"/>
        </w:rPr>
        <w:t>三</w:t>
      </w:r>
      <w:r>
        <w:rPr>
          <w:rFonts w:hint="eastAsia" w:ascii="宋体" w:hAnsi="宋体" w:eastAsia="宋体" w:cs="宋体"/>
          <w:b/>
          <w:bCs/>
          <w:snapToGrid w:val="0"/>
          <w:color w:val="auto"/>
          <w:kern w:val="0"/>
          <w:sz w:val="24"/>
          <w:szCs w:val="24"/>
          <w:highlight w:val="none"/>
          <w:u w:val="single"/>
          <w:lang w:val="en-US" w:eastAsia="zh-CN"/>
        </w:rPr>
        <w:t>级）资质或建筑工程施工总承包叁级以上（含</w:t>
      </w:r>
      <w:r>
        <w:rPr>
          <w:rFonts w:hint="eastAsia" w:ascii="宋体" w:hAnsi="宋体" w:eastAsia="宋体" w:cs="宋体"/>
          <w:b/>
          <w:bCs/>
          <w:snapToGrid w:val="0"/>
          <w:color w:val="auto"/>
          <w:kern w:val="0"/>
          <w:sz w:val="21"/>
          <w:szCs w:val="21"/>
          <w:highlight w:val="none"/>
          <w:u w:val="single"/>
          <w:lang w:val="en-US" w:eastAsia="zh-CN"/>
        </w:rPr>
        <w:t>三</w:t>
      </w:r>
      <w:r>
        <w:rPr>
          <w:rFonts w:hint="eastAsia" w:ascii="宋体" w:hAnsi="宋体" w:eastAsia="宋体" w:cs="宋体"/>
          <w:b/>
          <w:bCs/>
          <w:snapToGrid w:val="0"/>
          <w:color w:val="auto"/>
          <w:kern w:val="0"/>
          <w:sz w:val="24"/>
          <w:szCs w:val="24"/>
          <w:highlight w:val="none"/>
          <w:u w:val="single"/>
          <w:lang w:val="en-US" w:eastAsia="zh-CN"/>
        </w:rPr>
        <w:t>级）资质</w:t>
      </w:r>
      <w:r>
        <w:rPr>
          <w:rFonts w:hint="eastAsia" w:ascii="宋体" w:hAnsi="宋体" w:eastAsia="宋体" w:cs="宋体"/>
          <w:color w:val="auto"/>
          <w:kern w:val="0"/>
          <w:sz w:val="24"/>
          <w:szCs w:val="24"/>
          <w:highlight w:val="none"/>
          <w:u w:val="single"/>
        </w:rPr>
        <w:t>。</w:t>
      </w:r>
    </w:p>
    <w:p w14:paraId="6F7C8EE0">
      <w:pPr>
        <w:wordWrap w:val="0"/>
        <w:adjustRightInd w:val="0"/>
        <w:snapToGrid w:val="0"/>
        <w:spacing w:line="400" w:lineRule="exact"/>
        <w:ind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2.4 </w:t>
      </w:r>
      <w:r>
        <w:rPr>
          <w:rFonts w:hint="eastAsia" w:ascii="宋体" w:hAnsi="宋体" w:eastAsia="宋体" w:cs="宋体"/>
          <w:color w:val="auto"/>
          <w:sz w:val="24"/>
          <w:szCs w:val="24"/>
          <w:highlight w:val="none"/>
        </w:rPr>
        <w:t>根据有关文件精神，投标人的企业相关证书到期的，均按该证书的发证机构相关行业主管部门最新文件执行（如自动顺延或推迟办理延期业务的通知），投标</w:t>
      </w:r>
      <w:bookmarkStart w:id="263" w:name="_GoBack"/>
      <w:bookmarkEnd w:id="263"/>
      <w:r>
        <w:rPr>
          <w:rFonts w:hint="eastAsia" w:ascii="宋体" w:hAnsi="宋体" w:eastAsia="宋体" w:cs="宋体"/>
          <w:color w:val="auto"/>
          <w:sz w:val="24"/>
          <w:szCs w:val="24"/>
          <w:highlight w:val="none"/>
        </w:rPr>
        <w:t>人必须将相关文件附在该证书后面中，证明在开标日继续有效。</w:t>
      </w:r>
    </w:p>
    <w:p w14:paraId="45B6C405">
      <w:pPr>
        <w:wordWrap w:val="0"/>
        <w:adjustRightInd w:val="0"/>
        <w:snapToGrid w:val="0"/>
        <w:spacing w:line="40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3．相关人员要求</w:t>
      </w:r>
    </w:p>
    <w:p w14:paraId="0DC2F18F">
      <w:pPr>
        <w:wordWrap w:val="0"/>
        <w:adjustRightInd w:val="0"/>
        <w:snapToGrid w:val="0"/>
        <w:spacing w:line="40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3.1 拟派项目经理为</w:t>
      </w:r>
      <w:r>
        <w:rPr>
          <w:rFonts w:hint="eastAsia" w:ascii="宋体" w:hAnsi="宋体" w:eastAsia="宋体" w:cs="宋体"/>
          <w:b/>
          <w:bCs/>
          <w:snapToGrid w:val="0"/>
          <w:color w:val="auto"/>
          <w:kern w:val="0"/>
          <w:sz w:val="24"/>
          <w:szCs w:val="24"/>
          <w:highlight w:val="none"/>
          <w:u w:val="single"/>
          <w:lang w:val="en-US" w:eastAsia="zh-CN"/>
        </w:rPr>
        <w:t>市政公用工程或建筑工程</w:t>
      </w:r>
      <w:r>
        <w:rPr>
          <w:rFonts w:hint="eastAsia" w:ascii="宋体" w:hAnsi="宋体" w:eastAsia="宋体" w:cs="宋体"/>
          <w:b w:val="0"/>
          <w:bCs w:val="0"/>
          <w:snapToGrid w:val="0"/>
          <w:color w:val="auto"/>
          <w:kern w:val="0"/>
          <w:sz w:val="24"/>
          <w:szCs w:val="24"/>
          <w:highlight w:val="none"/>
          <w:u w:val="none"/>
          <w:lang w:val="en-US" w:eastAsia="zh-CN"/>
        </w:rPr>
        <w:t>一级或</w:t>
      </w:r>
      <w:r>
        <w:rPr>
          <w:rFonts w:hint="eastAsia" w:ascii="宋体" w:hAnsi="宋体" w:eastAsia="宋体" w:cs="宋体"/>
          <w:snapToGrid w:val="0"/>
          <w:color w:val="auto"/>
          <w:kern w:val="0"/>
          <w:sz w:val="24"/>
          <w:szCs w:val="24"/>
          <w:highlight w:val="none"/>
        </w:rPr>
        <w:t>二级注册建造师，应持有住建部门印发的在使用有效期内的有效电子注册证书，同时须具备有效安全生产考核合格证明（B证，安全生产考核合格证书或“广东省建筑施工企业管理人员安全生产考核信息系统”考核合格信息打印页），且未担任其他在施（包括已中标未开工、已建成未竣工）建设工程项目的项目经理。</w:t>
      </w:r>
    </w:p>
    <w:p w14:paraId="65C4FD46">
      <w:pPr>
        <w:wordWrap w:val="0"/>
        <w:adjustRightInd w:val="0"/>
        <w:snapToGrid w:val="0"/>
        <w:spacing w:line="400" w:lineRule="exac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    3.2 拟派项目技术负责人须具备</w:t>
      </w:r>
      <w:r>
        <w:rPr>
          <w:rFonts w:hint="eastAsia" w:ascii="宋体" w:hAnsi="宋体" w:eastAsia="宋体" w:cs="宋体"/>
          <w:b/>
          <w:bCs/>
          <w:color w:val="auto"/>
          <w:sz w:val="24"/>
          <w:szCs w:val="24"/>
          <w:highlight w:val="none"/>
          <w:u w:val="single"/>
          <w:lang w:val="en-US" w:eastAsia="zh-CN"/>
        </w:rPr>
        <w:t>工程类</w:t>
      </w:r>
      <w:r>
        <w:rPr>
          <w:rFonts w:hint="eastAsia" w:ascii="宋体" w:hAnsi="宋体" w:eastAsia="宋体" w:cs="宋体"/>
          <w:snapToGrid w:val="0"/>
          <w:color w:val="auto"/>
          <w:kern w:val="0"/>
          <w:sz w:val="24"/>
          <w:szCs w:val="24"/>
          <w:highlight w:val="none"/>
        </w:rPr>
        <w:t>专业</w:t>
      </w:r>
      <w:r>
        <w:rPr>
          <w:rFonts w:hint="eastAsia" w:ascii="宋体" w:hAnsi="宋体" w:eastAsia="宋体" w:cs="宋体"/>
          <w:snapToGrid w:val="0"/>
          <w:color w:val="auto"/>
          <w:kern w:val="0"/>
          <w:sz w:val="24"/>
          <w:szCs w:val="24"/>
          <w:highlight w:val="none"/>
          <w:u w:val="single"/>
        </w:rPr>
        <w:t xml:space="preserve"> 中 </w:t>
      </w:r>
      <w:r>
        <w:rPr>
          <w:rFonts w:hint="eastAsia" w:ascii="宋体" w:hAnsi="宋体" w:eastAsia="宋体" w:cs="宋体"/>
          <w:snapToGrid w:val="0"/>
          <w:color w:val="auto"/>
          <w:kern w:val="0"/>
          <w:sz w:val="24"/>
          <w:szCs w:val="24"/>
          <w:highlight w:val="none"/>
        </w:rPr>
        <w:t>级以上技术职称。</w:t>
      </w:r>
    </w:p>
    <w:p w14:paraId="3BBFCC0C">
      <w:pPr>
        <w:wordWrap w:val="0"/>
        <w:adjustRightInd w:val="0"/>
        <w:snapToGrid w:val="0"/>
        <w:spacing w:line="400" w:lineRule="exact"/>
        <w:ind w:firstLine="48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3.3 拟派专职安全生产管理人员须具备有效安全生产考核合格证明（C证，安全生产考核合格证书或“广东省建筑施工企业管理人员安全生产考核信息系统”考核合格信息打印页），且不少于</w:t>
      </w:r>
      <w:r>
        <w:rPr>
          <w:rFonts w:hint="eastAsia" w:ascii="宋体" w:hAnsi="宋体" w:eastAsia="宋体" w:cs="宋体"/>
          <w:snapToGrid w:val="0"/>
          <w:color w:val="auto"/>
          <w:kern w:val="0"/>
          <w:sz w:val="24"/>
          <w:szCs w:val="24"/>
          <w:highlight w:val="none"/>
          <w:u w:val="single"/>
        </w:rPr>
        <w:t xml:space="preserve">1 </w:t>
      </w:r>
      <w:r>
        <w:rPr>
          <w:rFonts w:hint="eastAsia" w:ascii="宋体" w:hAnsi="宋体" w:eastAsia="宋体" w:cs="宋体"/>
          <w:snapToGrid w:val="0"/>
          <w:color w:val="auto"/>
          <w:kern w:val="0"/>
          <w:sz w:val="24"/>
          <w:szCs w:val="24"/>
          <w:highlight w:val="none"/>
        </w:rPr>
        <w:t xml:space="preserve">人。    </w:t>
      </w:r>
    </w:p>
    <w:p w14:paraId="02748251">
      <w:pPr>
        <w:wordWrap w:val="0"/>
        <w:adjustRightInd w:val="0"/>
        <w:snapToGrid w:val="0"/>
        <w:spacing w:line="400" w:lineRule="exact"/>
        <w:ind w:firstLine="48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3.4 投标人与其拟派往本项目管理机构的所有人员之间必须具备合法、唯一的劳动聘用关系。拟派人员中具备注册执业资格的，其注册单位须与投标人保持一致。</w:t>
      </w:r>
    </w:p>
    <w:p w14:paraId="2DC284B2">
      <w:pPr>
        <w:widowControl w:val="0"/>
        <w:kinsoku/>
        <w:wordWrap w:val="0"/>
        <w:autoSpaceDE/>
        <w:autoSpaceDN/>
        <w:spacing w:line="400" w:lineRule="exact"/>
        <w:ind w:firstLine="218" w:firstLineChars="91"/>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 ．禁止投标条款：</w:t>
      </w:r>
    </w:p>
    <w:p w14:paraId="15E8650B">
      <w:pPr>
        <w:widowControl w:val="0"/>
        <w:kinsoku/>
        <w:wordWrap w:val="0"/>
        <w:autoSpaceDE/>
        <w:autoSpaceDN/>
        <w:spacing w:line="400" w:lineRule="exact"/>
        <w:ind w:firstLine="218" w:firstLineChars="91"/>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4.1  投标人不得存在下列情形之一：</w:t>
      </w:r>
    </w:p>
    <w:p w14:paraId="6CE03546">
      <w:pPr>
        <w:widowControl w:val="0"/>
        <w:kinsoku/>
        <w:wordWrap w:val="0"/>
        <w:autoSpaceDE/>
        <w:autoSpaceDN/>
        <w:spacing w:line="400" w:lineRule="exact"/>
        <w:ind w:firstLine="218" w:firstLineChars="91"/>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（1）为招标人不具有独立法人资格的附属机构（单位）；</w:t>
      </w:r>
    </w:p>
    <w:p w14:paraId="17A6B0A3">
      <w:pPr>
        <w:widowControl w:val="0"/>
        <w:kinsoku/>
        <w:wordWrap w:val="0"/>
        <w:autoSpaceDE/>
        <w:autoSpaceDN/>
        <w:spacing w:line="400" w:lineRule="exact"/>
        <w:ind w:firstLine="218" w:firstLineChars="91"/>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（2）为本招标项目前期准备提供设计或咨询服务的；</w:t>
      </w:r>
    </w:p>
    <w:p w14:paraId="49BE40A4">
      <w:pPr>
        <w:widowControl w:val="0"/>
        <w:kinsoku/>
        <w:wordWrap w:val="0"/>
        <w:autoSpaceDE/>
        <w:autoSpaceDN/>
        <w:spacing w:line="400" w:lineRule="exact"/>
        <w:ind w:firstLine="218" w:firstLineChars="91"/>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（3）与本招标项目的其他投标人为同一个单位负责人；</w:t>
      </w:r>
    </w:p>
    <w:p w14:paraId="30A68C8E">
      <w:pPr>
        <w:widowControl w:val="0"/>
        <w:kinsoku/>
        <w:wordWrap w:val="0"/>
        <w:autoSpaceDE/>
        <w:autoSpaceDN/>
        <w:spacing w:line="400" w:lineRule="exact"/>
        <w:ind w:firstLine="218" w:firstLineChars="91"/>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（4）与本招标项目的其他投标人存在控股、管理关系；</w:t>
      </w:r>
    </w:p>
    <w:p w14:paraId="66F614E3">
      <w:pPr>
        <w:widowControl w:val="0"/>
        <w:kinsoku/>
        <w:wordWrap w:val="0"/>
        <w:autoSpaceDE/>
        <w:autoSpaceDN/>
        <w:spacing w:line="400" w:lineRule="exact"/>
        <w:ind w:firstLine="218" w:firstLineChars="91"/>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（5）为本招标项目的监理人；</w:t>
      </w:r>
    </w:p>
    <w:p w14:paraId="1B64E736">
      <w:pPr>
        <w:widowControl w:val="0"/>
        <w:kinsoku/>
        <w:wordWrap w:val="0"/>
        <w:autoSpaceDE/>
        <w:autoSpaceDN/>
        <w:spacing w:line="400" w:lineRule="exact"/>
        <w:ind w:firstLine="218" w:firstLineChars="91"/>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（6）为本招标项目的代建人；</w:t>
      </w:r>
    </w:p>
    <w:p w14:paraId="3195FD08">
      <w:pPr>
        <w:widowControl w:val="0"/>
        <w:kinsoku/>
        <w:wordWrap w:val="0"/>
        <w:autoSpaceDE/>
        <w:autoSpaceDN/>
        <w:spacing w:line="400" w:lineRule="exact"/>
        <w:ind w:firstLine="218" w:firstLineChars="91"/>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（7）为本招标项目的招标代理机构；</w:t>
      </w:r>
    </w:p>
    <w:p w14:paraId="5661DDD6">
      <w:pPr>
        <w:widowControl w:val="0"/>
        <w:kinsoku/>
        <w:wordWrap w:val="0"/>
        <w:autoSpaceDE/>
        <w:autoSpaceDN/>
        <w:spacing w:line="400" w:lineRule="exact"/>
        <w:ind w:firstLine="218" w:firstLineChars="91"/>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（8）与本招标项目的监理人或代建人或招标代理机构同为一个 法定代表人；</w:t>
      </w:r>
    </w:p>
    <w:p w14:paraId="79216840">
      <w:pPr>
        <w:widowControl w:val="0"/>
        <w:kinsoku/>
        <w:wordWrap w:val="0"/>
        <w:autoSpaceDE/>
        <w:autoSpaceDN/>
        <w:spacing w:line="400" w:lineRule="exact"/>
        <w:ind w:firstLine="218" w:firstLineChars="91"/>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（9）与本招标项目的监理人或代建人或招标代理机构存在控股或参股关系；</w:t>
      </w:r>
    </w:p>
    <w:p w14:paraId="723C54D3">
      <w:pPr>
        <w:widowControl w:val="0"/>
        <w:kinsoku/>
        <w:wordWrap w:val="0"/>
        <w:autoSpaceDE/>
        <w:autoSpaceDN/>
        <w:spacing w:line="400" w:lineRule="exact"/>
        <w:ind w:firstLine="218" w:firstLineChars="91"/>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（10）与本招标项目的监理人或代建人或招标代理机构存在相互任职或工作关系；</w:t>
      </w:r>
    </w:p>
    <w:p w14:paraId="737184D8">
      <w:pPr>
        <w:widowControl w:val="0"/>
        <w:kinsoku/>
        <w:wordWrap w:val="0"/>
        <w:autoSpaceDE/>
        <w:autoSpaceDN/>
        <w:spacing w:line="400" w:lineRule="exact"/>
        <w:ind w:firstLine="218" w:firstLineChars="91"/>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（11）被依法暂停或者取消投标资格；</w:t>
      </w:r>
    </w:p>
    <w:p w14:paraId="2E8A2CEF">
      <w:pPr>
        <w:widowControl w:val="0"/>
        <w:kinsoku/>
        <w:wordWrap w:val="0"/>
        <w:autoSpaceDE/>
        <w:autoSpaceDN/>
        <w:spacing w:line="400" w:lineRule="exact"/>
        <w:ind w:firstLine="218" w:firstLineChars="91"/>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（12）被责令停产停业、暂扣或者吊销许可证、暂扣或者吊销执照；</w:t>
      </w:r>
    </w:p>
    <w:p w14:paraId="79ACD933">
      <w:pPr>
        <w:widowControl w:val="0"/>
        <w:kinsoku/>
        <w:wordWrap w:val="0"/>
        <w:autoSpaceDE/>
        <w:autoSpaceDN/>
        <w:spacing w:line="400" w:lineRule="exact"/>
        <w:ind w:firstLine="218" w:firstLineChars="91"/>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（13）进入清算程序，或被宣告破产，或其他丧失履约能力的情形；</w:t>
      </w:r>
    </w:p>
    <w:p w14:paraId="6A2F2177">
      <w:pPr>
        <w:widowControl w:val="0"/>
        <w:kinsoku/>
        <w:wordWrap w:val="0"/>
        <w:autoSpaceDE/>
        <w:autoSpaceDN/>
        <w:spacing w:line="400" w:lineRule="exact"/>
        <w:ind w:firstLine="218" w:firstLineChars="91"/>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（14）在最近三年内发生重大工程质量或安全问题（以相关行业主管部门的行政处罚决定或司法机关出具的有关法律文书为准）；</w:t>
      </w:r>
    </w:p>
    <w:p w14:paraId="682BE49A">
      <w:pPr>
        <w:widowControl w:val="0"/>
        <w:kinsoku/>
        <w:wordWrap w:val="0"/>
        <w:autoSpaceDE/>
        <w:autoSpaceDN/>
        <w:spacing w:line="400" w:lineRule="exact"/>
        <w:ind w:firstLine="218" w:firstLineChars="91"/>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（15）被“信用中国 ”网站（https://www.creditchina.gov.cn）发布的《法人和非法人组织公共信用信息报告》列为严重失信主体名单的。</w:t>
      </w:r>
    </w:p>
    <w:p w14:paraId="7E83F413">
      <w:pPr>
        <w:keepNext w:val="0"/>
        <w:keepLines w:val="0"/>
        <w:pageBreakBefore w:val="0"/>
        <w:wordWrap w:val="0"/>
        <w:overflowPunct/>
        <w:topLinePunct w:val="0"/>
        <w:bidi w:val="0"/>
        <w:spacing w:before="155" w:line="360" w:lineRule="auto"/>
        <w:ind w:left="706"/>
        <w:rPr>
          <w:rFonts w:hint="eastAsia" w:ascii="宋体" w:hAnsi="宋体" w:eastAsia="宋体" w:cs="宋体"/>
          <w:color w:val="auto"/>
          <w:spacing w:val="0"/>
          <w:sz w:val="24"/>
          <w:szCs w:val="24"/>
          <w:highlight w:val="none"/>
        </w:rPr>
      </w:pPr>
      <w:r>
        <w:rPr>
          <w:rFonts w:hint="eastAsia" w:ascii="宋体" w:hAnsi="宋体" w:eastAsia="宋体" w:cs="宋体"/>
          <w:color w:val="auto"/>
          <w:sz w:val="24"/>
          <w:szCs w:val="24"/>
          <w:highlight w:val="none"/>
          <w:lang w:eastAsia="zh-CN"/>
        </w:rPr>
        <w:t>4.2  招标人拒绝以下名单中的单位参加本次投标：</w:t>
      </w:r>
      <w:r>
        <w:rPr>
          <w:rFonts w:hint="eastAsia" w:ascii="宋体" w:hAnsi="宋体" w:eastAsia="宋体" w:cs="宋体"/>
          <w:color w:val="auto"/>
          <w:spacing w:val="0"/>
          <w:sz w:val="24"/>
          <w:szCs w:val="24"/>
          <w:highlight w:val="none"/>
          <w:lang w:val="en-US" w:eastAsia="zh-CN"/>
        </w:rPr>
        <w:t>2.4.2</w:t>
      </w:r>
      <w:r>
        <w:rPr>
          <w:rFonts w:hint="eastAsia" w:ascii="宋体" w:hAnsi="宋体" w:eastAsia="宋体" w:cs="宋体"/>
          <w:color w:val="auto"/>
          <w:spacing w:val="0"/>
          <w:sz w:val="24"/>
          <w:szCs w:val="24"/>
          <w:highlight w:val="none"/>
        </w:rPr>
        <w:t>招标人拒绝以下名单中的单位参加本次投标：</w:t>
      </w:r>
    </w:p>
    <w:tbl>
      <w:tblPr>
        <w:tblStyle w:val="17"/>
        <w:tblW w:w="85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3772"/>
        <w:gridCol w:w="4021"/>
      </w:tblGrid>
      <w:tr w14:paraId="196E5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88" w:type="dxa"/>
            <w:vAlign w:val="center"/>
          </w:tcPr>
          <w:p w14:paraId="0858E6C2">
            <w:pPr>
              <w:keepNext w:val="0"/>
              <w:keepLines w:val="0"/>
              <w:pageBreakBefore w:val="0"/>
              <w:widowControl w:val="0"/>
              <w:kinsoku/>
              <w:wordWrap w:val="0"/>
              <w:overflowPunct/>
              <w:topLinePunct w:val="0"/>
              <w:autoSpaceDE/>
              <w:autoSpaceDN/>
              <w:bidi w:val="0"/>
              <w:adjustRightInd w:val="0"/>
              <w:snapToGrid w:val="0"/>
              <w:spacing w:line="360" w:lineRule="auto"/>
              <w:jc w:val="both"/>
              <w:textAlignment w:val="auto"/>
              <w:rPr>
                <w:rFonts w:hint="eastAsia" w:asciiTheme="minorEastAsia" w:hAnsiTheme="minorEastAsia" w:eastAsiaTheme="minorEastAsia" w:cstheme="minorEastAsia"/>
                <w:snapToGrid w:val="0"/>
                <w:color w:val="auto"/>
                <w:spacing w:val="0"/>
                <w:kern w:val="0"/>
                <w:sz w:val="24"/>
                <w:szCs w:val="24"/>
                <w:highlight w:val="none"/>
                <w:lang w:val="en-US" w:eastAsia="zh-CN" w:bidi="ar-SA"/>
              </w:rPr>
            </w:pPr>
            <w:r>
              <w:rPr>
                <w:rFonts w:hint="eastAsia" w:asciiTheme="minorEastAsia" w:hAnsiTheme="minorEastAsia" w:eastAsiaTheme="minorEastAsia" w:cstheme="minorEastAsia"/>
                <w:snapToGrid w:val="0"/>
                <w:color w:val="auto"/>
                <w:spacing w:val="0"/>
                <w:kern w:val="0"/>
                <w:sz w:val="24"/>
                <w:szCs w:val="24"/>
                <w:highlight w:val="none"/>
                <w:lang w:val="en-US" w:eastAsia="zh-CN" w:bidi="ar-SA"/>
              </w:rPr>
              <w:t>序号</w:t>
            </w:r>
          </w:p>
        </w:tc>
        <w:tc>
          <w:tcPr>
            <w:tcW w:w="3772" w:type="dxa"/>
            <w:vAlign w:val="center"/>
          </w:tcPr>
          <w:p w14:paraId="3040AA4C">
            <w:pPr>
              <w:keepNext w:val="0"/>
              <w:keepLines w:val="0"/>
              <w:pageBreakBefore w:val="0"/>
              <w:widowControl w:val="0"/>
              <w:kinsoku/>
              <w:wordWrap w:val="0"/>
              <w:overflowPunct/>
              <w:topLinePunct w:val="0"/>
              <w:autoSpaceDE/>
              <w:autoSpaceDN/>
              <w:bidi w:val="0"/>
              <w:adjustRightInd w:val="0"/>
              <w:snapToGrid w:val="0"/>
              <w:spacing w:line="360" w:lineRule="auto"/>
              <w:jc w:val="center"/>
              <w:textAlignment w:val="auto"/>
              <w:rPr>
                <w:rFonts w:hint="eastAsia" w:asciiTheme="minorEastAsia" w:hAnsiTheme="minorEastAsia" w:eastAsiaTheme="minorEastAsia" w:cstheme="minorEastAsia"/>
                <w:snapToGrid w:val="0"/>
                <w:color w:val="auto"/>
                <w:spacing w:val="0"/>
                <w:kern w:val="0"/>
                <w:sz w:val="24"/>
                <w:szCs w:val="24"/>
                <w:highlight w:val="none"/>
                <w:lang w:val="en-US" w:eastAsia="zh-CN" w:bidi="ar-SA"/>
              </w:rPr>
            </w:pPr>
            <w:r>
              <w:rPr>
                <w:rFonts w:hint="eastAsia" w:asciiTheme="minorEastAsia" w:hAnsiTheme="minorEastAsia" w:eastAsiaTheme="minorEastAsia" w:cstheme="minorEastAsia"/>
                <w:snapToGrid w:val="0"/>
                <w:color w:val="auto"/>
                <w:spacing w:val="0"/>
                <w:kern w:val="0"/>
                <w:sz w:val="24"/>
                <w:szCs w:val="24"/>
                <w:highlight w:val="none"/>
                <w:lang w:val="en-US" w:eastAsia="zh-CN" w:bidi="ar-SA"/>
              </w:rPr>
              <w:t>单位名称</w:t>
            </w:r>
          </w:p>
        </w:tc>
        <w:tc>
          <w:tcPr>
            <w:tcW w:w="4021" w:type="dxa"/>
            <w:vAlign w:val="center"/>
          </w:tcPr>
          <w:p w14:paraId="4C97B2AA">
            <w:pPr>
              <w:keepNext w:val="0"/>
              <w:keepLines w:val="0"/>
              <w:pageBreakBefore w:val="0"/>
              <w:widowControl w:val="0"/>
              <w:kinsoku/>
              <w:wordWrap w:val="0"/>
              <w:overflowPunct/>
              <w:topLinePunct w:val="0"/>
              <w:autoSpaceDE/>
              <w:autoSpaceDN/>
              <w:bidi w:val="0"/>
              <w:adjustRightInd w:val="0"/>
              <w:snapToGrid w:val="0"/>
              <w:spacing w:line="360" w:lineRule="auto"/>
              <w:jc w:val="center"/>
              <w:textAlignment w:val="auto"/>
              <w:rPr>
                <w:rFonts w:hint="eastAsia" w:asciiTheme="minorEastAsia" w:hAnsiTheme="minorEastAsia" w:eastAsiaTheme="minorEastAsia" w:cstheme="minorEastAsia"/>
                <w:snapToGrid w:val="0"/>
                <w:color w:val="auto"/>
                <w:spacing w:val="0"/>
                <w:kern w:val="0"/>
                <w:sz w:val="24"/>
                <w:szCs w:val="24"/>
                <w:highlight w:val="none"/>
                <w:lang w:val="en-US" w:eastAsia="zh-CN" w:bidi="ar-SA"/>
              </w:rPr>
            </w:pPr>
            <w:r>
              <w:rPr>
                <w:rFonts w:hint="eastAsia" w:asciiTheme="minorEastAsia" w:hAnsiTheme="minorEastAsia" w:eastAsiaTheme="minorEastAsia" w:cstheme="minorEastAsia"/>
                <w:snapToGrid w:val="0"/>
                <w:color w:val="auto"/>
                <w:spacing w:val="0"/>
                <w:kern w:val="0"/>
                <w:sz w:val="24"/>
                <w:szCs w:val="24"/>
                <w:highlight w:val="none"/>
                <w:lang w:val="en-US" w:eastAsia="zh-CN" w:bidi="ar-SA"/>
              </w:rPr>
              <w:t>拒绝原因</w:t>
            </w:r>
          </w:p>
        </w:tc>
      </w:tr>
      <w:tr w14:paraId="1D4B7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788" w:type="dxa"/>
            <w:vAlign w:val="center"/>
          </w:tcPr>
          <w:p w14:paraId="437DAF84">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snapToGrid w:val="0"/>
                <w:color w:val="auto"/>
                <w:spacing w:val="0"/>
                <w:kern w:val="0"/>
                <w:sz w:val="24"/>
                <w:szCs w:val="24"/>
                <w:highlight w:val="none"/>
                <w:lang w:val="en-US" w:eastAsia="zh-CN" w:bidi="ar-SA"/>
              </w:rPr>
            </w:pPr>
            <w:r>
              <w:rPr>
                <w:rFonts w:hint="eastAsia" w:ascii="宋体" w:hAnsi="宋体" w:eastAsia="宋体" w:cs="宋体"/>
                <w:snapToGrid w:val="0"/>
                <w:color w:val="auto"/>
                <w:spacing w:val="0"/>
                <w:kern w:val="0"/>
                <w:sz w:val="24"/>
                <w:szCs w:val="24"/>
                <w:highlight w:val="none"/>
                <w:lang w:val="en-US" w:eastAsia="zh-CN" w:bidi="ar-SA"/>
              </w:rPr>
              <w:t>1</w:t>
            </w:r>
          </w:p>
        </w:tc>
        <w:tc>
          <w:tcPr>
            <w:tcW w:w="3772" w:type="dxa"/>
            <w:vAlign w:val="center"/>
          </w:tcPr>
          <w:p w14:paraId="15F6D4BE">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auto"/>
                <w:spacing w:val="0"/>
                <w:kern w:val="0"/>
                <w:sz w:val="24"/>
                <w:szCs w:val="24"/>
                <w:highlight w:val="none"/>
                <w:lang w:val="en-US" w:eastAsia="zh-CN" w:bidi="ar-SA"/>
              </w:rPr>
            </w:pPr>
            <w:r>
              <w:rPr>
                <w:rFonts w:hint="eastAsia" w:ascii="宋体" w:hAnsi="宋体" w:eastAsia="宋体" w:cs="宋体"/>
                <w:snapToGrid w:val="0"/>
                <w:color w:val="auto"/>
                <w:spacing w:val="0"/>
                <w:kern w:val="0"/>
                <w:sz w:val="24"/>
                <w:szCs w:val="24"/>
                <w:highlight w:val="none"/>
                <w:lang w:val="en-US" w:eastAsia="zh-CN" w:bidi="ar-SA"/>
              </w:rPr>
              <w:t>新丰县回龙镇人民政府</w:t>
            </w:r>
          </w:p>
        </w:tc>
        <w:tc>
          <w:tcPr>
            <w:tcW w:w="4021" w:type="dxa"/>
            <w:vAlign w:val="center"/>
          </w:tcPr>
          <w:p w14:paraId="36A4E748">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宋体" w:hAnsi="宋体" w:eastAsia="宋体" w:cs="宋体"/>
                <w:snapToGrid w:val="0"/>
                <w:color w:val="auto"/>
                <w:spacing w:val="0"/>
                <w:kern w:val="0"/>
                <w:sz w:val="24"/>
                <w:szCs w:val="24"/>
                <w:highlight w:val="none"/>
                <w:lang w:val="en-US" w:eastAsia="zh-CN" w:bidi="ar-SA"/>
              </w:rPr>
            </w:pPr>
            <w:r>
              <w:rPr>
                <w:rFonts w:hint="eastAsia" w:ascii="宋体" w:hAnsi="宋体" w:eastAsia="宋体" w:cs="宋体"/>
                <w:snapToGrid w:val="0"/>
                <w:color w:val="auto"/>
                <w:spacing w:val="0"/>
                <w:kern w:val="0"/>
                <w:sz w:val="24"/>
                <w:szCs w:val="24"/>
                <w:highlight w:val="none"/>
                <w:lang w:val="en-US" w:eastAsia="zh-CN" w:bidi="ar-SA"/>
              </w:rPr>
              <w:t>为本招标项目的招标人</w:t>
            </w:r>
          </w:p>
        </w:tc>
      </w:tr>
      <w:tr w14:paraId="6B7C0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788" w:type="dxa"/>
            <w:vAlign w:val="center"/>
          </w:tcPr>
          <w:p w14:paraId="76E5002B">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snapToGrid w:val="0"/>
                <w:color w:val="auto"/>
                <w:spacing w:val="0"/>
                <w:kern w:val="0"/>
                <w:sz w:val="24"/>
                <w:szCs w:val="24"/>
                <w:highlight w:val="none"/>
                <w:lang w:val="en-US" w:eastAsia="zh-CN" w:bidi="ar-SA"/>
              </w:rPr>
            </w:pPr>
            <w:r>
              <w:rPr>
                <w:rFonts w:hint="eastAsia" w:ascii="宋体" w:hAnsi="宋体" w:eastAsia="宋体" w:cs="宋体"/>
                <w:snapToGrid w:val="0"/>
                <w:color w:val="auto"/>
                <w:spacing w:val="0"/>
                <w:kern w:val="0"/>
                <w:sz w:val="24"/>
                <w:szCs w:val="24"/>
                <w:highlight w:val="none"/>
                <w:lang w:val="en-US" w:eastAsia="zh-CN" w:bidi="ar-SA"/>
              </w:rPr>
              <w:t>2</w:t>
            </w:r>
          </w:p>
        </w:tc>
        <w:tc>
          <w:tcPr>
            <w:tcW w:w="3772" w:type="dxa"/>
            <w:vAlign w:val="center"/>
          </w:tcPr>
          <w:p w14:paraId="6C7E65A1">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auto"/>
                <w:spacing w:val="0"/>
                <w:kern w:val="0"/>
                <w:sz w:val="24"/>
                <w:szCs w:val="24"/>
                <w:highlight w:val="none"/>
                <w:lang w:val="en-US" w:eastAsia="zh-CN" w:bidi="ar-SA"/>
              </w:rPr>
            </w:pPr>
            <w:r>
              <w:rPr>
                <w:rFonts w:hint="eastAsia" w:ascii="宋体" w:hAnsi="宋体" w:eastAsia="宋体" w:cs="宋体"/>
                <w:snapToGrid w:val="0"/>
                <w:color w:val="auto"/>
                <w:spacing w:val="0"/>
                <w:kern w:val="0"/>
                <w:sz w:val="24"/>
                <w:szCs w:val="24"/>
                <w:highlight w:val="none"/>
                <w:lang w:val="en-US" w:eastAsia="zh-CN" w:bidi="ar-SA"/>
              </w:rPr>
              <w:t>新丰县市政工程公司</w:t>
            </w:r>
          </w:p>
        </w:tc>
        <w:tc>
          <w:tcPr>
            <w:tcW w:w="4021" w:type="dxa"/>
            <w:vAlign w:val="center"/>
          </w:tcPr>
          <w:p w14:paraId="04FE2F11">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宋体" w:hAnsi="宋体" w:eastAsia="宋体" w:cs="宋体"/>
                <w:snapToGrid w:val="0"/>
                <w:color w:val="auto"/>
                <w:spacing w:val="0"/>
                <w:kern w:val="0"/>
                <w:sz w:val="24"/>
                <w:szCs w:val="24"/>
                <w:highlight w:val="none"/>
                <w:lang w:val="en-US" w:eastAsia="zh-CN" w:bidi="ar-SA"/>
              </w:rPr>
            </w:pPr>
            <w:r>
              <w:rPr>
                <w:rFonts w:hint="eastAsia" w:ascii="宋体" w:hAnsi="宋体" w:eastAsia="宋体" w:cs="宋体"/>
                <w:snapToGrid w:val="0"/>
                <w:color w:val="auto"/>
                <w:spacing w:val="0"/>
                <w:kern w:val="0"/>
                <w:sz w:val="24"/>
                <w:szCs w:val="24"/>
                <w:highlight w:val="none"/>
                <w:lang w:val="en-US" w:eastAsia="zh-CN" w:bidi="ar-SA"/>
              </w:rPr>
              <w:t>为本招标项目的招标代理机构</w:t>
            </w:r>
          </w:p>
        </w:tc>
      </w:tr>
      <w:tr w14:paraId="0086D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788" w:type="dxa"/>
            <w:vAlign w:val="center"/>
          </w:tcPr>
          <w:p w14:paraId="059CE5FB">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snapToGrid w:val="0"/>
                <w:color w:val="auto"/>
                <w:spacing w:val="0"/>
                <w:kern w:val="0"/>
                <w:sz w:val="24"/>
                <w:szCs w:val="24"/>
                <w:highlight w:val="none"/>
                <w:lang w:val="en-US" w:eastAsia="zh-CN" w:bidi="ar-SA"/>
              </w:rPr>
            </w:pPr>
            <w:r>
              <w:rPr>
                <w:rFonts w:hint="eastAsia" w:ascii="宋体" w:hAnsi="宋体" w:eastAsia="宋体" w:cs="宋体"/>
                <w:snapToGrid w:val="0"/>
                <w:color w:val="auto"/>
                <w:spacing w:val="0"/>
                <w:kern w:val="0"/>
                <w:sz w:val="24"/>
                <w:szCs w:val="24"/>
                <w:highlight w:val="none"/>
                <w:lang w:val="en-US" w:eastAsia="zh-CN" w:bidi="ar-SA"/>
              </w:rPr>
              <w:t>3</w:t>
            </w:r>
          </w:p>
        </w:tc>
        <w:tc>
          <w:tcPr>
            <w:tcW w:w="3772" w:type="dxa"/>
            <w:vAlign w:val="center"/>
          </w:tcPr>
          <w:p w14:paraId="755C4EF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auto"/>
                <w:spacing w:val="0"/>
                <w:kern w:val="0"/>
                <w:sz w:val="24"/>
                <w:szCs w:val="24"/>
                <w:highlight w:val="none"/>
                <w:lang w:val="en-US" w:eastAsia="zh-CN" w:bidi="ar-SA"/>
              </w:rPr>
            </w:pPr>
            <w:r>
              <w:rPr>
                <w:rFonts w:hint="eastAsia" w:ascii="宋体" w:hAnsi="宋体" w:eastAsia="宋体" w:cs="宋体"/>
                <w:snapToGrid w:val="0"/>
                <w:color w:val="auto"/>
                <w:spacing w:val="0"/>
                <w:kern w:val="0"/>
                <w:sz w:val="24"/>
                <w:szCs w:val="24"/>
                <w:highlight w:val="none"/>
                <w:lang w:val="en-US" w:eastAsia="zh-CN" w:bidi="ar-SA"/>
              </w:rPr>
              <w:t>中叙设计集团有限公司</w:t>
            </w:r>
          </w:p>
        </w:tc>
        <w:tc>
          <w:tcPr>
            <w:tcW w:w="4021" w:type="dxa"/>
            <w:vAlign w:val="center"/>
          </w:tcPr>
          <w:p w14:paraId="170056CF">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宋体" w:hAnsi="宋体" w:eastAsia="宋体" w:cs="宋体"/>
                <w:snapToGrid w:val="0"/>
                <w:color w:val="auto"/>
                <w:spacing w:val="0"/>
                <w:kern w:val="0"/>
                <w:sz w:val="24"/>
                <w:szCs w:val="24"/>
                <w:highlight w:val="none"/>
                <w:lang w:val="en-US" w:eastAsia="zh-CN" w:bidi="ar-SA"/>
              </w:rPr>
            </w:pPr>
            <w:r>
              <w:rPr>
                <w:rFonts w:hint="eastAsia" w:ascii="宋体" w:hAnsi="宋体" w:eastAsia="宋体" w:cs="宋体"/>
                <w:snapToGrid w:val="0"/>
                <w:color w:val="auto"/>
                <w:spacing w:val="0"/>
                <w:kern w:val="0"/>
                <w:sz w:val="24"/>
                <w:szCs w:val="24"/>
                <w:highlight w:val="none"/>
                <w:lang w:val="en-US" w:eastAsia="zh-CN" w:bidi="ar-SA"/>
              </w:rPr>
              <w:t>为本招标项目的施工图设计单位</w:t>
            </w:r>
          </w:p>
        </w:tc>
      </w:tr>
      <w:tr w14:paraId="03B57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788" w:type="dxa"/>
            <w:vAlign w:val="center"/>
          </w:tcPr>
          <w:p w14:paraId="36EEFAF3">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snapToGrid w:val="0"/>
                <w:color w:val="auto"/>
                <w:spacing w:val="0"/>
                <w:kern w:val="0"/>
                <w:sz w:val="24"/>
                <w:szCs w:val="24"/>
                <w:highlight w:val="none"/>
                <w:lang w:val="en-US" w:eastAsia="zh-CN" w:bidi="ar-SA"/>
              </w:rPr>
            </w:pPr>
            <w:r>
              <w:rPr>
                <w:rFonts w:hint="eastAsia" w:ascii="宋体" w:hAnsi="宋体" w:eastAsia="宋体" w:cs="宋体"/>
                <w:snapToGrid w:val="0"/>
                <w:color w:val="auto"/>
                <w:spacing w:val="0"/>
                <w:kern w:val="0"/>
                <w:sz w:val="24"/>
                <w:szCs w:val="24"/>
                <w:highlight w:val="none"/>
                <w:lang w:val="en-US" w:eastAsia="zh-CN" w:bidi="ar-SA"/>
              </w:rPr>
              <w:t>4</w:t>
            </w:r>
          </w:p>
        </w:tc>
        <w:tc>
          <w:tcPr>
            <w:tcW w:w="3772" w:type="dxa"/>
            <w:vAlign w:val="center"/>
          </w:tcPr>
          <w:p w14:paraId="59AE1CB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auto"/>
                <w:spacing w:val="0"/>
                <w:kern w:val="0"/>
                <w:sz w:val="24"/>
                <w:szCs w:val="24"/>
                <w:highlight w:val="none"/>
                <w:lang w:val="en-US" w:eastAsia="zh-CN" w:bidi="ar-SA"/>
              </w:rPr>
            </w:pPr>
            <w:r>
              <w:rPr>
                <w:rFonts w:hint="eastAsia" w:ascii="宋体" w:hAnsi="宋体" w:eastAsia="宋体" w:cs="宋体"/>
                <w:snapToGrid w:val="0"/>
                <w:color w:val="auto"/>
                <w:spacing w:val="0"/>
                <w:kern w:val="0"/>
                <w:sz w:val="24"/>
                <w:szCs w:val="24"/>
                <w:highlight w:val="none"/>
                <w:lang w:val="en-US" w:eastAsia="zh-CN" w:bidi="ar-SA"/>
              </w:rPr>
              <w:t>广东舍卫工程技术咨询有限公司</w:t>
            </w:r>
          </w:p>
        </w:tc>
        <w:tc>
          <w:tcPr>
            <w:tcW w:w="4021" w:type="dxa"/>
            <w:vAlign w:val="center"/>
          </w:tcPr>
          <w:p w14:paraId="4614B534">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宋体" w:hAnsi="宋体" w:eastAsia="宋体" w:cs="宋体"/>
                <w:snapToGrid w:val="0"/>
                <w:color w:val="auto"/>
                <w:spacing w:val="0"/>
                <w:kern w:val="0"/>
                <w:sz w:val="24"/>
                <w:szCs w:val="24"/>
                <w:highlight w:val="none"/>
                <w:lang w:val="en-US" w:eastAsia="zh-CN" w:bidi="ar-SA"/>
              </w:rPr>
            </w:pPr>
            <w:r>
              <w:rPr>
                <w:rFonts w:hint="eastAsia" w:ascii="宋体" w:hAnsi="宋体" w:eastAsia="宋体" w:cs="宋体"/>
                <w:snapToGrid w:val="0"/>
                <w:color w:val="auto"/>
                <w:spacing w:val="0"/>
                <w:kern w:val="0"/>
                <w:sz w:val="24"/>
                <w:szCs w:val="24"/>
                <w:highlight w:val="none"/>
                <w:lang w:val="en-US" w:eastAsia="zh-CN" w:bidi="ar-SA"/>
              </w:rPr>
              <w:t>为本招标项目的施工图审图单位</w:t>
            </w:r>
          </w:p>
        </w:tc>
      </w:tr>
      <w:tr w14:paraId="698F5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88" w:type="dxa"/>
            <w:vAlign w:val="center"/>
          </w:tcPr>
          <w:p w14:paraId="60EF188D">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snapToGrid w:val="0"/>
                <w:color w:val="auto"/>
                <w:spacing w:val="0"/>
                <w:kern w:val="0"/>
                <w:sz w:val="24"/>
                <w:szCs w:val="24"/>
                <w:highlight w:val="none"/>
                <w:lang w:val="en-US" w:eastAsia="zh-CN" w:bidi="ar-SA"/>
              </w:rPr>
            </w:pPr>
            <w:r>
              <w:rPr>
                <w:rFonts w:hint="eastAsia" w:ascii="宋体" w:hAnsi="宋体" w:eastAsia="宋体" w:cs="宋体"/>
                <w:snapToGrid w:val="0"/>
                <w:color w:val="auto"/>
                <w:spacing w:val="0"/>
                <w:kern w:val="0"/>
                <w:sz w:val="24"/>
                <w:szCs w:val="24"/>
                <w:highlight w:val="none"/>
                <w:lang w:val="en-US" w:eastAsia="zh-CN" w:bidi="ar-SA"/>
              </w:rPr>
              <w:t>5</w:t>
            </w:r>
          </w:p>
        </w:tc>
        <w:tc>
          <w:tcPr>
            <w:tcW w:w="3772" w:type="dxa"/>
            <w:vAlign w:val="center"/>
          </w:tcPr>
          <w:p w14:paraId="42C7C565">
            <w:pPr>
              <w:wordWrap w:val="0"/>
              <w:adjustRightInd w:val="0"/>
              <w:snapToGrid w:val="0"/>
              <w:spacing w:line="340" w:lineRule="exact"/>
              <w:jc w:val="center"/>
              <w:rPr>
                <w:rFonts w:hint="eastAsia" w:ascii="宋体" w:hAnsi="宋体" w:eastAsia="宋体" w:cs="宋体"/>
                <w:snapToGrid w:val="0"/>
                <w:color w:val="auto"/>
                <w:spacing w:val="0"/>
                <w:kern w:val="0"/>
                <w:sz w:val="24"/>
                <w:szCs w:val="24"/>
                <w:highlight w:val="none"/>
                <w:lang w:val="en-US" w:eastAsia="zh-CN" w:bidi="ar-SA"/>
              </w:rPr>
            </w:pPr>
            <w:r>
              <w:rPr>
                <w:rFonts w:hint="eastAsia" w:ascii="宋体" w:hAnsi="宋体" w:eastAsia="宋体" w:cs="宋体"/>
                <w:snapToGrid w:val="0"/>
                <w:color w:val="auto"/>
                <w:spacing w:val="0"/>
                <w:kern w:val="0"/>
                <w:sz w:val="24"/>
                <w:szCs w:val="24"/>
                <w:highlight w:val="none"/>
                <w:lang w:val="en-US" w:eastAsia="zh-CN" w:bidi="ar-SA"/>
              </w:rPr>
              <w:t>大发全过程工程咨询设计集团</w:t>
            </w:r>
          </w:p>
        </w:tc>
        <w:tc>
          <w:tcPr>
            <w:tcW w:w="4021" w:type="dxa"/>
            <w:vAlign w:val="center"/>
          </w:tcPr>
          <w:p w14:paraId="1B616274">
            <w:pPr>
              <w:pStyle w:val="33"/>
              <w:wordWrap w:val="0"/>
              <w:adjustRightInd w:val="0"/>
              <w:snapToGrid w:val="0"/>
              <w:spacing w:line="340" w:lineRule="exact"/>
              <w:jc w:val="left"/>
              <w:rPr>
                <w:rFonts w:hint="eastAsia" w:ascii="宋体" w:hAnsi="宋体" w:eastAsia="宋体" w:cs="宋体"/>
                <w:snapToGrid w:val="0"/>
                <w:color w:val="auto"/>
                <w:spacing w:val="0"/>
                <w:kern w:val="0"/>
                <w:sz w:val="24"/>
                <w:szCs w:val="24"/>
                <w:highlight w:val="none"/>
                <w:lang w:val="en-US" w:eastAsia="zh-CN" w:bidi="ar-SA"/>
              </w:rPr>
            </w:pPr>
            <w:r>
              <w:rPr>
                <w:rFonts w:hint="eastAsia" w:ascii="宋体" w:hAnsi="宋体" w:eastAsia="宋体" w:cs="宋体"/>
                <w:snapToGrid w:val="0"/>
                <w:color w:val="auto"/>
                <w:spacing w:val="0"/>
                <w:kern w:val="0"/>
                <w:sz w:val="24"/>
                <w:szCs w:val="24"/>
                <w:highlight w:val="none"/>
                <w:lang w:val="en-US" w:eastAsia="zh-CN" w:bidi="ar-SA"/>
              </w:rPr>
              <w:t>为本招标项目的测绘单位</w:t>
            </w:r>
          </w:p>
        </w:tc>
      </w:tr>
      <w:tr w14:paraId="0E5D0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788" w:type="dxa"/>
            <w:vAlign w:val="center"/>
          </w:tcPr>
          <w:p w14:paraId="44A7959C">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snapToGrid w:val="0"/>
                <w:color w:val="auto"/>
                <w:spacing w:val="0"/>
                <w:kern w:val="0"/>
                <w:sz w:val="24"/>
                <w:szCs w:val="24"/>
                <w:highlight w:val="none"/>
                <w:lang w:val="en-US" w:eastAsia="zh-CN" w:bidi="ar-SA"/>
              </w:rPr>
            </w:pPr>
            <w:r>
              <w:rPr>
                <w:rFonts w:hint="eastAsia" w:ascii="宋体" w:hAnsi="宋体" w:eastAsia="宋体" w:cs="宋体"/>
                <w:snapToGrid w:val="0"/>
                <w:color w:val="auto"/>
                <w:spacing w:val="0"/>
                <w:kern w:val="0"/>
                <w:sz w:val="24"/>
                <w:szCs w:val="24"/>
                <w:highlight w:val="none"/>
                <w:lang w:val="en-US" w:eastAsia="zh-CN" w:bidi="ar-SA"/>
              </w:rPr>
              <w:t>6</w:t>
            </w:r>
          </w:p>
        </w:tc>
        <w:tc>
          <w:tcPr>
            <w:tcW w:w="3772" w:type="dxa"/>
            <w:vAlign w:val="center"/>
          </w:tcPr>
          <w:p w14:paraId="49B085C9">
            <w:pPr>
              <w:wordWrap w:val="0"/>
              <w:adjustRightInd w:val="0"/>
              <w:snapToGrid w:val="0"/>
              <w:spacing w:line="340" w:lineRule="exact"/>
              <w:jc w:val="center"/>
              <w:rPr>
                <w:rFonts w:hint="eastAsia" w:ascii="宋体" w:hAnsi="宋体" w:eastAsia="宋体" w:cs="宋体"/>
                <w:snapToGrid w:val="0"/>
                <w:color w:val="auto"/>
                <w:spacing w:val="0"/>
                <w:kern w:val="0"/>
                <w:sz w:val="24"/>
                <w:szCs w:val="24"/>
                <w:highlight w:val="none"/>
                <w:lang w:val="en-US" w:eastAsia="zh-CN" w:bidi="ar-SA"/>
              </w:rPr>
            </w:pPr>
            <w:r>
              <w:rPr>
                <w:rFonts w:hint="eastAsia" w:ascii="宋体" w:hAnsi="宋体" w:eastAsia="宋体" w:cs="宋体"/>
                <w:snapToGrid w:val="0"/>
                <w:color w:val="auto"/>
                <w:spacing w:val="0"/>
                <w:kern w:val="0"/>
                <w:sz w:val="24"/>
                <w:szCs w:val="24"/>
                <w:highlight w:val="none"/>
                <w:lang w:val="en-US" w:eastAsia="zh-CN" w:bidi="ar-SA"/>
              </w:rPr>
              <w:t>中犇工程设计有限公司</w:t>
            </w:r>
          </w:p>
        </w:tc>
        <w:tc>
          <w:tcPr>
            <w:tcW w:w="4021" w:type="dxa"/>
            <w:vAlign w:val="center"/>
          </w:tcPr>
          <w:p w14:paraId="53DF37B2">
            <w:pPr>
              <w:pStyle w:val="33"/>
              <w:wordWrap w:val="0"/>
              <w:adjustRightInd w:val="0"/>
              <w:snapToGrid w:val="0"/>
              <w:spacing w:line="340" w:lineRule="exact"/>
              <w:jc w:val="left"/>
              <w:rPr>
                <w:rFonts w:hint="default" w:ascii="宋体" w:hAnsi="宋体" w:eastAsia="宋体" w:cs="宋体"/>
                <w:snapToGrid w:val="0"/>
                <w:color w:val="auto"/>
                <w:spacing w:val="0"/>
                <w:kern w:val="0"/>
                <w:sz w:val="24"/>
                <w:szCs w:val="24"/>
                <w:highlight w:val="none"/>
                <w:lang w:val="en-US" w:eastAsia="zh-CN" w:bidi="ar-SA"/>
              </w:rPr>
            </w:pPr>
            <w:r>
              <w:rPr>
                <w:rFonts w:hint="eastAsia" w:ascii="宋体" w:hAnsi="宋体" w:eastAsia="宋体" w:cs="宋体"/>
                <w:snapToGrid w:val="0"/>
                <w:color w:val="auto"/>
                <w:spacing w:val="0"/>
                <w:kern w:val="0"/>
                <w:sz w:val="24"/>
                <w:szCs w:val="24"/>
                <w:highlight w:val="none"/>
                <w:lang w:val="en-US" w:eastAsia="zh-CN" w:bidi="ar-SA"/>
              </w:rPr>
              <w:t>为本招标项目的造价咨询单位</w:t>
            </w:r>
          </w:p>
        </w:tc>
      </w:tr>
    </w:tbl>
    <w:p w14:paraId="2D555A7C">
      <w:pPr>
        <w:keepNext w:val="0"/>
        <w:keepLines w:val="0"/>
        <w:pageBreakBefore w:val="0"/>
        <w:wordWrap w:val="0"/>
        <w:overflowPunct/>
        <w:topLinePunct w:val="0"/>
        <w:bidi w:val="0"/>
        <w:spacing w:line="360" w:lineRule="auto"/>
        <w:rPr>
          <w:rFonts w:hint="eastAsia" w:ascii="宋体" w:hAnsi="宋体" w:eastAsia="宋体" w:cs="宋体"/>
          <w:color w:val="auto"/>
          <w:spacing w:val="0"/>
          <w:sz w:val="24"/>
          <w:szCs w:val="24"/>
          <w:highlight w:val="none"/>
        </w:rPr>
      </w:pPr>
    </w:p>
    <w:p w14:paraId="76B35EEB">
      <w:pPr>
        <w:keepNext w:val="0"/>
        <w:keepLines w:val="0"/>
        <w:pageBreakBefore w:val="0"/>
        <w:widowControl/>
        <w:kinsoku w:val="0"/>
        <w:wordWrap w:val="0"/>
        <w:overflowPunct/>
        <w:topLinePunct w:val="0"/>
        <w:autoSpaceDE w:val="0"/>
        <w:autoSpaceDN w:val="0"/>
        <w:bidi w:val="0"/>
        <w:adjustRightInd w:val="0"/>
        <w:snapToGrid w:val="0"/>
        <w:spacing w:line="360" w:lineRule="auto"/>
        <w:ind w:left="709"/>
        <w:textAlignment w:val="baseline"/>
        <w:rPr>
          <w:rFonts w:hint="eastAsia" w:ascii="宋体" w:hAnsi="宋体" w:eastAsia="宋体" w:cs="宋体"/>
          <w:color w:val="auto"/>
          <w:spacing w:val="0"/>
          <w:sz w:val="24"/>
          <w:szCs w:val="24"/>
          <w:highlight w:val="none"/>
          <w:lang w:val="en-US" w:eastAsia="zh-CN"/>
        </w:rPr>
      </w:pPr>
      <w:r>
        <w:rPr>
          <w:rFonts w:hint="eastAsia" w:ascii="宋体" w:hAnsi="宋体" w:eastAsia="宋体" w:cs="宋体"/>
          <w:color w:val="auto"/>
          <w:spacing w:val="0"/>
          <w:sz w:val="24"/>
          <w:szCs w:val="24"/>
          <w:highlight w:val="none"/>
          <w:lang w:val="en-US" w:eastAsia="zh-CN"/>
        </w:rPr>
        <w:t>4.3  其他要求</w:t>
      </w:r>
    </w:p>
    <w:p w14:paraId="025AAFD2">
      <w:pPr>
        <w:keepNext w:val="0"/>
        <w:keepLines w:val="0"/>
        <w:pageBreakBefore w:val="0"/>
        <w:widowControl/>
        <w:kinsoku w:val="0"/>
        <w:wordWrap w:val="0"/>
        <w:overflowPunct/>
        <w:topLinePunct w:val="0"/>
        <w:autoSpaceDE w:val="0"/>
        <w:autoSpaceDN w:val="0"/>
        <w:bidi w:val="0"/>
        <w:adjustRightInd w:val="0"/>
        <w:snapToGrid w:val="0"/>
        <w:spacing w:line="360" w:lineRule="auto"/>
        <w:ind w:left="232" w:right="0" w:firstLine="482"/>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lang w:eastAsia="zh-CN"/>
        </w:rPr>
        <w:t>省外企业及其拟派往本项目管理机构的所有人员均须按照《广东省住房和城乡建设厅关于取消省外建筑企业和人员进粤信息备案有关工作的通知》（粤建市﹝2015﹞52 号）规定在“进粤企业和人员诚信信息登记平台 ”录入相关信息并通过数据规范检查。</w:t>
      </w:r>
    </w:p>
    <w:p w14:paraId="6FD04818">
      <w:pPr>
        <w:keepNext w:val="0"/>
        <w:keepLines w:val="0"/>
        <w:pageBreakBefore w:val="0"/>
        <w:wordWrap w:val="0"/>
        <w:overflowPunct/>
        <w:topLinePunct w:val="0"/>
        <w:bidi w:val="0"/>
        <w:spacing w:before="79" w:line="220" w:lineRule="auto"/>
        <w:ind w:left="715"/>
        <w:outlineLvl w:val="2"/>
        <w:rPr>
          <w:rFonts w:hint="eastAsia" w:ascii="宋体" w:hAnsi="宋体" w:eastAsia="宋体" w:cs="宋体"/>
          <w:color w:val="auto"/>
          <w:spacing w:val="0"/>
          <w:sz w:val="24"/>
          <w:szCs w:val="24"/>
          <w:highlight w:val="none"/>
        </w:rPr>
      </w:pPr>
      <w:bookmarkStart w:id="17" w:name="_Toc23243"/>
      <w:bookmarkStart w:id="18" w:name="_Toc9027"/>
      <w:r>
        <w:rPr>
          <w:rFonts w:hint="eastAsia" w:ascii="宋体" w:hAnsi="宋体" w:eastAsia="宋体" w:cs="宋体"/>
          <w:b/>
          <w:bCs/>
          <w:color w:val="auto"/>
          <w:spacing w:val="0"/>
          <w:sz w:val="24"/>
          <w:szCs w:val="24"/>
          <w:highlight w:val="none"/>
        </w:rPr>
        <w:t>3．招标文件的获取</w:t>
      </w:r>
      <w:bookmarkEnd w:id="17"/>
      <w:bookmarkEnd w:id="18"/>
    </w:p>
    <w:p w14:paraId="1D245E70">
      <w:pPr>
        <w:keepNext w:val="0"/>
        <w:keepLines w:val="0"/>
        <w:pageBreakBefore w:val="0"/>
        <w:wordWrap w:val="0"/>
        <w:overflowPunct/>
        <w:topLinePunct w:val="0"/>
        <w:bidi w:val="0"/>
        <w:spacing w:before="182" w:line="219" w:lineRule="auto"/>
        <w:ind w:left="704"/>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3.1  </w:t>
      </w:r>
      <w:r>
        <w:rPr>
          <w:rFonts w:hint="eastAsia" w:ascii="宋体" w:hAnsi="宋体" w:eastAsia="宋体" w:cs="宋体"/>
          <w:color w:val="auto"/>
          <w:spacing w:val="0"/>
          <w:sz w:val="24"/>
          <w:szCs w:val="24"/>
          <w:highlight w:val="none"/>
        </w:rPr>
        <w:t>本次招标实行电子投标。</w:t>
      </w:r>
    </w:p>
    <w:p w14:paraId="5DC2812A">
      <w:pPr>
        <w:keepNext w:val="0"/>
        <w:keepLines w:val="0"/>
        <w:pageBreakBefore w:val="0"/>
        <w:wordWrap w:val="0"/>
        <w:overflowPunct/>
        <w:topLinePunct w:val="0"/>
        <w:bidi w:val="0"/>
        <w:spacing w:before="178" w:line="355" w:lineRule="auto"/>
        <w:ind w:left="0" w:leftChars="0" w:firstLine="481" w:firstLineChars="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本次招标实行电子投标。本项目招标文件随招标公告一并在全国公共资源交易平台（广东省 ·韶关市）（https://ygp.gdzwfw.gov.cn/ggzy-portal/#/440200/index）网站发布。招标文件一经发布，视为发送投标人，招标文件及相关附件由投标人自行在全国公共资源交易平台（广东省 ·韶关市）网站下载。请于招标文件获取期间,（见本章第二节“重要事项时间地点一览表 ”）招标文件获取期间与招标公告发布时间一致，投标人须登录全国公共资源交易平台（广东省 ·韶关市）（https://ygp.gdzwfw.gov.cn/ggzy-portal/#/440200/index），使用新建设工程交易系统进行下载招标文件及相关附件，并于电子投标截止时间（见本章第二节“重要事项时间地点一览表 ”）前完成电子投标。投标人可登录全国公共资源交易平台（广东省 ·韶关市）（https://ygp.gdzwfw.gov.cn/ggzy-portal/#/440200/index），在【服务指南】栏目中建设工程交易中下载《韶关市公共资源建设工程交易系统-投标人操作指南（电子评标）》（附件 2），了解网上获取招标文件操作流程。技术咨询电话：0751-8379671 伍先生，业务咨询电话：0751-8633211、8633071。</w:t>
      </w:r>
    </w:p>
    <w:p w14:paraId="0A188228">
      <w:pPr>
        <w:keepNext w:val="0"/>
        <w:keepLines w:val="0"/>
        <w:pageBreakBefore w:val="0"/>
        <w:wordWrap w:val="0"/>
        <w:overflowPunct/>
        <w:topLinePunct w:val="0"/>
        <w:bidi w:val="0"/>
        <w:spacing w:before="142" w:line="330" w:lineRule="auto"/>
        <w:ind w:left="11" w:right="105" w:firstLine="473"/>
        <w:jc w:val="both"/>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3.2  </w:t>
      </w:r>
      <w:r>
        <w:rPr>
          <w:rFonts w:hint="eastAsia" w:ascii="宋体" w:hAnsi="宋体" w:eastAsia="宋体" w:cs="宋体"/>
          <w:color w:val="auto"/>
          <w:spacing w:val="0"/>
          <w:sz w:val="24"/>
          <w:szCs w:val="24"/>
          <w:highlight w:val="none"/>
        </w:rPr>
        <w:t>只有申领了数字证书（CA）、“粤企签 ”或 GDCA/SZCA/NETCA 等符合法律法规规定的电子印章，并在交易系统中完成企业信息数据入库的投标人，方可使用建设工程交易系统进行招标文件及附件获取和电子投标。</w:t>
      </w:r>
    </w:p>
    <w:p w14:paraId="65457781">
      <w:pPr>
        <w:keepNext w:val="0"/>
        <w:keepLines w:val="0"/>
        <w:pageBreakBefore w:val="0"/>
        <w:wordWrap w:val="0"/>
        <w:overflowPunct/>
        <w:topLinePunct w:val="0"/>
        <w:bidi w:val="0"/>
        <w:spacing w:before="32" w:line="332" w:lineRule="auto"/>
        <w:ind w:left="10" w:right="90" w:firstLine="483"/>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首次在韶关市参与建设工程招标投标活动的投标人，必须在平台系统上传企业相关资料办理企业入库事宜。投标人可登录全国公共资源交易平台（广东省 ·韶关市）（</w:t>
      </w:r>
      <w:r>
        <w:rPr>
          <w:rFonts w:hint="eastAsia" w:ascii="宋体" w:hAnsi="宋体" w:eastAsia="宋体" w:cs="宋体"/>
          <w:color w:val="auto"/>
          <w:spacing w:val="0"/>
          <w:highlight w:val="none"/>
        </w:rPr>
        <w:fldChar w:fldCharType="begin"/>
      </w:r>
      <w:r>
        <w:rPr>
          <w:rFonts w:hint="eastAsia" w:ascii="宋体" w:hAnsi="宋体" w:eastAsia="宋体" w:cs="宋体"/>
          <w:color w:val="auto"/>
          <w:spacing w:val="0"/>
          <w:highlight w:val="none"/>
        </w:rPr>
        <w:instrText xml:space="preserve"> HYPERLINK "https://ygp.gdzwfw.gov.cn/ggzy-portal/#/440200/index" </w:instrText>
      </w:r>
      <w:r>
        <w:rPr>
          <w:rFonts w:hint="eastAsia" w:ascii="宋体" w:hAnsi="宋体" w:eastAsia="宋体" w:cs="宋体"/>
          <w:color w:val="auto"/>
          <w:spacing w:val="0"/>
          <w:highlight w:val="none"/>
        </w:rPr>
        <w:fldChar w:fldCharType="separate"/>
      </w:r>
      <w:r>
        <w:rPr>
          <w:rFonts w:hint="eastAsia" w:ascii="宋体" w:hAnsi="宋体" w:eastAsia="宋体" w:cs="宋体"/>
          <w:color w:val="auto"/>
          <w:spacing w:val="0"/>
          <w:sz w:val="24"/>
          <w:szCs w:val="24"/>
          <w:highlight w:val="none"/>
        </w:rPr>
        <w:t>https://ygp.gdzwfw.gov.cn/ggzy-portal/#/440200/index</w:t>
      </w:r>
      <w:r>
        <w:rPr>
          <w:rFonts w:hint="eastAsia" w:ascii="宋体" w:hAnsi="宋体" w:eastAsia="宋体" w:cs="宋体"/>
          <w:color w:val="auto"/>
          <w:spacing w:val="0"/>
          <w:sz w:val="24"/>
          <w:szCs w:val="24"/>
          <w:highlight w:val="none"/>
        </w:rPr>
        <w:fldChar w:fldCharType="end"/>
      </w:r>
      <w:r>
        <w:rPr>
          <w:rFonts w:hint="eastAsia" w:ascii="宋体" w:hAnsi="宋体" w:eastAsia="宋体" w:cs="宋体"/>
          <w:color w:val="auto"/>
          <w:spacing w:val="0"/>
          <w:sz w:val="24"/>
          <w:szCs w:val="24"/>
          <w:highlight w:val="none"/>
        </w:rPr>
        <w:t>）办理企业入库、数字证书及电子印章事宜，具体请在平台查阅相应的交易指引。</w:t>
      </w:r>
    </w:p>
    <w:p w14:paraId="11FF6F6E">
      <w:pPr>
        <w:keepNext w:val="0"/>
        <w:keepLines w:val="0"/>
        <w:pageBreakBefore w:val="0"/>
        <w:wordWrap w:val="0"/>
        <w:overflowPunct/>
        <w:topLinePunct w:val="0"/>
        <w:bidi w:val="0"/>
        <w:spacing w:before="37" w:line="329" w:lineRule="auto"/>
        <w:ind w:left="9" w:right="105" w:firstLine="507"/>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已入库企业有关信息（如单位名称、基本账号、资质、人员等）发生变化的，须及时在交易系统进行相应变更。投标人未及时变更信息而造成的损失和后果，由投标人自行承担。</w:t>
      </w:r>
    </w:p>
    <w:p w14:paraId="63FCA980">
      <w:pPr>
        <w:keepNext w:val="0"/>
        <w:keepLines w:val="0"/>
        <w:pageBreakBefore w:val="0"/>
        <w:wordWrap w:val="0"/>
        <w:overflowPunct/>
        <w:topLinePunct w:val="0"/>
        <w:bidi w:val="0"/>
        <w:spacing w:before="33" w:line="335" w:lineRule="auto"/>
        <w:ind w:left="10" w:right="105" w:firstLine="508"/>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电子印章：是指获得</w:t>
      </w:r>
      <w:r>
        <w:rPr>
          <w:rFonts w:hint="eastAsia" w:ascii="宋体" w:hAnsi="宋体" w:eastAsia="宋体" w:cs="宋体"/>
          <w:color w:val="auto"/>
          <w:spacing w:val="0"/>
          <w:sz w:val="24"/>
          <w:szCs w:val="24"/>
          <w:highlight w:val="none"/>
          <w:lang w:eastAsia="zh-CN"/>
        </w:rPr>
        <w:t>工业和信息化部</w:t>
      </w:r>
      <w:r>
        <w:rPr>
          <w:rFonts w:hint="eastAsia" w:ascii="宋体" w:hAnsi="宋体" w:eastAsia="宋体" w:cs="宋体"/>
          <w:color w:val="auto"/>
          <w:spacing w:val="0"/>
          <w:sz w:val="24"/>
          <w:szCs w:val="24"/>
          <w:highlight w:val="none"/>
        </w:rPr>
        <w:t>颁发的《电子认证服务许可证》、国家密码管理局颁发的《电子认证服务使用密码许可证》等资质，具备承担因数字证书原因产生纠纷的相关责任的能力，且在广东省内具有数量基础和服务能力的依法设立的电子认证服务机构签发的电子签章认证证书（即CA 数字证书）。投标人应当到相关服务机构办理并取得数字证书介质和应用。电子印章包括机构法人电子形式印章，单位法定代表人、被委托人及其他个人的电子形式印章。电子印章与手写签名或者盖章具有同等的法律效力。</w:t>
      </w:r>
    </w:p>
    <w:p w14:paraId="0EBFA5AE">
      <w:pPr>
        <w:keepNext w:val="0"/>
        <w:keepLines w:val="0"/>
        <w:pageBreakBefore w:val="0"/>
        <w:wordWrap w:val="0"/>
        <w:overflowPunct/>
        <w:topLinePunct w:val="0"/>
        <w:bidi w:val="0"/>
        <w:spacing w:before="33" w:line="221" w:lineRule="auto"/>
        <w:ind w:left="484"/>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3.3  </w:t>
      </w:r>
      <w:r>
        <w:rPr>
          <w:rFonts w:hint="eastAsia" w:ascii="宋体" w:hAnsi="宋体" w:eastAsia="宋体" w:cs="宋体"/>
          <w:color w:val="auto"/>
          <w:spacing w:val="0"/>
          <w:sz w:val="24"/>
          <w:szCs w:val="24"/>
          <w:highlight w:val="none"/>
        </w:rPr>
        <w:t>投标保证</w:t>
      </w:r>
    </w:p>
    <w:p w14:paraId="53AE8664">
      <w:pPr>
        <w:keepNext w:val="0"/>
        <w:keepLines w:val="0"/>
        <w:pageBreakBefore w:val="0"/>
        <w:wordWrap w:val="0"/>
        <w:overflowPunct/>
        <w:topLinePunct w:val="0"/>
        <w:bidi w:val="0"/>
        <w:spacing w:before="152" w:line="280" w:lineRule="auto"/>
        <w:ind w:left="8" w:right="105" w:firstLine="47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3.3.1  </w:t>
      </w:r>
      <w:r>
        <w:rPr>
          <w:rFonts w:hint="eastAsia" w:ascii="宋体" w:hAnsi="宋体" w:eastAsia="宋体" w:cs="宋体"/>
          <w:color w:val="auto"/>
          <w:spacing w:val="0"/>
          <w:sz w:val="24"/>
          <w:szCs w:val="24"/>
          <w:highlight w:val="none"/>
        </w:rPr>
        <w:t>投标人须缴纳金额为</w:t>
      </w:r>
      <w:r>
        <w:rPr>
          <w:rFonts w:hint="eastAsia" w:ascii="宋体" w:hAnsi="宋体" w:eastAsia="宋体" w:cs="宋体"/>
          <w:color w:val="auto"/>
          <w:spacing w:val="0"/>
          <w:sz w:val="24"/>
          <w:szCs w:val="24"/>
          <w:highlight w:val="none"/>
          <w:u w:val="single"/>
          <w:lang w:val="en-US" w:eastAsia="zh-CN"/>
        </w:rPr>
        <w:t>50000.00</w:t>
      </w:r>
      <w:r>
        <w:rPr>
          <w:rFonts w:hint="eastAsia" w:ascii="宋体" w:hAnsi="宋体" w:eastAsia="宋体" w:cs="宋体"/>
          <w:color w:val="auto"/>
          <w:spacing w:val="0"/>
          <w:sz w:val="24"/>
          <w:szCs w:val="24"/>
          <w:highlight w:val="none"/>
          <w:u w:val="none"/>
          <w:lang w:val="en-US" w:eastAsia="zh-CN"/>
        </w:rPr>
        <w:t>元</w:t>
      </w:r>
      <w:r>
        <w:rPr>
          <w:rFonts w:hint="eastAsia" w:ascii="宋体" w:hAnsi="宋体" w:eastAsia="宋体" w:cs="宋体"/>
          <w:color w:val="auto"/>
          <w:spacing w:val="0"/>
          <w:sz w:val="24"/>
          <w:szCs w:val="24"/>
          <w:highlight w:val="none"/>
        </w:rPr>
        <w:t>人民币的投标保</w:t>
      </w:r>
      <w:r>
        <w:rPr>
          <w:rFonts w:hint="eastAsia" w:ascii="宋体" w:hAnsi="宋体" w:eastAsia="宋体" w:cs="宋体"/>
          <w:color w:val="auto"/>
          <w:spacing w:val="0"/>
          <w:sz w:val="24"/>
          <w:szCs w:val="24"/>
          <w:highlight w:val="none"/>
          <w:lang w:eastAsia="zh-CN"/>
        </w:rPr>
        <w:t>证金</w:t>
      </w:r>
      <w:r>
        <w:rPr>
          <w:rFonts w:hint="eastAsia" w:ascii="宋体" w:hAnsi="宋体" w:eastAsia="宋体" w:cs="宋体"/>
          <w:color w:val="auto"/>
          <w:spacing w:val="0"/>
          <w:sz w:val="24"/>
          <w:szCs w:val="24"/>
          <w:highlight w:val="none"/>
        </w:rPr>
        <w:t>。联合体投标的，由联合体牵头人缴纳。</w:t>
      </w:r>
    </w:p>
    <w:p w14:paraId="49A3D8D1">
      <w:pPr>
        <w:keepNext w:val="0"/>
        <w:keepLines w:val="0"/>
        <w:pageBreakBefore w:val="0"/>
        <w:wordWrap w:val="0"/>
        <w:overflowPunct/>
        <w:topLinePunct w:val="0"/>
        <w:bidi w:val="0"/>
        <w:spacing w:before="35" w:line="325" w:lineRule="auto"/>
        <w:ind w:left="12" w:right="108" w:firstLine="471"/>
        <w:rPr>
          <w:rFonts w:hint="eastAsia" w:ascii="宋体" w:hAnsi="宋体" w:eastAsia="宋体" w:cs="宋体"/>
          <w:color w:val="auto"/>
          <w:spacing w:val="0"/>
          <w:highlight w:val="none"/>
        </w:rPr>
      </w:pPr>
      <w:r>
        <w:rPr>
          <w:rFonts w:hint="eastAsia" w:ascii="宋体" w:hAnsi="宋体" w:eastAsia="宋体" w:cs="宋体"/>
          <w:b/>
          <w:bCs/>
          <w:color w:val="auto"/>
          <w:spacing w:val="0"/>
          <w:sz w:val="24"/>
          <w:szCs w:val="24"/>
          <w:highlight w:val="none"/>
        </w:rPr>
        <w:t xml:space="preserve">3.3.2  </w:t>
      </w:r>
      <w:r>
        <w:rPr>
          <w:rFonts w:hint="eastAsia" w:ascii="宋体" w:hAnsi="宋体" w:eastAsia="宋体" w:cs="宋体"/>
          <w:color w:val="auto"/>
          <w:spacing w:val="0"/>
          <w:sz w:val="24"/>
          <w:szCs w:val="24"/>
          <w:highlight w:val="none"/>
        </w:rPr>
        <w:t>投标保证的形式包括投标保证金、投标保证担保、投标保证保险三种，由投标人自主选择。</w:t>
      </w:r>
    </w:p>
    <w:p w14:paraId="6154F9AB">
      <w:pPr>
        <w:keepNext w:val="0"/>
        <w:keepLines w:val="0"/>
        <w:pageBreakBefore w:val="0"/>
        <w:wordWrap w:val="0"/>
        <w:overflowPunct/>
        <w:topLinePunct w:val="0"/>
        <w:bidi w:val="0"/>
        <w:spacing w:before="78" w:line="334" w:lineRule="auto"/>
        <w:ind w:left="12" w:right="2" w:firstLine="490"/>
        <w:jc w:val="both"/>
        <w:rPr>
          <w:rFonts w:hint="eastAsia" w:ascii="宋体" w:hAnsi="宋体" w:eastAsia="宋体" w:cs="宋体"/>
          <w:color w:val="auto"/>
          <w:spacing w:val="0"/>
          <w:sz w:val="24"/>
          <w:szCs w:val="24"/>
          <w:highlight w:val="none"/>
        </w:rPr>
      </w:pPr>
      <w:bookmarkStart w:id="19" w:name="bookmark117"/>
      <w:bookmarkEnd w:id="19"/>
      <w:r>
        <w:rPr>
          <w:rFonts w:hint="eastAsia" w:ascii="宋体" w:hAnsi="宋体" w:eastAsia="宋体" w:cs="宋体"/>
          <w:color w:val="auto"/>
          <w:spacing w:val="0"/>
          <w:sz w:val="24"/>
          <w:szCs w:val="24"/>
          <w:highlight w:val="none"/>
        </w:rPr>
        <w:t>（1）采用投标保证金的，投标人在建设工程交易系统获取招标文件完毕后，即可在系统申请缴纳投标保证金，获取本次招标投标保证金缴纳账号。投标人必须于投标保证金到账截止时间（见本招标文件“重要事项时间地点一览表 ”）前，从其基本账户将投标保证金转账到指定的缴纳账号。逾期到账的、从非投标人基本账户转出的，其投标无效。</w:t>
      </w:r>
    </w:p>
    <w:p w14:paraId="0AE85E36">
      <w:pPr>
        <w:keepNext w:val="0"/>
        <w:keepLines w:val="0"/>
        <w:pageBreakBefore w:val="0"/>
        <w:wordWrap w:val="0"/>
        <w:overflowPunct/>
        <w:topLinePunct w:val="0"/>
        <w:bidi w:val="0"/>
        <w:spacing w:before="78" w:line="334" w:lineRule="auto"/>
        <w:ind w:left="12" w:right="2" w:firstLine="49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（2）采用投标保证担保的，投标人应提交有效的电子保函或保证保险，电子保函或保证保险的有效期不得短于投标有效期。投标人必须在投标保证担保截止时间（详见“重要事项时间地点一览表 ”）前，使用工程建设交易系统完成网上办理电子保函或保证保险。</w:t>
      </w:r>
    </w:p>
    <w:p w14:paraId="3156D337">
      <w:pPr>
        <w:keepNext w:val="0"/>
        <w:keepLines w:val="0"/>
        <w:pageBreakBefore w:val="0"/>
        <w:wordWrap w:val="0"/>
        <w:overflowPunct/>
        <w:topLinePunct w:val="0"/>
        <w:bidi w:val="0"/>
        <w:spacing w:before="78" w:line="334" w:lineRule="auto"/>
        <w:ind w:left="12" w:right="2" w:firstLine="49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（3）采用投标保证保险的，投标人须在投标保证保险投保截止时间（见本招标文件“重要事项时间地点一览表 ”）前，使用建设工程交易系统完成网上投保。投标人可在系统选择保险机构、录入投保信息、支付保费、打印电子保单，电子保单的有效期不得短于投标有效期。投标人可登录全国公共资源交易平台（广东省·韶关市）（</w:t>
      </w:r>
      <w:r>
        <w:rPr>
          <w:rFonts w:hint="eastAsia" w:ascii="宋体" w:hAnsi="宋体" w:eastAsia="宋体" w:cs="宋体"/>
          <w:color w:val="auto"/>
          <w:spacing w:val="0"/>
          <w:sz w:val="24"/>
          <w:szCs w:val="24"/>
          <w:highlight w:val="none"/>
        </w:rPr>
        <w:fldChar w:fldCharType="begin"/>
      </w:r>
      <w:r>
        <w:rPr>
          <w:rFonts w:hint="eastAsia" w:ascii="宋体" w:hAnsi="宋体" w:eastAsia="宋体" w:cs="宋体"/>
          <w:color w:val="auto"/>
          <w:spacing w:val="0"/>
          <w:sz w:val="24"/>
          <w:szCs w:val="24"/>
          <w:highlight w:val="none"/>
        </w:rPr>
        <w:instrText xml:space="preserve"> HYPERLINK "https://ygp.gdzwfw.gov.cn/ggzy-portal/#/440200/index" </w:instrText>
      </w:r>
      <w:r>
        <w:rPr>
          <w:rFonts w:hint="eastAsia" w:ascii="宋体" w:hAnsi="宋体" w:eastAsia="宋体" w:cs="宋体"/>
          <w:color w:val="auto"/>
          <w:spacing w:val="0"/>
          <w:sz w:val="24"/>
          <w:szCs w:val="24"/>
          <w:highlight w:val="none"/>
        </w:rPr>
        <w:fldChar w:fldCharType="separate"/>
      </w:r>
      <w:r>
        <w:rPr>
          <w:rFonts w:hint="eastAsia" w:ascii="宋体" w:hAnsi="宋体" w:eastAsia="宋体" w:cs="宋体"/>
          <w:color w:val="auto"/>
          <w:spacing w:val="0"/>
          <w:sz w:val="24"/>
          <w:szCs w:val="24"/>
          <w:highlight w:val="none"/>
        </w:rPr>
        <w:t>https://ygp.gdzwfw.gov.cn/ggzy-portal/#/440200/index</w:t>
      </w:r>
      <w:r>
        <w:rPr>
          <w:rFonts w:hint="eastAsia" w:ascii="宋体" w:hAnsi="宋体" w:eastAsia="宋体" w:cs="宋体"/>
          <w:color w:val="auto"/>
          <w:spacing w:val="0"/>
          <w:sz w:val="24"/>
          <w:szCs w:val="24"/>
          <w:highlight w:val="none"/>
        </w:rPr>
        <w:fldChar w:fldCharType="end"/>
      </w:r>
      <w:r>
        <w:rPr>
          <w:rFonts w:hint="eastAsia" w:ascii="宋体" w:hAnsi="宋体" w:eastAsia="宋体" w:cs="宋体"/>
          <w:color w:val="auto"/>
          <w:spacing w:val="0"/>
          <w:sz w:val="24"/>
          <w:szCs w:val="24"/>
          <w:highlight w:val="none"/>
        </w:rPr>
        <w:t>），在【服务指南】栏目中下载《建设工程网上交易系统保险保证金缴纳操作指南》，了解网上投保具体操作流程。逾期投保的，其投标无效。</w:t>
      </w:r>
    </w:p>
    <w:p w14:paraId="60693A18">
      <w:pPr>
        <w:keepNext w:val="0"/>
        <w:keepLines w:val="0"/>
        <w:pageBreakBefore w:val="0"/>
        <w:wordWrap w:val="0"/>
        <w:overflowPunct/>
        <w:topLinePunct w:val="0"/>
        <w:bidi w:val="0"/>
        <w:spacing w:before="78" w:line="334" w:lineRule="auto"/>
        <w:ind w:left="12" w:right="2" w:firstLine="49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温馨提示：1.投标人采用投标保证担保或投标保证保险的，为避免在评标过程中因有效期发生争议，建议投标人将银行保函或电子保单有效期设置为较招标文件规定的投标有效期延长不少于 20 个日历天。</w:t>
      </w:r>
    </w:p>
    <w:p w14:paraId="564850C5">
      <w:pPr>
        <w:keepNext w:val="0"/>
        <w:keepLines w:val="0"/>
        <w:pageBreakBefore w:val="0"/>
        <w:wordWrap w:val="0"/>
        <w:overflowPunct/>
        <w:topLinePunct w:val="0"/>
        <w:bidi w:val="0"/>
        <w:spacing w:before="78" w:line="334" w:lineRule="auto"/>
        <w:ind w:left="12" w:right="2" w:firstLine="490"/>
        <w:jc w:val="both"/>
        <w:rPr>
          <w:rFonts w:hint="eastAsia" w:ascii="宋体" w:hAnsi="宋体" w:eastAsia="宋体" w:cs="宋体"/>
          <w:color w:val="auto"/>
          <w:spacing w:val="0"/>
          <w:highlight w:val="none"/>
        </w:rPr>
      </w:pPr>
      <w:r>
        <w:rPr>
          <w:rFonts w:hint="eastAsia" w:ascii="宋体" w:hAnsi="宋体" w:eastAsia="宋体" w:cs="宋体"/>
          <w:b/>
          <w:bCs/>
          <w:color w:val="auto"/>
          <w:spacing w:val="0"/>
          <w:sz w:val="24"/>
          <w:szCs w:val="24"/>
          <w:highlight w:val="none"/>
        </w:rPr>
        <w:t xml:space="preserve">3.4 </w:t>
      </w:r>
      <w:r>
        <w:rPr>
          <w:rFonts w:hint="eastAsia" w:ascii="宋体" w:hAnsi="宋体" w:eastAsia="宋体" w:cs="宋体"/>
          <w:color w:val="auto"/>
          <w:spacing w:val="0"/>
          <w:sz w:val="24"/>
          <w:szCs w:val="24"/>
          <w:highlight w:val="none"/>
        </w:rPr>
        <w:t xml:space="preserve"> 若投标人因自身原因未能正确完成获取招标文件、电子投标、缴纳投标保</w:t>
      </w:r>
      <w:r>
        <w:rPr>
          <w:rFonts w:hint="eastAsia" w:ascii="宋体" w:hAnsi="宋体" w:eastAsia="宋体" w:cs="宋体"/>
          <w:color w:val="auto"/>
          <w:spacing w:val="0"/>
          <w:sz w:val="24"/>
          <w:szCs w:val="24"/>
          <w:highlight w:val="none"/>
          <w:lang w:eastAsia="zh-CN"/>
        </w:rPr>
        <w:t>证金</w:t>
      </w:r>
      <w:r>
        <w:rPr>
          <w:rFonts w:hint="eastAsia" w:ascii="宋体" w:hAnsi="宋体" w:eastAsia="宋体" w:cs="宋体"/>
          <w:color w:val="auto"/>
          <w:spacing w:val="0"/>
          <w:sz w:val="24"/>
          <w:szCs w:val="24"/>
          <w:highlight w:val="none"/>
        </w:rPr>
        <w:t>的，其投标无效。</w:t>
      </w:r>
    </w:p>
    <w:p w14:paraId="373B7BE7">
      <w:pPr>
        <w:keepNext w:val="0"/>
        <w:keepLines w:val="0"/>
        <w:pageBreakBefore w:val="0"/>
        <w:wordWrap w:val="0"/>
        <w:overflowPunct/>
        <w:topLinePunct w:val="0"/>
        <w:bidi w:val="0"/>
        <w:spacing w:before="79" w:line="221" w:lineRule="auto"/>
        <w:ind w:left="487"/>
        <w:outlineLvl w:val="2"/>
        <w:rPr>
          <w:rFonts w:hint="eastAsia" w:ascii="宋体" w:hAnsi="宋体" w:eastAsia="宋体" w:cs="宋体"/>
          <w:color w:val="auto"/>
          <w:spacing w:val="0"/>
          <w:sz w:val="24"/>
          <w:szCs w:val="24"/>
          <w:highlight w:val="none"/>
        </w:rPr>
      </w:pPr>
      <w:bookmarkStart w:id="20" w:name="bookmark78"/>
      <w:bookmarkEnd w:id="20"/>
      <w:bookmarkStart w:id="21" w:name="bookmark64"/>
      <w:bookmarkEnd w:id="21"/>
      <w:bookmarkStart w:id="22" w:name="_Toc15498"/>
      <w:bookmarkStart w:id="23" w:name="_Toc12428"/>
      <w:r>
        <w:rPr>
          <w:rFonts w:hint="eastAsia" w:ascii="宋体" w:hAnsi="宋体" w:eastAsia="宋体" w:cs="宋体"/>
          <w:b/>
          <w:bCs/>
          <w:color w:val="auto"/>
          <w:spacing w:val="0"/>
          <w:sz w:val="24"/>
          <w:szCs w:val="24"/>
          <w:highlight w:val="none"/>
        </w:rPr>
        <w:t>4</w:t>
      </w:r>
      <w:r>
        <w:rPr>
          <w:rFonts w:hint="eastAsia" w:ascii="宋体" w:hAnsi="宋体" w:eastAsia="宋体" w:cs="宋体"/>
          <w:b/>
          <w:bCs/>
          <w:color w:val="auto"/>
          <w:spacing w:val="0"/>
          <w:sz w:val="24"/>
          <w:szCs w:val="24"/>
          <w:highlight w:val="none"/>
          <w:lang w:val="en-US" w:eastAsia="zh-CN"/>
        </w:rPr>
        <w:t xml:space="preserve"> </w:t>
      </w:r>
      <w:r>
        <w:rPr>
          <w:rFonts w:hint="eastAsia" w:ascii="宋体" w:hAnsi="宋体" w:eastAsia="宋体" w:cs="宋体"/>
          <w:b/>
          <w:bCs/>
          <w:color w:val="auto"/>
          <w:spacing w:val="0"/>
          <w:sz w:val="24"/>
          <w:szCs w:val="24"/>
          <w:highlight w:val="none"/>
        </w:rPr>
        <w:t>．工期要求</w:t>
      </w:r>
      <w:bookmarkEnd w:id="22"/>
      <w:bookmarkEnd w:id="23"/>
    </w:p>
    <w:p w14:paraId="5D575512">
      <w:pPr>
        <w:keepNext w:val="0"/>
        <w:keepLines w:val="0"/>
        <w:pageBreakBefore w:val="0"/>
        <w:wordWrap w:val="0"/>
        <w:overflowPunct/>
        <w:topLinePunct w:val="0"/>
        <w:bidi w:val="0"/>
        <w:spacing w:before="153" w:line="324" w:lineRule="auto"/>
        <w:ind w:left="30" w:right="65" w:firstLine="46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本招标项目招标工期为</w:t>
      </w:r>
      <w:r>
        <w:rPr>
          <w:rFonts w:hint="eastAsia" w:ascii="宋体" w:hAnsi="宋体" w:eastAsia="宋体" w:cs="宋体"/>
          <w:color w:val="auto"/>
          <w:spacing w:val="0"/>
          <w:sz w:val="24"/>
          <w:szCs w:val="24"/>
          <w:highlight w:val="none"/>
          <w:u w:val="single"/>
          <w:lang w:val="en-US" w:eastAsia="zh-CN"/>
        </w:rPr>
        <w:t>180个日历天</w:t>
      </w:r>
      <w:r>
        <w:rPr>
          <w:rFonts w:hint="eastAsia" w:ascii="宋体" w:hAnsi="宋体" w:eastAsia="宋体" w:cs="宋体"/>
          <w:color w:val="auto"/>
          <w:spacing w:val="0"/>
          <w:sz w:val="24"/>
          <w:szCs w:val="24"/>
          <w:highlight w:val="none"/>
        </w:rPr>
        <w:t>，中标人必须在招标工期内完成招标范围内的全部内容。</w:t>
      </w:r>
    </w:p>
    <w:p w14:paraId="05CB15AA">
      <w:pPr>
        <w:keepNext w:val="0"/>
        <w:keepLines w:val="0"/>
        <w:pageBreakBefore w:val="0"/>
        <w:wordWrap w:val="0"/>
        <w:overflowPunct/>
        <w:topLinePunct w:val="0"/>
        <w:bidi w:val="0"/>
        <w:spacing w:before="78" w:line="219" w:lineRule="auto"/>
        <w:ind w:left="488"/>
        <w:outlineLvl w:val="2"/>
        <w:rPr>
          <w:rFonts w:hint="eastAsia" w:ascii="宋体" w:hAnsi="宋体" w:eastAsia="宋体" w:cs="宋体"/>
          <w:color w:val="auto"/>
          <w:spacing w:val="0"/>
          <w:sz w:val="24"/>
          <w:szCs w:val="24"/>
          <w:highlight w:val="none"/>
        </w:rPr>
      </w:pPr>
      <w:bookmarkStart w:id="24" w:name="_Toc4154"/>
      <w:bookmarkStart w:id="25" w:name="_Toc24366"/>
      <w:r>
        <w:rPr>
          <w:rFonts w:hint="eastAsia" w:ascii="宋体" w:hAnsi="宋体" w:eastAsia="宋体" w:cs="宋体"/>
          <w:b/>
          <w:bCs/>
          <w:color w:val="auto"/>
          <w:spacing w:val="0"/>
          <w:sz w:val="24"/>
          <w:szCs w:val="24"/>
          <w:highlight w:val="none"/>
        </w:rPr>
        <w:t>5</w:t>
      </w:r>
      <w:r>
        <w:rPr>
          <w:rFonts w:hint="eastAsia" w:ascii="宋体" w:hAnsi="宋体" w:eastAsia="宋体" w:cs="宋体"/>
          <w:b/>
          <w:bCs/>
          <w:color w:val="auto"/>
          <w:spacing w:val="0"/>
          <w:sz w:val="24"/>
          <w:szCs w:val="24"/>
          <w:highlight w:val="none"/>
          <w:lang w:val="en-US" w:eastAsia="zh-CN"/>
        </w:rPr>
        <w:t xml:space="preserve"> </w:t>
      </w:r>
      <w:r>
        <w:rPr>
          <w:rFonts w:hint="eastAsia" w:ascii="宋体" w:hAnsi="宋体" w:eastAsia="宋体" w:cs="宋体"/>
          <w:b/>
          <w:bCs/>
          <w:color w:val="auto"/>
          <w:spacing w:val="0"/>
          <w:sz w:val="24"/>
          <w:szCs w:val="24"/>
          <w:highlight w:val="none"/>
        </w:rPr>
        <w:t>．质量标准和材料、机械要求</w:t>
      </w:r>
      <w:bookmarkEnd w:id="24"/>
      <w:bookmarkEnd w:id="25"/>
    </w:p>
    <w:p w14:paraId="7494D476">
      <w:pPr>
        <w:keepNext w:val="0"/>
        <w:keepLines w:val="0"/>
        <w:pageBreakBefore w:val="0"/>
        <w:wordWrap w:val="0"/>
        <w:overflowPunct/>
        <w:topLinePunct w:val="0"/>
        <w:bidi w:val="0"/>
        <w:spacing w:before="154" w:line="279" w:lineRule="auto"/>
        <w:ind w:left="11" w:right="99" w:firstLine="477"/>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5.1  </w:t>
      </w:r>
      <w:r>
        <w:rPr>
          <w:rFonts w:hint="eastAsia" w:ascii="宋体" w:hAnsi="宋体" w:eastAsia="宋体" w:cs="宋体"/>
          <w:color w:val="auto"/>
          <w:spacing w:val="0"/>
          <w:sz w:val="24"/>
          <w:szCs w:val="24"/>
          <w:highlight w:val="none"/>
        </w:rPr>
        <w:t>施工工艺严格按照国家和广东省的有关现行施工技术规范及标准执行，工程质量标准</w:t>
      </w:r>
      <w:r>
        <w:rPr>
          <w:rFonts w:hint="eastAsia" w:ascii="宋体" w:hAnsi="宋体" w:eastAsia="宋体" w:cs="宋体"/>
          <w:color w:val="auto"/>
          <w:spacing w:val="0"/>
          <w:sz w:val="24"/>
          <w:szCs w:val="24"/>
          <w:highlight w:val="none"/>
          <w:u w:val="single"/>
          <w:lang w:val="en-US" w:eastAsia="zh-CN"/>
        </w:rPr>
        <w:t>符合现行国家有关工程施工质量验收规范和标准的要求，达到验收合格标准</w:t>
      </w:r>
      <w:r>
        <w:rPr>
          <w:rFonts w:hint="eastAsia" w:ascii="宋体" w:hAnsi="宋体" w:eastAsia="宋体" w:cs="宋体"/>
          <w:color w:val="auto"/>
          <w:spacing w:val="0"/>
          <w:sz w:val="24"/>
          <w:szCs w:val="24"/>
          <w:highlight w:val="none"/>
        </w:rPr>
        <w:t>。</w:t>
      </w:r>
    </w:p>
    <w:p w14:paraId="647BD6D6">
      <w:pPr>
        <w:keepNext w:val="0"/>
        <w:keepLines w:val="0"/>
        <w:pageBreakBefore w:val="0"/>
        <w:wordWrap w:val="0"/>
        <w:overflowPunct/>
        <w:topLinePunct w:val="0"/>
        <w:bidi w:val="0"/>
        <w:spacing w:before="154" w:line="279" w:lineRule="auto"/>
        <w:ind w:left="10" w:right="99" w:firstLine="558"/>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5.2</w:t>
      </w:r>
      <w:r>
        <w:rPr>
          <w:rFonts w:hint="eastAsia" w:ascii="宋体" w:hAnsi="宋体" w:eastAsia="宋体" w:cs="宋体"/>
          <w:b/>
          <w:bCs/>
          <w:color w:val="auto"/>
          <w:spacing w:val="0"/>
          <w:w w:val="101"/>
          <w:sz w:val="24"/>
          <w:szCs w:val="24"/>
          <w:highlight w:val="none"/>
        </w:rPr>
        <w:t xml:space="preserve">  </w:t>
      </w:r>
      <w:r>
        <w:rPr>
          <w:rFonts w:hint="eastAsia" w:ascii="宋体" w:hAnsi="宋体" w:eastAsia="宋体" w:cs="宋体"/>
          <w:color w:val="auto"/>
          <w:spacing w:val="0"/>
          <w:sz w:val="24"/>
          <w:szCs w:val="24"/>
          <w:highlight w:val="none"/>
        </w:rPr>
        <w:t>中标人在施工中如果工程质量不符合设计要求和有关规定，招标人或监理单位要求停工和返工的必须立即执行，并承担由此产生的各种费用，工期不予顺延。</w:t>
      </w:r>
    </w:p>
    <w:p w14:paraId="5C4B0F13">
      <w:pPr>
        <w:keepNext w:val="0"/>
        <w:keepLines w:val="0"/>
        <w:pageBreakBefore w:val="0"/>
        <w:wordWrap w:val="0"/>
        <w:overflowPunct/>
        <w:topLinePunct w:val="0"/>
        <w:bidi w:val="0"/>
        <w:spacing w:before="152" w:line="309" w:lineRule="auto"/>
        <w:ind w:left="9" w:firstLine="568"/>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5.3  </w:t>
      </w:r>
      <w:r>
        <w:rPr>
          <w:rFonts w:hint="eastAsia" w:ascii="宋体" w:hAnsi="宋体" w:eastAsia="宋体" w:cs="宋体"/>
          <w:color w:val="auto"/>
          <w:spacing w:val="0"/>
          <w:sz w:val="24"/>
          <w:szCs w:val="24"/>
          <w:highlight w:val="none"/>
        </w:rPr>
        <w:t>保修期限按《建设工程质量管理条例》（中华人民共和国国务院令第 279号）规定执行，在保修期内因施工质量问题而造成返修，一切费用由中标人负责。中标人在向招标人提交竣工验收报告时，应当向招标人出具质量保修书。质量保修书中应当明确建设工程的保修范围、保修期限和保修责任等。</w:t>
      </w:r>
    </w:p>
    <w:p w14:paraId="31F10963">
      <w:pPr>
        <w:keepNext w:val="0"/>
        <w:keepLines w:val="0"/>
        <w:pageBreakBefore w:val="0"/>
        <w:wordWrap w:val="0"/>
        <w:overflowPunct/>
        <w:topLinePunct w:val="0"/>
        <w:bidi w:val="0"/>
        <w:spacing w:before="152" w:line="309" w:lineRule="auto"/>
        <w:ind w:left="9" w:firstLine="568"/>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5.4</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sz w:val="24"/>
          <w:szCs w:val="24"/>
          <w:highlight w:val="none"/>
          <w:lang w:val="en-US" w:eastAsia="zh-CN"/>
        </w:rPr>
        <w:t>根据韶关市人民政府《关于加快推进全市绿色建筑发展工作的通知》（韶府办明电〔2013〕277 号）有关规定，结合《韶关市住建管理局关于贯彻落实&lt;广东省绿色建筑条例&gt;有关工作的通知》（韶市建字〔2021〕85 号）等有关规定，</w:t>
      </w:r>
      <w:r>
        <w:rPr>
          <w:rFonts w:hint="eastAsia" w:ascii="宋体" w:hAnsi="宋体" w:eastAsia="宋体" w:cs="宋体"/>
          <w:color w:val="auto"/>
          <w:spacing w:val="0"/>
          <w:sz w:val="24"/>
          <w:szCs w:val="24"/>
          <w:highlight w:val="none"/>
        </w:rPr>
        <w:t>本招标项目</w:t>
      </w:r>
      <w:r>
        <w:rPr>
          <w:rFonts w:hint="eastAsia" w:ascii="宋体" w:hAnsi="宋体" w:eastAsia="宋体" w:cs="宋体"/>
          <w:color w:val="auto"/>
          <w:spacing w:val="0"/>
          <w:sz w:val="24"/>
          <w:szCs w:val="24"/>
          <w:highlight w:val="none"/>
          <w:lang w:val="en-US" w:eastAsia="zh-CN"/>
        </w:rPr>
        <w:t>不</w:t>
      </w:r>
      <w:r>
        <w:rPr>
          <w:rFonts w:hint="eastAsia" w:ascii="宋体" w:hAnsi="宋体" w:eastAsia="宋体" w:cs="宋体"/>
          <w:color w:val="auto"/>
          <w:spacing w:val="0"/>
          <w:sz w:val="24"/>
          <w:szCs w:val="24"/>
          <w:highlight w:val="none"/>
        </w:rPr>
        <w:t>纳入绿色建设实施范围</w:t>
      </w:r>
      <w:r>
        <w:rPr>
          <w:rFonts w:hint="eastAsia" w:ascii="宋体" w:hAnsi="宋体" w:eastAsia="宋体" w:cs="宋体"/>
          <w:color w:val="auto"/>
          <w:spacing w:val="0"/>
          <w:sz w:val="24"/>
          <w:szCs w:val="24"/>
          <w:highlight w:val="none"/>
          <w:lang w:eastAsia="zh-CN"/>
        </w:rPr>
        <w:t>。</w:t>
      </w:r>
    </w:p>
    <w:p w14:paraId="7F4BE26F">
      <w:pPr>
        <w:keepNext w:val="0"/>
        <w:keepLines w:val="0"/>
        <w:pageBreakBefore w:val="0"/>
        <w:wordWrap w:val="0"/>
        <w:overflowPunct/>
        <w:topLinePunct w:val="0"/>
        <w:bidi w:val="0"/>
        <w:spacing w:before="152" w:line="309" w:lineRule="auto"/>
        <w:ind w:left="9" w:firstLine="568"/>
        <w:rPr>
          <w:rFonts w:hint="eastAsia" w:ascii="宋体" w:hAnsi="宋体" w:eastAsia="宋体" w:cs="宋体"/>
          <w:color w:val="auto"/>
          <w:spacing w:val="0"/>
          <w:sz w:val="24"/>
          <w:szCs w:val="24"/>
          <w:highlight w:val="none"/>
          <w:lang w:val="en-US" w:eastAsia="zh-CN"/>
        </w:rPr>
      </w:pPr>
      <w:r>
        <w:rPr>
          <w:rFonts w:hint="eastAsia" w:ascii="宋体" w:hAnsi="宋体" w:eastAsia="宋体" w:cs="宋体"/>
          <w:b/>
          <w:bCs/>
          <w:color w:val="auto"/>
          <w:spacing w:val="0"/>
          <w:sz w:val="24"/>
          <w:szCs w:val="24"/>
          <w:highlight w:val="none"/>
        </w:rPr>
        <w:t>5.5</w:t>
      </w:r>
      <w:r>
        <w:rPr>
          <w:rFonts w:hint="eastAsia" w:ascii="宋体" w:hAnsi="宋体" w:eastAsia="宋体" w:cs="宋体"/>
          <w:color w:val="auto"/>
          <w:spacing w:val="0"/>
          <w:sz w:val="24"/>
          <w:szCs w:val="24"/>
          <w:highlight w:val="none"/>
        </w:rPr>
        <w:t xml:space="preserve">  其它：</w:t>
      </w:r>
      <w:r>
        <w:rPr>
          <w:rFonts w:hint="eastAsia" w:ascii="宋体" w:hAnsi="宋体" w:eastAsia="宋体" w:cs="宋体"/>
          <w:color w:val="auto"/>
          <w:spacing w:val="0"/>
          <w:sz w:val="24"/>
          <w:szCs w:val="24"/>
          <w:highlight w:val="none"/>
          <w:lang w:eastAsia="zh-CN"/>
        </w:rPr>
        <w:t>本招标项目</w:t>
      </w:r>
      <w:r>
        <w:rPr>
          <w:rFonts w:hint="eastAsia" w:ascii="宋体" w:hAnsi="宋体" w:eastAsia="宋体" w:cs="宋体"/>
          <w:color w:val="auto"/>
          <w:spacing w:val="0"/>
          <w:sz w:val="24"/>
          <w:szCs w:val="24"/>
          <w:highlight w:val="none"/>
          <w:lang w:val="en-US" w:eastAsia="zh-CN"/>
        </w:rPr>
        <w:t>不</w:t>
      </w:r>
      <w:r>
        <w:rPr>
          <w:rFonts w:hint="eastAsia" w:ascii="宋体" w:hAnsi="宋体" w:eastAsia="宋体" w:cs="宋体"/>
          <w:color w:val="auto"/>
          <w:spacing w:val="0"/>
          <w:sz w:val="24"/>
          <w:szCs w:val="24"/>
          <w:highlight w:val="none"/>
          <w:lang w:eastAsia="zh-CN"/>
        </w:rPr>
        <w:t>纳入装配式建造建设实施范围。</w:t>
      </w:r>
    </w:p>
    <w:p w14:paraId="05989918">
      <w:pPr>
        <w:keepNext w:val="0"/>
        <w:keepLines w:val="0"/>
        <w:pageBreakBefore w:val="0"/>
        <w:wordWrap w:val="0"/>
        <w:overflowPunct/>
        <w:topLinePunct w:val="0"/>
        <w:bidi w:val="0"/>
        <w:spacing w:before="152" w:line="309" w:lineRule="auto"/>
        <w:ind w:left="9" w:firstLine="568"/>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5.6</w:t>
      </w:r>
      <w:r>
        <w:rPr>
          <w:rFonts w:hint="eastAsia" w:ascii="宋体" w:hAnsi="宋体" w:eastAsia="宋体" w:cs="宋体"/>
          <w:color w:val="auto"/>
          <w:spacing w:val="0"/>
          <w:sz w:val="24"/>
          <w:szCs w:val="24"/>
          <w:highlight w:val="none"/>
        </w:rPr>
        <w:t xml:space="preserve">  其它：本招标文件（包括答疑纪要、补充及修改文件）中招标人对材料或设备有明确要求的，投标人必须响应招标人要求，如投标人在投标文件未明确响应者视为默认；或投标人在投标文件中的虽有响应但不符合招标人要求的，视为无效响应，中标后必须按招标人要求执行。如招标人在招标文件中对材料或设备没有明确要求</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则中标人必须使用合格材料或设备。</w:t>
      </w:r>
    </w:p>
    <w:p w14:paraId="05FFC613">
      <w:pPr>
        <w:keepNext w:val="0"/>
        <w:keepLines w:val="0"/>
        <w:pageBreakBefore w:val="0"/>
        <w:wordWrap w:val="0"/>
        <w:overflowPunct/>
        <w:topLinePunct w:val="0"/>
        <w:bidi w:val="0"/>
        <w:spacing w:before="152" w:line="309" w:lineRule="auto"/>
        <w:ind w:left="9" w:firstLine="568"/>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5.</w:t>
      </w:r>
      <w:r>
        <w:rPr>
          <w:rFonts w:hint="eastAsia" w:ascii="宋体" w:hAnsi="宋体" w:eastAsia="宋体" w:cs="宋体"/>
          <w:b/>
          <w:bCs/>
          <w:color w:val="auto"/>
          <w:spacing w:val="0"/>
          <w:sz w:val="24"/>
          <w:szCs w:val="24"/>
          <w:highlight w:val="none"/>
          <w:lang w:eastAsia="zh-CN"/>
        </w:rPr>
        <w:t>7</w:t>
      </w:r>
      <w:r>
        <w:rPr>
          <w:rFonts w:hint="eastAsia" w:ascii="宋体" w:hAnsi="宋体" w:eastAsia="宋体" w:cs="宋体"/>
          <w:color w:val="auto"/>
          <w:spacing w:val="0"/>
          <w:sz w:val="24"/>
          <w:szCs w:val="24"/>
          <w:highlight w:val="none"/>
        </w:rPr>
        <w:t xml:space="preserve"> 工程使用的主要材料质量要求：不低于强制标准、招标工程量清单所列的要求，主要材料必须先提供样板或相关资料给招标人和监理工程师验收，同意确定其规格、型号、颜色、等级等，并经发包人委托的第三方检测部门检测合格方可使用，所有材料必须使用合格产品。</w:t>
      </w:r>
    </w:p>
    <w:p w14:paraId="4FE3ECD1">
      <w:pPr>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br w:type="page"/>
      </w:r>
    </w:p>
    <w:p w14:paraId="3166AA32">
      <w:pPr>
        <w:keepNext w:val="0"/>
        <w:keepLines w:val="0"/>
        <w:pageBreakBefore w:val="0"/>
        <w:wordWrap w:val="0"/>
        <w:overflowPunct/>
        <w:topLinePunct w:val="0"/>
        <w:bidi w:val="0"/>
        <w:spacing w:before="78" w:line="220" w:lineRule="auto"/>
        <w:ind w:left="489"/>
        <w:outlineLvl w:val="2"/>
        <w:rPr>
          <w:rFonts w:hint="eastAsia" w:ascii="宋体" w:hAnsi="宋体" w:eastAsia="宋体" w:cs="宋体"/>
          <w:color w:val="auto"/>
          <w:spacing w:val="0"/>
          <w:sz w:val="24"/>
          <w:szCs w:val="24"/>
          <w:highlight w:val="none"/>
        </w:rPr>
      </w:pPr>
      <w:bookmarkStart w:id="26" w:name="_Toc7763"/>
      <w:bookmarkStart w:id="27" w:name="_Toc30402"/>
      <w:r>
        <w:rPr>
          <w:rFonts w:hint="eastAsia" w:ascii="宋体" w:hAnsi="宋体" w:eastAsia="宋体" w:cs="宋体"/>
          <w:b/>
          <w:bCs/>
          <w:color w:val="auto"/>
          <w:spacing w:val="0"/>
          <w:sz w:val="24"/>
          <w:szCs w:val="24"/>
          <w:highlight w:val="none"/>
        </w:rPr>
        <w:t>6 ．施工条件及现场踏勘</w:t>
      </w:r>
      <w:bookmarkEnd w:id="26"/>
      <w:bookmarkEnd w:id="27"/>
    </w:p>
    <w:p w14:paraId="1964C686">
      <w:pPr>
        <w:keepNext w:val="0"/>
        <w:keepLines w:val="0"/>
        <w:pageBreakBefore w:val="0"/>
        <w:wordWrap w:val="0"/>
        <w:overflowPunct/>
        <w:topLinePunct w:val="0"/>
        <w:bidi w:val="0"/>
        <w:spacing w:before="155" w:line="324" w:lineRule="auto"/>
        <w:ind w:left="12" w:right="99" w:firstLine="55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6.1  </w:t>
      </w:r>
      <w:r>
        <w:rPr>
          <w:rFonts w:hint="eastAsia" w:ascii="宋体" w:hAnsi="宋体" w:eastAsia="宋体" w:cs="宋体"/>
          <w:color w:val="auto"/>
          <w:spacing w:val="0"/>
          <w:sz w:val="24"/>
          <w:szCs w:val="24"/>
          <w:highlight w:val="none"/>
        </w:rPr>
        <w:t>招标人仅在本招标项目征地红线范围内提供场地，其他一切场地费用由中标人自行负责（含临时道路</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lang w:val="en-US" w:eastAsia="zh-CN"/>
        </w:rPr>
        <w:t>临时道路需要招标人要求保证但不限于保留至少一条足够行人通行的临时道路</w:t>
      </w:r>
      <w:r>
        <w:rPr>
          <w:rFonts w:hint="eastAsia" w:ascii="宋体" w:hAnsi="宋体" w:eastAsia="宋体" w:cs="宋体"/>
          <w:color w:val="auto"/>
          <w:spacing w:val="0"/>
          <w:sz w:val="24"/>
          <w:szCs w:val="24"/>
          <w:highlight w:val="none"/>
        </w:rPr>
        <w:t>）。</w:t>
      </w:r>
    </w:p>
    <w:p w14:paraId="58A32A99">
      <w:pPr>
        <w:keepNext w:val="0"/>
        <w:keepLines w:val="0"/>
        <w:pageBreakBefore w:val="0"/>
        <w:wordWrap w:val="0"/>
        <w:overflowPunct/>
        <w:topLinePunct w:val="0"/>
        <w:bidi w:val="0"/>
        <w:spacing w:before="155" w:line="324" w:lineRule="auto"/>
        <w:ind w:left="12" w:right="99" w:firstLine="556"/>
        <w:rPr>
          <w:rFonts w:hint="eastAsia" w:ascii="宋体" w:hAnsi="宋体" w:eastAsia="宋体" w:cs="宋体"/>
          <w:color w:val="auto"/>
          <w:spacing w:val="0"/>
          <w:sz w:val="24"/>
          <w:szCs w:val="24"/>
          <w:highlight w:val="none"/>
        </w:rPr>
      </w:pPr>
      <w:bookmarkStart w:id="28" w:name="bookmark118"/>
      <w:bookmarkEnd w:id="28"/>
      <w:r>
        <w:rPr>
          <w:rFonts w:hint="eastAsia" w:ascii="宋体" w:hAnsi="宋体" w:eastAsia="宋体" w:cs="宋体"/>
          <w:b/>
          <w:bCs/>
          <w:color w:val="auto"/>
          <w:spacing w:val="0"/>
          <w:sz w:val="24"/>
          <w:szCs w:val="24"/>
          <w:highlight w:val="none"/>
        </w:rPr>
        <w:t>6.2</w:t>
      </w:r>
      <w:r>
        <w:rPr>
          <w:rFonts w:hint="eastAsia" w:ascii="宋体" w:hAnsi="宋体" w:eastAsia="宋体" w:cs="宋体"/>
          <w:color w:val="auto"/>
          <w:spacing w:val="0"/>
          <w:sz w:val="24"/>
          <w:szCs w:val="24"/>
          <w:highlight w:val="none"/>
        </w:rPr>
        <w:t xml:space="preserve">  施工用水：</w:t>
      </w:r>
      <w:r>
        <w:rPr>
          <w:rFonts w:hint="eastAsia" w:ascii="宋体" w:hAnsi="宋体" w:eastAsia="宋体" w:cs="宋体"/>
          <w:color w:val="auto"/>
          <w:spacing w:val="0"/>
          <w:sz w:val="24"/>
          <w:szCs w:val="24"/>
          <w:highlight w:val="none"/>
          <w:u w:val="single"/>
        </w:rPr>
        <w:t xml:space="preserve"> 由中标人自行解决，费用考虑在投标报价中</w:t>
      </w:r>
      <w:r>
        <w:rPr>
          <w:rFonts w:hint="eastAsia" w:ascii="宋体" w:hAnsi="宋体" w:eastAsia="宋体" w:cs="宋体"/>
          <w:color w:val="auto"/>
          <w:spacing w:val="0"/>
          <w:sz w:val="24"/>
          <w:szCs w:val="24"/>
          <w:highlight w:val="none"/>
        </w:rPr>
        <w:t>。</w:t>
      </w:r>
    </w:p>
    <w:p w14:paraId="6E1DAE31">
      <w:pPr>
        <w:keepNext w:val="0"/>
        <w:keepLines w:val="0"/>
        <w:pageBreakBefore w:val="0"/>
        <w:wordWrap w:val="0"/>
        <w:overflowPunct/>
        <w:topLinePunct w:val="0"/>
        <w:bidi w:val="0"/>
        <w:spacing w:before="155" w:line="324" w:lineRule="auto"/>
        <w:ind w:left="12" w:right="99" w:firstLine="55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6.3</w:t>
      </w:r>
      <w:r>
        <w:rPr>
          <w:rFonts w:hint="eastAsia" w:ascii="宋体" w:hAnsi="宋体" w:eastAsia="宋体" w:cs="宋体"/>
          <w:color w:val="auto"/>
          <w:spacing w:val="0"/>
          <w:sz w:val="24"/>
          <w:szCs w:val="24"/>
          <w:highlight w:val="none"/>
        </w:rPr>
        <w:t xml:space="preserve">  施工用电：</w:t>
      </w:r>
      <w:r>
        <w:rPr>
          <w:rFonts w:hint="eastAsia" w:ascii="宋体" w:hAnsi="宋体" w:eastAsia="宋体" w:cs="宋体"/>
          <w:color w:val="auto"/>
          <w:spacing w:val="0"/>
          <w:sz w:val="24"/>
          <w:szCs w:val="24"/>
          <w:highlight w:val="none"/>
          <w:u w:val="single"/>
        </w:rPr>
        <w:t xml:space="preserve"> 由中标人自行解决，费用考虑在投标报价中</w:t>
      </w:r>
      <w:r>
        <w:rPr>
          <w:rFonts w:hint="eastAsia" w:ascii="宋体" w:hAnsi="宋体" w:eastAsia="宋体" w:cs="宋体"/>
          <w:color w:val="auto"/>
          <w:spacing w:val="0"/>
          <w:sz w:val="24"/>
          <w:szCs w:val="24"/>
          <w:highlight w:val="none"/>
        </w:rPr>
        <w:t>。</w:t>
      </w:r>
    </w:p>
    <w:p w14:paraId="7428D44F">
      <w:pPr>
        <w:keepNext w:val="0"/>
        <w:keepLines w:val="0"/>
        <w:pageBreakBefore w:val="0"/>
        <w:wordWrap w:val="0"/>
        <w:overflowPunct/>
        <w:topLinePunct w:val="0"/>
        <w:bidi w:val="0"/>
        <w:spacing w:before="155" w:line="324" w:lineRule="auto"/>
        <w:ind w:left="12" w:right="99" w:firstLine="55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6.4</w:t>
      </w:r>
      <w:r>
        <w:rPr>
          <w:rFonts w:hint="eastAsia" w:ascii="宋体" w:hAnsi="宋体" w:eastAsia="宋体" w:cs="宋体"/>
          <w:color w:val="auto"/>
          <w:spacing w:val="0"/>
          <w:sz w:val="24"/>
          <w:szCs w:val="24"/>
          <w:highlight w:val="none"/>
        </w:rPr>
        <w:t xml:space="preserve">  施工用水、用电各提供一驳接点到现场边缘。要求中标人单独安装水表、电表，其水、电费按项目所在地</w:t>
      </w:r>
      <w:r>
        <w:rPr>
          <w:rFonts w:hint="eastAsia" w:ascii="宋体" w:hAnsi="宋体" w:eastAsia="宋体" w:cs="宋体"/>
          <w:color w:val="auto"/>
          <w:spacing w:val="0"/>
          <w:sz w:val="24"/>
          <w:szCs w:val="24"/>
          <w:highlight w:val="none"/>
          <w:u w:val="single"/>
          <w:lang w:val="en-US" w:eastAsia="zh-CN"/>
        </w:rPr>
        <w:t>韶关市</w:t>
      </w:r>
      <w:r>
        <w:rPr>
          <w:rFonts w:hint="eastAsia" w:ascii="宋体" w:hAnsi="宋体" w:eastAsia="宋体" w:cs="宋体"/>
          <w:color w:val="auto"/>
          <w:spacing w:val="0"/>
          <w:sz w:val="24"/>
          <w:szCs w:val="24"/>
          <w:highlight w:val="none"/>
        </w:rPr>
        <w:t>基建工程水、电计费标准计算并由中标人缴纳。</w:t>
      </w:r>
    </w:p>
    <w:p w14:paraId="63543B0E">
      <w:pPr>
        <w:keepNext w:val="0"/>
        <w:keepLines w:val="0"/>
        <w:pageBreakBefore w:val="0"/>
        <w:wordWrap w:val="0"/>
        <w:overflowPunct/>
        <w:topLinePunct w:val="0"/>
        <w:bidi w:val="0"/>
        <w:spacing w:before="154" w:line="299" w:lineRule="auto"/>
        <w:ind w:left="9" w:right="16" w:firstLine="558"/>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6.5  </w:t>
      </w:r>
      <w:r>
        <w:rPr>
          <w:rFonts w:hint="eastAsia" w:ascii="宋体" w:hAnsi="宋体" w:eastAsia="宋体" w:cs="宋体"/>
          <w:color w:val="auto"/>
          <w:spacing w:val="0"/>
          <w:sz w:val="24"/>
          <w:szCs w:val="24"/>
          <w:highlight w:val="none"/>
        </w:rPr>
        <w:t>招标人不组织现场踏勘，但会在招标文件及有关设计文件中明确告知招标项目的具体位置和周边环境，并在现场设置足以识别的标识或提供足以表明招标项目具体位置的文字或图片。投标人需要了解现场情况的</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可自行进行现场踏勘。</w:t>
      </w:r>
    </w:p>
    <w:p w14:paraId="241033FB">
      <w:pPr>
        <w:keepNext w:val="0"/>
        <w:keepLines w:val="0"/>
        <w:pageBreakBefore w:val="0"/>
        <w:wordWrap w:val="0"/>
        <w:overflowPunct/>
        <w:topLinePunct w:val="0"/>
        <w:bidi w:val="0"/>
        <w:spacing w:before="153" w:line="280" w:lineRule="auto"/>
        <w:ind w:left="9" w:right="16" w:firstLine="558"/>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6.6  </w:t>
      </w:r>
      <w:r>
        <w:rPr>
          <w:rFonts w:hint="eastAsia" w:ascii="宋体" w:hAnsi="宋体" w:eastAsia="宋体" w:cs="宋体"/>
          <w:color w:val="auto"/>
          <w:spacing w:val="0"/>
          <w:sz w:val="24"/>
          <w:szCs w:val="24"/>
          <w:highlight w:val="none"/>
        </w:rPr>
        <w:t>在现场踏勘过程中，投标人应确保自身安全，投标人如果发生人身伤亡、财物或其他损失，法律法规有规定的按有关规定处理，没有规定的由投标人自行负责。</w:t>
      </w:r>
    </w:p>
    <w:p w14:paraId="1EDB9777">
      <w:pPr>
        <w:keepNext w:val="0"/>
        <w:keepLines w:val="0"/>
        <w:pageBreakBefore w:val="0"/>
        <w:wordWrap w:val="0"/>
        <w:overflowPunct/>
        <w:topLinePunct w:val="0"/>
        <w:bidi w:val="0"/>
        <w:spacing w:before="153" w:line="220" w:lineRule="auto"/>
        <w:ind w:left="568"/>
        <w:rPr>
          <w:rFonts w:hint="eastAsia" w:ascii="宋体" w:hAnsi="宋体" w:eastAsia="宋体" w:cs="宋体"/>
          <w:color w:val="auto"/>
          <w:spacing w:val="0"/>
          <w:highlight w:val="none"/>
        </w:rPr>
      </w:pPr>
      <w:r>
        <w:rPr>
          <w:rFonts w:hint="eastAsia" w:ascii="宋体" w:hAnsi="宋体" w:eastAsia="宋体" w:cs="宋体"/>
          <w:b/>
          <w:bCs/>
          <w:color w:val="auto"/>
          <w:spacing w:val="0"/>
          <w:sz w:val="24"/>
          <w:szCs w:val="24"/>
          <w:highlight w:val="none"/>
        </w:rPr>
        <w:t xml:space="preserve">6.7  </w:t>
      </w:r>
      <w:r>
        <w:rPr>
          <w:rFonts w:hint="eastAsia" w:ascii="宋体" w:hAnsi="宋体" w:eastAsia="宋体" w:cs="宋体"/>
          <w:color w:val="auto"/>
          <w:spacing w:val="0"/>
          <w:sz w:val="24"/>
          <w:szCs w:val="24"/>
          <w:highlight w:val="none"/>
        </w:rPr>
        <w:t>现场踏勘期间的交通、食宿由投标人自行安排，费用自理。</w:t>
      </w:r>
    </w:p>
    <w:p w14:paraId="49317BEE">
      <w:pPr>
        <w:keepNext w:val="0"/>
        <w:keepLines w:val="0"/>
        <w:pageBreakBefore w:val="0"/>
        <w:wordWrap w:val="0"/>
        <w:overflowPunct/>
        <w:topLinePunct w:val="0"/>
        <w:bidi w:val="0"/>
        <w:spacing w:before="78" w:line="220" w:lineRule="auto"/>
        <w:ind w:left="488"/>
        <w:outlineLvl w:val="2"/>
        <w:rPr>
          <w:rFonts w:hint="eastAsia" w:ascii="宋体" w:hAnsi="宋体" w:eastAsia="宋体" w:cs="宋体"/>
          <w:color w:val="auto"/>
          <w:spacing w:val="0"/>
          <w:sz w:val="24"/>
          <w:szCs w:val="24"/>
          <w:highlight w:val="none"/>
        </w:rPr>
      </w:pPr>
      <w:bookmarkStart w:id="29" w:name="bookmark69"/>
      <w:bookmarkEnd w:id="29"/>
      <w:bookmarkStart w:id="30" w:name="bookmark67"/>
      <w:bookmarkEnd w:id="30"/>
      <w:bookmarkStart w:id="31" w:name="bookmark81"/>
      <w:bookmarkEnd w:id="31"/>
      <w:bookmarkStart w:id="32" w:name="_Toc4298"/>
      <w:bookmarkStart w:id="33" w:name="_Toc15543"/>
      <w:r>
        <w:rPr>
          <w:rFonts w:hint="eastAsia" w:ascii="宋体" w:hAnsi="宋体" w:eastAsia="宋体" w:cs="宋体"/>
          <w:b/>
          <w:bCs/>
          <w:color w:val="auto"/>
          <w:spacing w:val="0"/>
          <w:sz w:val="24"/>
          <w:szCs w:val="24"/>
          <w:highlight w:val="none"/>
        </w:rPr>
        <w:t>7 ．招标文件的提问和答疑</w:t>
      </w:r>
      <w:bookmarkEnd w:id="32"/>
      <w:bookmarkEnd w:id="33"/>
    </w:p>
    <w:p w14:paraId="0E27FA3C">
      <w:pPr>
        <w:keepNext w:val="0"/>
        <w:keepLines w:val="0"/>
        <w:pageBreakBefore w:val="0"/>
        <w:wordWrap w:val="0"/>
        <w:overflowPunct/>
        <w:topLinePunct w:val="0"/>
        <w:bidi w:val="0"/>
        <w:spacing w:before="153" w:line="299" w:lineRule="auto"/>
        <w:ind w:left="9" w:right="16" w:firstLine="478"/>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7.1  </w:t>
      </w:r>
      <w:r>
        <w:rPr>
          <w:rFonts w:hint="eastAsia" w:ascii="宋体" w:hAnsi="宋体" w:eastAsia="宋体" w:cs="宋体"/>
          <w:color w:val="auto"/>
          <w:spacing w:val="0"/>
          <w:sz w:val="24"/>
          <w:szCs w:val="24"/>
          <w:highlight w:val="none"/>
        </w:rPr>
        <w:t>投标人若对招标文件（含施工图、招标工程量清单）有疑问，应在提问截止时间（见本章第二节“重要事项时间地点一览表 ”）前使用建设工程交易系统提出问题。未在指定时间前、未采用指定方式提出的，招标人不予受理。</w:t>
      </w:r>
    </w:p>
    <w:p w14:paraId="369C9E76">
      <w:pPr>
        <w:keepNext w:val="0"/>
        <w:keepLines w:val="0"/>
        <w:pageBreakBefore w:val="0"/>
        <w:wordWrap w:val="0"/>
        <w:overflowPunct/>
        <w:topLinePunct w:val="0"/>
        <w:bidi w:val="0"/>
        <w:spacing w:before="154" w:line="309" w:lineRule="auto"/>
        <w:ind w:left="9" w:right="16" w:firstLine="558"/>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7.2  </w:t>
      </w:r>
      <w:r>
        <w:rPr>
          <w:rFonts w:hint="eastAsia" w:ascii="宋体" w:hAnsi="宋体" w:eastAsia="宋体" w:cs="宋体"/>
          <w:color w:val="auto"/>
          <w:spacing w:val="0"/>
          <w:sz w:val="24"/>
          <w:szCs w:val="24"/>
          <w:highlight w:val="none"/>
        </w:rPr>
        <w:t>招标人在提问截止时间（见本章第二节“重要事项时间地点一览表 ”）后 3 日内，一次性对收到的所有问题作出答复，并形成答疑（或修改）公告在发布招标公告的媒介上公开发布。答疑（或修改）公告一旦发布，即</w:t>
      </w:r>
      <w:r>
        <w:rPr>
          <w:rFonts w:hint="eastAsia" w:ascii="宋体" w:hAnsi="宋体" w:eastAsia="宋体" w:cs="宋体"/>
          <w:color w:val="auto"/>
          <w:spacing w:val="0"/>
          <w:sz w:val="24"/>
          <w:szCs w:val="24"/>
          <w:highlight w:val="none"/>
          <w:lang w:eastAsia="zh-CN"/>
        </w:rPr>
        <w:t>视为</w:t>
      </w:r>
      <w:r>
        <w:rPr>
          <w:rFonts w:hint="eastAsia" w:ascii="宋体" w:hAnsi="宋体" w:eastAsia="宋体" w:cs="宋体"/>
          <w:color w:val="auto"/>
          <w:spacing w:val="0"/>
          <w:sz w:val="24"/>
          <w:szCs w:val="24"/>
          <w:highlight w:val="none"/>
        </w:rPr>
        <w:t>所有潜在投标人已经知悉答疑（或修改）内容，投标人未及时关注而造成的损失和后果，由投标人自行承担。</w:t>
      </w:r>
    </w:p>
    <w:p w14:paraId="28E4C9E9">
      <w:pPr>
        <w:keepNext w:val="0"/>
        <w:keepLines w:val="0"/>
        <w:pageBreakBefore w:val="0"/>
        <w:wordWrap w:val="0"/>
        <w:overflowPunct/>
        <w:topLinePunct w:val="0"/>
        <w:bidi w:val="0"/>
        <w:spacing w:before="152" w:line="219" w:lineRule="auto"/>
        <w:ind w:firstLine="482" w:firstLineChars="200"/>
        <w:jc w:val="both"/>
        <w:rPr>
          <w:rFonts w:hint="eastAsia" w:ascii="宋体" w:hAnsi="宋体" w:eastAsia="宋体" w:cs="宋体"/>
          <w:color w:val="auto"/>
          <w:spacing w:val="0"/>
          <w:highlight w:val="none"/>
        </w:rPr>
      </w:pPr>
      <w:r>
        <w:rPr>
          <w:rFonts w:hint="eastAsia" w:ascii="宋体" w:hAnsi="宋体" w:eastAsia="宋体" w:cs="宋体"/>
          <w:b/>
          <w:bCs/>
          <w:color w:val="auto"/>
          <w:spacing w:val="0"/>
          <w:sz w:val="24"/>
          <w:szCs w:val="24"/>
          <w:highlight w:val="none"/>
        </w:rPr>
        <w:t xml:space="preserve">7.3  </w:t>
      </w:r>
      <w:r>
        <w:rPr>
          <w:rFonts w:hint="eastAsia" w:ascii="宋体" w:hAnsi="宋体" w:eastAsia="宋体" w:cs="宋体"/>
          <w:color w:val="auto"/>
          <w:spacing w:val="0"/>
          <w:sz w:val="24"/>
          <w:szCs w:val="24"/>
          <w:highlight w:val="none"/>
        </w:rPr>
        <w:t>招标人对招标文件所作的答疑（或修改）公告，构成招标文件的组成部分。</w:t>
      </w:r>
    </w:p>
    <w:p w14:paraId="76359EB7">
      <w:pPr>
        <w:keepNext w:val="0"/>
        <w:keepLines w:val="0"/>
        <w:pageBreakBefore w:val="0"/>
        <w:wordWrap w:val="0"/>
        <w:overflowPunct/>
        <w:topLinePunct w:val="0"/>
        <w:bidi w:val="0"/>
        <w:spacing w:before="79" w:line="219" w:lineRule="auto"/>
        <w:ind w:left="488"/>
        <w:outlineLvl w:val="2"/>
        <w:rPr>
          <w:rFonts w:hint="eastAsia" w:ascii="宋体" w:hAnsi="宋体" w:eastAsia="宋体" w:cs="宋体"/>
          <w:color w:val="auto"/>
          <w:spacing w:val="0"/>
          <w:sz w:val="24"/>
          <w:szCs w:val="24"/>
          <w:highlight w:val="none"/>
        </w:rPr>
      </w:pPr>
      <w:bookmarkStart w:id="34" w:name="_Toc6897"/>
      <w:bookmarkStart w:id="35" w:name="_Toc32468"/>
      <w:r>
        <w:rPr>
          <w:rFonts w:hint="eastAsia" w:ascii="宋体" w:hAnsi="宋体" w:eastAsia="宋体" w:cs="宋体"/>
          <w:b/>
          <w:bCs/>
          <w:color w:val="auto"/>
          <w:spacing w:val="0"/>
          <w:sz w:val="24"/>
          <w:szCs w:val="24"/>
          <w:highlight w:val="none"/>
        </w:rPr>
        <w:t>8 ．</w:t>
      </w:r>
      <w:bookmarkEnd w:id="34"/>
      <w:r>
        <w:rPr>
          <w:rFonts w:hint="eastAsia" w:ascii="宋体" w:hAnsi="宋体" w:eastAsia="宋体" w:cs="宋体"/>
          <w:b/>
          <w:bCs/>
          <w:color w:val="auto"/>
          <w:spacing w:val="0"/>
          <w:sz w:val="24"/>
          <w:szCs w:val="24"/>
          <w:highlight w:val="none"/>
          <w:lang w:val="en-US" w:eastAsia="zh-CN"/>
        </w:rPr>
        <w:t>最高投标限价</w:t>
      </w:r>
      <w:bookmarkEnd w:id="35"/>
    </w:p>
    <w:p w14:paraId="0D061B52">
      <w:pPr>
        <w:keepNext w:val="0"/>
        <w:keepLines w:val="0"/>
        <w:pageBreakBefore w:val="0"/>
        <w:wordWrap w:val="0"/>
        <w:overflowPunct/>
        <w:topLinePunct w:val="0"/>
        <w:bidi w:val="0"/>
        <w:spacing w:before="155" w:line="219" w:lineRule="auto"/>
        <w:ind w:left="488"/>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8.1  </w:t>
      </w:r>
      <w:r>
        <w:rPr>
          <w:rFonts w:hint="eastAsia" w:ascii="宋体" w:hAnsi="宋体" w:eastAsia="宋体" w:cs="宋体"/>
          <w:color w:val="auto"/>
          <w:spacing w:val="0"/>
          <w:sz w:val="24"/>
          <w:szCs w:val="24"/>
          <w:highlight w:val="none"/>
        </w:rPr>
        <w:t>本招标项目按照以下依据编制</w:t>
      </w:r>
      <w:r>
        <w:rPr>
          <w:rFonts w:hint="eastAsia" w:ascii="宋体" w:hAnsi="宋体" w:eastAsia="宋体" w:cs="宋体"/>
          <w:b/>
          <w:bCs/>
          <w:color w:val="auto"/>
          <w:spacing w:val="0"/>
          <w:sz w:val="24"/>
          <w:szCs w:val="24"/>
          <w:highlight w:val="none"/>
          <w:lang w:val="en-US" w:eastAsia="zh-CN"/>
        </w:rPr>
        <w:t>最高投标限价</w:t>
      </w:r>
      <w:r>
        <w:rPr>
          <w:rFonts w:hint="eastAsia" w:ascii="宋体" w:hAnsi="宋体" w:eastAsia="宋体" w:cs="宋体"/>
          <w:color w:val="auto"/>
          <w:spacing w:val="0"/>
          <w:sz w:val="24"/>
          <w:szCs w:val="24"/>
          <w:highlight w:val="none"/>
        </w:rPr>
        <w:t>：</w:t>
      </w:r>
    </w:p>
    <w:p w14:paraId="1F5AC559">
      <w:pPr>
        <w:keepNext w:val="0"/>
        <w:keepLines w:val="0"/>
        <w:pageBreakBefore w:val="0"/>
        <w:wordWrap w:val="0"/>
        <w:overflowPunct/>
        <w:topLinePunct w:val="0"/>
        <w:bidi w:val="0"/>
        <w:spacing w:before="157" w:line="219"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w:t>
      </w:r>
      <w:r>
        <w:rPr>
          <w:rFonts w:hint="eastAsia" w:ascii="宋体" w:hAnsi="宋体" w:eastAsia="宋体" w:cs="宋体"/>
          <w:color w:val="auto"/>
          <w:spacing w:val="0"/>
          <w:sz w:val="24"/>
          <w:szCs w:val="24"/>
          <w:highlight w:val="none"/>
          <w:lang w:eastAsia="zh-CN"/>
        </w:rPr>
        <w:t>建设工程工程量清单计价标准</w:t>
      </w:r>
      <w:r>
        <w:rPr>
          <w:rFonts w:hint="eastAsia" w:ascii="宋体" w:hAnsi="宋体" w:eastAsia="宋体" w:cs="宋体"/>
          <w:color w:val="auto"/>
          <w:spacing w:val="0"/>
          <w:sz w:val="24"/>
          <w:szCs w:val="24"/>
          <w:highlight w:val="none"/>
        </w:rPr>
        <w:t>》（</w:t>
      </w:r>
      <w:r>
        <w:rPr>
          <w:rFonts w:hint="eastAsia" w:ascii="宋体" w:hAnsi="宋体" w:eastAsia="宋体" w:cs="宋体"/>
          <w:color w:val="auto"/>
          <w:spacing w:val="0"/>
          <w:sz w:val="24"/>
          <w:szCs w:val="24"/>
          <w:highlight w:val="none"/>
          <w:lang w:eastAsia="zh-CN"/>
        </w:rPr>
        <w:t>GB/T50500-2024</w:t>
      </w:r>
      <w:r>
        <w:rPr>
          <w:rFonts w:hint="eastAsia" w:ascii="宋体" w:hAnsi="宋体" w:eastAsia="宋体" w:cs="宋体"/>
          <w:color w:val="auto"/>
          <w:spacing w:val="0"/>
          <w:sz w:val="24"/>
          <w:szCs w:val="24"/>
          <w:highlight w:val="none"/>
        </w:rPr>
        <w:t>）；</w:t>
      </w:r>
    </w:p>
    <w:p w14:paraId="398AEBB1">
      <w:pPr>
        <w:keepNext w:val="0"/>
        <w:keepLines w:val="0"/>
        <w:pageBreakBefore w:val="0"/>
        <w:wordWrap w:val="0"/>
        <w:overflowPunct/>
        <w:topLinePunct w:val="0"/>
        <w:bidi w:val="0"/>
        <w:spacing w:before="153" w:line="309" w:lineRule="auto"/>
        <w:ind w:left="9" w:right="16" w:firstLine="49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广东省建设工程计价依据（2018）》。具体包括：《广东省房屋建筑与装饰工程综合定额（2018）》《广东省市政工程综合定额（2018）》《广东省通用安装工程综合定额（2018）》《广东省园林绿化工程综合定额（2018）》《广东省建设工程施工机具台班费用编制规则（2018）》等；</w:t>
      </w:r>
    </w:p>
    <w:p w14:paraId="5AAFF847">
      <w:pPr>
        <w:keepNext w:val="0"/>
        <w:keepLines w:val="0"/>
        <w:pageBreakBefore w:val="0"/>
        <w:wordWrap w:val="0"/>
        <w:overflowPunct/>
        <w:topLinePunct w:val="0"/>
        <w:bidi w:val="0"/>
        <w:spacing w:before="154" w:line="221"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（3）施工图及相关资料；</w:t>
      </w:r>
    </w:p>
    <w:p w14:paraId="70741EC0">
      <w:pPr>
        <w:keepNext w:val="0"/>
        <w:keepLines w:val="0"/>
        <w:pageBreakBefore w:val="0"/>
        <w:wordWrap w:val="0"/>
        <w:overflowPunct/>
        <w:topLinePunct w:val="0"/>
        <w:bidi w:val="0"/>
        <w:spacing w:before="78" w:line="220" w:lineRule="auto"/>
        <w:ind w:left="502"/>
        <w:rPr>
          <w:rFonts w:hint="eastAsia" w:ascii="宋体" w:hAnsi="宋体" w:eastAsia="宋体" w:cs="宋体"/>
          <w:color w:val="auto"/>
          <w:spacing w:val="0"/>
          <w:sz w:val="24"/>
          <w:szCs w:val="24"/>
          <w:highlight w:val="none"/>
        </w:rPr>
      </w:pPr>
      <w:bookmarkStart w:id="36" w:name="bookmark119"/>
      <w:bookmarkEnd w:id="36"/>
      <w:r>
        <w:rPr>
          <w:rFonts w:hint="eastAsia" w:ascii="宋体" w:hAnsi="宋体" w:eastAsia="宋体" w:cs="宋体"/>
          <w:color w:val="auto"/>
          <w:spacing w:val="0"/>
          <w:sz w:val="24"/>
          <w:szCs w:val="24"/>
          <w:highlight w:val="none"/>
        </w:rPr>
        <w:t>（4）招标文件及招标工程量清单；</w:t>
      </w:r>
    </w:p>
    <w:p w14:paraId="4849B207">
      <w:pPr>
        <w:keepNext w:val="0"/>
        <w:keepLines w:val="0"/>
        <w:pageBreakBefore w:val="0"/>
        <w:wordWrap w:val="0"/>
        <w:overflowPunct/>
        <w:topLinePunct w:val="0"/>
        <w:bidi w:val="0"/>
        <w:spacing w:before="155" w:line="220" w:lineRule="auto"/>
        <w:ind w:left="502"/>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（5）施工现场情况、工程特点及常规施工方案；</w:t>
      </w:r>
    </w:p>
    <w:p w14:paraId="669CB942">
      <w:pPr>
        <w:keepNext w:val="0"/>
        <w:keepLines w:val="0"/>
        <w:pageBreakBefore w:val="0"/>
        <w:wordWrap w:val="0"/>
        <w:overflowPunct/>
        <w:topLinePunct w:val="0"/>
        <w:bidi w:val="0"/>
        <w:spacing w:before="153" w:line="278" w:lineRule="auto"/>
        <w:ind w:left="12" w:right="136" w:firstLine="48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（6）项目所在地工程造价管理机构发布的工程造价信息，工程造价信息缺项的，参照市场价格；</w:t>
      </w:r>
    </w:p>
    <w:p w14:paraId="407C3C5B">
      <w:pPr>
        <w:keepNext w:val="0"/>
        <w:keepLines w:val="0"/>
        <w:pageBreakBefore w:val="0"/>
        <w:wordWrap w:val="0"/>
        <w:overflowPunct/>
        <w:topLinePunct w:val="0"/>
        <w:bidi w:val="0"/>
        <w:spacing w:before="157" w:line="220" w:lineRule="auto"/>
        <w:ind w:left="502"/>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（7）与建设项目相关的标准、规范、技术资料。</w:t>
      </w:r>
    </w:p>
    <w:p w14:paraId="71973145">
      <w:pPr>
        <w:keepNext w:val="0"/>
        <w:keepLines w:val="0"/>
        <w:pageBreakBefore w:val="0"/>
        <w:wordWrap w:val="0"/>
        <w:overflowPunct/>
        <w:topLinePunct w:val="0"/>
        <w:bidi w:val="0"/>
        <w:spacing w:before="79" w:line="333" w:lineRule="auto"/>
        <w:ind w:left="11" w:firstLine="479"/>
        <w:jc w:val="both"/>
        <w:rPr>
          <w:rFonts w:hint="eastAsia" w:asciiTheme="minorEastAsia" w:hAnsiTheme="minorEastAsia" w:eastAsiaTheme="minorEastAsia" w:cstheme="minorEastAsia"/>
          <w:snapToGrid w:val="0"/>
          <w:color w:val="FF0000"/>
          <w:spacing w:val="0"/>
          <w:kern w:val="0"/>
          <w:sz w:val="24"/>
          <w:szCs w:val="24"/>
          <w:highlight w:val="none"/>
          <w:lang w:val="en-US" w:eastAsia="zh-CN"/>
        </w:rPr>
      </w:pPr>
      <w:r>
        <w:rPr>
          <w:rFonts w:hint="eastAsia" w:ascii="宋体" w:hAnsi="宋体" w:eastAsia="宋体" w:cs="宋体"/>
          <w:b/>
          <w:bCs/>
          <w:color w:val="auto"/>
          <w:spacing w:val="0"/>
          <w:sz w:val="24"/>
          <w:szCs w:val="24"/>
          <w:highlight w:val="none"/>
        </w:rPr>
        <w:t>8.2</w:t>
      </w:r>
      <w:r>
        <w:rPr>
          <w:rFonts w:hint="eastAsia" w:ascii="宋体" w:hAnsi="宋体" w:eastAsia="宋体" w:cs="宋体"/>
          <w:color w:val="auto"/>
          <w:spacing w:val="0"/>
          <w:sz w:val="24"/>
          <w:szCs w:val="24"/>
          <w:highlight w:val="none"/>
        </w:rPr>
        <w:t xml:space="preserve"> </w:t>
      </w:r>
      <w:r>
        <w:rPr>
          <w:rFonts w:hint="eastAsia" w:asciiTheme="minorEastAsia" w:hAnsiTheme="minorEastAsia" w:eastAsiaTheme="minorEastAsia" w:cstheme="minorEastAsia"/>
          <w:b/>
          <w:bCs/>
          <w:snapToGrid w:val="0"/>
          <w:color w:val="auto"/>
          <w:spacing w:val="0"/>
          <w:kern w:val="0"/>
          <w:sz w:val="24"/>
          <w:szCs w:val="24"/>
          <w:highlight w:val="none"/>
          <w:lang w:val="en-US" w:eastAsia="zh-CN"/>
        </w:rPr>
        <w:t>本项目最高投标限价、工程量清单、图纸最终以补充公告形式在开标前7天另行发布于相关网站，各投标人可在全国公共资源交易平台（广东省·韶关市）（https://ygp.gdzwfw.gov.cn/ggzy-portal/#/440200/index）自行下载。</w:t>
      </w:r>
    </w:p>
    <w:p w14:paraId="14E3A34D">
      <w:pPr>
        <w:keepNext w:val="0"/>
        <w:keepLines w:val="0"/>
        <w:pageBreakBefore w:val="0"/>
        <w:wordWrap w:val="0"/>
        <w:overflowPunct/>
        <w:topLinePunct w:val="0"/>
        <w:bidi w:val="0"/>
        <w:spacing w:before="79" w:line="333" w:lineRule="auto"/>
        <w:ind w:left="11" w:firstLine="479"/>
        <w:jc w:val="both"/>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8.</w:t>
      </w:r>
      <w:r>
        <w:rPr>
          <w:rFonts w:hint="eastAsia" w:ascii="宋体" w:hAnsi="宋体" w:eastAsia="宋体" w:cs="宋体"/>
          <w:b/>
          <w:bCs/>
          <w:color w:val="auto"/>
          <w:spacing w:val="0"/>
          <w:sz w:val="24"/>
          <w:szCs w:val="24"/>
          <w:highlight w:val="none"/>
          <w:lang w:eastAsia="zh-CN"/>
        </w:rPr>
        <w:t>3</w:t>
      </w:r>
      <w:r>
        <w:rPr>
          <w:rFonts w:hint="eastAsia" w:ascii="宋体" w:hAnsi="宋体" w:eastAsia="宋体" w:cs="宋体"/>
          <w:b/>
          <w:bCs/>
          <w:color w:val="auto"/>
          <w:spacing w:val="0"/>
          <w:sz w:val="24"/>
          <w:szCs w:val="24"/>
          <w:highlight w:val="none"/>
          <w:lang w:val="en-US" w:eastAsia="zh-CN"/>
        </w:rPr>
        <w:t xml:space="preserve"> </w:t>
      </w:r>
      <w:r>
        <w:rPr>
          <w:rFonts w:hint="eastAsia" w:ascii="宋体" w:hAnsi="宋体" w:eastAsia="宋体" w:cs="宋体"/>
          <w:color w:val="auto"/>
          <w:spacing w:val="0"/>
          <w:sz w:val="24"/>
          <w:szCs w:val="24"/>
          <w:highlight w:val="none"/>
        </w:rPr>
        <w:t>暂估价指招标工程量清单中提供的用于支付必然发生但暂时不能确定价格的材料、工程设备的单价以及专业工程的金额；暂列金额指招标工程量清单中暂定并包括在合同价款中的一笔款项，用于工程合同签订时尚未确定或者不可预见的所需材料、工程设备、服务的采购，施工中可能发生的工程变更、合同约定调整因素出现时的合同价款调整以及发生的索赔、现场签证确认等的费用。</w:t>
      </w:r>
    </w:p>
    <w:p w14:paraId="10529522">
      <w:pPr>
        <w:keepNext w:val="0"/>
        <w:keepLines w:val="0"/>
        <w:pageBreakBefore w:val="0"/>
        <w:wordWrap w:val="0"/>
        <w:overflowPunct/>
        <w:topLinePunct w:val="0"/>
        <w:bidi w:val="0"/>
        <w:spacing w:before="79" w:line="333" w:lineRule="auto"/>
        <w:ind w:left="11" w:firstLine="479"/>
        <w:jc w:val="both"/>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8.</w:t>
      </w:r>
      <w:r>
        <w:rPr>
          <w:rFonts w:hint="eastAsia" w:ascii="宋体" w:hAnsi="宋体" w:eastAsia="宋体" w:cs="宋体"/>
          <w:b/>
          <w:bCs/>
          <w:color w:val="auto"/>
          <w:spacing w:val="0"/>
          <w:sz w:val="24"/>
          <w:szCs w:val="24"/>
          <w:highlight w:val="none"/>
          <w:lang w:eastAsia="zh-CN"/>
        </w:rPr>
        <w:t>4</w:t>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color w:val="auto"/>
          <w:spacing w:val="0"/>
          <w:sz w:val="24"/>
          <w:szCs w:val="24"/>
          <w:highlight w:val="none"/>
          <w:lang w:val="en-US" w:eastAsia="zh-CN"/>
        </w:rPr>
        <w:t>本招标项目以暂估价形式列入招标工程量清单中的材料、工程设备、专业工程（以下统称“暂估价项目”）包括：（详见招标工程量清单）具体以财政评审中心出具的《工程招标控制价审查意见》及《招标工程量清单》为准，在投标截止时间 15 天前以补充通知的形式在全国公共资源交易平台（广东省•韶关市）（https://ygp. gdzwfw.gov.cn/ggzy-portal/#/440200/index）公布。以上为招标人在工程量清单中 提供的用于支付必然发生但暂时不能确定价格的材料、工程设备的单价以及专业工程的金额。投标人必须按招标工程量清单中列出的单价、金额统一报价，其结算原则按 本招标文件相关条款执行。</w:t>
      </w:r>
    </w:p>
    <w:p w14:paraId="7BD17F4C">
      <w:pPr>
        <w:keepNext w:val="0"/>
        <w:keepLines w:val="0"/>
        <w:pageBreakBefore w:val="0"/>
        <w:wordWrap w:val="0"/>
        <w:overflowPunct/>
        <w:topLinePunct w:val="0"/>
        <w:bidi w:val="0"/>
        <w:spacing w:before="154" w:line="280" w:lineRule="auto"/>
        <w:ind w:left="12" w:right="200" w:firstLine="477"/>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8.</w:t>
      </w:r>
      <w:r>
        <w:rPr>
          <w:rFonts w:hint="eastAsia" w:ascii="宋体" w:hAnsi="宋体" w:eastAsia="宋体" w:cs="宋体"/>
          <w:b/>
          <w:bCs/>
          <w:color w:val="auto"/>
          <w:spacing w:val="0"/>
          <w:sz w:val="24"/>
          <w:szCs w:val="24"/>
          <w:highlight w:val="none"/>
          <w:lang w:eastAsia="zh-CN"/>
        </w:rPr>
        <w:t>5</w:t>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color w:val="auto"/>
          <w:spacing w:val="0"/>
          <w:sz w:val="24"/>
          <w:szCs w:val="24"/>
          <w:highlight w:val="none"/>
        </w:rPr>
        <w:t>当暂估价项目的内容、标准、要求在项目实施过程中得以深化、明确、固定后，按以下原则发包：</w:t>
      </w:r>
    </w:p>
    <w:p w14:paraId="5BDB405F">
      <w:pPr>
        <w:keepNext w:val="0"/>
        <w:keepLines w:val="0"/>
        <w:pageBreakBefore w:val="0"/>
        <w:wordWrap w:val="0"/>
        <w:overflowPunct/>
        <w:topLinePunct w:val="0"/>
        <w:bidi w:val="0"/>
        <w:spacing w:before="153" w:line="219" w:lineRule="auto"/>
        <w:ind w:left="-3" w:leftChars="0" w:firstLine="480" w:firstLineChars="20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（1）暂估价项目按工程、货物（指材料或工程设备，下同）的类别分类汇总的金额，达到必须招标规模标准的，由</w:t>
      </w:r>
      <w:r>
        <w:rPr>
          <w:rFonts w:hint="eastAsia" w:ascii="宋体" w:hAnsi="宋体" w:eastAsia="宋体" w:cs="宋体"/>
          <w:b/>
          <w:bCs/>
          <w:color w:val="auto"/>
          <w:spacing w:val="0"/>
          <w:sz w:val="24"/>
          <w:szCs w:val="24"/>
          <w:highlight w:val="none"/>
          <w:u w:val="single"/>
        </w:rPr>
        <w:t xml:space="preserve"> </w:t>
      </w:r>
      <w:r>
        <w:rPr>
          <w:rFonts w:hint="eastAsia" w:ascii="宋体" w:hAnsi="宋体" w:eastAsia="宋体" w:cs="宋体"/>
          <w:bCs/>
          <w:color w:val="auto"/>
          <w:spacing w:val="0"/>
          <w:sz w:val="24"/>
          <w:szCs w:val="24"/>
          <w:highlight w:val="none"/>
          <w:u w:val="single"/>
        </w:rPr>
        <w:t xml:space="preserve">中标人招标，招标人参与管理 </w:t>
      </w:r>
      <w:r>
        <w:rPr>
          <w:rFonts w:hint="eastAsia" w:ascii="宋体" w:hAnsi="宋体" w:eastAsia="宋体" w:cs="宋体"/>
          <w:bCs/>
          <w:color w:val="auto"/>
          <w:spacing w:val="0"/>
          <w:sz w:val="24"/>
          <w:szCs w:val="24"/>
          <w:highlight w:val="none"/>
        </w:rPr>
        <w:t>，</w:t>
      </w:r>
      <w:r>
        <w:rPr>
          <w:rFonts w:hint="eastAsia" w:ascii="宋体" w:hAnsi="宋体" w:eastAsia="宋体" w:cs="宋体"/>
          <w:color w:val="auto"/>
          <w:spacing w:val="0"/>
          <w:sz w:val="24"/>
          <w:szCs w:val="24"/>
          <w:highlight w:val="none"/>
        </w:rPr>
        <w:t>确定专业工程承包人（或材料、工程 设备供应商）和合同价格。</w:t>
      </w:r>
    </w:p>
    <w:p w14:paraId="6152D01E">
      <w:pPr>
        <w:keepNext w:val="0"/>
        <w:keepLines w:val="0"/>
        <w:pageBreakBefore w:val="0"/>
        <w:wordWrap w:val="0"/>
        <w:overflowPunct/>
        <w:topLinePunct w:val="0"/>
        <w:bidi w:val="0"/>
        <w:spacing w:before="30" w:line="299" w:lineRule="auto"/>
        <w:ind w:left="11" w:right="65" w:firstLine="48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（2）暂估价项目按工程、货物的类别分类汇总的金额，未达到必须招标规模标准但适用政府采购规定的，按照政府采购规定确定专业工程承包人（或材料、工程设备供应商）和合同价格。</w:t>
      </w:r>
    </w:p>
    <w:p w14:paraId="66451747">
      <w:pPr>
        <w:keepNext w:val="0"/>
        <w:keepLines w:val="0"/>
        <w:pageBreakBefore w:val="0"/>
        <w:wordWrap w:val="0"/>
        <w:overflowPunct/>
        <w:topLinePunct w:val="0"/>
        <w:bidi w:val="0"/>
        <w:spacing w:before="154" w:line="309" w:lineRule="auto"/>
        <w:ind w:left="11" w:right="65" w:firstLine="48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暂估价项目按工程、货物的类别分类汇总的金额，未达到必须招标规模标准也不适用政府采购规定，中标人具备相应资格条件的，由中标人承包；中标人不具备相应资格条件但具备分包权的，由中标人分包，招标人同中标人结算原则按本招标文件相关条款执行。</w:t>
      </w:r>
    </w:p>
    <w:p w14:paraId="37F80A5F">
      <w:pPr>
        <w:keepNext w:val="0"/>
        <w:keepLines w:val="0"/>
        <w:pageBreakBefore w:val="0"/>
        <w:wordWrap w:val="0"/>
        <w:overflowPunct/>
        <w:topLinePunct w:val="0"/>
        <w:bidi w:val="0"/>
        <w:spacing w:before="154" w:line="299" w:lineRule="auto"/>
        <w:ind w:left="11" w:right="65" w:firstLine="48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（4）暂估价项目按工程、货物的类别分类汇总的金额，未达到必须招标规模标准也不适用政府采购规定，中标人既不具备相应资格条件又不具备分包权的，由招标人另行发包。</w:t>
      </w:r>
    </w:p>
    <w:p w14:paraId="23ACE63F">
      <w:pPr>
        <w:keepNext w:val="0"/>
        <w:keepLines w:val="0"/>
        <w:pageBreakBefore w:val="0"/>
        <w:wordWrap w:val="0"/>
        <w:overflowPunct/>
        <w:topLinePunct w:val="0"/>
        <w:bidi w:val="0"/>
        <w:spacing w:before="155" w:line="279" w:lineRule="auto"/>
        <w:ind w:left="9" w:right="66" w:firstLine="49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（5）暂估价项目由其他承包人承包的，纳入中标人的管理和协调范围，由其他承包人向中标人承担质量、安全、文明施工、工期责任，中标人向招标人承担责任。</w:t>
      </w:r>
    </w:p>
    <w:p w14:paraId="70F0A9B1">
      <w:pPr>
        <w:keepNext w:val="0"/>
        <w:keepLines w:val="0"/>
        <w:pageBreakBefore w:val="0"/>
        <w:wordWrap w:val="0"/>
        <w:overflowPunct/>
        <w:topLinePunct w:val="0"/>
        <w:bidi w:val="0"/>
        <w:spacing w:before="155" w:line="333" w:lineRule="auto"/>
        <w:ind w:left="10" w:right="65" w:firstLine="478"/>
        <w:jc w:val="both"/>
        <w:rPr>
          <w:rFonts w:hint="eastAsia" w:ascii="宋体" w:hAnsi="宋体" w:eastAsia="宋体" w:cs="宋体"/>
          <w:color w:val="auto"/>
          <w:spacing w:val="0"/>
          <w:highlight w:val="none"/>
        </w:rPr>
      </w:pPr>
      <w:r>
        <w:rPr>
          <w:rFonts w:hint="eastAsia" w:ascii="宋体" w:hAnsi="宋体" w:eastAsia="宋体" w:cs="宋体"/>
          <w:b/>
          <w:bCs/>
          <w:color w:val="auto"/>
          <w:spacing w:val="0"/>
          <w:sz w:val="24"/>
          <w:szCs w:val="24"/>
          <w:highlight w:val="none"/>
        </w:rPr>
        <w:t>8</w:t>
      </w:r>
      <w:r>
        <w:rPr>
          <w:rFonts w:hint="eastAsia" w:ascii="宋体" w:hAnsi="宋体" w:eastAsia="宋体" w:cs="宋体"/>
          <w:b/>
          <w:bCs/>
          <w:color w:val="auto"/>
          <w:spacing w:val="0"/>
          <w:sz w:val="24"/>
          <w:szCs w:val="24"/>
          <w:highlight w:val="none"/>
          <w:lang w:val="en-US" w:eastAsia="zh-CN"/>
        </w:rPr>
        <w:t>.6</w:t>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color w:val="auto"/>
          <w:spacing w:val="0"/>
          <w:sz w:val="24"/>
          <w:szCs w:val="24"/>
          <w:highlight w:val="none"/>
        </w:rPr>
        <w:t xml:space="preserve">本招标项目以暂列金额形式列入招标工程量清单中的所需货物和服务的采购（以下统称“暂列金额项目 ”）若有发生，按照本节第 </w:t>
      </w:r>
      <w:r>
        <w:rPr>
          <w:rFonts w:hint="eastAsia" w:ascii="宋体" w:hAnsi="宋体" w:eastAsia="宋体" w:cs="宋体"/>
          <w:b/>
          <w:bCs/>
          <w:color w:val="auto"/>
          <w:spacing w:val="0"/>
          <w:sz w:val="24"/>
          <w:szCs w:val="24"/>
          <w:highlight w:val="none"/>
        </w:rPr>
        <w:t xml:space="preserve">8.5 </w:t>
      </w:r>
      <w:r>
        <w:rPr>
          <w:rFonts w:hint="eastAsia" w:ascii="宋体" w:hAnsi="宋体" w:eastAsia="宋体" w:cs="宋体"/>
          <w:color w:val="auto"/>
          <w:spacing w:val="0"/>
          <w:sz w:val="24"/>
          <w:szCs w:val="24"/>
          <w:highlight w:val="none"/>
        </w:rPr>
        <w:t>条的规定确定货物（或服务）供应商和合同价格。暂列金额项目由其他承包人承包的，纳入中标人的管理和协调范围</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由其他承包人向中标人承担质量、安全、文明施工、工期责任，中标人向招标人承担责任。</w:t>
      </w:r>
    </w:p>
    <w:p w14:paraId="3B83860F">
      <w:pPr>
        <w:keepNext w:val="0"/>
        <w:keepLines w:val="0"/>
        <w:pageBreakBefore w:val="0"/>
        <w:wordWrap w:val="0"/>
        <w:overflowPunct/>
        <w:topLinePunct w:val="0"/>
        <w:bidi w:val="0"/>
        <w:spacing w:before="79" w:line="219" w:lineRule="auto"/>
        <w:ind w:left="487"/>
        <w:outlineLvl w:val="2"/>
        <w:rPr>
          <w:rFonts w:hint="eastAsia" w:ascii="宋体" w:hAnsi="宋体" w:eastAsia="宋体" w:cs="宋体"/>
          <w:color w:val="auto"/>
          <w:spacing w:val="0"/>
          <w:sz w:val="24"/>
          <w:szCs w:val="24"/>
          <w:highlight w:val="none"/>
        </w:rPr>
      </w:pPr>
      <w:bookmarkStart w:id="37" w:name="_Toc9474"/>
      <w:bookmarkStart w:id="38" w:name="_Toc22978"/>
      <w:r>
        <w:rPr>
          <w:rFonts w:hint="eastAsia" w:ascii="宋体" w:hAnsi="宋体" w:eastAsia="宋体" w:cs="宋体"/>
          <w:b/>
          <w:bCs/>
          <w:color w:val="auto"/>
          <w:spacing w:val="0"/>
          <w:sz w:val="24"/>
          <w:szCs w:val="24"/>
          <w:highlight w:val="none"/>
        </w:rPr>
        <w:t>9 ．投标报价</w:t>
      </w:r>
      <w:bookmarkEnd w:id="37"/>
      <w:bookmarkEnd w:id="38"/>
    </w:p>
    <w:p w14:paraId="5C15D88C">
      <w:pPr>
        <w:keepNext w:val="0"/>
        <w:keepLines w:val="0"/>
        <w:pageBreakBefore w:val="0"/>
        <w:wordWrap w:val="0"/>
        <w:overflowPunct/>
        <w:topLinePunct w:val="0"/>
        <w:bidi w:val="0"/>
        <w:spacing w:before="157" w:line="219" w:lineRule="auto"/>
        <w:ind w:left="487"/>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9.1  </w:t>
      </w:r>
      <w:r>
        <w:rPr>
          <w:rFonts w:hint="eastAsia" w:ascii="宋体" w:hAnsi="宋体" w:eastAsia="宋体" w:cs="宋体"/>
          <w:color w:val="auto"/>
          <w:spacing w:val="0"/>
          <w:sz w:val="24"/>
          <w:szCs w:val="24"/>
          <w:highlight w:val="none"/>
        </w:rPr>
        <w:t>投标人应按照以下依据编制投标报价：</w:t>
      </w:r>
    </w:p>
    <w:p w14:paraId="6EC3EF98">
      <w:pPr>
        <w:keepNext w:val="0"/>
        <w:keepLines w:val="0"/>
        <w:pageBreakBefore w:val="0"/>
        <w:wordWrap w:val="0"/>
        <w:overflowPunct/>
        <w:topLinePunct w:val="0"/>
        <w:bidi w:val="0"/>
        <w:spacing w:before="155" w:line="219"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w:t>
      </w:r>
      <w:r>
        <w:rPr>
          <w:rFonts w:hint="eastAsia" w:ascii="宋体" w:hAnsi="宋体" w:eastAsia="宋体" w:cs="宋体"/>
          <w:color w:val="auto"/>
          <w:spacing w:val="0"/>
          <w:sz w:val="24"/>
          <w:szCs w:val="24"/>
          <w:highlight w:val="none"/>
          <w:lang w:eastAsia="zh-CN"/>
        </w:rPr>
        <w:t>建设工程工程量清单计价标准</w:t>
      </w:r>
      <w:r>
        <w:rPr>
          <w:rFonts w:hint="eastAsia" w:ascii="宋体" w:hAnsi="宋体" w:eastAsia="宋体" w:cs="宋体"/>
          <w:color w:val="auto"/>
          <w:spacing w:val="0"/>
          <w:sz w:val="24"/>
          <w:szCs w:val="24"/>
          <w:highlight w:val="none"/>
        </w:rPr>
        <w:t>》（</w:t>
      </w:r>
      <w:r>
        <w:rPr>
          <w:rFonts w:hint="eastAsia" w:ascii="宋体" w:hAnsi="宋体" w:eastAsia="宋体" w:cs="宋体"/>
          <w:color w:val="auto"/>
          <w:spacing w:val="0"/>
          <w:sz w:val="24"/>
          <w:szCs w:val="24"/>
          <w:highlight w:val="none"/>
          <w:lang w:eastAsia="zh-CN"/>
        </w:rPr>
        <w:t>GB/T50500-2024</w:t>
      </w:r>
      <w:r>
        <w:rPr>
          <w:rFonts w:hint="eastAsia" w:ascii="宋体" w:hAnsi="宋体" w:eastAsia="宋体" w:cs="宋体"/>
          <w:color w:val="auto"/>
          <w:spacing w:val="0"/>
          <w:sz w:val="24"/>
          <w:szCs w:val="24"/>
          <w:highlight w:val="none"/>
        </w:rPr>
        <w:t>）；</w:t>
      </w:r>
    </w:p>
    <w:p w14:paraId="507FC9CF">
      <w:pPr>
        <w:keepNext w:val="0"/>
        <w:keepLines w:val="0"/>
        <w:pageBreakBefore w:val="0"/>
        <w:wordWrap w:val="0"/>
        <w:overflowPunct/>
        <w:topLinePunct w:val="0"/>
        <w:bidi w:val="0"/>
        <w:spacing w:before="153" w:line="309" w:lineRule="auto"/>
        <w:ind w:left="9" w:right="65" w:firstLine="49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广东省建设工程计价依据（2018）》。具体包括：《广东省房屋建筑与装饰工程综合定额（2018）》《广东省市政工程综合定额（2018）》《广东省通用安装工程综合定额（2018）》《广东省园林绿化工程综合定额（2018）》《广东省建设工程施工机具台班费用编制规则（2018）》等；</w:t>
      </w:r>
    </w:p>
    <w:p w14:paraId="1D101565">
      <w:pPr>
        <w:keepNext w:val="0"/>
        <w:keepLines w:val="0"/>
        <w:pageBreakBefore w:val="0"/>
        <w:wordWrap w:val="0"/>
        <w:overflowPunct/>
        <w:topLinePunct w:val="0"/>
        <w:bidi w:val="0"/>
        <w:spacing w:before="78" w:line="220" w:lineRule="auto"/>
        <w:ind w:left="501"/>
        <w:rPr>
          <w:rFonts w:hint="eastAsia" w:ascii="宋体" w:hAnsi="宋体" w:eastAsia="宋体" w:cs="宋体"/>
          <w:color w:val="auto"/>
          <w:spacing w:val="0"/>
          <w:sz w:val="24"/>
          <w:szCs w:val="24"/>
          <w:highlight w:val="none"/>
        </w:rPr>
      </w:pPr>
      <w:bookmarkStart w:id="39" w:name="bookmark120"/>
      <w:bookmarkEnd w:id="39"/>
      <w:r>
        <w:rPr>
          <w:rFonts w:hint="eastAsia" w:ascii="宋体" w:hAnsi="宋体" w:eastAsia="宋体" w:cs="宋体"/>
          <w:color w:val="auto"/>
          <w:spacing w:val="0"/>
          <w:sz w:val="24"/>
          <w:szCs w:val="24"/>
          <w:highlight w:val="none"/>
        </w:rPr>
        <w:t>（3）企业定额；</w:t>
      </w:r>
    </w:p>
    <w:p w14:paraId="411EF665">
      <w:pPr>
        <w:keepNext w:val="0"/>
        <w:keepLines w:val="0"/>
        <w:pageBreakBefore w:val="0"/>
        <w:wordWrap w:val="0"/>
        <w:overflowPunct/>
        <w:topLinePunct w:val="0"/>
        <w:bidi w:val="0"/>
        <w:spacing w:before="155" w:line="219"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（4）招标文件及其答疑（或修改）公告、招标工程量清单；</w:t>
      </w:r>
    </w:p>
    <w:p w14:paraId="5A498FC4">
      <w:pPr>
        <w:keepNext w:val="0"/>
        <w:keepLines w:val="0"/>
        <w:pageBreakBefore w:val="0"/>
        <w:wordWrap w:val="0"/>
        <w:overflowPunct/>
        <w:topLinePunct w:val="0"/>
        <w:bidi w:val="0"/>
        <w:spacing w:before="154" w:line="221"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（5）施工图及相关资料；</w:t>
      </w:r>
    </w:p>
    <w:p w14:paraId="39823215">
      <w:pPr>
        <w:keepNext w:val="0"/>
        <w:keepLines w:val="0"/>
        <w:pageBreakBefore w:val="0"/>
        <w:wordWrap w:val="0"/>
        <w:overflowPunct/>
        <w:topLinePunct w:val="0"/>
        <w:bidi w:val="0"/>
        <w:spacing w:before="152" w:line="219"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（6）施工现场情况、工程特点及投标时拟定的施工组织设计或施工方案；</w:t>
      </w:r>
    </w:p>
    <w:p w14:paraId="16519305">
      <w:pPr>
        <w:keepNext w:val="0"/>
        <w:keepLines w:val="0"/>
        <w:pageBreakBefore w:val="0"/>
        <w:wordWrap w:val="0"/>
        <w:overflowPunct/>
        <w:topLinePunct w:val="0"/>
        <w:bidi w:val="0"/>
        <w:spacing w:before="156" w:line="219"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（7）市场价格信息或项目所在地工程造价管理机构发布的工程造价信息；</w:t>
      </w:r>
    </w:p>
    <w:p w14:paraId="26C7D9AB">
      <w:pPr>
        <w:keepNext w:val="0"/>
        <w:keepLines w:val="0"/>
        <w:pageBreakBefore w:val="0"/>
        <w:wordWrap w:val="0"/>
        <w:overflowPunct/>
        <w:topLinePunct w:val="0"/>
        <w:bidi w:val="0"/>
        <w:spacing w:before="155" w:line="220"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（8）与建设项目相关的标准、规范、技术资料。</w:t>
      </w:r>
    </w:p>
    <w:p w14:paraId="2CBDFD20">
      <w:pPr>
        <w:keepNext w:val="0"/>
        <w:keepLines w:val="0"/>
        <w:pageBreakBefore w:val="0"/>
        <w:wordWrap w:val="0"/>
        <w:overflowPunct/>
        <w:topLinePunct w:val="0"/>
        <w:bidi w:val="0"/>
        <w:spacing w:before="153" w:line="309" w:lineRule="auto"/>
        <w:ind w:left="8" w:right="150" w:firstLine="558"/>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9.2  </w:t>
      </w:r>
      <w:r>
        <w:rPr>
          <w:rFonts w:hint="eastAsia" w:ascii="宋体" w:hAnsi="宋体" w:eastAsia="宋体" w:cs="宋体"/>
          <w:color w:val="auto"/>
          <w:spacing w:val="0"/>
          <w:sz w:val="24"/>
          <w:szCs w:val="24"/>
          <w:highlight w:val="none"/>
        </w:rPr>
        <w:t>投标人应根据招标工程量清单、工程量清单计价</w:t>
      </w:r>
      <w:r>
        <w:rPr>
          <w:rFonts w:hint="eastAsia" w:ascii="宋体" w:hAnsi="宋体" w:eastAsia="宋体" w:cs="宋体"/>
          <w:color w:val="auto"/>
          <w:spacing w:val="0"/>
          <w:sz w:val="24"/>
          <w:szCs w:val="24"/>
          <w:highlight w:val="none"/>
          <w:lang w:val="en-US" w:eastAsia="zh-CN"/>
        </w:rPr>
        <w:t>标准</w:t>
      </w:r>
      <w:r>
        <w:rPr>
          <w:rFonts w:hint="eastAsia" w:ascii="宋体" w:hAnsi="宋体" w:eastAsia="宋体" w:cs="宋体"/>
          <w:color w:val="auto"/>
          <w:spacing w:val="0"/>
          <w:sz w:val="24"/>
          <w:szCs w:val="24"/>
          <w:highlight w:val="none"/>
        </w:rPr>
        <w:t>中的工作内容、设计文件和有关要求、施工现场实际情况、投标人拟定的施工组织设计、本单位的企业定额和市场价格进行编制，自行报价，并承担一定范围内的风险费用。所谓“一定范围内的风险 ”是指合同约定的风险。</w:t>
      </w:r>
    </w:p>
    <w:p w14:paraId="0F9FE88E">
      <w:pPr>
        <w:keepNext w:val="0"/>
        <w:keepLines w:val="0"/>
        <w:pageBreakBefore w:val="0"/>
        <w:wordWrap w:val="0"/>
        <w:overflowPunct/>
        <w:topLinePunct w:val="0"/>
        <w:bidi w:val="0"/>
        <w:spacing w:before="152" w:line="309" w:lineRule="auto"/>
        <w:ind w:left="9" w:right="150" w:firstLine="557"/>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9.3  </w:t>
      </w:r>
      <w:r>
        <w:rPr>
          <w:rFonts w:hint="eastAsia" w:ascii="宋体" w:hAnsi="宋体" w:eastAsia="宋体" w:cs="宋体"/>
          <w:color w:val="auto"/>
          <w:spacing w:val="0"/>
          <w:sz w:val="24"/>
          <w:szCs w:val="24"/>
          <w:highlight w:val="none"/>
        </w:rPr>
        <w:t>招标人及招标代理机构不集中组织现场踏勘，投标人需要了解现场情况的，可自行进行现场踏勘。各投标人应勘察施工现场及周围环境、地形、地貌、水文、交通等情况，以获得一切可能影响到投标的直接资料。投标人应针对现场情况编制施工组织设计，并在编制投标报价时考虑现场情况的影响。</w:t>
      </w:r>
    </w:p>
    <w:p w14:paraId="0388974B">
      <w:pPr>
        <w:keepNext w:val="0"/>
        <w:keepLines w:val="0"/>
        <w:pageBreakBefore w:val="0"/>
        <w:wordWrap w:val="0"/>
        <w:overflowPunct/>
        <w:topLinePunct w:val="0"/>
        <w:bidi w:val="0"/>
        <w:spacing w:before="155" w:line="279" w:lineRule="auto"/>
        <w:ind w:left="10" w:right="150" w:firstLine="55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9.4  </w:t>
      </w:r>
      <w:r>
        <w:rPr>
          <w:rFonts w:hint="eastAsia" w:ascii="宋体" w:hAnsi="宋体" w:eastAsia="宋体" w:cs="宋体"/>
          <w:color w:val="auto"/>
          <w:spacing w:val="0"/>
          <w:sz w:val="24"/>
          <w:szCs w:val="24"/>
          <w:highlight w:val="none"/>
        </w:rPr>
        <w:t>招标人向投标人提供的有关现场的数据和资料，是招标人现有的能被投标人利用的资料，招标人对投标人做出的任何推论、理解和结论均不负责任。</w:t>
      </w:r>
    </w:p>
    <w:p w14:paraId="50A1AF53">
      <w:pPr>
        <w:keepNext w:val="0"/>
        <w:keepLines w:val="0"/>
        <w:pageBreakBefore w:val="0"/>
        <w:wordWrap w:val="0"/>
        <w:overflowPunct/>
        <w:topLinePunct w:val="0"/>
        <w:bidi w:val="0"/>
        <w:spacing w:before="154" w:line="299" w:lineRule="auto"/>
        <w:ind w:left="12" w:firstLine="554"/>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9.5  </w:t>
      </w:r>
      <w:r>
        <w:rPr>
          <w:rFonts w:hint="eastAsia" w:ascii="宋体" w:hAnsi="宋体" w:eastAsia="宋体" w:cs="宋体"/>
          <w:color w:val="auto"/>
          <w:spacing w:val="0"/>
          <w:sz w:val="24"/>
          <w:szCs w:val="24"/>
          <w:highlight w:val="none"/>
        </w:rPr>
        <w:t>投标人必须按照招标工程量清单及表格填报价格。项目编码、项目名称、项目特征、计量单位、工程量必须与招标工程量清单一致。所有报价均以人民币“元 ”为单位，并保留小数点后两位。</w:t>
      </w:r>
    </w:p>
    <w:p w14:paraId="5480BC48">
      <w:pPr>
        <w:keepNext w:val="0"/>
        <w:keepLines w:val="0"/>
        <w:pageBreakBefore w:val="0"/>
        <w:wordWrap w:val="0"/>
        <w:overflowPunct/>
        <w:topLinePunct w:val="0"/>
        <w:bidi w:val="0"/>
        <w:spacing w:before="158" w:line="314" w:lineRule="auto"/>
        <w:ind w:left="9" w:right="150" w:firstLine="557"/>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9.6  </w:t>
      </w:r>
      <w:r>
        <w:rPr>
          <w:rFonts w:hint="eastAsia" w:ascii="宋体" w:hAnsi="宋体" w:eastAsia="宋体" w:cs="宋体"/>
          <w:color w:val="auto"/>
          <w:spacing w:val="0"/>
          <w:sz w:val="24"/>
          <w:szCs w:val="24"/>
          <w:highlight w:val="none"/>
        </w:rPr>
        <w:t>投标人只允许有一个投标总价。投标总价必须同时用大、小写表示，大、小写报价应保持一致，若不一致，以大写报价为准。招标工程量清单与计价表中列明的所有需要填写单价和合价的项目，投标人均应填写且只允许有一个报价。未填写单价和合价的项目，视为此项费用已包含在已标价工程量清单其他项目的单价和合价中，竣工结算时不得重新组价和调整。</w:t>
      </w:r>
    </w:p>
    <w:p w14:paraId="0B1DAEDD">
      <w:pPr>
        <w:keepNext w:val="0"/>
        <w:keepLines w:val="0"/>
        <w:pageBreakBefore w:val="0"/>
        <w:wordWrap w:val="0"/>
        <w:overflowPunct/>
        <w:topLinePunct w:val="0"/>
        <w:bidi w:val="0"/>
        <w:spacing w:before="152" w:line="309" w:lineRule="auto"/>
        <w:ind w:left="7" w:right="120" w:firstLine="480"/>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rPr>
        <w:t xml:space="preserve">9.7  </w:t>
      </w:r>
      <w:r>
        <w:rPr>
          <w:rFonts w:hint="eastAsia" w:ascii="宋体" w:hAnsi="宋体" w:eastAsia="宋体" w:cs="宋体"/>
          <w:color w:val="auto"/>
          <w:spacing w:val="0"/>
          <w:sz w:val="24"/>
          <w:szCs w:val="24"/>
          <w:highlight w:val="none"/>
        </w:rPr>
        <w:t>投标人的投标总价不得高于</w:t>
      </w:r>
      <w:r>
        <w:rPr>
          <w:rFonts w:hint="eastAsia" w:ascii="宋体" w:hAnsi="宋体" w:eastAsia="宋体" w:cs="宋体"/>
          <w:b/>
          <w:bCs/>
          <w:color w:val="auto"/>
          <w:spacing w:val="0"/>
          <w:sz w:val="24"/>
          <w:szCs w:val="24"/>
          <w:highlight w:val="none"/>
          <w:lang w:val="en-US" w:eastAsia="zh-CN"/>
        </w:rPr>
        <w:t>最高投标限价</w:t>
      </w:r>
      <w:r>
        <w:rPr>
          <w:rFonts w:hint="eastAsia" w:ascii="宋体" w:hAnsi="宋体" w:eastAsia="宋体" w:cs="宋体"/>
          <w:color w:val="auto"/>
          <w:spacing w:val="0"/>
          <w:sz w:val="24"/>
          <w:szCs w:val="24"/>
          <w:highlight w:val="none"/>
        </w:rPr>
        <w:t>，也不得低于工程成本。投标人对投标总价的所有优惠（降价、让利等），均应当反映在具体清单项目或其综合单价的报价上。</w:t>
      </w:r>
      <w:r>
        <w:rPr>
          <w:rFonts w:hint="eastAsia" w:ascii="宋体" w:hAnsi="宋体" w:eastAsia="宋体" w:cs="宋体"/>
          <w:b/>
          <w:bCs/>
          <w:color w:val="auto"/>
          <w:spacing w:val="0"/>
          <w:sz w:val="24"/>
          <w:szCs w:val="24"/>
          <w:highlight w:val="none"/>
        </w:rPr>
        <w:t>如果投标人的投标总价下浮率高于</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rPr>
        <w:t>15%时，投标人必须在投标文件中专项作出详细合理的书面说明并提供以往类似工程详细成本分析报告供评标委员会审查。</w:t>
      </w:r>
    </w:p>
    <w:p w14:paraId="0702901B">
      <w:pPr>
        <w:keepNext w:val="0"/>
        <w:keepLines w:val="0"/>
        <w:pageBreakBefore w:val="0"/>
        <w:wordWrap w:val="0"/>
        <w:overflowPunct/>
        <w:topLinePunct w:val="0"/>
        <w:bidi w:val="0"/>
        <w:outlineLvl w:val="9"/>
        <w:rPr>
          <w:rFonts w:hint="eastAsia" w:ascii="宋体" w:hAnsi="宋体" w:eastAsia="宋体" w:cs="宋体"/>
          <w:color w:val="auto"/>
          <w:spacing w:val="0"/>
          <w:highlight w:val="none"/>
          <w:lang w:eastAsia="zh-CN"/>
        </w:rPr>
      </w:pPr>
      <w:r>
        <w:rPr>
          <w:rFonts w:hint="eastAsia" w:ascii="宋体" w:hAnsi="宋体" w:eastAsia="宋体" w:cs="宋体"/>
          <w:b/>
          <w:bCs/>
          <w:color w:val="auto"/>
          <w:spacing w:val="0"/>
          <w:sz w:val="24"/>
          <w:szCs w:val="24"/>
          <w:highlight w:val="none"/>
          <w:lang w:eastAsia="zh-CN"/>
        </w:rPr>
        <w:t>投标总价下浮率=（1-投标总价</w:t>
      </w:r>
      <w:r>
        <w:rPr>
          <w:rFonts w:hint="eastAsia" w:ascii="宋体" w:hAnsi="宋体" w:eastAsia="宋体" w:cs="宋体"/>
          <w:b/>
          <w:bCs/>
          <w:color w:val="auto"/>
          <w:spacing w:val="0"/>
          <w:sz w:val="24"/>
          <w:szCs w:val="24"/>
          <w:highlight w:val="none"/>
        </w:rPr>
        <w:t>÷</w:t>
      </w:r>
      <w:r>
        <w:rPr>
          <w:rFonts w:hint="eastAsia" w:ascii="宋体" w:hAnsi="宋体" w:eastAsia="宋体" w:cs="宋体"/>
          <w:b/>
          <w:bCs/>
          <w:color w:val="auto"/>
          <w:spacing w:val="0"/>
          <w:sz w:val="24"/>
          <w:szCs w:val="24"/>
          <w:highlight w:val="none"/>
          <w:lang w:val="en-US" w:eastAsia="zh-CN"/>
        </w:rPr>
        <w:t>最高投标限价</w:t>
      </w:r>
      <w:r>
        <w:rPr>
          <w:rFonts w:hint="eastAsia" w:ascii="宋体" w:hAnsi="宋体" w:eastAsia="宋体" w:cs="宋体"/>
          <w:b/>
          <w:bCs/>
          <w:color w:val="auto"/>
          <w:spacing w:val="0"/>
          <w:sz w:val="24"/>
          <w:szCs w:val="24"/>
          <w:highlight w:val="none"/>
          <w:lang w:eastAsia="zh-CN"/>
        </w:rPr>
        <w:t>）</w:t>
      </w:r>
      <w:r>
        <w:rPr>
          <w:rFonts w:hint="eastAsia" w:ascii="宋体" w:hAnsi="宋体" w:eastAsia="宋体" w:cs="宋体"/>
          <w:b/>
          <w:bCs/>
          <w:color w:val="auto"/>
          <w:spacing w:val="0"/>
          <w:sz w:val="24"/>
          <w:szCs w:val="24"/>
          <w:highlight w:val="none"/>
        </w:rPr>
        <w:t>×</w:t>
      </w:r>
      <w:r>
        <w:rPr>
          <w:rFonts w:hint="eastAsia" w:ascii="宋体" w:hAnsi="宋体" w:eastAsia="宋体" w:cs="宋体"/>
          <w:b/>
          <w:bCs/>
          <w:color w:val="auto"/>
          <w:spacing w:val="0"/>
          <w:sz w:val="24"/>
          <w:szCs w:val="24"/>
          <w:highlight w:val="none"/>
          <w:lang w:eastAsia="zh-CN"/>
        </w:rPr>
        <w:t>100%</w:t>
      </w:r>
    </w:p>
    <w:p w14:paraId="283460F2">
      <w:pPr>
        <w:keepNext w:val="0"/>
        <w:keepLines w:val="0"/>
        <w:pageBreakBefore w:val="0"/>
        <w:wordWrap w:val="0"/>
        <w:overflowPunct/>
        <w:topLinePunct w:val="0"/>
        <w:bidi w:val="0"/>
        <w:spacing w:before="146" w:line="325" w:lineRule="auto"/>
        <w:ind w:left="29" w:right="153" w:firstLine="458"/>
        <w:rPr>
          <w:rFonts w:hint="eastAsia" w:ascii="宋体" w:hAnsi="宋体" w:eastAsia="宋体" w:cs="宋体"/>
          <w:color w:val="auto"/>
          <w:spacing w:val="0"/>
          <w:highlight w:val="none"/>
        </w:rPr>
      </w:pPr>
      <w:r>
        <w:rPr>
          <w:rFonts w:hint="eastAsia" w:ascii="宋体" w:hAnsi="宋体" w:eastAsia="宋体" w:cs="宋体"/>
          <w:b/>
          <w:bCs/>
          <w:color w:val="auto"/>
          <w:spacing w:val="0"/>
          <w:sz w:val="24"/>
          <w:szCs w:val="24"/>
          <w:highlight w:val="none"/>
        </w:rPr>
        <w:t xml:space="preserve">9.8  </w:t>
      </w:r>
      <w:r>
        <w:rPr>
          <w:rFonts w:hint="eastAsia" w:ascii="宋体" w:hAnsi="宋体" w:eastAsia="宋体" w:cs="宋体"/>
          <w:color w:val="auto"/>
          <w:spacing w:val="0"/>
          <w:sz w:val="24"/>
          <w:szCs w:val="24"/>
          <w:highlight w:val="none"/>
        </w:rPr>
        <w:t>投标人的</w:t>
      </w:r>
      <w:r>
        <w:rPr>
          <w:rFonts w:hint="eastAsia" w:ascii="宋体" w:hAnsi="宋体" w:eastAsia="宋体" w:cs="宋体"/>
          <w:color w:val="auto"/>
          <w:spacing w:val="0"/>
          <w:sz w:val="24"/>
          <w:szCs w:val="24"/>
          <w:highlight w:val="none"/>
          <w:lang w:eastAsia="zh-CN"/>
        </w:rPr>
        <w:t>安全生产措施费</w:t>
      </w:r>
      <w:r>
        <w:rPr>
          <w:rFonts w:hint="eastAsia" w:ascii="宋体" w:hAnsi="宋体" w:eastAsia="宋体" w:cs="宋体"/>
          <w:color w:val="auto"/>
          <w:spacing w:val="0"/>
          <w:sz w:val="24"/>
          <w:szCs w:val="24"/>
          <w:highlight w:val="none"/>
        </w:rPr>
        <w:t>报价必须达到或超过</w:t>
      </w:r>
      <w:r>
        <w:rPr>
          <w:rFonts w:hint="eastAsia" w:ascii="宋体" w:hAnsi="宋体" w:eastAsia="宋体" w:cs="宋体"/>
          <w:b/>
          <w:bCs/>
          <w:color w:val="auto"/>
          <w:spacing w:val="0"/>
          <w:sz w:val="24"/>
          <w:szCs w:val="24"/>
          <w:highlight w:val="none"/>
          <w:lang w:val="en-US" w:eastAsia="zh-CN"/>
        </w:rPr>
        <w:t>最高投标限价</w:t>
      </w:r>
      <w:r>
        <w:rPr>
          <w:rFonts w:hint="eastAsia" w:ascii="宋体" w:hAnsi="宋体" w:eastAsia="宋体" w:cs="宋体"/>
          <w:color w:val="auto"/>
          <w:spacing w:val="0"/>
          <w:sz w:val="24"/>
          <w:szCs w:val="24"/>
          <w:highlight w:val="none"/>
        </w:rPr>
        <w:t>中提供的</w:t>
      </w:r>
      <w:r>
        <w:rPr>
          <w:rFonts w:hint="eastAsia" w:ascii="宋体" w:hAnsi="宋体" w:eastAsia="宋体" w:cs="宋体"/>
          <w:color w:val="auto"/>
          <w:spacing w:val="0"/>
          <w:sz w:val="24"/>
          <w:szCs w:val="24"/>
          <w:highlight w:val="none"/>
          <w:lang w:eastAsia="zh-CN"/>
        </w:rPr>
        <w:t>安全生产措施费</w:t>
      </w:r>
      <w:r>
        <w:rPr>
          <w:rFonts w:hint="eastAsia" w:ascii="宋体" w:hAnsi="宋体" w:eastAsia="宋体" w:cs="宋体"/>
          <w:color w:val="auto"/>
          <w:spacing w:val="0"/>
          <w:sz w:val="24"/>
          <w:szCs w:val="24"/>
          <w:highlight w:val="none"/>
        </w:rPr>
        <w:t>。</w:t>
      </w:r>
    </w:p>
    <w:p w14:paraId="16FE0EFB">
      <w:pPr>
        <w:keepNext w:val="0"/>
        <w:keepLines w:val="0"/>
        <w:pageBreakBefore w:val="0"/>
        <w:wordWrap w:val="0"/>
        <w:overflowPunct/>
        <w:topLinePunct w:val="0"/>
        <w:bidi w:val="0"/>
        <w:spacing w:before="78" w:line="309" w:lineRule="auto"/>
        <w:ind w:right="99" w:firstLine="482" w:firstLineChars="200"/>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9.9  </w:t>
      </w:r>
      <w:r>
        <w:rPr>
          <w:rFonts w:hint="eastAsia" w:ascii="宋体" w:hAnsi="宋体" w:eastAsia="宋体" w:cs="宋体"/>
          <w:color w:val="auto"/>
          <w:spacing w:val="0"/>
          <w:sz w:val="24"/>
          <w:szCs w:val="24"/>
          <w:highlight w:val="none"/>
        </w:rPr>
        <w:t>投标人必须按照招标工程量清单中提供的暂列金额和暂估价统一报价。投标人应充分考虑暂估价项目（或暂列金额项目）的管理和协调所发生的费用，并将其纳入已标价工程量清单中的适当项目。招标人视该项管理和协调所发生的费用已包含在其它有价款的竞争性报价内，不再另行支付。</w:t>
      </w:r>
    </w:p>
    <w:p w14:paraId="60E29F53">
      <w:pPr>
        <w:keepNext w:val="0"/>
        <w:keepLines w:val="0"/>
        <w:pageBreakBefore w:val="0"/>
        <w:wordWrap w:val="0"/>
        <w:overflowPunct/>
        <w:topLinePunct w:val="0"/>
        <w:bidi w:val="0"/>
        <w:spacing w:before="78" w:line="220" w:lineRule="auto"/>
        <w:ind w:left="496"/>
        <w:outlineLvl w:val="2"/>
        <w:rPr>
          <w:rFonts w:hint="eastAsia" w:ascii="宋体" w:hAnsi="宋体" w:eastAsia="宋体" w:cs="宋体"/>
          <w:color w:val="auto"/>
          <w:spacing w:val="0"/>
          <w:sz w:val="24"/>
          <w:szCs w:val="24"/>
          <w:highlight w:val="none"/>
        </w:rPr>
      </w:pPr>
      <w:bookmarkStart w:id="40" w:name="_Toc16322"/>
      <w:bookmarkStart w:id="41" w:name="_Toc13188"/>
      <w:r>
        <w:rPr>
          <w:rFonts w:hint="eastAsia" w:ascii="宋体" w:hAnsi="宋体" w:eastAsia="宋体" w:cs="宋体"/>
          <w:b/>
          <w:bCs/>
          <w:color w:val="auto"/>
          <w:spacing w:val="0"/>
          <w:sz w:val="24"/>
          <w:szCs w:val="24"/>
          <w:highlight w:val="none"/>
        </w:rPr>
        <w:t>10 ．投标文件的编制要求</w:t>
      </w:r>
      <w:bookmarkEnd w:id="40"/>
      <w:bookmarkEnd w:id="41"/>
    </w:p>
    <w:p w14:paraId="21A550A4">
      <w:pPr>
        <w:keepNext w:val="0"/>
        <w:keepLines w:val="0"/>
        <w:pageBreakBefore w:val="0"/>
        <w:wordWrap w:val="0"/>
        <w:overflowPunct/>
        <w:topLinePunct w:val="0"/>
        <w:bidi w:val="0"/>
        <w:spacing w:before="152" w:line="222" w:lineRule="auto"/>
        <w:ind w:left="496"/>
        <w:outlineLvl w:val="3"/>
        <w:rPr>
          <w:rFonts w:hint="eastAsia" w:ascii="宋体" w:hAnsi="宋体" w:eastAsia="宋体" w:cs="宋体"/>
          <w:color w:val="auto"/>
          <w:spacing w:val="0"/>
          <w:sz w:val="24"/>
          <w:szCs w:val="24"/>
          <w:highlight w:val="none"/>
        </w:rPr>
      </w:pPr>
      <w:bookmarkStart w:id="42" w:name="_Toc20590"/>
      <w:bookmarkStart w:id="43" w:name="_Toc22937"/>
      <w:r>
        <w:rPr>
          <w:rFonts w:hint="eastAsia" w:ascii="宋体" w:hAnsi="宋体" w:eastAsia="宋体" w:cs="宋体"/>
          <w:b/>
          <w:bCs/>
          <w:color w:val="auto"/>
          <w:spacing w:val="0"/>
          <w:sz w:val="24"/>
          <w:szCs w:val="24"/>
          <w:highlight w:val="none"/>
        </w:rPr>
        <w:t xml:space="preserve">10.1  </w:t>
      </w:r>
      <w:r>
        <w:rPr>
          <w:rFonts w:hint="eastAsia" w:ascii="宋体" w:hAnsi="宋体" w:eastAsia="宋体" w:cs="宋体"/>
          <w:color w:val="auto"/>
          <w:spacing w:val="0"/>
          <w:sz w:val="24"/>
          <w:szCs w:val="24"/>
          <w:highlight w:val="none"/>
        </w:rPr>
        <w:t>一般要求</w:t>
      </w:r>
      <w:bookmarkEnd w:id="42"/>
      <w:bookmarkEnd w:id="43"/>
    </w:p>
    <w:p w14:paraId="42005AE5">
      <w:pPr>
        <w:keepNext w:val="0"/>
        <w:keepLines w:val="0"/>
        <w:pageBreakBefore w:val="0"/>
        <w:wordWrap w:val="0"/>
        <w:overflowPunct/>
        <w:topLinePunct w:val="0"/>
        <w:bidi w:val="0"/>
        <w:spacing w:before="118" w:line="295" w:lineRule="auto"/>
        <w:ind w:left="11" w:right="99" w:firstLine="48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投标文件应按第六章投标文件格式规定的内容，投标人提交的投标文件应当使用招标文件所提供的投标文件全部格式。</w:t>
      </w:r>
    </w:p>
    <w:p w14:paraId="602F816E">
      <w:pPr>
        <w:keepNext w:val="0"/>
        <w:keepLines w:val="0"/>
        <w:pageBreakBefore w:val="0"/>
        <w:wordWrap w:val="0"/>
        <w:overflowPunct/>
        <w:topLinePunct w:val="0"/>
        <w:bidi w:val="0"/>
        <w:spacing w:before="68" w:line="299" w:lineRule="auto"/>
        <w:ind w:left="11" w:right="99" w:firstLine="563"/>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10.1.1  </w:t>
      </w:r>
      <w:r>
        <w:rPr>
          <w:rFonts w:hint="eastAsia" w:ascii="宋体" w:hAnsi="宋体" w:eastAsia="宋体" w:cs="宋体"/>
          <w:color w:val="auto"/>
          <w:spacing w:val="0"/>
          <w:sz w:val="24"/>
          <w:szCs w:val="24"/>
          <w:highlight w:val="none"/>
        </w:rPr>
        <w:t>投标人必须响应招标文件，并在充分理解招标人提供的全部文件、设计图纸、资料及现场条件的基础上编制投标文件。因投标文件不符合招标文件的要求而造成的损失和后果，由投标人自行承担。</w:t>
      </w:r>
    </w:p>
    <w:p w14:paraId="52A8E284">
      <w:pPr>
        <w:keepNext w:val="0"/>
        <w:keepLines w:val="0"/>
        <w:pageBreakBefore w:val="0"/>
        <w:wordWrap w:val="0"/>
        <w:overflowPunct/>
        <w:topLinePunct w:val="0"/>
        <w:bidi w:val="0"/>
        <w:spacing w:before="123" w:line="290" w:lineRule="auto"/>
        <w:ind w:left="8" w:firstLine="56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10.1.2  </w:t>
      </w:r>
      <w:r>
        <w:rPr>
          <w:rFonts w:hint="eastAsia" w:ascii="宋体" w:hAnsi="宋体" w:eastAsia="宋体" w:cs="宋体"/>
          <w:color w:val="auto"/>
          <w:spacing w:val="0"/>
          <w:sz w:val="24"/>
          <w:szCs w:val="24"/>
          <w:highlight w:val="none"/>
        </w:rPr>
        <w:t>投标文件全部采用电子文档，投标文件所附证书证件均为原件扫描件，并采用单位数字证书，按招标文件要求在相应位置加盖电子印章。投标文件中需个人签字或盖章的，应加盖个人电子印章或在线下完成后扫描上传。按照交易平台关于全流程电子化项目的相关指南进行操作。详见：全国公共资源交易平台（广东省 ·韶关市）交易指引。</w:t>
      </w:r>
    </w:p>
    <w:p w14:paraId="16029C5B">
      <w:pPr>
        <w:keepNext w:val="0"/>
        <w:keepLines w:val="0"/>
        <w:pageBreakBefore w:val="0"/>
        <w:wordWrap w:val="0"/>
        <w:overflowPunct/>
        <w:topLinePunct w:val="0"/>
        <w:bidi w:val="0"/>
        <w:spacing w:before="1" w:line="219" w:lineRule="auto"/>
        <w:ind w:left="579"/>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10.1.3  </w:t>
      </w:r>
      <w:r>
        <w:rPr>
          <w:rFonts w:hint="eastAsia" w:ascii="宋体" w:hAnsi="宋体" w:eastAsia="宋体" w:cs="宋体"/>
          <w:color w:val="auto"/>
          <w:spacing w:val="0"/>
          <w:sz w:val="24"/>
          <w:szCs w:val="24"/>
          <w:highlight w:val="none"/>
        </w:rPr>
        <w:t>投标文件需按以下要求签字、盖章：电子投标文件：</w:t>
      </w:r>
    </w:p>
    <w:p w14:paraId="23D40847">
      <w:pPr>
        <w:keepNext w:val="0"/>
        <w:keepLines w:val="0"/>
        <w:pageBreakBefore w:val="0"/>
        <w:wordWrap w:val="0"/>
        <w:overflowPunct/>
        <w:topLinePunct w:val="0"/>
        <w:bidi w:val="0"/>
        <w:spacing w:before="111" w:line="279" w:lineRule="auto"/>
        <w:ind w:right="133" w:firstLine="57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highlight w:val="none"/>
        </w:rPr>
        <w:fldChar w:fldCharType="begin"/>
      </w:r>
      <w:r>
        <w:rPr>
          <w:rFonts w:hint="eastAsia" w:ascii="宋体" w:hAnsi="宋体" w:eastAsia="宋体" w:cs="宋体"/>
          <w:color w:val="auto"/>
          <w:spacing w:val="0"/>
          <w:highlight w:val="none"/>
        </w:rPr>
        <w:instrText xml:space="preserve"> HYPERLINK "10.1.3.1" </w:instrText>
      </w:r>
      <w:r>
        <w:rPr>
          <w:rFonts w:hint="eastAsia" w:ascii="宋体" w:hAnsi="宋体" w:eastAsia="宋体" w:cs="宋体"/>
          <w:color w:val="auto"/>
          <w:spacing w:val="0"/>
          <w:highlight w:val="none"/>
        </w:rPr>
        <w:fldChar w:fldCharType="separate"/>
      </w:r>
      <w:r>
        <w:rPr>
          <w:rFonts w:hint="eastAsia" w:ascii="宋体" w:hAnsi="宋体" w:eastAsia="宋体" w:cs="宋体"/>
          <w:b/>
          <w:bCs/>
          <w:color w:val="auto"/>
          <w:spacing w:val="0"/>
          <w:sz w:val="24"/>
          <w:szCs w:val="24"/>
          <w:highlight w:val="none"/>
        </w:rPr>
        <w:t>10.1.3.1</w:t>
      </w:r>
      <w:r>
        <w:rPr>
          <w:rFonts w:hint="eastAsia" w:ascii="宋体" w:hAnsi="宋体" w:eastAsia="宋体" w:cs="宋体"/>
          <w:b/>
          <w:bCs/>
          <w:color w:val="auto"/>
          <w:spacing w:val="0"/>
          <w:sz w:val="24"/>
          <w:szCs w:val="24"/>
          <w:highlight w:val="none"/>
        </w:rPr>
        <w:fldChar w:fldCharType="end"/>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color w:val="auto"/>
          <w:spacing w:val="0"/>
          <w:sz w:val="24"/>
          <w:szCs w:val="24"/>
          <w:highlight w:val="none"/>
        </w:rPr>
        <w:t>投标文件封面、组成内容中凡注明“签字 ”处由要求的人员签字或电子签章；凡注明“签字或盖章 ”处由要求的人员签字或盖其私章（电子印章）；凡注明 “签字并盖执业印章 ”处由要求的人员签字并盖其执业印章。</w:t>
      </w:r>
    </w:p>
    <w:p w14:paraId="0A029BE9">
      <w:pPr>
        <w:keepNext w:val="0"/>
        <w:keepLines w:val="0"/>
        <w:pageBreakBefore w:val="0"/>
        <w:wordWrap w:val="0"/>
        <w:overflowPunct/>
        <w:topLinePunct w:val="0"/>
        <w:bidi w:val="0"/>
        <w:spacing w:before="112" w:line="264" w:lineRule="auto"/>
        <w:ind w:left="13" w:right="133" w:firstLine="5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highlight w:val="none"/>
        </w:rPr>
        <w:fldChar w:fldCharType="begin"/>
      </w:r>
      <w:r>
        <w:rPr>
          <w:rFonts w:hint="eastAsia" w:ascii="宋体" w:hAnsi="宋体" w:eastAsia="宋体" w:cs="宋体"/>
          <w:color w:val="auto"/>
          <w:spacing w:val="0"/>
          <w:highlight w:val="none"/>
        </w:rPr>
        <w:instrText xml:space="preserve"> HYPERLINK "10.1.3.2" </w:instrText>
      </w:r>
      <w:r>
        <w:rPr>
          <w:rFonts w:hint="eastAsia" w:ascii="宋体" w:hAnsi="宋体" w:eastAsia="宋体" w:cs="宋体"/>
          <w:color w:val="auto"/>
          <w:spacing w:val="0"/>
          <w:highlight w:val="none"/>
        </w:rPr>
        <w:fldChar w:fldCharType="separate"/>
      </w:r>
      <w:r>
        <w:rPr>
          <w:rFonts w:hint="eastAsia" w:ascii="宋体" w:hAnsi="宋体" w:eastAsia="宋体" w:cs="宋体"/>
          <w:b/>
          <w:bCs/>
          <w:color w:val="auto"/>
          <w:spacing w:val="0"/>
          <w:sz w:val="24"/>
          <w:szCs w:val="24"/>
          <w:highlight w:val="none"/>
        </w:rPr>
        <w:t>10.1.3.2</w:t>
      </w:r>
      <w:r>
        <w:rPr>
          <w:rFonts w:hint="eastAsia" w:ascii="宋体" w:hAnsi="宋体" w:eastAsia="宋体" w:cs="宋体"/>
          <w:b/>
          <w:bCs/>
          <w:color w:val="auto"/>
          <w:spacing w:val="0"/>
          <w:sz w:val="24"/>
          <w:szCs w:val="24"/>
          <w:highlight w:val="none"/>
        </w:rPr>
        <w:fldChar w:fldCharType="end"/>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color w:val="auto"/>
          <w:spacing w:val="0"/>
          <w:sz w:val="24"/>
          <w:szCs w:val="24"/>
          <w:highlight w:val="none"/>
        </w:rPr>
        <w:t>投标文件封套、封面、组成内容中凡要求录入投标人名称且注明“盖单位章 ”处盖单位法人公章（电子印章）。</w:t>
      </w:r>
    </w:p>
    <w:p w14:paraId="0675A444">
      <w:pPr>
        <w:keepNext w:val="0"/>
        <w:keepLines w:val="0"/>
        <w:pageBreakBefore w:val="0"/>
        <w:wordWrap w:val="0"/>
        <w:overflowPunct/>
        <w:topLinePunct w:val="0"/>
        <w:bidi w:val="0"/>
        <w:spacing w:before="146" w:line="279" w:lineRule="auto"/>
        <w:ind w:left="16" w:right="135" w:firstLine="562"/>
        <w:rPr>
          <w:rFonts w:hint="eastAsia" w:ascii="宋体" w:hAnsi="宋体" w:eastAsia="宋体" w:cs="宋体"/>
          <w:color w:val="auto"/>
          <w:spacing w:val="0"/>
          <w:sz w:val="24"/>
          <w:szCs w:val="24"/>
          <w:highlight w:val="none"/>
        </w:rPr>
      </w:pPr>
      <w:r>
        <w:rPr>
          <w:rFonts w:hint="eastAsia" w:ascii="宋体" w:hAnsi="宋体" w:eastAsia="宋体" w:cs="宋体"/>
          <w:color w:val="auto"/>
          <w:spacing w:val="0"/>
          <w:highlight w:val="none"/>
        </w:rPr>
        <w:fldChar w:fldCharType="begin"/>
      </w:r>
      <w:r>
        <w:rPr>
          <w:rFonts w:hint="eastAsia" w:ascii="宋体" w:hAnsi="宋体" w:eastAsia="宋体" w:cs="宋体"/>
          <w:color w:val="auto"/>
          <w:spacing w:val="0"/>
          <w:highlight w:val="none"/>
        </w:rPr>
        <w:instrText xml:space="preserve"> HYPERLINK "10.1.3.3" </w:instrText>
      </w:r>
      <w:r>
        <w:rPr>
          <w:rFonts w:hint="eastAsia" w:ascii="宋体" w:hAnsi="宋体" w:eastAsia="宋体" w:cs="宋体"/>
          <w:color w:val="auto"/>
          <w:spacing w:val="0"/>
          <w:highlight w:val="none"/>
        </w:rPr>
        <w:fldChar w:fldCharType="separate"/>
      </w:r>
      <w:r>
        <w:rPr>
          <w:rFonts w:hint="eastAsia" w:ascii="宋体" w:hAnsi="宋体" w:eastAsia="宋体" w:cs="宋体"/>
          <w:b/>
          <w:bCs/>
          <w:color w:val="auto"/>
          <w:spacing w:val="0"/>
          <w:sz w:val="24"/>
          <w:szCs w:val="24"/>
          <w:highlight w:val="none"/>
        </w:rPr>
        <w:t>10.1.3.3</w:t>
      </w:r>
      <w:r>
        <w:rPr>
          <w:rFonts w:hint="eastAsia" w:ascii="宋体" w:hAnsi="宋体" w:eastAsia="宋体" w:cs="宋体"/>
          <w:b/>
          <w:bCs/>
          <w:color w:val="auto"/>
          <w:spacing w:val="0"/>
          <w:sz w:val="24"/>
          <w:szCs w:val="24"/>
          <w:highlight w:val="none"/>
        </w:rPr>
        <w:fldChar w:fldCharType="end"/>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color w:val="auto"/>
          <w:spacing w:val="0"/>
          <w:sz w:val="24"/>
          <w:szCs w:val="24"/>
          <w:highlight w:val="none"/>
        </w:rPr>
        <w:t>投标文件的签字均为签字人本人亲笔署名或签章（电子印章），其余部分的复印件无须另行签字、盖章。</w:t>
      </w:r>
    </w:p>
    <w:p w14:paraId="03026719">
      <w:pPr>
        <w:keepNext w:val="0"/>
        <w:keepLines w:val="0"/>
        <w:pageBreakBefore w:val="0"/>
        <w:wordWrap w:val="0"/>
        <w:overflowPunct/>
        <w:topLinePunct w:val="0"/>
        <w:bidi w:val="0"/>
        <w:spacing w:before="155" w:line="219" w:lineRule="auto"/>
        <w:ind w:left="0" w:leftChars="0" w:firstLine="482" w:firstLineChars="200"/>
        <w:outlineLvl w:val="3"/>
        <w:rPr>
          <w:rFonts w:hint="eastAsia" w:ascii="宋体" w:hAnsi="宋体" w:eastAsia="宋体" w:cs="宋体"/>
          <w:b w:val="0"/>
          <w:bCs w:val="0"/>
          <w:color w:val="auto"/>
          <w:spacing w:val="0"/>
          <w:sz w:val="24"/>
          <w:szCs w:val="24"/>
          <w:highlight w:val="none"/>
        </w:rPr>
      </w:pPr>
      <w:bookmarkStart w:id="44" w:name="_Toc21271"/>
      <w:bookmarkStart w:id="45" w:name="_Toc20223"/>
      <w:r>
        <w:rPr>
          <w:rFonts w:hint="eastAsia" w:ascii="宋体" w:hAnsi="宋体" w:eastAsia="宋体" w:cs="宋体"/>
          <w:b/>
          <w:bCs/>
          <w:color w:val="auto"/>
          <w:spacing w:val="0"/>
          <w:sz w:val="24"/>
          <w:szCs w:val="24"/>
          <w:highlight w:val="none"/>
        </w:rPr>
        <w:t xml:space="preserve">10.1.3.4 </w:t>
      </w:r>
      <w:r>
        <w:rPr>
          <w:rFonts w:hint="eastAsia" w:ascii="宋体" w:hAnsi="宋体" w:eastAsia="宋体" w:cs="宋体"/>
          <w:color w:val="auto"/>
          <w:spacing w:val="0"/>
          <w:sz w:val="24"/>
          <w:szCs w:val="24"/>
          <w:highlight w:val="none"/>
        </w:rPr>
        <w:t>联合体投标的，除《联合体协议书》外，由联合体牵头人按以上要求签亲笔署名或签章（电子印章）即可。</w:t>
      </w:r>
    </w:p>
    <w:p w14:paraId="57514D3B">
      <w:pPr>
        <w:keepNext w:val="0"/>
        <w:keepLines w:val="0"/>
        <w:pageBreakBefore w:val="0"/>
        <w:wordWrap w:val="0"/>
        <w:overflowPunct/>
        <w:topLinePunct w:val="0"/>
        <w:bidi w:val="0"/>
        <w:spacing w:before="155" w:line="219" w:lineRule="auto"/>
        <w:ind w:left="500"/>
        <w:outlineLvl w:val="3"/>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10.2  </w:t>
      </w:r>
      <w:r>
        <w:rPr>
          <w:rFonts w:hint="eastAsia" w:ascii="宋体" w:hAnsi="宋体" w:eastAsia="宋体" w:cs="宋体"/>
          <w:color w:val="auto"/>
          <w:spacing w:val="0"/>
          <w:sz w:val="24"/>
          <w:szCs w:val="24"/>
          <w:highlight w:val="none"/>
        </w:rPr>
        <w:t>商务标书的编制要求</w:t>
      </w:r>
      <w:bookmarkEnd w:id="44"/>
      <w:bookmarkEnd w:id="45"/>
    </w:p>
    <w:p w14:paraId="3BB3E190">
      <w:pPr>
        <w:keepNext w:val="0"/>
        <w:keepLines w:val="0"/>
        <w:pageBreakBefore w:val="0"/>
        <w:wordWrap w:val="0"/>
        <w:overflowPunct/>
        <w:topLinePunct w:val="0"/>
        <w:bidi w:val="0"/>
        <w:spacing w:before="157" w:line="219" w:lineRule="auto"/>
        <w:ind w:left="581"/>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10.2.1 </w:t>
      </w:r>
      <w:r>
        <w:rPr>
          <w:rFonts w:hint="eastAsia" w:ascii="宋体" w:hAnsi="宋体" w:eastAsia="宋体" w:cs="宋体"/>
          <w:color w:val="auto"/>
          <w:spacing w:val="0"/>
          <w:sz w:val="24"/>
          <w:szCs w:val="24"/>
          <w:highlight w:val="none"/>
        </w:rPr>
        <w:t>商务标书包括但不限于以下内容：</w:t>
      </w:r>
    </w:p>
    <w:p w14:paraId="2A8EFE4D">
      <w:pPr>
        <w:keepNext w:val="0"/>
        <w:keepLines w:val="0"/>
        <w:pageBreakBefore w:val="0"/>
        <w:wordWrap w:val="0"/>
        <w:overflowPunct/>
        <w:topLinePunct w:val="0"/>
        <w:bidi w:val="0"/>
        <w:spacing w:before="154" w:line="220" w:lineRule="auto"/>
        <w:ind w:left="50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（1）封面（格式一）；</w:t>
      </w:r>
    </w:p>
    <w:p w14:paraId="3BCF9A63">
      <w:pPr>
        <w:keepNext w:val="0"/>
        <w:keepLines w:val="0"/>
        <w:pageBreakBefore w:val="0"/>
        <w:wordWrap w:val="0"/>
        <w:overflowPunct/>
        <w:topLinePunct w:val="0"/>
        <w:bidi w:val="0"/>
        <w:spacing w:before="153" w:line="222" w:lineRule="auto"/>
        <w:ind w:left="50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 目录；</w:t>
      </w:r>
    </w:p>
    <w:p w14:paraId="1AD888B5">
      <w:pPr>
        <w:keepNext w:val="0"/>
        <w:keepLines w:val="0"/>
        <w:pageBreakBefore w:val="0"/>
        <w:wordWrap w:val="0"/>
        <w:overflowPunct/>
        <w:topLinePunct w:val="0"/>
        <w:bidi w:val="0"/>
        <w:spacing w:before="153" w:line="220" w:lineRule="auto"/>
        <w:ind w:left="50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（3）《投标函》（格式二）；</w:t>
      </w:r>
    </w:p>
    <w:p w14:paraId="79AE0ADC">
      <w:pPr>
        <w:keepNext w:val="0"/>
        <w:keepLines w:val="0"/>
        <w:pageBreakBefore w:val="0"/>
        <w:wordWrap w:val="0"/>
        <w:overflowPunct/>
        <w:topLinePunct w:val="0"/>
        <w:bidi w:val="0"/>
        <w:spacing w:before="153" w:line="220" w:lineRule="auto"/>
        <w:ind w:left="50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（4）《各项承诺一览表》（格式三）；</w:t>
      </w:r>
    </w:p>
    <w:p w14:paraId="0E184027">
      <w:pPr>
        <w:keepNext w:val="0"/>
        <w:keepLines w:val="0"/>
        <w:pageBreakBefore w:val="0"/>
        <w:wordWrap w:val="0"/>
        <w:overflowPunct/>
        <w:topLinePunct w:val="0"/>
        <w:bidi w:val="0"/>
        <w:spacing w:before="154" w:line="219" w:lineRule="auto"/>
        <w:ind w:left="50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（5）《授权委托书》（格式四）；</w:t>
      </w:r>
    </w:p>
    <w:p w14:paraId="6AE5FABF">
      <w:pPr>
        <w:keepNext w:val="0"/>
        <w:keepLines w:val="0"/>
        <w:pageBreakBefore w:val="0"/>
        <w:wordWrap w:val="0"/>
        <w:overflowPunct/>
        <w:topLinePunct w:val="0"/>
        <w:bidi w:val="0"/>
        <w:spacing w:before="156" w:line="220" w:lineRule="auto"/>
        <w:ind w:left="50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（6）《法定代表人身份证明》（格式五）；</w:t>
      </w:r>
    </w:p>
    <w:p w14:paraId="38E569A3">
      <w:pPr>
        <w:keepNext w:val="0"/>
        <w:keepLines w:val="0"/>
        <w:pageBreakBefore w:val="0"/>
        <w:wordWrap w:val="0"/>
        <w:overflowPunct/>
        <w:topLinePunct w:val="0"/>
        <w:bidi w:val="0"/>
        <w:spacing w:before="154" w:line="219" w:lineRule="auto"/>
        <w:ind w:left="50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（7）《联合体协议书》</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lang w:val="en-US" w:eastAsia="zh-CN"/>
        </w:rPr>
        <w:t>如有</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（格式六）及所附资料；</w:t>
      </w:r>
    </w:p>
    <w:p w14:paraId="7A6CB2BE">
      <w:pPr>
        <w:keepNext w:val="0"/>
        <w:keepLines w:val="0"/>
        <w:pageBreakBefore w:val="0"/>
        <w:wordWrap w:val="0"/>
        <w:overflowPunct/>
        <w:topLinePunct w:val="0"/>
        <w:bidi w:val="0"/>
        <w:spacing w:before="153" w:line="309" w:lineRule="auto"/>
        <w:ind w:left="13" w:right="133" w:firstLine="49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（8）投标保</w:t>
      </w:r>
      <w:r>
        <w:rPr>
          <w:rFonts w:hint="eastAsia" w:ascii="宋体" w:hAnsi="宋体" w:eastAsia="宋体" w:cs="宋体"/>
          <w:color w:val="auto"/>
          <w:spacing w:val="0"/>
          <w:sz w:val="24"/>
          <w:szCs w:val="24"/>
          <w:highlight w:val="none"/>
          <w:lang w:eastAsia="zh-CN"/>
        </w:rPr>
        <w:t>证金</w:t>
      </w:r>
      <w:r>
        <w:rPr>
          <w:rFonts w:hint="eastAsia" w:ascii="宋体" w:hAnsi="宋体" w:eastAsia="宋体" w:cs="宋体"/>
          <w:color w:val="auto"/>
          <w:spacing w:val="0"/>
          <w:sz w:val="24"/>
          <w:szCs w:val="24"/>
          <w:highlight w:val="none"/>
        </w:rPr>
        <w:t>缴纳证明（投标人采用投标保证金的，附建设工程交易系统《缴纳投标保证金通知书》页面截图和银行转账单彩色扫描件；采用投标保证担保的，附银行保函彩色扫描件；采用投标保证保险的，附电子保单和</w:t>
      </w:r>
      <w:r>
        <w:rPr>
          <w:rFonts w:hint="eastAsia" w:ascii="宋体" w:hAnsi="宋体" w:eastAsia="宋体" w:cs="宋体"/>
          <w:b/>
          <w:bCs/>
          <w:color w:val="auto"/>
          <w:spacing w:val="0"/>
          <w:sz w:val="24"/>
          <w:szCs w:val="24"/>
          <w:highlight w:val="none"/>
        </w:rPr>
        <w:t>《韶关市公共资源交易一体化平台保证金缴纳信息》页面截图</w:t>
      </w:r>
      <w:r>
        <w:rPr>
          <w:rFonts w:hint="eastAsia" w:ascii="宋体" w:hAnsi="宋体" w:eastAsia="宋体" w:cs="宋体"/>
          <w:color w:val="auto"/>
          <w:spacing w:val="0"/>
          <w:sz w:val="24"/>
          <w:szCs w:val="24"/>
          <w:highlight w:val="none"/>
        </w:rPr>
        <w:t>）；</w:t>
      </w:r>
    </w:p>
    <w:p w14:paraId="7819C7C8">
      <w:pPr>
        <w:keepNext w:val="0"/>
        <w:keepLines w:val="0"/>
        <w:pageBreakBefore w:val="0"/>
        <w:wordWrap w:val="0"/>
        <w:overflowPunct/>
        <w:topLinePunct w:val="0"/>
        <w:bidi w:val="0"/>
        <w:spacing w:before="156" w:line="219" w:lineRule="auto"/>
        <w:ind w:left="50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（9）《投标人基本情况表》（格式七）及所附资料；</w:t>
      </w:r>
    </w:p>
    <w:p w14:paraId="52A5AB55">
      <w:pPr>
        <w:keepNext w:val="0"/>
        <w:keepLines w:val="0"/>
        <w:pageBreakBefore w:val="0"/>
        <w:wordWrap w:val="0"/>
        <w:overflowPunct/>
        <w:topLinePunct w:val="0"/>
        <w:bidi w:val="0"/>
        <w:spacing w:before="155" w:line="219" w:lineRule="auto"/>
        <w:ind w:left="50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（10）《项目经理简历表》（格式八）及所附资料；</w:t>
      </w:r>
    </w:p>
    <w:p w14:paraId="38A9366A">
      <w:pPr>
        <w:keepNext w:val="0"/>
        <w:keepLines w:val="0"/>
        <w:pageBreakBefore w:val="0"/>
        <w:wordWrap w:val="0"/>
        <w:overflowPunct/>
        <w:topLinePunct w:val="0"/>
        <w:bidi w:val="0"/>
        <w:spacing w:before="154" w:line="220" w:lineRule="auto"/>
        <w:ind w:left="50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（11）《项目经理任职声明》（格式九）；</w:t>
      </w:r>
    </w:p>
    <w:p w14:paraId="632510FD">
      <w:pPr>
        <w:keepNext w:val="0"/>
        <w:keepLines w:val="0"/>
        <w:pageBreakBefore w:val="0"/>
        <w:wordWrap w:val="0"/>
        <w:overflowPunct/>
        <w:topLinePunct w:val="0"/>
        <w:bidi w:val="0"/>
        <w:spacing w:before="156" w:line="219" w:lineRule="auto"/>
        <w:ind w:left="50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（12）《项目技术负责人简历表》（格式十）及所附资料；</w:t>
      </w:r>
    </w:p>
    <w:p w14:paraId="200C9DD1">
      <w:pPr>
        <w:keepNext w:val="0"/>
        <w:keepLines w:val="0"/>
        <w:pageBreakBefore w:val="0"/>
        <w:wordWrap w:val="0"/>
        <w:overflowPunct/>
        <w:topLinePunct w:val="0"/>
        <w:bidi w:val="0"/>
        <w:spacing w:before="154" w:line="219" w:lineRule="auto"/>
        <w:ind w:left="50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（13）《项</w:t>
      </w:r>
      <w:bookmarkStart w:id="46" w:name="OLE_LINK7"/>
      <w:r>
        <w:rPr>
          <w:rFonts w:hint="eastAsia" w:ascii="宋体" w:hAnsi="宋体" w:eastAsia="宋体" w:cs="宋体"/>
          <w:color w:val="auto"/>
          <w:spacing w:val="0"/>
          <w:sz w:val="24"/>
          <w:szCs w:val="24"/>
          <w:highlight w:val="none"/>
        </w:rPr>
        <w:t>目管理机构组成表》（格式十一）及</w:t>
      </w:r>
      <w:bookmarkEnd w:id="46"/>
      <w:r>
        <w:rPr>
          <w:rFonts w:hint="eastAsia" w:ascii="宋体" w:hAnsi="宋体" w:eastAsia="宋体" w:cs="宋体"/>
          <w:color w:val="auto"/>
          <w:spacing w:val="0"/>
          <w:sz w:val="24"/>
          <w:szCs w:val="24"/>
          <w:highlight w:val="none"/>
        </w:rPr>
        <w:t>所附资料；</w:t>
      </w:r>
    </w:p>
    <w:p w14:paraId="1AAB32A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（14） 建造师查询页（有效期）（格式十二）；</w:t>
      </w:r>
    </w:p>
    <w:p w14:paraId="45EDC0C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（15）</w:t>
      </w:r>
      <w:r>
        <w:rPr>
          <w:rFonts w:hint="eastAsia" w:ascii="宋体" w:hAnsi="宋体" w:eastAsia="宋体" w:cs="宋体"/>
          <w:b w:val="0"/>
          <w:bCs w:val="0"/>
          <w:color w:val="auto"/>
          <w:sz w:val="24"/>
          <w:highlight w:val="none"/>
          <w:lang w:eastAsia="zh-CN"/>
        </w:rPr>
        <w:t>《</w:t>
      </w:r>
      <w:r>
        <w:rPr>
          <w:rFonts w:hint="eastAsia" w:ascii="宋体" w:hAnsi="宋体" w:eastAsia="宋体" w:cs="宋体"/>
          <w:b w:val="0"/>
          <w:bCs w:val="0"/>
          <w:color w:val="auto"/>
          <w:sz w:val="24"/>
          <w:highlight w:val="none"/>
          <w:lang w:val="en-US" w:eastAsia="zh-CN"/>
        </w:rPr>
        <w:t>危险性较大的分部分项工程清单及超过一定规模的危险性较大的分部分项工程清单</w:t>
      </w:r>
      <w:r>
        <w:rPr>
          <w:rFonts w:hint="eastAsia" w:ascii="宋体" w:hAnsi="宋体" w:eastAsia="宋体" w:cs="宋体"/>
          <w:b w:val="0"/>
          <w:bCs w:val="0"/>
          <w:color w:val="auto"/>
          <w:sz w:val="24"/>
          <w:highlight w:val="none"/>
          <w:lang w:eastAsia="zh-CN"/>
        </w:rPr>
        <w:t>》</w:t>
      </w:r>
      <w:r>
        <w:rPr>
          <w:rFonts w:hint="eastAsia" w:ascii="宋体" w:hAnsi="宋体" w:eastAsia="宋体" w:cs="宋体"/>
          <w:b w:val="0"/>
          <w:bCs w:val="0"/>
          <w:color w:val="auto"/>
          <w:sz w:val="24"/>
          <w:highlight w:val="none"/>
        </w:rPr>
        <w:t>（格式十三）</w:t>
      </w:r>
    </w:p>
    <w:p w14:paraId="187E012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（16）《</w:t>
      </w:r>
      <w:r>
        <w:rPr>
          <w:rFonts w:hint="eastAsia" w:ascii="宋体" w:hAnsi="宋体" w:eastAsia="宋体" w:cs="宋体"/>
          <w:b w:val="0"/>
          <w:bCs w:val="0"/>
          <w:color w:val="auto"/>
          <w:sz w:val="24"/>
          <w:highlight w:val="none"/>
          <w:lang w:val="en-US" w:eastAsia="zh-CN"/>
        </w:rPr>
        <w:t>投标保证金信用承诺书</w:t>
      </w:r>
      <w:r>
        <w:rPr>
          <w:rFonts w:hint="eastAsia" w:ascii="宋体" w:hAnsi="宋体" w:eastAsia="宋体" w:cs="宋体"/>
          <w:b w:val="0"/>
          <w:bCs w:val="0"/>
          <w:color w:val="auto"/>
          <w:sz w:val="24"/>
          <w:highlight w:val="none"/>
        </w:rPr>
        <w:t>》（格式十</w:t>
      </w:r>
      <w:r>
        <w:rPr>
          <w:rFonts w:hint="eastAsia" w:ascii="宋体" w:hAnsi="宋体" w:eastAsia="宋体" w:cs="宋体"/>
          <w:b w:val="0"/>
          <w:bCs w:val="0"/>
          <w:color w:val="auto"/>
          <w:sz w:val="24"/>
          <w:highlight w:val="none"/>
          <w:lang w:val="en-US" w:eastAsia="zh-CN"/>
        </w:rPr>
        <w:t>四</w:t>
      </w:r>
      <w:r>
        <w:rPr>
          <w:rFonts w:hint="eastAsia" w:ascii="宋体" w:hAnsi="宋体" w:eastAsia="宋体" w:cs="宋体"/>
          <w:b w:val="0"/>
          <w:bCs w:val="0"/>
          <w:color w:val="auto"/>
          <w:sz w:val="24"/>
          <w:highlight w:val="none"/>
        </w:rPr>
        <w:t>）</w:t>
      </w:r>
    </w:p>
    <w:p w14:paraId="195C381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lang w:eastAsia="zh-CN"/>
        </w:rPr>
        <w:t>（</w:t>
      </w:r>
      <w:r>
        <w:rPr>
          <w:rFonts w:hint="eastAsia" w:ascii="宋体" w:hAnsi="宋体" w:eastAsia="宋体" w:cs="宋体"/>
          <w:b w:val="0"/>
          <w:bCs w:val="0"/>
          <w:color w:val="auto"/>
          <w:sz w:val="24"/>
          <w:highlight w:val="none"/>
          <w:lang w:val="en-US" w:eastAsia="zh-CN"/>
        </w:rPr>
        <w:t>17</w:t>
      </w:r>
      <w:r>
        <w:rPr>
          <w:rFonts w:hint="eastAsia" w:ascii="宋体" w:hAnsi="宋体" w:eastAsia="宋体" w:cs="宋体"/>
          <w:b w:val="0"/>
          <w:bCs w:val="0"/>
          <w:color w:val="auto"/>
          <w:sz w:val="24"/>
          <w:highlight w:val="none"/>
          <w:lang w:eastAsia="zh-CN"/>
        </w:rPr>
        <w:t>）</w:t>
      </w:r>
      <w:r>
        <w:rPr>
          <w:rFonts w:hint="eastAsia" w:ascii="宋体" w:hAnsi="宋体" w:eastAsia="宋体" w:cs="宋体"/>
          <w:b w:val="0"/>
          <w:bCs w:val="0"/>
          <w:color w:val="auto"/>
          <w:sz w:val="24"/>
          <w:highlight w:val="none"/>
        </w:rPr>
        <w:t>《助力项目承诺书》（格式十五）；</w:t>
      </w:r>
    </w:p>
    <w:p w14:paraId="06B5E41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highlight w:val="none"/>
        </w:rPr>
      </w:pPr>
      <w:r>
        <w:rPr>
          <w:rFonts w:hint="eastAsia" w:ascii="宋体" w:hAnsi="宋体" w:eastAsia="宋体" w:cs="宋体"/>
          <w:b w:val="0"/>
          <w:bCs w:val="0"/>
          <w:color w:val="auto"/>
          <w:sz w:val="24"/>
          <w:highlight w:val="none"/>
        </w:rPr>
        <w:t>（1</w:t>
      </w:r>
      <w:r>
        <w:rPr>
          <w:rFonts w:hint="eastAsia" w:ascii="宋体" w:hAnsi="宋体" w:eastAsia="宋体" w:cs="宋体"/>
          <w:b w:val="0"/>
          <w:bCs w:val="0"/>
          <w:color w:val="auto"/>
          <w:sz w:val="24"/>
          <w:highlight w:val="none"/>
          <w:lang w:val="en-US" w:eastAsia="zh-CN"/>
        </w:rPr>
        <w:t>8</w:t>
      </w:r>
      <w:r>
        <w:rPr>
          <w:rFonts w:hint="eastAsia" w:ascii="宋体" w:hAnsi="宋体" w:eastAsia="宋体" w:cs="宋体"/>
          <w:b w:val="0"/>
          <w:bCs w:val="0"/>
          <w:color w:val="auto"/>
          <w:sz w:val="24"/>
          <w:highlight w:val="none"/>
        </w:rPr>
        <w:t>）《原件一览表》（格式十</w:t>
      </w:r>
      <w:r>
        <w:rPr>
          <w:rFonts w:hint="eastAsia" w:ascii="宋体" w:hAnsi="宋体" w:eastAsia="宋体" w:cs="宋体"/>
          <w:b w:val="0"/>
          <w:bCs w:val="0"/>
          <w:color w:val="auto"/>
          <w:sz w:val="24"/>
          <w:highlight w:val="none"/>
          <w:lang w:val="en-US" w:eastAsia="zh-CN"/>
        </w:rPr>
        <w:t>六</w:t>
      </w:r>
      <w:r>
        <w:rPr>
          <w:rFonts w:hint="eastAsia" w:ascii="宋体" w:hAnsi="宋体" w:eastAsia="宋体" w:cs="宋体"/>
          <w:b w:val="0"/>
          <w:bCs w:val="0"/>
          <w:color w:val="auto"/>
          <w:sz w:val="24"/>
          <w:highlight w:val="none"/>
        </w:rPr>
        <w:t>）；</w:t>
      </w:r>
    </w:p>
    <w:p w14:paraId="1CD8AEFE">
      <w:pPr>
        <w:keepNext w:val="0"/>
        <w:keepLines w:val="0"/>
        <w:pageBreakBefore w:val="0"/>
        <w:wordWrap w:val="0"/>
        <w:overflowPunct/>
        <w:topLinePunct w:val="0"/>
        <w:bidi w:val="0"/>
        <w:spacing w:before="78" w:line="299" w:lineRule="auto"/>
        <w:ind w:left="8" w:right="61" w:firstLine="492"/>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（1</w:t>
      </w:r>
      <w:r>
        <w:rPr>
          <w:rFonts w:hint="eastAsia" w:ascii="宋体" w:hAnsi="宋体" w:eastAsia="宋体" w:cs="宋体"/>
          <w:b w:val="0"/>
          <w:bCs w:val="0"/>
          <w:color w:val="auto"/>
          <w:sz w:val="24"/>
          <w:highlight w:val="none"/>
          <w:lang w:val="en-US" w:eastAsia="zh-CN"/>
        </w:rPr>
        <w:t>9</w:t>
      </w:r>
      <w:r>
        <w:rPr>
          <w:rFonts w:hint="eastAsia" w:ascii="宋体" w:hAnsi="宋体" w:eastAsia="宋体" w:cs="宋体"/>
          <w:b w:val="0"/>
          <w:bCs w:val="0"/>
          <w:color w:val="auto"/>
          <w:sz w:val="24"/>
          <w:highlight w:val="none"/>
        </w:rPr>
        <w:t>）投标人认为有必要补充的其他资料。（例如投标人已经工商变更，但其企业资质证书、安全生产许可证或其员工执业资格注册证书上的企业名称未能在投标期间完成变更的书面说明和佐证材料；外省企业所在省、地级市住建部门或其授权的组织（机构）关于企业资质、人员资格有效期自动顺延或延期办理的相关文件等）。</w:t>
      </w:r>
    </w:p>
    <w:p w14:paraId="2B783741">
      <w:pPr>
        <w:keepNext w:val="0"/>
        <w:keepLines w:val="0"/>
        <w:pageBreakBefore w:val="0"/>
        <w:wordWrap w:val="0"/>
        <w:overflowPunct/>
        <w:topLinePunct w:val="0"/>
        <w:bidi w:val="0"/>
        <w:spacing w:before="155" w:line="262" w:lineRule="auto"/>
        <w:ind w:left="9" w:right="61" w:firstLine="48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10.2.2  </w:t>
      </w:r>
      <w:r>
        <w:rPr>
          <w:rFonts w:hint="eastAsia" w:ascii="宋体" w:hAnsi="宋体" w:eastAsia="宋体" w:cs="宋体"/>
          <w:color w:val="auto"/>
          <w:spacing w:val="0"/>
          <w:sz w:val="24"/>
          <w:szCs w:val="24"/>
          <w:highlight w:val="none"/>
        </w:rPr>
        <w:t xml:space="preserve">本节第 </w:t>
      </w:r>
      <w:r>
        <w:rPr>
          <w:rFonts w:hint="eastAsia" w:ascii="宋体" w:hAnsi="宋体" w:eastAsia="宋体" w:cs="宋体"/>
          <w:b/>
          <w:bCs/>
          <w:color w:val="auto"/>
          <w:spacing w:val="0"/>
          <w:sz w:val="24"/>
          <w:szCs w:val="24"/>
          <w:highlight w:val="none"/>
        </w:rPr>
        <w:t xml:space="preserve">10.2.1  </w:t>
      </w:r>
      <w:r>
        <w:rPr>
          <w:rFonts w:hint="eastAsia" w:ascii="宋体" w:hAnsi="宋体" w:eastAsia="宋体" w:cs="宋体"/>
          <w:color w:val="auto"/>
          <w:spacing w:val="0"/>
          <w:sz w:val="24"/>
          <w:szCs w:val="24"/>
          <w:highlight w:val="none"/>
        </w:rPr>
        <w:t>目中所列出的商务标书组成内容中，第（1）至第（1</w:t>
      </w:r>
      <w:r>
        <w:rPr>
          <w:rFonts w:hint="eastAsia" w:ascii="宋体" w:hAnsi="宋体" w:eastAsia="宋体" w:cs="宋体"/>
          <w:color w:val="auto"/>
          <w:spacing w:val="0"/>
          <w:sz w:val="24"/>
          <w:szCs w:val="24"/>
          <w:highlight w:val="none"/>
          <w:lang w:val="en-US" w:eastAsia="zh-CN"/>
        </w:rPr>
        <w:t>8</w:t>
      </w:r>
      <w:r>
        <w:rPr>
          <w:rFonts w:hint="eastAsia" w:ascii="宋体" w:hAnsi="宋体" w:eastAsia="宋体" w:cs="宋体"/>
          <w:color w:val="auto"/>
          <w:spacing w:val="0"/>
          <w:sz w:val="24"/>
          <w:szCs w:val="24"/>
          <w:highlight w:val="none"/>
        </w:rPr>
        <w:t>）项所有投标人均应提供，</w:t>
      </w:r>
      <w:r>
        <w:rPr>
          <w:rFonts w:hint="eastAsia" w:ascii="宋体" w:hAnsi="宋体" w:eastAsia="宋体" w:cs="宋体"/>
          <w:b/>
          <w:bCs/>
          <w:color w:val="auto"/>
          <w:spacing w:val="0"/>
          <w:sz w:val="24"/>
          <w:szCs w:val="24"/>
          <w:highlight w:val="none"/>
        </w:rPr>
        <w:t>但非联合体投标的，无需提供第（7）项内容。</w:t>
      </w:r>
    </w:p>
    <w:p w14:paraId="33EB9AE8">
      <w:pPr>
        <w:keepNext w:val="0"/>
        <w:keepLines w:val="0"/>
        <w:pageBreakBefore w:val="0"/>
        <w:wordWrap w:val="0"/>
        <w:overflowPunct/>
        <w:topLinePunct w:val="0"/>
        <w:bidi w:val="0"/>
        <w:spacing w:before="199" w:line="279" w:lineRule="auto"/>
        <w:ind w:right="61" w:firstLine="482" w:firstLineChars="200"/>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10.2.3 </w:t>
      </w:r>
      <w:r>
        <w:rPr>
          <w:rFonts w:hint="eastAsia" w:ascii="宋体" w:hAnsi="宋体" w:eastAsia="宋体" w:cs="宋体"/>
          <w:color w:val="auto"/>
          <w:spacing w:val="0"/>
          <w:sz w:val="24"/>
          <w:szCs w:val="24"/>
          <w:highlight w:val="none"/>
        </w:rPr>
        <w:t>商务标书的组成内容按本节第 10.2.1 目规定的顺序整理、编排后，逐页（页码起始从封面开始）连续标记页码。</w:t>
      </w:r>
    </w:p>
    <w:p w14:paraId="746CF7E9">
      <w:pPr>
        <w:pStyle w:val="6"/>
        <w:keepNext w:val="0"/>
        <w:keepLines w:val="0"/>
        <w:pageBreakBefore w:val="0"/>
        <w:wordWrap w:val="0"/>
        <w:overflowPunct/>
        <w:topLinePunct w:val="0"/>
        <w:bidi w:val="0"/>
        <w:spacing w:line="257" w:lineRule="auto"/>
        <w:rPr>
          <w:rFonts w:hint="eastAsia" w:ascii="宋体" w:hAnsi="宋体" w:eastAsia="宋体" w:cs="宋体"/>
          <w:color w:val="auto"/>
          <w:spacing w:val="0"/>
          <w:highlight w:val="none"/>
        </w:rPr>
      </w:pPr>
    </w:p>
    <w:p w14:paraId="7E8ECB36">
      <w:pPr>
        <w:keepNext w:val="0"/>
        <w:keepLines w:val="0"/>
        <w:pageBreakBefore w:val="0"/>
        <w:wordWrap w:val="0"/>
        <w:overflowPunct/>
        <w:topLinePunct w:val="0"/>
        <w:bidi w:val="0"/>
        <w:spacing w:before="78" w:line="219" w:lineRule="auto"/>
        <w:ind w:left="496"/>
        <w:outlineLvl w:val="3"/>
        <w:rPr>
          <w:rFonts w:hint="eastAsia" w:ascii="宋体" w:hAnsi="宋体" w:eastAsia="宋体" w:cs="宋体"/>
          <w:color w:val="auto"/>
          <w:spacing w:val="0"/>
          <w:sz w:val="24"/>
          <w:szCs w:val="24"/>
          <w:highlight w:val="none"/>
        </w:rPr>
      </w:pPr>
      <w:bookmarkStart w:id="47" w:name="_Toc29370"/>
      <w:bookmarkStart w:id="48" w:name="_Toc10602"/>
      <w:r>
        <w:rPr>
          <w:rFonts w:hint="eastAsia" w:ascii="宋体" w:hAnsi="宋体" w:eastAsia="宋体" w:cs="宋体"/>
          <w:b/>
          <w:bCs/>
          <w:color w:val="auto"/>
          <w:spacing w:val="0"/>
          <w:sz w:val="24"/>
          <w:szCs w:val="24"/>
          <w:highlight w:val="none"/>
        </w:rPr>
        <w:t xml:space="preserve">10.3  </w:t>
      </w:r>
      <w:r>
        <w:rPr>
          <w:rFonts w:hint="eastAsia" w:ascii="宋体" w:hAnsi="宋体" w:eastAsia="宋体" w:cs="宋体"/>
          <w:color w:val="auto"/>
          <w:spacing w:val="0"/>
          <w:sz w:val="24"/>
          <w:szCs w:val="24"/>
          <w:highlight w:val="none"/>
        </w:rPr>
        <w:t>经济标书的编制要求</w:t>
      </w:r>
      <w:bookmarkEnd w:id="47"/>
      <w:bookmarkEnd w:id="48"/>
    </w:p>
    <w:p w14:paraId="78BD34B4">
      <w:pPr>
        <w:keepNext w:val="0"/>
        <w:keepLines w:val="0"/>
        <w:pageBreakBefore w:val="0"/>
        <w:wordWrap w:val="0"/>
        <w:overflowPunct/>
        <w:topLinePunct w:val="0"/>
        <w:bidi w:val="0"/>
        <w:spacing w:before="154" w:line="219" w:lineRule="auto"/>
        <w:ind w:left="49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10.3.1  </w:t>
      </w:r>
      <w:r>
        <w:rPr>
          <w:rFonts w:hint="eastAsia" w:ascii="宋体" w:hAnsi="宋体" w:eastAsia="宋体" w:cs="宋体"/>
          <w:color w:val="auto"/>
          <w:spacing w:val="0"/>
          <w:sz w:val="24"/>
          <w:szCs w:val="24"/>
          <w:highlight w:val="none"/>
        </w:rPr>
        <w:t>经济标书包括以下内容：</w:t>
      </w:r>
    </w:p>
    <w:p w14:paraId="1F850941">
      <w:pPr>
        <w:keepNext w:val="0"/>
        <w:keepLines w:val="0"/>
        <w:pageBreakBefore w:val="0"/>
        <w:wordWrap w:val="0"/>
        <w:overflowPunct/>
        <w:topLinePunct w:val="0"/>
        <w:bidi w:val="0"/>
        <w:spacing w:before="156" w:line="220"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（1）封面（格式一）；</w:t>
      </w:r>
    </w:p>
    <w:p w14:paraId="31E420D7">
      <w:pPr>
        <w:keepNext w:val="0"/>
        <w:keepLines w:val="0"/>
        <w:pageBreakBefore w:val="0"/>
        <w:wordWrap w:val="0"/>
        <w:overflowPunct/>
        <w:topLinePunct w:val="0"/>
        <w:bidi w:val="0"/>
        <w:spacing w:before="153" w:line="222"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 目录；</w:t>
      </w:r>
    </w:p>
    <w:p w14:paraId="6C68D20D">
      <w:pPr>
        <w:keepNext w:val="0"/>
        <w:keepLines w:val="0"/>
        <w:pageBreakBefore w:val="0"/>
        <w:wordWrap w:val="0"/>
        <w:overflowPunct/>
        <w:topLinePunct w:val="0"/>
        <w:bidi w:val="0"/>
        <w:spacing w:before="150" w:line="219"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（3）《投标总价》；</w:t>
      </w:r>
    </w:p>
    <w:p w14:paraId="5AB81151">
      <w:pPr>
        <w:keepNext w:val="0"/>
        <w:keepLines w:val="0"/>
        <w:pageBreakBefore w:val="0"/>
        <w:wordWrap w:val="0"/>
        <w:overflowPunct/>
        <w:topLinePunct w:val="0"/>
        <w:bidi w:val="0"/>
        <w:spacing w:before="155" w:line="220" w:lineRule="auto"/>
        <w:ind w:left="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说明：《投标总价》的格式按照《</w:t>
      </w:r>
      <w:r>
        <w:rPr>
          <w:rFonts w:hint="eastAsia" w:ascii="宋体" w:hAnsi="宋体" w:eastAsia="宋体" w:cs="宋体"/>
          <w:color w:val="auto"/>
          <w:spacing w:val="0"/>
          <w:sz w:val="24"/>
          <w:szCs w:val="24"/>
          <w:highlight w:val="none"/>
          <w:lang w:eastAsia="zh-CN"/>
        </w:rPr>
        <w:t>建设工程工程量清单计价标准</w:t>
      </w:r>
      <w:r>
        <w:rPr>
          <w:rFonts w:hint="eastAsia" w:ascii="宋体" w:hAnsi="宋体" w:eastAsia="宋体" w:cs="宋体"/>
          <w:color w:val="auto"/>
          <w:spacing w:val="0"/>
          <w:sz w:val="24"/>
          <w:szCs w:val="24"/>
          <w:highlight w:val="none"/>
        </w:rPr>
        <w:t>》（GB/T50500-2024）执行，并应满足以下要求：</w:t>
      </w:r>
    </w:p>
    <w:p w14:paraId="6B2D7283">
      <w:pPr>
        <w:keepNext w:val="0"/>
        <w:keepLines w:val="0"/>
        <w:pageBreakBefore w:val="0"/>
        <w:wordWrap w:val="0"/>
        <w:overflowPunct/>
        <w:topLinePunct w:val="0"/>
        <w:bidi w:val="0"/>
        <w:spacing w:before="150" w:line="309" w:lineRule="auto"/>
        <w:ind w:left="8" w:firstLine="482"/>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a </w:t>
      </w:r>
      <w:r>
        <w:rPr>
          <w:rFonts w:hint="eastAsia" w:ascii="宋体" w:hAnsi="宋体" w:eastAsia="宋体" w:cs="宋体"/>
          <w:color w:val="auto"/>
          <w:spacing w:val="0"/>
          <w:sz w:val="24"/>
          <w:szCs w:val="24"/>
          <w:highlight w:val="none"/>
        </w:rPr>
        <w:t>．《投标总价》后应附编制人的造价工程师注册证书彩色扫描件（须扫描至变更注册栏，</w:t>
      </w:r>
      <w:r>
        <w:rPr>
          <w:rFonts w:hint="eastAsia" w:ascii="宋体" w:hAnsi="宋体" w:eastAsia="宋体" w:cs="宋体"/>
          <w:b/>
          <w:bCs/>
          <w:color w:val="auto"/>
          <w:spacing w:val="0"/>
          <w:sz w:val="24"/>
          <w:szCs w:val="24"/>
          <w:highlight w:val="none"/>
        </w:rPr>
        <w:t>一级造价师或二级造价师均可提供电子证书</w:t>
      </w:r>
      <w:r>
        <w:rPr>
          <w:rFonts w:hint="eastAsia" w:ascii="宋体" w:hAnsi="宋体" w:eastAsia="宋体" w:cs="宋体"/>
          <w:color w:val="auto"/>
          <w:spacing w:val="0"/>
          <w:sz w:val="24"/>
          <w:szCs w:val="24"/>
          <w:highlight w:val="none"/>
        </w:rPr>
        <w:t>）；投标人委托造价咨询单位编制《投标总价》的，在该扉页“投标人”栏目加盖造价咨询人公章，并在该扉页后附造价咨询人的营业执照副本彩色扫描件。</w:t>
      </w:r>
    </w:p>
    <w:p w14:paraId="610A0E00">
      <w:pPr>
        <w:keepNext w:val="0"/>
        <w:keepLines w:val="0"/>
        <w:pageBreakBefore w:val="0"/>
        <w:wordWrap w:val="0"/>
        <w:overflowPunct/>
        <w:topLinePunct w:val="0"/>
        <w:bidi w:val="0"/>
        <w:spacing w:before="119" w:line="314" w:lineRule="auto"/>
        <w:ind w:left="10" w:right="61" w:firstLine="474"/>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b.  </w:t>
      </w:r>
      <w:r>
        <w:rPr>
          <w:rFonts w:hint="eastAsia" w:ascii="宋体" w:hAnsi="宋体" w:eastAsia="宋体" w:cs="宋体"/>
          <w:color w:val="auto"/>
          <w:spacing w:val="0"/>
          <w:sz w:val="24"/>
          <w:szCs w:val="24"/>
          <w:highlight w:val="none"/>
        </w:rPr>
        <w:t>投标人认为有必要补充的其他资料（例如关于投标总价下浮率超过 15%的书面说明和佐证材料）。</w:t>
      </w:r>
    </w:p>
    <w:p w14:paraId="24C53E70">
      <w:pPr>
        <w:keepNext w:val="0"/>
        <w:keepLines w:val="0"/>
        <w:pageBreakBefore w:val="0"/>
        <w:wordWrap w:val="0"/>
        <w:overflowPunct/>
        <w:topLinePunct w:val="0"/>
        <w:bidi w:val="0"/>
        <w:spacing w:before="99" w:line="280" w:lineRule="auto"/>
        <w:ind w:left="10" w:right="63" w:firstLine="485"/>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10.3.2  </w:t>
      </w:r>
      <w:r>
        <w:rPr>
          <w:rFonts w:hint="eastAsia" w:ascii="宋体" w:hAnsi="宋体" w:eastAsia="宋体" w:cs="宋体"/>
          <w:color w:val="auto"/>
          <w:spacing w:val="0"/>
          <w:sz w:val="24"/>
          <w:szCs w:val="24"/>
          <w:highlight w:val="none"/>
        </w:rPr>
        <w:t xml:space="preserve">本节第 </w:t>
      </w:r>
      <w:r>
        <w:rPr>
          <w:rFonts w:hint="eastAsia" w:ascii="宋体" w:hAnsi="宋体" w:eastAsia="宋体" w:cs="宋体"/>
          <w:b/>
          <w:bCs/>
          <w:color w:val="auto"/>
          <w:spacing w:val="0"/>
          <w:sz w:val="24"/>
          <w:szCs w:val="24"/>
          <w:highlight w:val="none"/>
        </w:rPr>
        <w:t xml:space="preserve">10.3.1  </w:t>
      </w:r>
      <w:r>
        <w:rPr>
          <w:rFonts w:hint="eastAsia" w:ascii="宋体" w:hAnsi="宋体" w:eastAsia="宋体" w:cs="宋体"/>
          <w:color w:val="auto"/>
          <w:spacing w:val="0"/>
          <w:sz w:val="24"/>
          <w:szCs w:val="24"/>
          <w:highlight w:val="none"/>
        </w:rPr>
        <w:t>目中所列出的经济标书组成内容中，第（1）至第（3）项所有投标人均应提供。</w:t>
      </w:r>
    </w:p>
    <w:p w14:paraId="531391EA">
      <w:pPr>
        <w:keepNext w:val="0"/>
        <w:keepLines w:val="0"/>
        <w:pageBreakBefore w:val="0"/>
        <w:wordWrap w:val="0"/>
        <w:overflowPunct/>
        <w:topLinePunct w:val="0"/>
        <w:bidi w:val="0"/>
        <w:spacing w:before="155" w:line="279" w:lineRule="auto"/>
        <w:ind w:left="8" w:right="61" w:firstLine="487"/>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10.3.3 </w:t>
      </w:r>
      <w:r>
        <w:rPr>
          <w:rFonts w:hint="eastAsia" w:ascii="宋体" w:hAnsi="宋体" w:eastAsia="宋体" w:cs="宋体"/>
          <w:color w:val="auto"/>
          <w:spacing w:val="0"/>
          <w:sz w:val="24"/>
          <w:szCs w:val="24"/>
          <w:highlight w:val="none"/>
        </w:rPr>
        <w:t>经济标书的组成内容按本节第 10.3.1 目规定的顺序整理、编排后，逐页（页码起始从封面开始）连续标记页码。</w:t>
      </w:r>
    </w:p>
    <w:p w14:paraId="6FEAF8DA">
      <w:pPr>
        <w:keepNext w:val="0"/>
        <w:keepLines w:val="0"/>
        <w:pageBreakBefore w:val="0"/>
        <w:wordWrap w:val="0"/>
        <w:overflowPunct/>
        <w:topLinePunct w:val="0"/>
        <w:bidi w:val="0"/>
        <w:spacing w:before="82" w:line="213" w:lineRule="auto"/>
        <w:ind w:left="496"/>
        <w:outlineLvl w:val="3"/>
        <w:rPr>
          <w:rFonts w:hint="eastAsia" w:ascii="宋体" w:hAnsi="宋体" w:eastAsia="宋体" w:cs="宋体"/>
          <w:color w:val="auto"/>
          <w:spacing w:val="0"/>
          <w:sz w:val="25"/>
          <w:szCs w:val="25"/>
          <w:highlight w:val="none"/>
        </w:rPr>
      </w:pPr>
      <w:r>
        <w:rPr>
          <w:rFonts w:hint="eastAsia" w:ascii="宋体" w:hAnsi="宋体" w:eastAsia="宋体" w:cs="宋体"/>
          <w:b/>
          <w:bCs/>
          <w:color w:val="auto"/>
          <w:spacing w:val="0"/>
          <w:sz w:val="24"/>
          <w:szCs w:val="24"/>
          <w:highlight w:val="none"/>
        </w:rPr>
        <w:t xml:space="preserve">10.4  </w:t>
      </w:r>
      <w:r>
        <w:rPr>
          <w:rFonts w:hint="eastAsia" w:ascii="宋体" w:hAnsi="宋体" w:eastAsia="宋体" w:cs="宋体"/>
          <w:color w:val="auto"/>
          <w:spacing w:val="0"/>
          <w:sz w:val="24"/>
          <w:szCs w:val="24"/>
          <w:highlight w:val="none"/>
        </w:rPr>
        <w:t>施工</w:t>
      </w:r>
      <w:r>
        <w:rPr>
          <w:rFonts w:hint="eastAsia" w:ascii="宋体" w:hAnsi="宋体" w:eastAsia="宋体" w:cs="宋体"/>
          <w:color w:val="auto"/>
          <w:spacing w:val="0"/>
          <w:sz w:val="24"/>
          <w:szCs w:val="24"/>
          <w:highlight w:val="none"/>
          <w:lang w:eastAsia="zh-CN"/>
        </w:rPr>
        <w:t>组织设计编制</w:t>
      </w:r>
      <w:r>
        <w:rPr>
          <w:rFonts w:hint="eastAsia" w:ascii="宋体" w:hAnsi="宋体" w:eastAsia="宋体" w:cs="宋体"/>
          <w:color w:val="auto"/>
          <w:spacing w:val="0"/>
          <w:sz w:val="24"/>
          <w:szCs w:val="24"/>
          <w:highlight w:val="none"/>
        </w:rPr>
        <w:t>要求</w:t>
      </w:r>
    </w:p>
    <w:p w14:paraId="74B9CC6F">
      <w:pPr>
        <w:keepNext w:val="0"/>
        <w:keepLines w:val="0"/>
        <w:pageBreakBefore w:val="0"/>
        <w:wordWrap w:val="0"/>
        <w:overflowPunct/>
        <w:topLinePunct w:val="0"/>
        <w:bidi w:val="0"/>
        <w:spacing w:before="151" w:line="219" w:lineRule="auto"/>
        <w:ind w:left="49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10.4.1 </w:t>
      </w:r>
      <w:r>
        <w:rPr>
          <w:rFonts w:hint="eastAsia" w:ascii="宋体" w:hAnsi="宋体" w:eastAsia="宋体" w:cs="宋体"/>
          <w:color w:val="auto"/>
          <w:spacing w:val="0"/>
          <w:sz w:val="24"/>
          <w:szCs w:val="24"/>
          <w:highlight w:val="none"/>
        </w:rPr>
        <w:t>施工</w:t>
      </w:r>
      <w:r>
        <w:rPr>
          <w:rFonts w:hint="eastAsia" w:ascii="宋体" w:hAnsi="宋体" w:eastAsia="宋体" w:cs="宋体"/>
          <w:color w:val="auto"/>
          <w:spacing w:val="0"/>
          <w:sz w:val="24"/>
          <w:szCs w:val="24"/>
          <w:highlight w:val="none"/>
          <w:lang w:eastAsia="zh-CN"/>
        </w:rPr>
        <w:t>组织设计编制</w:t>
      </w:r>
      <w:r>
        <w:rPr>
          <w:rFonts w:hint="eastAsia" w:ascii="宋体" w:hAnsi="宋体" w:eastAsia="宋体" w:cs="宋体"/>
          <w:color w:val="auto"/>
          <w:spacing w:val="0"/>
          <w:sz w:val="24"/>
          <w:szCs w:val="24"/>
          <w:highlight w:val="none"/>
        </w:rPr>
        <w:t>依据包括且不限于：</w:t>
      </w:r>
    </w:p>
    <w:p w14:paraId="3BBB5F46">
      <w:pPr>
        <w:keepNext w:val="0"/>
        <w:keepLines w:val="0"/>
        <w:pageBreakBefore w:val="0"/>
        <w:wordWrap w:val="0"/>
        <w:overflowPunct/>
        <w:topLinePunct w:val="0"/>
        <w:bidi w:val="0"/>
        <w:spacing w:before="156" w:line="219"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（1）招标文件及其答疑（或修改）公告；</w:t>
      </w:r>
    </w:p>
    <w:p w14:paraId="6B293481">
      <w:pPr>
        <w:keepNext w:val="0"/>
        <w:keepLines w:val="0"/>
        <w:pageBreakBefore w:val="0"/>
        <w:wordWrap w:val="0"/>
        <w:overflowPunct/>
        <w:topLinePunct w:val="0"/>
        <w:bidi w:val="0"/>
        <w:spacing w:before="155" w:line="221"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（2）施工图及相关资料；</w:t>
      </w:r>
    </w:p>
    <w:p w14:paraId="6038EDA3">
      <w:pPr>
        <w:keepNext w:val="0"/>
        <w:keepLines w:val="0"/>
        <w:pageBreakBefore w:val="0"/>
        <w:wordWrap w:val="0"/>
        <w:overflowPunct/>
        <w:topLinePunct w:val="0"/>
        <w:bidi w:val="0"/>
        <w:spacing w:before="152" w:line="220"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（3）施工现场情况、工程特点；</w:t>
      </w:r>
    </w:p>
    <w:p w14:paraId="643C8417">
      <w:pPr>
        <w:keepNext w:val="0"/>
        <w:keepLines w:val="0"/>
        <w:pageBreakBefore w:val="0"/>
        <w:wordWrap w:val="0"/>
        <w:overflowPunct/>
        <w:topLinePunct w:val="0"/>
        <w:bidi w:val="0"/>
        <w:spacing w:before="78" w:line="220"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（4）相关法律、法规、规定；</w:t>
      </w:r>
    </w:p>
    <w:p w14:paraId="0800AD3A">
      <w:pPr>
        <w:keepNext w:val="0"/>
        <w:keepLines w:val="0"/>
        <w:pageBreakBefore w:val="0"/>
        <w:wordWrap w:val="0"/>
        <w:overflowPunct/>
        <w:topLinePunct w:val="0"/>
        <w:bidi w:val="0"/>
        <w:spacing w:before="153" w:line="299" w:lineRule="auto"/>
        <w:ind w:left="10" w:right="211" w:firstLine="49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国家、广东省、韶关市关于施工现场管理、施工工艺、绿色施工、安全防护、文明施工、环境保护等方面的标准、规范、技术资料。如《广东省住房和城乡建设厅绿色施工导则》《广东省建设工程施工扬尘污染防治管理办法（试行）》等；</w:t>
      </w:r>
    </w:p>
    <w:p w14:paraId="5B35F835">
      <w:pPr>
        <w:keepNext w:val="0"/>
        <w:keepLines w:val="0"/>
        <w:pageBreakBefore w:val="0"/>
        <w:wordWrap w:val="0"/>
        <w:overflowPunct/>
        <w:topLinePunct w:val="0"/>
        <w:bidi w:val="0"/>
        <w:spacing w:before="155" w:line="220"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（6）企业内部标准、工法。</w:t>
      </w:r>
    </w:p>
    <w:p w14:paraId="641582A5">
      <w:pPr>
        <w:keepNext w:val="0"/>
        <w:keepLines w:val="0"/>
        <w:pageBreakBefore w:val="0"/>
        <w:wordWrap w:val="0"/>
        <w:overflowPunct/>
        <w:topLinePunct w:val="0"/>
        <w:bidi w:val="0"/>
        <w:spacing w:before="153" w:line="220" w:lineRule="auto"/>
        <w:ind w:left="49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10.4.2 </w:t>
      </w:r>
      <w:r>
        <w:rPr>
          <w:rFonts w:hint="eastAsia" w:ascii="宋体" w:hAnsi="宋体" w:eastAsia="宋体" w:cs="宋体"/>
          <w:color w:val="auto"/>
          <w:spacing w:val="0"/>
          <w:sz w:val="24"/>
          <w:szCs w:val="24"/>
          <w:highlight w:val="none"/>
        </w:rPr>
        <w:t>施工组织设计包括但不限于以下内容：</w:t>
      </w:r>
    </w:p>
    <w:p w14:paraId="2E0F6339">
      <w:pPr>
        <w:keepNext w:val="0"/>
        <w:keepLines w:val="0"/>
        <w:pageBreakBefore w:val="0"/>
        <w:wordWrap w:val="0"/>
        <w:overflowPunct/>
        <w:topLinePunct w:val="0"/>
        <w:bidi w:val="0"/>
        <w:spacing w:before="153" w:line="220"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（1）封面（格式一）；</w:t>
      </w:r>
    </w:p>
    <w:p w14:paraId="43C81699">
      <w:pPr>
        <w:keepNext w:val="0"/>
        <w:keepLines w:val="0"/>
        <w:pageBreakBefore w:val="0"/>
        <w:wordWrap w:val="0"/>
        <w:overflowPunct/>
        <w:topLinePunct w:val="0"/>
        <w:bidi w:val="0"/>
        <w:spacing w:before="156" w:line="222"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（2）目录；</w:t>
      </w:r>
    </w:p>
    <w:p w14:paraId="22C78F14">
      <w:pPr>
        <w:keepNext w:val="0"/>
        <w:keepLines w:val="0"/>
        <w:pageBreakBefore w:val="0"/>
        <w:wordWrap w:val="0"/>
        <w:overflowPunct/>
        <w:topLinePunct w:val="0"/>
        <w:bidi w:val="0"/>
        <w:spacing w:before="150" w:line="220"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（3）总体概述（包括施工程序总体设想及施工段划分等内容）；</w:t>
      </w:r>
    </w:p>
    <w:p w14:paraId="7103CC99">
      <w:pPr>
        <w:keepNext w:val="0"/>
        <w:keepLines w:val="0"/>
        <w:pageBreakBefore w:val="0"/>
        <w:wordWrap w:val="0"/>
        <w:overflowPunct/>
        <w:topLinePunct w:val="0"/>
        <w:bidi w:val="0"/>
        <w:spacing w:before="154" w:line="299" w:lineRule="auto"/>
        <w:ind w:left="9" w:right="211" w:firstLine="49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（4）施工总进度计划及保证措施（包括进度管理目标；以横道图或标明关键线路的网络进度计划；保障进度计划需要的人、材、机需求计划及保证措施；违约责任承诺等内容）；</w:t>
      </w:r>
    </w:p>
    <w:p w14:paraId="514AC098">
      <w:pPr>
        <w:keepNext w:val="0"/>
        <w:keepLines w:val="0"/>
        <w:pageBreakBefore w:val="0"/>
        <w:wordWrap w:val="0"/>
        <w:overflowPunct/>
        <w:topLinePunct w:val="0"/>
        <w:bidi w:val="0"/>
        <w:spacing w:before="153" w:line="220"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（5）质量保证措施（包括质量管理目标；相应保证措施；违约责任承诺等内容</w:t>
      </w:r>
      <w:r>
        <w:rPr>
          <w:rFonts w:hint="eastAsia" w:ascii="宋体" w:hAnsi="宋体" w:eastAsia="宋体" w:cs="宋体"/>
          <w:color w:val="auto"/>
          <w:spacing w:val="0"/>
          <w:w w:val="97"/>
          <w:sz w:val="24"/>
          <w:szCs w:val="24"/>
          <w:highlight w:val="none"/>
        </w:rPr>
        <w:t>）；</w:t>
      </w:r>
    </w:p>
    <w:p w14:paraId="72825167">
      <w:pPr>
        <w:keepNext w:val="0"/>
        <w:keepLines w:val="0"/>
        <w:pageBreakBefore w:val="0"/>
        <w:wordWrap w:val="0"/>
        <w:overflowPunct/>
        <w:topLinePunct w:val="0"/>
        <w:bidi w:val="0"/>
        <w:spacing w:before="156" w:line="279" w:lineRule="auto"/>
        <w:ind w:left="11" w:right="211" w:firstLine="48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（6）施工技术措施（包括关键施工技术、工艺及工程项目实施的重点、难点分析和解决方案；新技术应用与承诺等内容）；</w:t>
      </w:r>
    </w:p>
    <w:p w14:paraId="4F35E252">
      <w:pPr>
        <w:keepNext w:val="0"/>
        <w:keepLines w:val="0"/>
        <w:pageBreakBefore w:val="0"/>
        <w:wordWrap w:val="0"/>
        <w:overflowPunct/>
        <w:topLinePunct w:val="0"/>
        <w:bidi w:val="0"/>
        <w:spacing w:before="118" w:line="297" w:lineRule="auto"/>
        <w:ind w:left="11" w:right="31" w:firstLine="48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（7）绿色施工、安全防护、文明施工措施计划(应对建设单位组织的勘察设计等单位在施工招标文件中列出的危大工程清单(详见格式十三)进行投标文件回应，如有)；</w:t>
      </w:r>
    </w:p>
    <w:p w14:paraId="34366A94">
      <w:pPr>
        <w:keepNext w:val="0"/>
        <w:keepLines w:val="0"/>
        <w:pageBreakBefore w:val="0"/>
        <w:wordWrap w:val="0"/>
        <w:overflowPunct/>
        <w:topLinePunct w:val="0"/>
        <w:bidi w:val="0"/>
        <w:spacing w:before="118" w:line="297" w:lineRule="auto"/>
        <w:ind w:left="11" w:right="31" w:firstLine="48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（8）施工现场总平面布置（</w:t>
      </w:r>
      <w:bookmarkStart w:id="49" w:name="OLE_LINK8"/>
      <w:r>
        <w:rPr>
          <w:rFonts w:hint="eastAsia" w:ascii="宋体" w:hAnsi="宋体" w:eastAsia="宋体" w:cs="宋体"/>
          <w:color w:val="auto"/>
          <w:spacing w:val="0"/>
          <w:sz w:val="24"/>
          <w:szCs w:val="24"/>
          <w:highlight w:val="none"/>
        </w:rPr>
        <w:t>投标人应递交一份施工现场总平面布置图，绘出现场临时设施布置图表并附文字说明，说明临时设施、加工车间、现场办公、设备及仓储、供电、供水、卫生、生活、道路、消防等设施的情况和布置</w:t>
      </w:r>
      <w:bookmarkEnd w:id="49"/>
      <w:r>
        <w:rPr>
          <w:rFonts w:hint="eastAsia" w:ascii="宋体" w:hAnsi="宋体" w:eastAsia="宋体" w:cs="宋体"/>
          <w:color w:val="auto"/>
          <w:spacing w:val="0"/>
          <w:sz w:val="24"/>
          <w:szCs w:val="24"/>
          <w:highlight w:val="none"/>
        </w:rPr>
        <w:t>）；</w:t>
      </w:r>
    </w:p>
    <w:p w14:paraId="4367CEA6">
      <w:pPr>
        <w:keepNext w:val="0"/>
        <w:keepLines w:val="0"/>
        <w:pageBreakBefore w:val="0"/>
        <w:wordWrap w:val="0"/>
        <w:overflowPunct/>
        <w:topLinePunct w:val="0"/>
        <w:bidi w:val="0"/>
        <w:spacing w:before="155" w:line="219"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（9）项目管理机构。</w:t>
      </w:r>
    </w:p>
    <w:p w14:paraId="5F4F08EE">
      <w:pPr>
        <w:keepNext w:val="0"/>
        <w:keepLines w:val="0"/>
        <w:pageBreakBefore w:val="0"/>
        <w:wordWrap w:val="0"/>
        <w:overflowPunct/>
        <w:topLinePunct w:val="0"/>
        <w:bidi w:val="0"/>
        <w:spacing w:before="154" w:line="280" w:lineRule="auto"/>
        <w:ind w:right="211" w:firstLine="480" w:firstLineChars="20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（10）投标人认为有必要补充的其他内容（例如对总包管理的认识以及对专业分包工程的管理、协调、配合、服务方案）。</w:t>
      </w:r>
    </w:p>
    <w:p w14:paraId="0114F5DC">
      <w:pPr>
        <w:keepNext w:val="0"/>
        <w:keepLines w:val="0"/>
        <w:pageBreakBefore w:val="0"/>
        <w:wordWrap w:val="0"/>
        <w:overflowPunct/>
        <w:topLinePunct w:val="0"/>
        <w:bidi w:val="0"/>
        <w:spacing w:before="152" w:line="279" w:lineRule="auto"/>
        <w:ind w:right="196" w:firstLine="482" w:firstLineChars="200"/>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10.4.3  </w:t>
      </w:r>
      <w:r>
        <w:rPr>
          <w:rFonts w:hint="eastAsia" w:ascii="宋体" w:hAnsi="宋体" w:eastAsia="宋体" w:cs="宋体"/>
          <w:color w:val="auto"/>
          <w:spacing w:val="0"/>
          <w:sz w:val="24"/>
          <w:szCs w:val="24"/>
          <w:highlight w:val="none"/>
        </w:rPr>
        <w:t xml:space="preserve">本节第 </w:t>
      </w:r>
      <w:r>
        <w:rPr>
          <w:rFonts w:hint="eastAsia" w:ascii="宋体" w:hAnsi="宋体" w:eastAsia="宋体" w:cs="宋体"/>
          <w:b/>
          <w:bCs/>
          <w:color w:val="auto"/>
          <w:spacing w:val="0"/>
          <w:sz w:val="24"/>
          <w:szCs w:val="24"/>
          <w:highlight w:val="none"/>
        </w:rPr>
        <w:t xml:space="preserve">10.4.2  </w:t>
      </w:r>
      <w:r>
        <w:rPr>
          <w:rFonts w:hint="eastAsia" w:ascii="宋体" w:hAnsi="宋体" w:eastAsia="宋体" w:cs="宋体"/>
          <w:color w:val="auto"/>
          <w:spacing w:val="0"/>
          <w:sz w:val="24"/>
          <w:szCs w:val="24"/>
          <w:highlight w:val="none"/>
        </w:rPr>
        <w:t>目中所列出的施工组织设计组成内容中，第（1）至第（9）项所有投标人均应提供。</w:t>
      </w:r>
    </w:p>
    <w:p w14:paraId="3330FA74">
      <w:pPr>
        <w:keepNext w:val="0"/>
        <w:keepLines w:val="0"/>
        <w:pageBreakBefore w:val="0"/>
        <w:wordWrap w:val="0"/>
        <w:overflowPunct/>
        <w:topLinePunct w:val="0"/>
        <w:bidi w:val="0"/>
        <w:spacing w:before="157" w:line="279" w:lineRule="auto"/>
        <w:ind w:right="211" w:firstLine="482" w:firstLineChars="200"/>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10.4.4 </w:t>
      </w:r>
      <w:r>
        <w:rPr>
          <w:rFonts w:hint="eastAsia" w:ascii="宋体" w:hAnsi="宋体" w:eastAsia="宋体" w:cs="宋体"/>
          <w:color w:val="auto"/>
          <w:spacing w:val="0"/>
          <w:sz w:val="24"/>
          <w:szCs w:val="24"/>
          <w:highlight w:val="none"/>
        </w:rPr>
        <w:t>施工组织设计的组成内容按本节第 10.4.2 目规定的顺序整理、编排后，逐页（页码起始从封面开始）连续标记页码。</w:t>
      </w:r>
    </w:p>
    <w:p w14:paraId="341DD217">
      <w:pPr>
        <w:keepNext w:val="0"/>
        <w:keepLines w:val="0"/>
        <w:pageBreakBefore w:val="0"/>
        <w:wordWrap w:val="0"/>
        <w:overflowPunct/>
        <w:topLinePunct w:val="0"/>
        <w:bidi w:val="0"/>
        <w:ind w:firstLine="480"/>
        <w:outlineLvl w:val="9"/>
        <w:rPr>
          <w:rFonts w:hint="eastAsia" w:ascii="宋体" w:hAnsi="宋体" w:eastAsia="宋体" w:cs="宋体"/>
          <w:color w:val="auto"/>
          <w:spacing w:val="0"/>
          <w:sz w:val="24"/>
          <w:szCs w:val="24"/>
          <w:highlight w:val="none"/>
          <w:lang w:eastAsia="zh-CN"/>
        </w:rPr>
      </w:pPr>
      <w:r>
        <w:rPr>
          <w:rFonts w:hint="eastAsia" w:ascii="宋体" w:hAnsi="宋体" w:eastAsia="宋体" w:cs="宋体"/>
          <w:b/>
          <w:bCs/>
          <w:color w:val="auto"/>
          <w:spacing w:val="0"/>
          <w:sz w:val="24"/>
          <w:szCs w:val="24"/>
          <w:highlight w:val="none"/>
        </w:rPr>
        <w:t>10.4.5</w:t>
      </w:r>
      <w:bookmarkStart w:id="50" w:name="OLE_LINK9"/>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color w:val="auto"/>
          <w:spacing w:val="0"/>
          <w:sz w:val="24"/>
          <w:szCs w:val="24"/>
          <w:highlight w:val="none"/>
        </w:rPr>
        <w:t>施工组织设计的正文不得超过</w:t>
      </w:r>
      <w:r>
        <w:rPr>
          <w:rFonts w:hint="eastAsia" w:ascii="宋体" w:hAnsi="宋体" w:eastAsia="宋体" w:cs="宋体"/>
          <w:color w:val="auto"/>
          <w:spacing w:val="0"/>
          <w:sz w:val="24"/>
          <w:szCs w:val="24"/>
          <w:highlight w:val="none"/>
          <w:lang w:val="en-US" w:eastAsia="zh-CN"/>
        </w:rPr>
        <w:t>2</w:t>
      </w:r>
      <w:r>
        <w:rPr>
          <w:rFonts w:hint="eastAsia" w:ascii="宋体" w:hAnsi="宋体" w:eastAsia="宋体" w:cs="宋体"/>
          <w:color w:val="auto"/>
          <w:spacing w:val="0"/>
          <w:sz w:val="24"/>
          <w:szCs w:val="24"/>
          <w:highlight w:val="none"/>
          <w:u w:val="single"/>
          <w:lang w:val="en-US" w:eastAsia="zh-CN"/>
        </w:rPr>
        <w:t>00</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rPr>
        <w:t>页</w:t>
      </w:r>
      <w:r>
        <w:rPr>
          <w:rFonts w:hint="eastAsia" w:ascii="宋体" w:hAnsi="宋体" w:eastAsia="宋体" w:cs="宋体"/>
          <w:color w:val="auto"/>
          <w:spacing w:val="0"/>
          <w:sz w:val="24"/>
          <w:szCs w:val="24"/>
          <w:highlight w:val="none"/>
          <w:lang w:eastAsia="zh-CN"/>
        </w:rPr>
        <w:t>。</w:t>
      </w:r>
      <w:bookmarkEnd w:id="50"/>
      <w:bookmarkStart w:id="51" w:name="bookmark121"/>
      <w:bookmarkEnd w:id="51"/>
    </w:p>
    <w:p w14:paraId="516093FA">
      <w:pPr>
        <w:rPr>
          <w:rFonts w:hint="eastAsia" w:ascii="宋体" w:hAnsi="宋体" w:eastAsia="宋体" w:cs="宋体"/>
          <w:b/>
          <w:bCs/>
          <w:color w:val="auto"/>
          <w:spacing w:val="0"/>
          <w:sz w:val="24"/>
          <w:szCs w:val="24"/>
          <w:highlight w:val="none"/>
        </w:rPr>
      </w:pPr>
    </w:p>
    <w:p w14:paraId="2D658EB8">
      <w:pPr>
        <w:keepNext w:val="0"/>
        <w:keepLines w:val="0"/>
        <w:pageBreakBefore w:val="0"/>
        <w:wordWrap w:val="0"/>
        <w:overflowPunct/>
        <w:topLinePunct w:val="0"/>
        <w:bidi w:val="0"/>
        <w:spacing w:before="78" w:line="219" w:lineRule="auto"/>
        <w:ind w:left="496"/>
        <w:outlineLvl w:val="3"/>
        <w:rPr>
          <w:rFonts w:hint="eastAsia" w:ascii="宋体" w:hAnsi="宋体" w:eastAsia="宋体" w:cs="宋体"/>
          <w:b/>
          <w:bCs/>
          <w:color w:val="auto"/>
          <w:spacing w:val="0"/>
          <w:sz w:val="24"/>
          <w:szCs w:val="24"/>
          <w:highlight w:val="none"/>
          <w:lang w:val="en-US" w:eastAsia="zh-CN"/>
        </w:rPr>
      </w:pPr>
      <w:r>
        <w:rPr>
          <w:rFonts w:hint="eastAsia" w:ascii="宋体" w:hAnsi="宋体" w:eastAsia="宋体" w:cs="宋体"/>
          <w:b/>
          <w:bCs/>
          <w:color w:val="auto"/>
          <w:spacing w:val="0"/>
          <w:sz w:val="24"/>
          <w:szCs w:val="24"/>
          <w:highlight w:val="none"/>
        </w:rPr>
        <w:t>10.</w:t>
      </w:r>
      <w:r>
        <w:rPr>
          <w:rFonts w:hint="eastAsia" w:ascii="宋体" w:hAnsi="宋体" w:eastAsia="宋体" w:cs="宋体"/>
          <w:b/>
          <w:bCs/>
          <w:color w:val="auto"/>
          <w:spacing w:val="0"/>
          <w:sz w:val="24"/>
          <w:szCs w:val="24"/>
          <w:highlight w:val="none"/>
          <w:lang w:val="en-US" w:eastAsia="zh-CN"/>
        </w:rPr>
        <w:t>5</w:t>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b/>
          <w:bCs/>
          <w:color w:val="auto"/>
          <w:spacing w:val="0"/>
          <w:sz w:val="24"/>
          <w:szCs w:val="24"/>
          <w:highlight w:val="none"/>
          <w:lang w:val="en-US" w:eastAsia="zh-CN"/>
        </w:rPr>
        <w:t>定标文件的编制要求</w:t>
      </w:r>
    </w:p>
    <w:p w14:paraId="2872A7D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highlight w:val="none"/>
        </w:rPr>
        <w:t>1</w:t>
      </w:r>
      <w:r>
        <w:rPr>
          <w:rFonts w:hint="eastAsia" w:ascii="宋体" w:hAnsi="宋体" w:eastAsia="宋体" w:cs="宋体"/>
          <w:b w:val="0"/>
          <w:bCs w:val="0"/>
          <w:color w:val="auto"/>
          <w:sz w:val="24"/>
          <w:highlight w:val="none"/>
          <w:lang w:val="en-US" w:eastAsia="zh-CN"/>
        </w:rPr>
        <w:t>0.5</w:t>
      </w:r>
      <w:r>
        <w:rPr>
          <w:rFonts w:hint="eastAsia" w:ascii="宋体" w:hAnsi="宋体" w:eastAsia="宋体" w:cs="宋体"/>
          <w:b w:val="0"/>
          <w:bCs w:val="0"/>
          <w:color w:val="auto"/>
          <w:sz w:val="24"/>
          <w:highlight w:val="none"/>
        </w:rPr>
        <w:t xml:space="preserve">.1 </w:t>
      </w:r>
      <w:r>
        <w:rPr>
          <w:rFonts w:hint="eastAsia" w:ascii="宋体" w:hAnsi="宋体" w:eastAsia="宋体" w:cs="宋体"/>
          <w:b w:val="0"/>
          <w:bCs w:val="0"/>
          <w:color w:val="auto"/>
          <w:sz w:val="24"/>
          <w:highlight w:val="none"/>
          <w:lang w:val="en-US" w:eastAsia="zh-CN"/>
        </w:rPr>
        <w:t>定标文件</w:t>
      </w:r>
      <w:r>
        <w:rPr>
          <w:rFonts w:hint="eastAsia" w:ascii="宋体" w:hAnsi="宋体" w:eastAsia="宋体" w:cs="宋体"/>
          <w:b w:val="0"/>
          <w:bCs w:val="0"/>
          <w:color w:val="auto"/>
          <w:sz w:val="24"/>
          <w:highlight w:val="none"/>
        </w:rPr>
        <w:t>包括以下内容</w:t>
      </w:r>
      <w:r>
        <w:rPr>
          <w:rFonts w:hint="eastAsia" w:ascii="宋体" w:hAnsi="宋体" w:eastAsia="宋体" w:cs="宋体"/>
          <w:b w:val="0"/>
          <w:bCs w:val="0"/>
          <w:color w:val="auto"/>
          <w:sz w:val="24"/>
          <w:highlight w:val="none"/>
          <w:lang w:eastAsia="zh-CN"/>
        </w:rPr>
        <w:t>（</w:t>
      </w:r>
      <w:r>
        <w:rPr>
          <w:rFonts w:hint="default" w:ascii="宋体" w:hAnsi="宋体" w:eastAsia="宋体" w:cs="宋体"/>
          <w:b w:val="0"/>
          <w:bCs w:val="0"/>
          <w:color w:val="auto"/>
          <w:sz w:val="24"/>
          <w:highlight w:val="none"/>
          <w:lang w:val="en-US" w:eastAsia="zh-CN"/>
        </w:rPr>
        <w:t>定标文件只适用于定标阶段提交给定标委员会查阅，评标委员会评标时不采用定标文件评审</w:t>
      </w:r>
      <w:r>
        <w:rPr>
          <w:rFonts w:hint="eastAsia" w:ascii="宋体" w:hAnsi="宋体" w:eastAsia="宋体" w:cs="宋体"/>
          <w:b w:val="0"/>
          <w:bCs w:val="0"/>
          <w:color w:val="auto"/>
          <w:sz w:val="24"/>
          <w:highlight w:val="none"/>
          <w:lang w:eastAsia="zh-CN"/>
        </w:rPr>
        <w:t>）</w:t>
      </w:r>
      <w:r>
        <w:rPr>
          <w:rFonts w:hint="eastAsia" w:ascii="宋体" w:hAnsi="宋体" w:eastAsia="宋体" w:cs="宋体"/>
          <w:b w:val="0"/>
          <w:bCs w:val="0"/>
          <w:color w:val="auto"/>
          <w:sz w:val="24"/>
          <w:highlight w:val="none"/>
        </w:rPr>
        <w:t>：</w:t>
      </w:r>
    </w:p>
    <w:p w14:paraId="25E27068">
      <w:pPr>
        <w:keepNext w:val="0"/>
        <w:keepLines w:val="0"/>
        <w:pageBreakBefore w:val="0"/>
        <w:wordWrap w:val="0"/>
        <w:overflowPunct/>
        <w:topLinePunct w:val="0"/>
        <w:bidi w:val="0"/>
        <w:spacing w:before="156" w:line="220"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（1）封面（格式</w:t>
      </w:r>
      <w:r>
        <w:rPr>
          <w:rFonts w:hint="eastAsia" w:ascii="宋体" w:hAnsi="宋体" w:eastAsia="宋体" w:cs="宋体"/>
          <w:color w:val="auto"/>
          <w:spacing w:val="0"/>
          <w:sz w:val="24"/>
          <w:szCs w:val="24"/>
          <w:highlight w:val="none"/>
          <w:lang w:val="en-US" w:eastAsia="zh-CN"/>
        </w:rPr>
        <w:t>十七</w:t>
      </w:r>
      <w:r>
        <w:rPr>
          <w:rFonts w:hint="eastAsia" w:ascii="宋体" w:hAnsi="宋体" w:eastAsia="宋体" w:cs="宋体"/>
          <w:color w:val="auto"/>
          <w:spacing w:val="0"/>
          <w:sz w:val="24"/>
          <w:szCs w:val="24"/>
          <w:highlight w:val="none"/>
        </w:rPr>
        <w:t>）；</w:t>
      </w:r>
    </w:p>
    <w:p w14:paraId="09A2D252">
      <w:pPr>
        <w:keepNext w:val="0"/>
        <w:keepLines w:val="0"/>
        <w:pageBreakBefore w:val="0"/>
        <w:wordWrap w:val="0"/>
        <w:overflowPunct/>
        <w:topLinePunct w:val="0"/>
        <w:bidi w:val="0"/>
        <w:spacing w:before="153" w:line="222"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 目录；</w:t>
      </w:r>
    </w:p>
    <w:p w14:paraId="45CFCF5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color w:val="auto"/>
          <w:spacing w:val="0"/>
          <w:sz w:val="24"/>
          <w:szCs w:val="24"/>
          <w:highlight w:val="none"/>
        </w:rPr>
        <w:t>（</w:t>
      </w:r>
      <w:r>
        <w:rPr>
          <w:rFonts w:hint="eastAsia" w:ascii="宋体" w:hAnsi="宋体" w:eastAsia="宋体" w:cs="宋体"/>
          <w:color w:val="auto"/>
          <w:spacing w:val="0"/>
          <w:sz w:val="24"/>
          <w:szCs w:val="24"/>
          <w:highlight w:val="none"/>
          <w:lang w:val="en-US" w:eastAsia="zh-CN"/>
        </w:rPr>
        <w:t>3</w:t>
      </w:r>
      <w:r>
        <w:rPr>
          <w:rFonts w:hint="eastAsia" w:ascii="宋体" w:hAnsi="宋体" w:eastAsia="宋体" w:cs="宋体"/>
          <w:color w:val="auto"/>
          <w:spacing w:val="0"/>
          <w:sz w:val="24"/>
          <w:szCs w:val="24"/>
          <w:highlight w:val="none"/>
        </w:rPr>
        <w:t>）</w:t>
      </w:r>
      <w:r>
        <w:rPr>
          <w:rFonts w:hint="eastAsia" w:ascii="宋体" w:hAnsi="宋体" w:eastAsia="宋体" w:cs="宋体"/>
          <w:b w:val="0"/>
          <w:bCs w:val="0"/>
          <w:color w:val="auto"/>
          <w:sz w:val="24"/>
          <w:highlight w:val="none"/>
          <w:lang w:val="en-US" w:eastAsia="zh-CN"/>
        </w:rPr>
        <w:t xml:space="preserve"> 定标因素评审资料（格式十八）</w:t>
      </w:r>
    </w:p>
    <w:p w14:paraId="29545C9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b/>
          <w:bCs/>
          <w:color w:val="auto"/>
          <w:highlight w:val="none"/>
        </w:rPr>
      </w:pPr>
      <w:r>
        <w:rPr>
          <w:rFonts w:hint="eastAsia" w:ascii="宋体" w:hAnsi="宋体" w:eastAsia="宋体" w:cs="宋体"/>
          <w:b/>
          <w:bCs/>
          <w:color w:val="auto"/>
          <w:sz w:val="24"/>
          <w:highlight w:val="none"/>
          <w:lang w:val="en-US" w:eastAsia="zh-CN"/>
        </w:rPr>
        <w:t>注：第10.5的定标文件按照本章节第16.5定标因素所列提供，其中第16.5.7无需提供，其余</w:t>
      </w:r>
      <w:r>
        <w:rPr>
          <w:rFonts w:hint="eastAsia" w:ascii="宋体" w:hAnsi="宋体" w:eastAsia="宋体" w:cs="宋体"/>
          <w:b/>
          <w:bCs/>
          <w:color w:val="auto"/>
          <w:sz w:val="24"/>
          <w:highlight w:val="none"/>
        </w:rPr>
        <w:t>所有投标人均应提供。</w:t>
      </w:r>
    </w:p>
    <w:p w14:paraId="05C6BB06">
      <w:pPr>
        <w:keepNext w:val="0"/>
        <w:keepLines w:val="0"/>
        <w:pageBreakBefore w:val="0"/>
        <w:wordWrap w:val="0"/>
        <w:overflowPunct/>
        <w:topLinePunct w:val="0"/>
        <w:bidi w:val="0"/>
        <w:spacing w:before="78" w:line="221" w:lineRule="auto"/>
        <w:ind w:left="496"/>
        <w:outlineLvl w:val="2"/>
        <w:rPr>
          <w:rFonts w:hint="eastAsia" w:ascii="宋体" w:hAnsi="宋体" w:eastAsia="宋体" w:cs="宋体"/>
          <w:color w:val="auto"/>
          <w:spacing w:val="0"/>
          <w:sz w:val="24"/>
          <w:szCs w:val="24"/>
          <w:highlight w:val="none"/>
        </w:rPr>
      </w:pPr>
      <w:bookmarkStart w:id="52" w:name="_Toc21936"/>
      <w:bookmarkStart w:id="53" w:name="_Toc20233"/>
      <w:r>
        <w:rPr>
          <w:rFonts w:hint="eastAsia" w:ascii="宋体" w:hAnsi="宋体" w:eastAsia="宋体" w:cs="宋体"/>
          <w:b/>
          <w:bCs/>
          <w:color w:val="auto"/>
          <w:spacing w:val="0"/>
          <w:sz w:val="24"/>
          <w:szCs w:val="24"/>
          <w:highlight w:val="none"/>
        </w:rPr>
        <w:t xml:space="preserve">11. </w:t>
      </w:r>
      <w:r>
        <w:rPr>
          <w:rFonts w:hint="eastAsia" w:ascii="宋体" w:hAnsi="宋体" w:eastAsia="宋体" w:cs="宋体"/>
          <w:color w:val="auto"/>
          <w:spacing w:val="0"/>
          <w:sz w:val="24"/>
          <w:szCs w:val="24"/>
          <w:highlight w:val="none"/>
        </w:rPr>
        <w:t>电子投标：</w:t>
      </w:r>
      <w:bookmarkEnd w:id="52"/>
      <w:bookmarkEnd w:id="53"/>
    </w:p>
    <w:p w14:paraId="74390B95">
      <w:pPr>
        <w:keepNext w:val="0"/>
        <w:keepLines w:val="0"/>
        <w:pageBreakBefore w:val="0"/>
        <w:wordWrap w:val="0"/>
        <w:overflowPunct/>
        <w:topLinePunct w:val="0"/>
        <w:bidi w:val="0"/>
        <w:spacing w:before="112" w:line="295" w:lineRule="auto"/>
        <w:ind w:left="10" w:firstLine="485"/>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11.1  </w:t>
      </w:r>
      <w:r>
        <w:rPr>
          <w:rFonts w:hint="eastAsia" w:ascii="宋体" w:hAnsi="宋体" w:eastAsia="宋体" w:cs="宋体"/>
          <w:color w:val="auto"/>
          <w:spacing w:val="0"/>
          <w:sz w:val="24"/>
          <w:szCs w:val="24"/>
          <w:highlight w:val="none"/>
        </w:rPr>
        <w:t>在建设工程交易系统上传加盖了电子印章的投标文件、录入相关信息及标书页码信息，</w:t>
      </w:r>
      <w:r>
        <w:rPr>
          <w:rFonts w:hint="eastAsia" w:ascii="宋体" w:hAnsi="宋体" w:eastAsia="宋体" w:cs="宋体"/>
          <w:b/>
          <w:bCs/>
          <w:color w:val="auto"/>
          <w:spacing w:val="0"/>
          <w:sz w:val="24"/>
          <w:szCs w:val="24"/>
          <w:highlight w:val="none"/>
        </w:rPr>
        <w:t>（页码起始从封面开始）</w:t>
      </w:r>
      <w:r>
        <w:rPr>
          <w:rFonts w:hint="eastAsia" w:ascii="宋体" w:hAnsi="宋体" w:eastAsia="宋体" w:cs="宋体"/>
          <w:color w:val="auto"/>
          <w:spacing w:val="0"/>
          <w:sz w:val="24"/>
          <w:szCs w:val="24"/>
          <w:highlight w:val="none"/>
        </w:rPr>
        <w:t>并提交投标标书。提交标书为已加密投标文件。 具体操作参照《韶关市公共资源建设工程交易系统-投标人操作指南（电子评标）》。本项目评标采用全流程电子化进行招标投标（投标人应根据韶关市公共资源建设工程交易系统进行编辑投标相关内容、按招标文件电子投标要求上传已加盖电子印章投标文件，否则将自行承担不利后果）。投标文件完成上传后，投标人应使用 CA 数字证书对投标文件进行文件加密，形成加密的投标文件并提交标书。</w:t>
      </w:r>
    </w:p>
    <w:p w14:paraId="52C1E407">
      <w:pPr>
        <w:keepNext w:val="0"/>
        <w:keepLines w:val="0"/>
        <w:pageBreakBefore w:val="0"/>
        <w:wordWrap w:val="0"/>
        <w:overflowPunct/>
        <w:topLinePunct w:val="0"/>
        <w:bidi w:val="0"/>
        <w:spacing w:before="115" w:line="286" w:lineRule="auto"/>
        <w:ind w:left="10" w:right="81" w:firstLine="485"/>
        <w:rPr>
          <w:rFonts w:hint="eastAsia" w:ascii="宋体" w:hAnsi="宋体" w:eastAsia="宋体" w:cs="宋体"/>
          <w:color w:val="auto"/>
          <w:spacing w:val="0"/>
          <w:highlight w:val="none"/>
        </w:rPr>
      </w:pPr>
      <w:r>
        <w:rPr>
          <w:rFonts w:hint="eastAsia" w:ascii="宋体" w:hAnsi="宋体" w:eastAsia="宋体" w:cs="宋体"/>
          <w:b/>
          <w:bCs/>
          <w:color w:val="auto"/>
          <w:spacing w:val="0"/>
          <w:sz w:val="24"/>
          <w:szCs w:val="24"/>
          <w:highlight w:val="none"/>
        </w:rPr>
        <w:t xml:space="preserve">11.2  </w:t>
      </w:r>
      <w:r>
        <w:rPr>
          <w:rFonts w:hint="eastAsia" w:ascii="宋体" w:hAnsi="宋体" w:eastAsia="宋体" w:cs="宋体"/>
          <w:color w:val="auto"/>
          <w:spacing w:val="0"/>
          <w:sz w:val="24"/>
          <w:szCs w:val="24"/>
          <w:highlight w:val="none"/>
        </w:rPr>
        <w:t>电子投标文件的修改、撤回：在提交投标文件截止时间前，投标人可以修改或撤回未解密的电子投标文件，并于提交投标文件截止时间前将重新上传修改后的电子投标文件至系统，到达投标文件提交截止时间后投标人不得撤回、补充、修改和更换投标文件。</w:t>
      </w:r>
    </w:p>
    <w:p w14:paraId="284B1770">
      <w:pPr>
        <w:keepNext w:val="0"/>
        <w:keepLines w:val="0"/>
        <w:pageBreakBefore w:val="0"/>
        <w:widowControl/>
        <w:numPr>
          <w:ilvl w:val="0"/>
          <w:numId w:val="0"/>
        </w:numPr>
        <w:kinsoku w:val="0"/>
        <w:wordWrap w:val="0"/>
        <w:overflowPunct/>
        <w:topLinePunct w:val="0"/>
        <w:autoSpaceDE w:val="0"/>
        <w:autoSpaceDN w:val="0"/>
        <w:bidi w:val="0"/>
        <w:adjustRightInd w:val="0"/>
        <w:snapToGrid w:val="0"/>
        <w:spacing w:before="78" w:line="286" w:lineRule="auto"/>
        <w:ind w:firstLine="482" w:firstLineChars="200"/>
        <w:textAlignment w:val="baseline"/>
        <w:outlineLvl w:val="2"/>
        <w:rPr>
          <w:rFonts w:hint="eastAsia" w:ascii="宋体" w:hAnsi="宋体" w:eastAsia="宋体" w:cs="宋体"/>
          <w:b/>
          <w:bCs/>
          <w:color w:val="auto"/>
          <w:spacing w:val="0"/>
          <w:sz w:val="24"/>
          <w:szCs w:val="24"/>
          <w:highlight w:val="none"/>
        </w:rPr>
      </w:pPr>
      <w:bookmarkStart w:id="54" w:name="_Toc2254"/>
      <w:r>
        <w:rPr>
          <w:rFonts w:hint="eastAsia" w:ascii="宋体" w:hAnsi="宋体" w:eastAsia="宋体" w:cs="宋体"/>
          <w:b/>
          <w:bCs/>
          <w:color w:val="auto"/>
          <w:spacing w:val="0"/>
          <w:sz w:val="24"/>
          <w:szCs w:val="24"/>
          <w:highlight w:val="none"/>
          <w:lang w:val="en-US" w:eastAsia="zh-CN"/>
        </w:rPr>
        <w:t>12.</w:t>
      </w:r>
      <w:r>
        <w:rPr>
          <w:rFonts w:hint="eastAsia" w:ascii="宋体" w:hAnsi="宋体" w:eastAsia="宋体" w:cs="宋体"/>
          <w:b/>
          <w:bCs/>
          <w:color w:val="auto"/>
          <w:spacing w:val="0"/>
          <w:w w:val="101"/>
          <w:sz w:val="24"/>
          <w:szCs w:val="24"/>
          <w:highlight w:val="none"/>
        </w:rPr>
        <w:t xml:space="preserve"> </w:t>
      </w:r>
      <w:bookmarkStart w:id="55" w:name="_Toc29834"/>
      <w:r>
        <w:rPr>
          <w:rFonts w:hint="eastAsia" w:ascii="宋体" w:hAnsi="宋体" w:eastAsia="宋体" w:cs="宋体"/>
          <w:b/>
          <w:bCs/>
          <w:color w:val="auto"/>
          <w:spacing w:val="0"/>
          <w:sz w:val="24"/>
          <w:szCs w:val="24"/>
          <w:highlight w:val="none"/>
        </w:rPr>
        <w:t>电子投标及投标解密失败及突发情况的补救方案</w:t>
      </w:r>
      <w:bookmarkEnd w:id="54"/>
      <w:bookmarkEnd w:id="55"/>
    </w:p>
    <w:p w14:paraId="26A44F29">
      <w:pPr>
        <w:keepNext w:val="0"/>
        <w:keepLines w:val="0"/>
        <w:pageBreakBefore w:val="0"/>
        <w:widowControl/>
        <w:kinsoku w:val="0"/>
        <w:wordWrap w:val="0"/>
        <w:overflowPunct/>
        <w:topLinePunct w:val="0"/>
        <w:autoSpaceDE w:val="0"/>
        <w:autoSpaceDN w:val="0"/>
        <w:bidi w:val="0"/>
        <w:adjustRightInd w:val="0"/>
        <w:snapToGrid w:val="0"/>
        <w:spacing w:before="78" w:line="286" w:lineRule="auto"/>
        <w:ind w:firstLine="482" w:firstLineChars="200"/>
        <w:textAlignment w:val="baseline"/>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12.1 </w:t>
      </w:r>
      <w:r>
        <w:rPr>
          <w:rFonts w:hint="eastAsia" w:ascii="宋体" w:hAnsi="宋体" w:eastAsia="宋体" w:cs="宋体"/>
          <w:color w:val="auto"/>
          <w:spacing w:val="0"/>
          <w:sz w:val="24"/>
          <w:szCs w:val="24"/>
          <w:highlight w:val="none"/>
        </w:rPr>
        <w:t>按照交易平台关于全流程电子化项目的相关指南进行操作。详见：全国公共资源交易平台（广东省 ·韶关市）（https://ygp.gdzwfw.gov.cn/ggzy-portal/#/44 0200/index）服务指南栏目发布的最新版操作指引。</w:t>
      </w:r>
    </w:p>
    <w:p w14:paraId="31F6687A">
      <w:pPr>
        <w:keepNext w:val="0"/>
        <w:keepLines w:val="0"/>
        <w:pageBreakBefore w:val="0"/>
        <w:widowControl/>
        <w:kinsoku w:val="0"/>
        <w:wordWrap w:val="0"/>
        <w:overflowPunct/>
        <w:topLinePunct w:val="0"/>
        <w:autoSpaceDE w:val="0"/>
        <w:autoSpaceDN w:val="0"/>
        <w:bidi w:val="0"/>
        <w:adjustRightInd w:val="0"/>
        <w:snapToGrid w:val="0"/>
        <w:spacing w:before="113" w:line="286" w:lineRule="auto"/>
        <w:ind w:left="496"/>
        <w:textAlignment w:val="baseline"/>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12.2  </w:t>
      </w:r>
      <w:r>
        <w:rPr>
          <w:rFonts w:hint="eastAsia" w:ascii="宋体" w:hAnsi="宋体" w:eastAsia="宋体" w:cs="宋体"/>
          <w:color w:val="auto"/>
          <w:spacing w:val="0"/>
          <w:sz w:val="24"/>
          <w:szCs w:val="24"/>
          <w:highlight w:val="none"/>
        </w:rPr>
        <w:t>补救方案：</w:t>
      </w:r>
    </w:p>
    <w:p w14:paraId="24C7BE14">
      <w:pPr>
        <w:keepNext w:val="0"/>
        <w:keepLines w:val="0"/>
        <w:pageBreakBefore w:val="0"/>
        <w:wordWrap w:val="0"/>
        <w:overflowPunct/>
        <w:topLinePunct w:val="0"/>
        <w:bidi w:val="0"/>
        <w:spacing w:before="115" w:line="220" w:lineRule="auto"/>
        <w:ind w:left="49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12.2.1  </w:t>
      </w:r>
      <w:r>
        <w:rPr>
          <w:rFonts w:hint="eastAsia" w:ascii="宋体" w:hAnsi="宋体" w:eastAsia="宋体" w:cs="宋体"/>
          <w:color w:val="auto"/>
          <w:spacing w:val="0"/>
          <w:sz w:val="24"/>
          <w:szCs w:val="24"/>
          <w:highlight w:val="none"/>
        </w:rPr>
        <w:t>投标文件解密失败的补救方案：</w:t>
      </w:r>
    </w:p>
    <w:p w14:paraId="0954E234">
      <w:pPr>
        <w:keepNext w:val="0"/>
        <w:keepLines w:val="0"/>
        <w:pageBreakBefore w:val="0"/>
        <w:wordWrap w:val="0"/>
        <w:overflowPunct/>
        <w:topLinePunct w:val="0"/>
        <w:bidi w:val="0"/>
        <w:spacing w:before="115" w:line="298" w:lineRule="auto"/>
        <w:ind w:right="81" w:firstLine="480" w:firstLineChars="20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在规定时间内，因投标人之外原因(指网络瘫痪、服务器损坏、交易系统故障短期无法恢复)等导致的电子投标文件解密失败，在开标现场解密环节由代理授权后，解密失败投标人可在建设工程交易系统在规定时间（代理机构授权后 30 分钟内）内</w:t>
      </w:r>
      <w:bookmarkStart w:id="56" w:name="bookmark122"/>
      <w:bookmarkEnd w:id="56"/>
      <w:r>
        <w:rPr>
          <w:rFonts w:hint="eastAsia" w:ascii="宋体" w:hAnsi="宋体" w:eastAsia="宋体" w:cs="宋体"/>
          <w:color w:val="auto"/>
          <w:spacing w:val="0"/>
          <w:sz w:val="24"/>
          <w:szCs w:val="24"/>
          <w:highlight w:val="none"/>
        </w:rPr>
        <w:t>重新提交投标文件继续开标程序。</w:t>
      </w:r>
    </w:p>
    <w:p w14:paraId="79467F76">
      <w:pPr>
        <w:keepNext w:val="0"/>
        <w:keepLines w:val="0"/>
        <w:pageBreakBefore w:val="0"/>
        <w:wordWrap w:val="0"/>
        <w:overflowPunct/>
        <w:topLinePunct w:val="0"/>
        <w:bidi w:val="0"/>
        <w:spacing w:before="114" w:line="220" w:lineRule="auto"/>
        <w:ind w:left="49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12.2.2  </w:t>
      </w:r>
      <w:r>
        <w:rPr>
          <w:rFonts w:hint="eastAsia" w:ascii="宋体" w:hAnsi="宋体" w:eastAsia="宋体" w:cs="宋体"/>
          <w:color w:val="auto"/>
          <w:spacing w:val="0"/>
          <w:sz w:val="24"/>
          <w:szCs w:val="24"/>
          <w:highlight w:val="none"/>
        </w:rPr>
        <w:t>评标时突发情况的补救方案</w:t>
      </w:r>
    </w:p>
    <w:p w14:paraId="5A6FED80">
      <w:pPr>
        <w:keepNext w:val="0"/>
        <w:keepLines w:val="0"/>
        <w:pageBreakBefore w:val="0"/>
        <w:wordWrap w:val="0"/>
        <w:overflowPunct/>
        <w:topLinePunct w:val="0"/>
        <w:bidi w:val="0"/>
        <w:spacing w:before="114" w:line="303" w:lineRule="auto"/>
        <w:ind w:right="81" w:firstLine="480" w:firstLineChars="20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在评标过程中，因主场或副场网络故障、电子设备或者评标系统故障，以及其他原因导致无法继续进行评标时，在 4 小时以内解除故障的可继续评标，超过 4 小时无法解除故障的，由招标人确定是否进行评标。如延期评标，招标人及参与评标活动的各方主体及其有关工作人员应当配合主场、副场做好招投标资料的封存和保密工作，另行组建评标委员会重新评标。原评标委员会成员应当对评标情况保密，不得对外透露与评标有关的任何信息与情况。</w:t>
      </w:r>
    </w:p>
    <w:p w14:paraId="52ABBCE4">
      <w:pPr>
        <w:keepNext w:val="0"/>
        <w:keepLines w:val="0"/>
        <w:pageBreakBefore w:val="0"/>
        <w:wordWrap w:val="0"/>
        <w:overflowPunct/>
        <w:topLinePunct w:val="0"/>
        <w:bidi w:val="0"/>
        <w:spacing w:before="69" w:line="324" w:lineRule="auto"/>
        <w:ind w:left="11" w:right="81" w:firstLine="484"/>
        <w:rPr>
          <w:rFonts w:hint="eastAsia" w:ascii="宋体" w:hAnsi="宋体" w:eastAsia="宋体" w:cs="宋体"/>
          <w:color w:val="auto"/>
          <w:spacing w:val="0"/>
          <w:highlight w:val="none"/>
        </w:rPr>
      </w:pPr>
      <w:r>
        <w:rPr>
          <w:rFonts w:hint="eastAsia" w:ascii="宋体" w:hAnsi="宋体" w:eastAsia="宋体" w:cs="宋体"/>
          <w:b/>
          <w:bCs/>
          <w:color w:val="auto"/>
          <w:spacing w:val="0"/>
          <w:sz w:val="24"/>
          <w:szCs w:val="24"/>
          <w:highlight w:val="none"/>
        </w:rPr>
        <w:t xml:space="preserve">12.2.3  </w:t>
      </w:r>
      <w:r>
        <w:rPr>
          <w:rFonts w:hint="eastAsia" w:ascii="宋体" w:hAnsi="宋体" w:eastAsia="宋体" w:cs="宋体"/>
          <w:color w:val="auto"/>
          <w:spacing w:val="0"/>
          <w:sz w:val="24"/>
          <w:szCs w:val="24"/>
          <w:highlight w:val="none"/>
        </w:rPr>
        <w:t>除发生上述情况外，开标评标均以投标人（联合体投标的，由联合体牵头人）通过交易平台网上递交的电子投标文件为准。</w:t>
      </w:r>
    </w:p>
    <w:p w14:paraId="0CCA4CC6">
      <w:pPr>
        <w:keepNext w:val="0"/>
        <w:keepLines w:val="0"/>
        <w:pageBreakBefore w:val="0"/>
        <w:wordWrap w:val="0"/>
        <w:overflowPunct/>
        <w:topLinePunct w:val="0"/>
        <w:bidi w:val="0"/>
        <w:spacing w:before="78" w:line="220" w:lineRule="auto"/>
        <w:ind w:left="496"/>
        <w:outlineLvl w:val="2"/>
        <w:rPr>
          <w:rFonts w:hint="eastAsia" w:ascii="宋体" w:hAnsi="宋体" w:eastAsia="宋体" w:cs="宋体"/>
          <w:color w:val="auto"/>
          <w:spacing w:val="0"/>
          <w:sz w:val="24"/>
          <w:szCs w:val="24"/>
          <w:highlight w:val="none"/>
        </w:rPr>
      </w:pPr>
      <w:bookmarkStart w:id="57" w:name="_Toc27195"/>
      <w:bookmarkStart w:id="58" w:name="_Toc21046"/>
      <w:r>
        <w:rPr>
          <w:rFonts w:hint="eastAsia" w:ascii="宋体" w:hAnsi="宋体" w:eastAsia="宋体" w:cs="宋体"/>
          <w:b/>
          <w:bCs/>
          <w:color w:val="auto"/>
          <w:spacing w:val="0"/>
          <w:sz w:val="24"/>
          <w:szCs w:val="24"/>
          <w:highlight w:val="none"/>
        </w:rPr>
        <w:t>13 ．投标文件的提交</w:t>
      </w:r>
      <w:bookmarkEnd w:id="57"/>
      <w:bookmarkEnd w:id="58"/>
    </w:p>
    <w:p w14:paraId="5F193849">
      <w:pPr>
        <w:keepNext w:val="0"/>
        <w:keepLines w:val="0"/>
        <w:pageBreakBefore w:val="0"/>
        <w:wordWrap w:val="0"/>
        <w:overflowPunct/>
        <w:topLinePunct w:val="0"/>
        <w:bidi w:val="0"/>
        <w:spacing w:before="123" w:line="278" w:lineRule="auto"/>
        <w:ind w:left="13" w:right="81" w:firstLine="482"/>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13.1  </w:t>
      </w:r>
      <w:r>
        <w:rPr>
          <w:rFonts w:hint="eastAsia" w:ascii="宋体" w:hAnsi="宋体" w:eastAsia="宋体" w:cs="宋体"/>
          <w:color w:val="auto"/>
          <w:spacing w:val="0"/>
          <w:sz w:val="24"/>
          <w:szCs w:val="24"/>
          <w:highlight w:val="none"/>
        </w:rPr>
        <w:t>在投标文件提交截止时间前，投标人通过全国公共资源交易平台（广东省 ·韶关市）提交已加密投标文件。逾期提交的电子投标文件，全国公共资源交易平台（广东省 ·韶关市）将予以拒收。</w:t>
      </w:r>
    </w:p>
    <w:p w14:paraId="0CB0B2E6">
      <w:pPr>
        <w:keepNext w:val="0"/>
        <w:keepLines w:val="0"/>
        <w:pageBreakBefore w:val="0"/>
        <w:wordWrap w:val="0"/>
        <w:overflowPunct/>
        <w:topLinePunct w:val="0"/>
        <w:bidi w:val="0"/>
        <w:spacing w:before="115" w:line="219" w:lineRule="auto"/>
        <w:ind w:left="49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13.2  </w:t>
      </w:r>
      <w:r>
        <w:rPr>
          <w:rFonts w:hint="eastAsia" w:ascii="宋体" w:hAnsi="宋体" w:eastAsia="宋体" w:cs="宋体"/>
          <w:color w:val="auto"/>
          <w:spacing w:val="0"/>
          <w:sz w:val="24"/>
          <w:szCs w:val="24"/>
          <w:highlight w:val="none"/>
        </w:rPr>
        <w:t>提交时间和地点：见本章第二节“重要事项时间地点一览表 ”</w:t>
      </w:r>
    </w:p>
    <w:p w14:paraId="16BDFCCE">
      <w:pPr>
        <w:keepNext w:val="0"/>
        <w:keepLines w:val="0"/>
        <w:pageBreakBefore w:val="0"/>
        <w:wordWrap w:val="0"/>
        <w:overflowPunct/>
        <w:topLinePunct w:val="0"/>
        <w:bidi w:val="0"/>
        <w:spacing w:before="113" w:line="279" w:lineRule="auto"/>
        <w:ind w:left="9" w:right="24" w:firstLine="48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13.3  </w:t>
      </w:r>
      <w:r>
        <w:rPr>
          <w:rFonts w:hint="eastAsia" w:ascii="宋体" w:hAnsi="宋体" w:eastAsia="宋体" w:cs="宋体"/>
          <w:color w:val="auto"/>
          <w:spacing w:val="0"/>
          <w:sz w:val="24"/>
          <w:szCs w:val="24"/>
          <w:highlight w:val="none"/>
        </w:rPr>
        <w:t>递交时间和地点：投标人如有招标文件要求提交的用于评审的证书、证件、证明原件（附一式两份清单），由投标人法定代表人或其委托代理人在指定的时间和地点递交（见“重要事项时间地点一览表 ”）。</w:t>
      </w:r>
    </w:p>
    <w:p w14:paraId="2E26020B">
      <w:pPr>
        <w:keepNext w:val="0"/>
        <w:keepLines w:val="0"/>
        <w:pageBreakBefore w:val="0"/>
        <w:wordWrap w:val="0"/>
        <w:overflowPunct/>
        <w:topLinePunct w:val="0"/>
        <w:bidi w:val="0"/>
        <w:spacing w:before="112" w:line="219" w:lineRule="auto"/>
        <w:ind w:firstLine="482" w:firstLineChars="200"/>
        <w:jc w:val="both"/>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13.4  </w:t>
      </w:r>
      <w:r>
        <w:rPr>
          <w:rFonts w:hint="eastAsia" w:ascii="宋体" w:hAnsi="宋体" w:eastAsia="宋体" w:cs="宋体"/>
          <w:color w:val="auto"/>
          <w:spacing w:val="0"/>
          <w:sz w:val="24"/>
          <w:szCs w:val="24"/>
          <w:highlight w:val="none"/>
        </w:rPr>
        <w:t>代理机构对因不可抗力事件造成的投标文件的损坏、丢失的，不承担责任。</w:t>
      </w:r>
    </w:p>
    <w:p w14:paraId="588A919A">
      <w:pPr>
        <w:keepNext w:val="0"/>
        <w:keepLines w:val="0"/>
        <w:pageBreakBefore w:val="0"/>
        <w:wordWrap w:val="0"/>
        <w:overflowPunct/>
        <w:topLinePunct w:val="0"/>
        <w:bidi w:val="0"/>
        <w:spacing w:before="116" w:line="220" w:lineRule="auto"/>
        <w:ind w:left="49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13.5  </w:t>
      </w:r>
      <w:r>
        <w:rPr>
          <w:rFonts w:hint="eastAsia" w:ascii="宋体" w:hAnsi="宋体" w:eastAsia="宋体" w:cs="宋体"/>
          <w:color w:val="auto"/>
          <w:spacing w:val="0"/>
          <w:sz w:val="24"/>
          <w:szCs w:val="24"/>
          <w:highlight w:val="none"/>
        </w:rPr>
        <w:t>出现下述情形之一，属于未成功提交投标文件，按无效投标处理：</w:t>
      </w:r>
    </w:p>
    <w:p w14:paraId="2F0954B6">
      <w:pPr>
        <w:keepNext w:val="0"/>
        <w:keepLines w:val="0"/>
        <w:pageBreakBefore w:val="0"/>
        <w:wordWrap w:val="0"/>
        <w:overflowPunct/>
        <w:topLinePunct w:val="0"/>
        <w:bidi w:val="0"/>
        <w:spacing w:before="115" w:line="219" w:lineRule="auto"/>
        <w:ind w:left="74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（1）至提交投标文件截止时，投标文件未完整上传及提交标书；</w:t>
      </w:r>
    </w:p>
    <w:p w14:paraId="7C488FF7">
      <w:pPr>
        <w:keepNext w:val="0"/>
        <w:keepLines w:val="0"/>
        <w:pageBreakBefore w:val="0"/>
        <w:wordWrap w:val="0"/>
        <w:overflowPunct/>
        <w:topLinePunct w:val="0"/>
        <w:bidi w:val="0"/>
        <w:spacing w:before="114" w:line="220" w:lineRule="auto"/>
        <w:ind w:left="74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（2）解密失败且在规定时间内未重新提交投标文件的；</w:t>
      </w:r>
    </w:p>
    <w:p w14:paraId="53654BF9">
      <w:pPr>
        <w:keepNext w:val="0"/>
        <w:keepLines w:val="0"/>
        <w:pageBreakBefore w:val="0"/>
        <w:wordWrap w:val="0"/>
        <w:overflowPunct/>
        <w:topLinePunct w:val="0"/>
        <w:bidi w:val="0"/>
        <w:spacing w:before="115" w:line="220" w:lineRule="auto"/>
        <w:ind w:left="74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（3）投标文件损坏或格式不正确的；</w:t>
      </w:r>
    </w:p>
    <w:p w14:paraId="0C236E5C">
      <w:pPr>
        <w:keepNext w:val="0"/>
        <w:keepLines w:val="0"/>
        <w:pageBreakBefore w:val="0"/>
        <w:wordWrap w:val="0"/>
        <w:overflowPunct/>
        <w:topLinePunct w:val="0"/>
        <w:bidi w:val="0"/>
        <w:spacing w:before="115" w:line="219" w:lineRule="auto"/>
        <w:ind w:left="49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13.6  </w:t>
      </w:r>
      <w:r>
        <w:rPr>
          <w:rFonts w:hint="eastAsia" w:ascii="宋体" w:hAnsi="宋体" w:eastAsia="宋体" w:cs="宋体"/>
          <w:color w:val="auto"/>
          <w:spacing w:val="0"/>
          <w:sz w:val="24"/>
          <w:szCs w:val="24"/>
          <w:highlight w:val="none"/>
        </w:rPr>
        <w:t>联合体投标的，由联合体牵头人按以上要求递交相关资料。</w:t>
      </w:r>
    </w:p>
    <w:p w14:paraId="7611F48C">
      <w:pPr>
        <w:keepNext w:val="0"/>
        <w:keepLines w:val="0"/>
        <w:pageBreakBefore w:val="0"/>
        <w:widowControl/>
        <w:kinsoku w:val="0"/>
        <w:wordWrap w:val="0"/>
        <w:overflowPunct/>
        <w:topLinePunct w:val="0"/>
        <w:autoSpaceDE w:val="0"/>
        <w:autoSpaceDN w:val="0"/>
        <w:bidi w:val="0"/>
        <w:adjustRightInd w:val="0"/>
        <w:snapToGrid w:val="0"/>
        <w:spacing w:before="113" w:line="286" w:lineRule="auto"/>
        <w:ind w:left="11" w:right="23" w:firstLine="488"/>
        <w:textAlignment w:val="baseline"/>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13.7  </w:t>
      </w:r>
      <w:r>
        <w:rPr>
          <w:rFonts w:hint="eastAsia" w:ascii="宋体" w:hAnsi="宋体" w:eastAsia="宋体" w:cs="宋体"/>
          <w:color w:val="auto"/>
          <w:spacing w:val="0"/>
          <w:sz w:val="24"/>
          <w:szCs w:val="24"/>
          <w:highlight w:val="none"/>
        </w:rPr>
        <w:t>招标人或其授权的招标代理机构核对、接收投标人递交的投标相关资料后，应向投标人出具标明签收人和签收时间的凭证，并妥善保管。</w:t>
      </w:r>
    </w:p>
    <w:p w14:paraId="45613E13">
      <w:pPr>
        <w:keepNext w:val="0"/>
        <w:keepLines w:val="0"/>
        <w:pageBreakBefore w:val="0"/>
        <w:wordWrap w:val="0"/>
        <w:overflowPunct/>
        <w:topLinePunct w:val="0"/>
        <w:bidi w:val="0"/>
        <w:spacing w:before="113" w:line="279" w:lineRule="auto"/>
        <w:ind w:left="9" w:right="24" w:firstLine="48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13.8 </w:t>
      </w:r>
      <w:r>
        <w:rPr>
          <w:rFonts w:hint="eastAsia" w:ascii="宋体" w:hAnsi="宋体" w:eastAsia="宋体" w:cs="宋体"/>
          <w:color w:val="auto"/>
          <w:spacing w:val="0"/>
          <w:sz w:val="24"/>
          <w:szCs w:val="24"/>
          <w:highlight w:val="none"/>
        </w:rPr>
        <w:t xml:space="preserve"> 本次招标投标有效期为</w:t>
      </w:r>
      <w:r>
        <w:rPr>
          <w:rFonts w:hint="eastAsia" w:ascii="宋体" w:hAnsi="宋体" w:eastAsia="宋体" w:cs="宋体"/>
          <w:color w:val="auto"/>
          <w:spacing w:val="0"/>
          <w:sz w:val="24"/>
          <w:szCs w:val="24"/>
          <w:highlight w:val="none"/>
          <w:u w:val="single"/>
          <w:lang w:eastAsia="zh-CN"/>
        </w:rPr>
        <w:t>90</w:t>
      </w:r>
      <w:r>
        <w:rPr>
          <w:rFonts w:hint="eastAsia" w:ascii="宋体" w:hAnsi="宋体" w:eastAsia="宋体" w:cs="宋体"/>
          <w:color w:val="auto"/>
          <w:spacing w:val="0"/>
          <w:sz w:val="24"/>
          <w:szCs w:val="24"/>
          <w:highlight w:val="none"/>
        </w:rPr>
        <w:t>个日历天，投标有效期从提交投标文件的截止之日起计算。在此期间，投标人不得撤销或修改其投标文件，否则其投标保证不予退还。</w:t>
      </w:r>
    </w:p>
    <w:p w14:paraId="3611D5CA">
      <w:pPr>
        <w:keepNext w:val="0"/>
        <w:keepLines w:val="0"/>
        <w:pageBreakBefore w:val="0"/>
        <w:wordWrap w:val="0"/>
        <w:overflowPunct/>
        <w:topLinePunct w:val="0"/>
        <w:bidi w:val="0"/>
        <w:spacing w:before="145" w:line="221" w:lineRule="auto"/>
        <w:ind w:left="496"/>
        <w:outlineLvl w:val="2"/>
        <w:rPr>
          <w:rFonts w:hint="eastAsia" w:ascii="宋体" w:hAnsi="宋体" w:eastAsia="宋体" w:cs="宋体"/>
          <w:color w:val="auto"/>
          <w:spacing w:val="0"/>
          <w:sz w:val="24"/>
          <w:szCs w:val="24"/>
          <w:highlight w:val="none"/>
        </w:rPr>
      </w:pPr>
      <w:bookmarkStart w:id="59" w:name="_Toc32459"/>
      <w:bookmarkStart w:id="60" w:name="_Toc22047"/>
      <w:r>
        <w:rPr>
          <w:rFonts w:hint="eastAsia" w:ascii="宋体" w:hAnsi="宋体" w:eastAsia="宋体" w:cs="宋体"/>
          <w:b/>
          <w:bCs/>
          <w:color w:val="auto"/>
          <w:spacing w:val="0"/>
          <w:sz w:val="24"/>
          <w:szCs w:val="24"/>
          <w:highlight w:val="none"/>
        </w:rPr>
        <w:t>14 ．开标</w:t>
      </w:r>
      <w:bookmarkEnd w:id="59"/>
      <w:bookmarkEnd w:id="60"/>
    </w:p>
    <w:p w14:paraId="1F8AE479">
      <w:pPr>
        <w:keepNext w:val="0"/>
        <w:keepLines w:val="0"/>
        <w:pageBreakBefore w:val="0"/>
        <w:wordWrap w:val="0"/>
        <w:overflowPunct/>
        <w:topLinePunct w:val="0"/>
        <w:bidi w:val="0"/>
        <w:spacing w:before="155" w:line="329" w:lineRule="auto"/>
        <w:ind w:left="10" w:right="81" w:firstLine="485"/>
        <w:jc w:val="both"/>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14.1  </w:t>
      </w:r>
      <w:r>
        <w:rPr>
          <w:rFonts w:hint="eastAsia" w:ascii="宋体" w:hAnsi="宋体" w:eastAsia="宋体" w:cs="宋体"/>
          <w:color w:val="auto"/>
          <w:spacing w:val="0"/>
          <w:sz w:val="24"/>
          <w:szCs w:val="24"/>
          <w:highlight w:val="none"/>
        </w:rPr>
        <w:t>招标人邀请所有正确获取招标文件、电子投标、缴纳投标保证的投标人参加开标，投标人可自主决定是否参加。投标人可登陆交易平台观看开标实况、提出异议或进行澄清、确认等操作（具体按招标文件和系统操作手册为准）。投标人不参加开</w:t>
      </w:r>
      <w:bookmarkStart w:id="61" w:name="bookmark123"/>
      <w:bookmarkEnd w:id="61"/>
      <w:r>
        <w:rPr>
          <w:rFonts w:hint="eastAsia" w:ascii="宋体" w:hAnsi="宋体" w:eastAsia="宋体" w:cs="宋体"/>
          <w:color w:val="auto"/>
          <w:spacing w:val="0"/>
          <w:sz w:val="24"/>
          <w:szCs w:val="24"/>
          <w:highlight w:val="none"/>
        </w:rPr>
        <w:t>标的，视其默认开标结果，以及放弃在开标期间见证、监督、投诉、申辩的权利。</w:t>
      </w:r>
    </w:p>
    <w:p w14:paraId="0BF3B7CC">
      <w:pPr>
        <w:keepNext w:val="0"/>
        <w:keepLines w:val="0"/>
        <w:pageBreakBefore w:val="0"/>
        <w:wordWrap w:val="0"/>
        <w:overflowPunct/>
        <w:topLinePunct w:val="0"/>
        <w:bidi w:val="0"/>
        <w:spacing w:before="156" w:line="219" w:lineRule="auto"/>
        <w:ind w:left="49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14.1.1  </w:t>
      </w:r>
      <w:r>
        <w:rPr>
          <w:rFonts w:hint="eastAsia" w:ascii="宋体" w:hAnsi="宋体" w:eastAsia="宋体" w:cs="宋体"/>
          <w:color w:val="auto"/>
          <w:spacing w:val="0"/>
          <w:sz w:val="24"/>
          <w:szCs w:val="24"/>
          <w:highlight w:val="none"/>
        </w:rPr>
        <w:t>开标时间和地点：见本章第二节“重要事项时间地点一览表 ”。</w:t>
      </w:r>
    </w:p>
    <w:p w14:paraId="0A17FC9D">
      <w:pPr>
        <w:keepNext w:val="0"/>
        <w:keepLines w:val="0"/>
        <w:pageBreakBefore w:val="0"/>
        <w:widowControl/>
        <w:kinsoku w:val="0"/>
        <w:wordWrap w:val="0"/>
        <w:overflowPunct/>
        <w:topLinePunct w:val="0"/>
        <w:autoSpaceDE w:val="0"/>
        <w:autoSpaceDN w:val="0"/>
        <w:bidi w:val="0"/>
        <w:adjustRightInd w:val="0"/>
        <w:snapToGrid w:val="0"/>
        <w:spacing w:before="153" w:line="320" w:lineRule="auto"/>
        <w:ind w:left="11" w:firstLine="488"/>
        <w:textAlignment w:val="baseline"/>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14.1.2 </w:t>
      </w:r>
      <w:r>
        <w:rPr>
          <w:rFonts w:hint="eastAsia" w:ascii="宋体" w:hAnsi="宋体" w:eastAsia="宋体" w:cs="宋体"/>
          <w:b/>
          <w:bCs/>
          <w:color w:val="auto"/>
          <w:spacing w:val="0"/>
          <w:sz w:val="24"/>
          <w:szCs w:val="24"/>
          <w:highlight w:val="none"/>
          <w:lang w:val="en-US" w:eastAsia="zh-CN"/>
        </w:rPr>
        <w:t xml:space="preserve"> </w:t>
      </w:r>
      <w:r>
        <w:rPr>
          <w:rFonts w:hint="eastAsia" w:ascii="宋体" w:hAnsi="宋体" w:eastAsia="宋体" w:cs="宋体"/>
          <w:color w:val="auto"/>
          <w:spacing w:val="0"/>
          <w:sz w:val="24"/>
          <w:szCs w:val="24"/>
          <w:highlight w:val="none"/>
        </w:rPr>
        <w:t>开标前 24 小时，若建设工程交易系统显示缴纳投标保证（包括投标保证金、投标保证担保、投标保证保险）的投标人数量不足 3 个时，招标人将取消原定于次日召开的开标活动。投标人可在投标保证缴纳截止时间（见本章第二节“重要事项时间 地点一览表 ”）至电子投标截止时间（见本章第二节“重要事项时间地点一览表 ”） 期间登录全国公共资源交易平台（广东省 ·韶关市）（https://ygp.gdzwfw.gov.cn/ ggzy-portal/#/440200/index）查询是否发布了取消开标活动的相关信息。</w:t>
      </w:r>
    </w:p>
    <w:p w14:paraId="329D1E26">
      <w:pPr>
        <w:keepNext w:val="0"/>
        <w:keepLines w:val="0"/>
        <w:pageBreakBefore w:val="0"/>
        <w:wordWrap w:val="0"/>
        <w:overflowPunct/>
        <w:topLinePunct w:val="0"/>
        <w:bidi w:val="0"/>
        <w:spacing w:before="159" w:line="319" w:lineRule="auto"/>
        <w:ind w:left="10" w:right="80" w:firstLine="49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14.1.3</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sz w:val="24"/>
          <w:szCs w:val="24"/>
          <w:highlight w:val="none"/>
          <w:lang w:val="en-US" w:eastAsia="zh-CN"/>
        </w:rPr>
        <w:t xml:space="preserve">  </w:t>
      </w:r>
      <w:r>
        <w:rPr>
          <w:rFonts w:hint="eastAsia" w:ascii="宋体" w:hAnsi="宋体" w:eastAsia="宋体" w:cs="宋体"/>
          <w:color w:val="auto"/>
          <w:spacing w:val="0"/>
          <w:sz w:val="24"/>
          <w:szCs w:val="24"/>
          <w:highlight w:val="none"/>
        </w:rPr>
        <w:t>本项目实行全流程电子化招标投标，投标人在交易平台按要求上传加盖电子印章并经加密的电子投标文件，并在交易平台录入准确的页码信息即可完成在线投标</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由于投标人原因导致未按投标截至时限上传完整投标文件、在交易平台中上传的投标文件无法解密、投标文件损坏或格式不正确、投标文件未按招标文件要求加盖电子印章或电子印章不完整、电子投标文件解密失败且未按要求上传备用投标文件等情形导致投标无效的，由投标人自行负责。</w:t>
      </w:r>
    </w:p>
    <w:p w14:paraId="388005EC">
      <w:pPr>
        <w:keepNext w:val="0"/>
        <w:keepLines w:val="0"/>
        <w:pageBreakBefore w:val="0"/>
        <w:wordWrap w:val="0"/>
        <w:overflowPunct/>
        <w:topLinePunct w:val="0"/>
        <w:bidi w:val="0"/>
        <w:spacing w:before="152" w:line="221" w:lineRule="auto"/>
        <w:ind w:left="49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14.2  </w:t>
      </w:r>
      <w:r>
        <w:rPr>
          <w:rFonts w:hint="eastAsia" w:ascii="宋体" w:hAnsi="宋体" w:eastAsia="宋体" w:cs="宋体"/>
          <w:color w:val="auto"/>
          <w:spacing w:val="0"/>
          <w:sz w:val="24"/>
          <w:szCs w:val="24"/>
          <w:highlight w:val="none"/>
        </w:rPr>
        <w:t>开标程序</w:t>
      </w:r>
    </w:p>
    <w:p w14:paraId="6128C2D8">
      <w:pPr>
        <w:keepNext w:val="0"/>
        <w:keepLines w:val="0"/>
        <w:pageBreakBefore w:val="0"/>
        <w:wordWrap w:val="0"/>
        <w:overflowPunct/>
        <w:topLinePunct w:val="0"/>
        <w:bidi w:val="0"/>
        <w:spacing w:before="42" w:line="219" w:lineRule="auto"/>
        <w:ind w:left="501"/>
        <w:outlineLvl w:val="9"/>
        <w:rPr>
          <w:rFonts w:hint="eastAsia" w:ascii="宋体" w:hAnsi="宋体" w:eastAsia="宋体" w:cs="宋体"/>
          <w:color w:val="auto"/>
          <w:spacing w:val="0"/>
          <w:sz w:val="24"/>
          <w:szCs w:val="24"/>
          <w:highlight w:val="none"/>
        </w:rPr>
      </w:pPr>
      <w:bookmarkStart w:id="62" w:name="_Toc10685"/>
      <w:bookmarkStart w:id="63" w:name="_Toc8314"/>
      <w:bookmarkStart w:id="64" w:name="_Toc10291"/>
      <w:bookmarkStart w:id="65" w:name="_Toc15587"/>
      <w:r>
        <w:rPr>
          <w:rFonts w:hint="eastAsia" w:ascii="宋体" w:hAnsi="宋体" w:eastAsia="宋体" w:cs="宋体"/>
          <w:color w:val="auto"/>
          <w:spacing w:val="0"/>
          <w:sz w:val="24"/>
          <w:szCs w:val="24"/>
          <w:highlight w:val="none"/>
        </w:rPr>
        <w:t>（1）主持人（招标人代表或招标人授权的招标代理机构人员）宣读开标纪律。</w:t>
      </w:r>
      <w:bookmarkEnd w:id="62"/>
      <w:bookmarkEnd w:id="63"/>
      <w:bookmarkEnd w:id="64"/>
      <w:bookmarkEnd w:id="65"/>
    </w:p>
    <w:p w14:paraId="13A9B6B5">
      <w:pPr>
        <w:keepNext w:val="0"/>
        <w:keepLines w:val="0"/>
        <w:pageBreakBefore w:val="0"/>
        <w:wordWrap w:val="0"/>
        <w:overflowPunct/>
        <w:topLinePunct w:val="0"/>
        <w:bidi w:val="0"/>
        <w:spacing w:before="181" w:line="219" w:lineRule="auto"/>
        <w:ind w:left="501"/>
        <w:outlineLvl w:val="9"/>
        <w:rPr>
          <w:rFonts w:hint="eastAsia" w:ascii="宋体" w:hAnsi="宋体" w:eastAsia="宋体" w:cs="宋体"/>
          <w:color w:val="auto"/>
          <w:spacing w:val="0"/>
          <w:sz w:val="24"/>
          <w:szCs w:val="24"/>
          <w:highlight w:val="none"/>
        </w:rPr>
      </w:pPr>
      <w:bookmarkStart w:id="66" w:name="_Toc20238"/>
      <w:bookmarkStart w:id="67" w:name="_Toc30853"/>
      <w:bookmarkStart w:id="68" w:name="_Toc16292"/>
      <w:bookmarkStart w:id="69" w:name="_Toc2011"/>
      <w:r>
        <w:rPr>
          <w:rFonts w:hint="eastAsia" w:ascii="宋体" w:hAnsi="宋体" w:eastAsia="宋体" w:cs="宋体"/>
          <w:color w:val="auto"/>
          <w:spacing w:val="0"/>
          <w:sz w:val="24"/>
          <w:szCs w:val="24"/>
          <w:highlight w:val="none"/>
        </w:rPr>
        <w:t>（2）主持人宣布唱标人、记录人、见证人、监督人等有关人员姓名。</w:t>
      </w:r>
      <w:bookmarkEnd w:id="66"/>
      <w:bookmarkEnd w:id="67"/>
      <w:bookmarkEnd w:id="68"/>
      <w:bookmarkEnd w:id="69"/>
    </w:p>
    <w:p w14:paraId="7C592DC1">
      <w:pPr>
        <w:keepNext w:val="0"/>
        <w:keepLines w:val="0"/>
        <w:pageBreakBefore w:val="0"/>
        <w:wordWrap w:val="0"/>
        <w:overflowPunct/>
        <w:topLinePunct w:val="0"/>
        <w:bidi w:val="0"/>
        <w:spacing w:before="183" w:line="219" w:lineRule="auto"/>
        <w:ind w:left="501"/>
        <w:outlineLvl w:val="9"/>
        <w:rPr>
          <w:rFonts w:hint="eastAsia" w:ascii="宋体" w:hAnsi="宋体" w:eastAsia="宋体" w:cs="宋体"/>
          <w:color w:val="auto"/>
          <w:spacing w:val="0"/>
          <w:sz w:val="24"/>
          <w:szCs w:val="24"/>
          <w:highlight w:val="none"/>
        </w:rPr>
      </w:pPr>
      <w:bookmarkStart w:id="70" w:name="_Toc26494"/>
      <w:bookmarkStart w:id="71" w:name="_Toc17462"/>
      <w:bookmarkStart w:id="72" w:name="_Toc31716"/>
      <w:bookmarkStart w:id="73" w:name="_Toc1974"/>
      <w:r>
        <w:rPr>
          <w:rFonts w:hint="eastAsia" w:ascii="宋体" w:hAnsi="宋体" w:eastAsia="宋体" w:cs="宋体"/>
          <w:color w:val="auto"/>
          <w:spacing w:val="0"/>
          <w:sz w:val="24"/>
          <w:szCs w:val="24"/>
          <w:highlight w:val="none"/>
        </w:rPr>
        <w:t>（3）唱标人公布在投标截止时间前进行投标文件的投标人数量和名称</w:t>
      </w:r>
      <w:bookmarkEnd w:id="70"/>
      <w:bookmarkEnd w:id="71"/>
      <w:bookmarkEnd w:id="72"/>
      <w:bookmarkEnd w:id="73"/>
    </w:p>
    <w:p w14:paraId="37618E5A">
      <w:pPr>
        <w:keepNext w:val="0"/>
        <w:keepLines w:val="0"/>
        <w:pageBreakBefore w:val="0"/>
        <w:wordWrap w:val="0"/>
        <w:overflowPunct/>
        <w:topLinePunct w:val="0"/>
        <w:bidi w:val="0"/>
        <w:spacing w:before="181" w:line="219" w:lineRule="auto"/>
        <w:ind w:left="501"/>
        <w:outlineLvl w:val="9"/>
        <w:rPr>
          <w:rFonts w:hint="eastAsia" w:ascii="宋体" w:hAnsi="宋体" w:eastAsia="宋体" w:cs="宋体"/>
          <w:color w:val="auto"/>
          <w:spacing w:val="0"/>
          <w:sz w:val="24"/>
          <w:szCs w:val="24"/>
          <w:highlight w:val="none"/>
        </w:rPr>
      </w:pPr>
      <w:bookmarkStart w:id="74" w:name="_Toc8179"/>
      <w:bookmarkStart w:id="75" w:name="_Toc15860"/>
      <w:bookmarkStart w:id="76" w:name="_Toc27967"/>
      <w:bookmarkStart w:id="77" w:name="_Toc20559"/>
      <w:r>
        <w:rPr>
          <w:rFonts w:hint="eastAsia" w:ascii="宋体" w:hAnsi="宋体" w:eastAsia="宋体" w:cs="宋体"/>
          <w:color w:val="auto"/>
          <w:spacing w:val="0"/>
          <w:sz w:val="24"/>
          <w:szCs w:val="24"/>
          <w:highlight w:val="none"/>
        </w:rPr>
        <w:t>（4）招标代理机构会同交易场所工作人员对投标人的电子投标信息进行解密，</w:t>
      </w:r>
      <w:bookmarkEnd w:id="74"/>
      <w:bookmarkEnd w:id="75"/>
      <w:bookmarkEnd w:id="76"/>
      <w:bookmarkEnd w:id="77"/>
    </w:p>
    <w:p w14:paraId="4F3C5C7C">
      <w:pPr>
        <w:keepNext w:val="0"/>
        <w:keepLines w:val="0"/>
        <w:pageBreakBefore w:val="0"/>
        <w:wordWrap w:val="0"/>
        <w:overflowPunct/>
        <w:topLinePunct w:val="0"/>
        <w:bidi w:val="0"/>
        <w:spacing w:before="183" w:line="220" w:lineRule="auto"/>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建设工程交易系统自动生成《投标保证缴纳情况表》和《开标一览表》。</w:t>
      </w:r>
    </w:p>
    <w:p w14:paraId="15310B77">
      <w:pPr>
        <w:keepNext w:val="0"/>
        <w:keepLines w:val="0"/>
        <w:pageBreakBefore w:val="0"/>
        <w:wordWrap w:val="0"/>
        <w:overflowPunct/>
        <w:topLinePunct w:val="0"/>
        <w:bidi w:val="0"/>
        <w:spacing w:before="182" w:line="360" w:lineRule="auto"/>
        <w:ind w:firstLine="482" w:firstLineChars="200"/>
        <w:outlineLvl w:val="9"/>
        <w:rPr>
          <w:rFonts w:hint="eastAsia" w:ascii="宋体" w:hAnsi="宋体" w:eastAsia="宋体" w:cs="宋体"/>
          <w:color w:val="auto"/>
          <w:spacing w:val="0"/>
          <w:sz w:val="24"/>
          <w:szCs w:val="24"/>
          <w:highlight w:val="none"/>
        </w:rPr>
      </w:pPr>
      <w:bookmarkStart w:id="78" w:name="_Toc28812"/>
      <w:bookmarkStart w:id="79" w:name="_Toc28266"/>
      <w:bookmarkStart w:id="80" w:name="_Toc2199"/>
      <w:bookmarkStart w:id="81" w:name="_Toc26216"/>
      <w:r>
        <w:rPr>
          <w:rFonts w:hint="eastAsia" w:ascii="宋体" w:hAnsi="宋体" w:eastAsia="宋体" w:cs="宋体"/>
          <w:b/>
          <w:bCs/>
          <w:color w:val="auto"/>
          <w:spacing w:val="0"/>
          <w:sz w:val="24"/>
          <w:szCs w:val="24"/>
          <w:highlight w:val="none"/>
        </w:rPr>
        <w:t>温馨提示：因本项目实行全流程电子化招标投标，投标人无须进行现场签到，可</w:t>
      </w:r>
      <w:bookmarkEnd w:id="78"/>
      <w:bookmarkEnd w:id="79"/>
      <w:bookmarkEnd w:id="80"/>
      <w:r>
        <w:rPr>
          <w:rFonts w:hint="eastAsia" w:ascii="宋体" w:hAnsi="宋体" w:eastAsia="宋体" w:cs="宋体"/>
          <w:b/>
          <w:bCs/>
          <w:color w:val="auto"/>
          <w:spacing w:val="0"/>
          <w:sz w:val="24"/>
          <w:szCs w:val="24"/>
          <w:highlight w:val="none"/>
        </w:rPr>
        <w:t>登录交易平台观看开标实况、提出异议或进行澄清、确认等操作，对开标事项的异议未在开标期间提出的，招标</w:t>
      </w:r>
      <w:r>
        <w:rPr>
          <w:rFonts w:hint="eastAsia" w:ascii="宋体" w:hAnsi="宋体" w:eastAsia="宋体" w:cs="宋体"/>
          <w:b/>
          <w:bCs/>
          <w:color w:val="auto"/>
          <w:spacing w:val="0"/>
          <w:sz w:val="24"/>
          <w:szCs w:val="24"/>
          <w:highlight w:val="none"/>
          <w:lang w:eastAsia="zh-CN"/>
        </w:rPr>
        <w:t>人不</w:t>
      </w:r>
      <w:r>
        <w:rPr>
          <w:rFonts w:hint="eastAsia" w:ascii="宋体" w:hAnsi="宋体" w:eastAsia="宋体" w:cs="宋体"/>
          <w:b/>
          <w:bCs/>
          <w:color w:val="auto"/>
          <w:spacing w:val="0"/>
          <w:sz w:val="24"/>
          <w:szCs w:val="24"/>
          <w:highlight w:val="none"/>
        </w:rPr>
        <w:t>予受理。具体按招标文件和系统操作手册为准。</w:t>
      </w:r>
      <w:bookmarkEnd w:id="81"/>
    </w:p>
    <w:p w14:paraId="58A72227">
      <w:pPr>
        <w:keepNext w:val="0"/>
        <w:keepLines w:val="0"/>
        <w:pageBreakBefore w:val="0"/>
        <w:wordWrap w:val="0"/>
        <w:overflowPunct/>
        <w:topLinePunct w:val="0"/>
        <w:bidi w:val="0"/>
        <w:spacing w:before="143" w:line="299" w:lineRule="auto"/>
        <w:ind w:left="11" w:right="80" w:firstLine="484"/>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14.3  </w:t>
      </w:r>
      <w:r>
        <w:rPr>
          <w:rFonts w:hint="eastAsia" w:ascii="宋体" w:hAnsi="宋体" w:eastAsia="宋体" w:cs="宋体"/>
          <w:color w:val="auto"/>
          <w:spacing w:val="0"/>
          <w:sz w:val="24"/>
          <w:szCs w:val="24"/>
          <w:highlight w:val="none"/>
        </w:rPr>
        <w:t>投标人对开标相关事项（如开标程序等）有异议的，必须在开标期间和开标现场提出，招标人或其授权的招标代理机构应当场作出答复，并记录在案。对开标事项的异议未在开标期间和开标现场提出的，招标人不予受理。</w:t>
      </w:r>
    </w:p>
    <w:p w14:paraId="402CD47F">
      <w:pPr>
        <w:keepNext w:val="0"/>
        <w:keepLines w:val="0"/>
        <w:pageBreakBefore w:val="0"/>
        <w:wordWrap w:val="0"/>
        <w:overflowPunct/>
        <w:topLinePunct w:val="0"/>
        <w:bidi w:val="0"/>
        <w:spacing w:before="155" w:line="279" w:lineRule="auto"/>
        <w:ind w:left="8" w:right="82" w:firstLine="487"/>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14.4 </w:t>
      </w:r>
      <w:r>
        <w:rPr>
          <w:rFonts w:hint="eastAsia" w:ascii="宋体" w:hAnsi="宋体" w:eastAsia="宋体" w:cs="宋体"/>
          <w:color w:val="auto"/>
          <w:spacing w:val="0"/>
          <w:sz w:val="24"/>
          <w:szCs w:val="24"/>
          <w:highlight w:val="none"/>
        </w:rPr>
        <w:t>招标代理机构将资料原件（如有）、《开标一览表》以及其他有关资料移交评标委员会。</w:t>
      </w:r>
    </w:p>
    <w:p w14:paraId="514E8C33">
      <w:pPr>
        <w:keepNext w:val="0"/>
        <w:keepLines w:val="0"/>
        <w:pageBreakBefore w:val="0"/>
        <w:wordWrap w:val="0"/>
        <w:overflowPunct/>
        <w:topLinePunct w:val="0"/>
        <w:bidi w:val="0"/>
        <w:spacing w:before="78" w:line="221" w:lineRule="auto"/>
        <w:ind w:left="496"/>
        <w:outlineLvl w:val="2"/>
        <w:rPr>
          <w:rFonts w:hint="eastAsia" w:ascii="宋体" w:hAnsi="宋体" w:eastAsia="宋体" w:cs="宋体"/>
          <w:color w:val="auto"/>
          <w:spacing w:val="0"/>
          <w:highlight w:val="none"/>
        </w:rPr>
      </w:pPr>
      <w:bookmarkStart w:id="82" w:name="_Toc961"/>
      <w:bookmarkStart w:id="83" w:name="_Toc22486"/>
      <w:r>
        <w:rPr>
          <w:rFonts w:hint="eastAsia" w:ascii="宋体" w:hAnsi="宋体" w:eastAsia="宋体" w:cs="宋体"/>
          <w:b/>
          <w:bCs/>
          <w:color w:val="auto"/>
          <w:spacing w:val="0"/>
          <w:sz w:val="24"/>
          <w:szCs w:val="24"/>
          <w:highlight w:val="none"/>
        </w:rPr>
        <w:t>15 ．评标</w:t>
      </w:r>
      <w:bookmarkEnd w:id="82"/>
      <w:bookmarkEnd w:id="83"/>
    </w:p>
    <w:p w14:paraId="60A4F2E2">
      <w:pPr>
        <w:keepNext w:val="0"/>
        <w:keepLines w:val="0"/>
        <w:pageBreakBefore w:val="0"/>
        <w:wordWrap w:val="0"/>
        <w:overflowPunct/>
        <w:topLinePunct w:val="0"/>
        <w:bidi w:val="0"/>
        <w:spacing w:before="78" w:line="331" w:lineRule="auto"/>
        <w:ind w:left="8" w:right="65" w:firstLine="480"/>
        <w:rPr>
          <w:rFonts w:hint="eastAsia" w:ascii="宋体" w:hAnsi="宋体" w:eastAsia="宋体" w:cs="宋体"/>
          <w:color w:val="auto"/>
          <w:spacing w:val="0"/>
          <w:sz w:val="24"/>
          <w:szCs w:val="24"/>
          <w:highlight w:val="none"/>
        </w:rPr>
      </w:pPr>
      <w:bookmarkStart w:id="84" w:name="bookmark124"/>
      <w:bookmarkEnd w:id="84"/>
      <w:bookmarkStart w:id="85" w:name="_Toc3020"/>
      <w:bookmarkStart w:id="86" w:name="_Toc17375"/>
      <w:bookmarkStart w:id="87" w:name="_Toc16801"/>
      <w:r>
        <w:rPr>
          <w:rFonts w:hint="eastAsia" w:ascii="宋体" w:hAnsi="宋体" w:eastAsia="宋体" w:cs="宋体"/>
          <w:color w:val="auto"/>
          <w:spacing w:val="0"/>
          <w:sz w:val="24"/>
          <w:szCs w:val="24"/>
          <w:highlight w:val="none"/>
        </w:rPr>
        <w:t>评标分为初步评审和详细评审两个阶段，由评标委员会在有关部门的监督下，严格按照本招标文件指定的评标方法，对投标人的投标文件进行审查、评审。评标委员会完成评标后，向招标人推荐</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b/>
          <w:bCs/>
          <w:color w:val="auto"/>
          <w:spacing w:val="0"/>
          <w:sz w:val="24"/>
          <w:szCs w:val="24"/>
          <w:highlight w:val="none"/>
          <w:u w:val="single"/>
          <w:lang w:val="en-US" w:eastAsia="zh-CN"/>
        </w:rPr>
        <w:t>5</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rPr>
        <w:t>个</w:t>
      </w:r>
      <w:r>
        <w:rPr>
          <w:rFonts w:hint="eastAsia" w:ascii="宋体" w:hAnsi="宋体" w:eastAsia="宋体" w:cs="宋体"/>
          <w:b/>
          <w:bCs/>
          <w:color w:val="auto"/>
          <w:spacing w:val="0"/>
          <w:sz w:val="24"/>
          <w:szCs w:val="24"/>
          <w:highlight w:val="none"/>
          <w:lang w:val="en-US" w:eastAsia="zh-CN"/>
        </w:rPr>
        <w:t>定</w:t>
      </w:r>
      <w:r>
        <w:rPr>
          <w:rFonts w:hint="eastAsia" w:ascii="宋体" w:hAnsi="宋体" w:eastAsia="宋体" w:cs="宋体"/>
          <w:b/>
          <w:bCs/>
          <w:color w:val="auto"/>
          <w:spacing w:val="0"/>
          <w:sz w:val="24"/>
          <w:szCs w:val="24"/>
          <w:highlight w:val="none"/>
        </w:rPr>
        <w:t>标候选人</w:t>
      </w:r>
      <w:r>
        <w:rPr>
          <w:rFonts w:hint="eastAsia" w:ascii="宋体" w:hAnsi="宋体" w:eastAsia="宋体" w:cs="宋体"/>
          <w:b/>
          <w:bCs/>
          <w:color w:val="auto"/>
          <w:spacing w:val="0"/>
          <w:sz w:val="24"/>
          <w:szCs w:val="24"/>
          <w:highlight w:val="none"/>
          <w:lang w:eastAsia="zh-CN"/>
        </w:rPr>
        <w:t>（</w:t>
      </w:r>
      <w:r>
        <w:rPr>
          <w:rFonts w:hint="eastAsia" w:ascii="宋体" w:hAnsi="宋体" w:eastAsia="宋体" w:cs="宋体"/>
          <w:b/>
          <w:bCs/>
          <w:color w:val="auto"/>
          <w:spacing w:val="0"/>
          <w:sz w:val="24"/>
          <w:szCs w:val="24"/>
          <w:highlight w:val="none"/>
          <w:lang w:val="en-US" w:eastAsia="zh-CN"/>
        </w:rPr>
        <w:t>如不足5个，则往下递减，但不可少于3个</w:t>
      </w:r>
      <w:r>
        <w:rPr>
          <w:rFonts w:hint="eastAsia" w:ascii="宋体" w:hAnsi="宋体" w:eastAsia="宋体" w:cs="宋体"/>
          <w:b/>
          <w:bCs/>
          <w:color w:val="auto"/>
          <w:spacing w:val="0"/>
          <w:sz w:val="24"/>
          <w:szCs w:val="24"/>
          <w:highlight w:val="none"/>
          <w:lang w:eastAsia="zh-CN"/>
        </w:rPr>
        <w:t>）</w:t>
      </w:r>
      <w:r>
        <w:rPr>
          <w:rFonts w:hint="eastAsia" w:ascii="宋体" w:hAnsi="宋体" w:eastAsia="宋体" w:cs="宋体"/>
          <w:color w:val="auto"/>
          <w:spacing w:val="0"/>
          <w:sz w:val="24"/>
          <w:szCs w:val="24"/>
          <w:highlight w:val="none"/>
        </w:rPr>
        <w:t>，并向招标人提交由全体评标委员会成员签字的评标报告。</w:t>
      </w:r>
    </w:p>
    <w:p w14:paraId="220CADEA">
      <w:pPr>
        <w:keepNext w:val="0"/>
        <w:keepLines w:val="0"/>
        <w:pageBreakBefore w:val="0"/>
        <w:wordWrap w:val="0"/>
        <w:overflowPunct/>
        <w:topLinePunct w:val="0"/>
        <w:bidi w:val="0"/>
        <w:spacing w:before="38" w:line="219" w:lineRule="auto"/>
        <w:ind w:left="49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15.1  </w:t>
      </w:r>
      <w:r>
        <w:rPr>
          <w:rFonts w:hint="eastAsia" w:ascii="宋体" w:hAnsi="宋体" w:eastAsia="宋体" w:cs="宋体"/>
          <w:color w:val="auto"/>
          <w:spacing w:val="0"/>
          <w:sz w:val="24"/>
          <w:szCs w:val="24"/>
          <w:highlight w:val="none"/>
        </w:rPr>
        <w:t>评标委员会</w:t>
      </w:r>
    </w:p>
    <w:p w14:paraId="277D6B03">
      <w:pPr>
        <w:keepNext w:val="0"/>
        <w:keepLines w:val="0"/>
        <w:pageBreakBefore w:val="0"/>
        <w:wordWrap w:val="0"/>
        <w:overflowPunct/>
        <w:topLinePunct w:val="0"/>
        <w:bidi w:val="0"/>
        <w:spacing w:before="155" w:line="324" w:lineRule="auto"/>
        <w:ind w:left="10" w:right="65" w:firstLine="485"/>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15.1.1 </w:t>
      </w:r>
      <w:r>
        <w:rPr>
          <w:rFonts w:hint="eastAsia" w:ascii="宋体" w:hAnsi="宋体" w:eastAsia="宋体" w:cs="宋体"/>
          <w:color w:val="auto"/>
          <w:spacing w:val="0"/>
          <w:sz w:val="24"/>
          <w:szCs w:val="24"/>
          <w:highlight w:val="none"/>
        </w:rPr>
        <w:t>评标委员会由</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u w:val="single"/>
          <w:lang w:val="en-US" w:eastAsia="zh-CN"/>
        </w:rPr>
        <w:t>7</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rPr>
        <w:t>人组成，其中招标人代表</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u w:val="single"/>
          <w:lang w:val="en-US" w:eastAsia="zh-CN"/>
        </w:rPr>
        <w:t xml:space="preserve">2 </w:t>
      </w:r>
      <w:r>
        <w:rPr>
          <w:rFonts w:hint="eastAsia" w:ascii="宋体" w:hAnsi="宋体" w:eastAsia="宋体" w:cs="宋体"/>
          <w:color w:val="auto"/>
          <w:spacing w:val="0"/>
          <w:sz w:val="24"/>
          <w:szCs w:val="24"/>
          <w:highlight w:val="none"/>
        </w:rPr>
        <w:t>人，专家</w:t>
      </w:r>
      <w:r>
        <w:rPr>
          <w:rFonts w:hint="eastAsia" w:ascii="宋体" w:hAnsi="宋体" w:eastAsia="宋体" w:cs="宋体"/>
          <w:color w:val="auto"/>
          <w:spacing w:val="0"/>
          <w:sz w:val="24"/>
          <w:szCs w:val="24"/>
          <w:highlight w:val="none"/>
          <w:u w:val="single"/>
        </w:rPr>
        <w:t xml:space="preserve"> 5 </w:t>
      </w:r>
      <w:r>
        <w:rPr>
          <w:rFonts w:hint="eastAsia" w:ascii="宋体" w:hAnsi="宋体" w:eastAsia="宋体" w:cs="宋体"/>
          <w:color w:val="auto"/>
          <w:spacing w:val="0"/>
          <w:sz w:val="24"/>
          <w:szCs w:val="24"/>
          <w:highlight w:val="none"/>
        </w:rPr>
        <w:t>人。专家从</w:t>
      </w:r>
      <w:r>
        <w:rPr>
          <w:rFonts w:hint="eastAsia" w:ascii="宋体" w:hAnsi="宋体" w:eastAsia="宋体" w:cs="宋体"/>
          <w:color w:val="auto"/>
          <w:spacing w:val="0"/>
          <w:sz w:val="24"/>
          <w:szCs w:val="24"/>
          <w:highlight w:val="none"/>
          <w:u w:val="none"/>
        </w:rPr>
        <w:t>广东省综合评标评审专家库</w:t>
      </w:r>
      <w:r>
        <w:rPr>
          <w:rFonts w:hint="eastAsia" w:ascii="宋体" w:hAnsi="宋体" w:eastAsia="宋体" w:cs="宋体"/>
          <w:color w:val="auto"/>
          <w:spacing w:val="0"/>
          <w:sz w:val="24"/>
          <w:szCs w:val="24"/>
          <w:highlight w:val="none"/>
        </w:rPr>
        <w:t>中</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lang w:val="en-US" w:eastAsia="zh-CN"/>
        </w:rPr>
        <w:t>韶关区域、河源区域</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随机抽取，其中技术类专家</w:t>
      </w:r>
      <w:r>
        <w:rPr>
          <w:rFonts w:hint="eastAsia" w:ascii="宋体" w:hAnsi="宋体" w:eastAsia="宋体" w:cs="宋体"/>
          <w:color w:val="auto"/>
          <w:spacing w:val="0"/>
          <w:sz w:val="24"/>
          <w:szCs w:val="24"/>
          <w:highlight w:val="none"/>
          <w:u w:val="single"/>
        </w:rPr>
        <w:t xml:space="preserve"> 3 </w:t>
      </w:r>
      <w:r>
        <w:rPr>
          <w:rFonts w:hint="eastAsia" w:ascii="宋体" w:hAnsi="宋体" w:eastAsia="宋体" w:cs="宋体"/>
          <w:color w:val="auto"/>
          <w:spacing w:val="0"/>
          <w:sz w:val="24"/>
          <w:szCs w:val="24"/>
          <w:highlight w:val="none"/>
        </w:rPr>
        <w:t>人，经济类专家</w:t>
      </w:r>
      <w:r>
        <w:rPr>
          <w:rFonts w:hint="eastAsia" w:ascii="宋体" w:hAnsi="宋体" w:eastAsia="宋体" w:cs="宋体"/>
          <w:color w:val="auto"/>
          <w:spacing w:val="0"/>
          <w:sz w:val="24"/>
          <w:szCs w:val="24"/>
          <w:highlight w:val="none"/>
          <w:u w:val="single"/>
        </w:rPr>
        <w:t xml:space="preserve"> 2 </w:t>
      </w:r>
      <w:r>
        <w:rPr>
          <w:rFonts w:hint="eastAsia" w:ascii="宋体" w:hAnsi="宋体" w:eastAsia="宋体" w:cs="宋体"/>
          <w:color w:val="auto"/>
          <w:spacing w:val="0"/>
          <w:sz w:val="24"/>
          <w:szCs w:val="24"/>
          <w:highlight w:val="none"/>
        </w:rPr>
        <w:t>人。评标委员会设负责人，由评标委员会成员推举产生。评标委员会负责人与评标委员会的其他成员有同等的表决权。</w:t>
      </w:r>
    </w:p>
    <w:p w14:paraId="04986ABC">
      <w:pPr>
        <w:keepNext w:val="0"/>
        <w:keepLines w:val="0"/>
        <w:pageBreakBefore w:val="0"/>
        <w:wordWrap w:val="0"/>
        <w:overflowPunct/>
        <w:topLinePunct w:val="0"/>
        <w:bidi w:val="0"/>
        <w:spacing w:before="32" w:line="280" w:lineRule="auto"/>
        <w:ind w:left="13" w:right="7" w:firstLine="561"/>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15.1.2  </w:t>
      </w:r>
      <w:r>
        <w:rPr>
          <w:rFonts w:hint="eastAsia" w:ascii="宋体" w:hAnsi="宋体" w:eastAsia="宋体" w:cs="宋体"/>
          <w:color w:val="auto"/>
          <w:spacing w:val="0"/>
          <w:sz w:val="24"/>
          <w:szCs w:val="24"/>
          <w:highlight w:val="none"/>
        </w:rPr>
        <w:t>评标委员会应认真、公正、诚实、廉洁地履行职责。有下列情形之一的，不得担任评标委员会成员：</w:t>
      </w:r>
    </w:p>
    <w:p w14:paraId="58CD7982">
      <w:pPr>
        <w:keepNext w:val="0"/>
        <w:keepLines w:val="0"/>
        <w:pageBreakBefore w:val="0"/>
        <w:wordWrap w:val="0"/>
        <w:overflowPunct/>
        <w:topLinePunct w:val="0"/>
        <w:bidi w:val="0"/>
        <w:spacing w:before="154" w:line="220" w:lineRule="auto"/>
        <w:ind w:left="58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（1）投标人或投标人主要负责人的近亲属；</w:t>
      </w:r>
    </w:p>
    <w:p w14:paraId="34750CF4">
      <w:pPr>
        <w:keepNext w:val="0"/>
        <w:keepLines w:val="0"/>
        <w:pageBreakBefore w:val="0"/>
        <w:wordWrap w:val="0"/>
        <w:overflowPunct/>
        <w:topLinePunct w:val="0"/>
        <w:bidi w:val="0"/>
        <w:spacing w:before="153" w:line="220" w:lineRule="auto"/>
        <w:ind w:left="58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（2）项目主管部门或者行政监督部门的人员；</w:t>
      </w:r>
    </w:p>
    <w:p w14:paraId="4A7E041F">
      <w:pPr>
        <w:keepNext w:val="0"/>
        <w:keepLines w:val="0"/>
        <w:pageBreakBefore w:val="0"/>
        <w:wordWrap w:val="0"/>
        <w:overflowPunct/>
        <w:topLinePunct w:val="0"/>
        <w:bidi w:val="0"/>
        <w:spacing w:before="155" w:line="221" w:lineRule="auto"/>
        <w:ind w:left="58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（3）与投标人有经济利益关系，可能影响对投标公正评审的；</w:t>
      </w:r>
    </w:p>
    <w:p w14:paraId="5C3AF780">
      <w:pPr>
        <w:keepNext w:val="0"/>
        <w:keepLines w:val="0"/>
        <w:pageBreakBefore w:val="0"/>
        <w:wordWrap w:val="0"/>
        <w:overflowPunct/>
        <w:topLinePunct w:val="0"/>
        <w:bidi w:val="0"/>
        <w:spacing w:before="153" w:line="279" w:lineRule="auto"/>
        <w:ind w:left="8" w:right="65" w:firstLine="57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（4）曾因在招标、评标以及其他与招标投标有关活动中从事违法行为而受过行政处罚或刑事处罚的。</w:t>
      </w:r>
    </w:p>
    <w:p w14:paraId="10050614">
      <w:pPr>
        <w:keepNext w:val="0"/>
        <w:keepLines w:val="0"/>
        <w:pageBreakBefore w:val="0"/>
        <w:wordWrap w:val="0"/>
        <w:overflowPunct/>
        <w:topLinePunct w:val="0"/>
        <w:bidi w:val="0"/>
        <w:spacing w:before="155" w:line="219" w:lineRule="auto"/>
        <w:ind w:left="488"/>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评标委员会成员有以上情形之一的，应主动提出回避。</w:t>
      </w:r>
    </w:p>
    <w:p w14:paraId="521DBBDF">
      <w:pPr>
        <w:keepNext w:val="0"/>
        <w:keepLines w:val="0"/>
        <w:pageBreakBefore w:val="0"/>
        <w:wordWrap w:val="0"/>
        <w:overflowPunct/>
        <w:topLinePunct w:val="0"/>
        <w:bidi w:val="0"/>
        <w:spacing w:before="154" w:line="279" w:lineRule="auto"/>
        <w:ind w:left="8" w:right="65" w:firstLine="487"/>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15.1.3  </w:t>
      </w:r>
      <w:r>
        <w:rPr>
          <w:rFonts w:hint="eastAsia" w:ascii="宋体" w:hAnsi="宋体" w:eastAsia="宋体" w:cs="宋体"/>
          <w:color w:val="auto"/>
          <w:spacing w:val="0"/>
          <w:sz w:val="24"/>
          <w:szCs w:val="24"/>
          <w:highlight w:val="none"/>
        </w:rPr>
        <w:t>评标全过程实行封闭式管理，在中标结果公布前，禁止评标委员会成员以任何方式私下接触投标人。</w:t>
      </w:r>
    </w:p>
    <w:p w14:paraId="251C0AF4">
      <w:pPr>
        <w:keepNext w:val="0"/>
        <w:keepLines w:val="0"/>
        <w:pageBreakBefore w:val="0"/>
        <w:wordWrap w:val="0"/>
        <w:overflowPunct/>
        <w:topLinePunct w:val="0"/>
        <w:bidi w:val="0"/>
        <w:spacing w:before="157" w:line="298" w:lineRule="auto"/>
        <w:ind w:left="11" w:right="65" w:firstLine="484"/>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15.1.4  </w:t>
      </w:r>
      <w:r>
        <w:rPr>
          <w:rFonts w:hint="eastAsia" w:ascii="宋体" w:hAnsi="宋体" w:eastAsia="宋体" w:cs="宋体"/>
          <w:color w:val="auto"/>
          <w:spacing w:val="0"/>
          <w:sz w:val="24"/>
          <w:szCs w:val="24"/>
          <w:highlight w:val="none"/>
        </w:rPr>
        <w:t>在评标过程中，评标委员会可以书面形式要求投标人对所提交的投标文件中不明确的内容进行书面澄清或说明，但不接受投标人主动提出的澄清或说明。投标人的书面澄清或说明不得改变投标文件的实质性内容，并作为投标文件的组成部分。</w:t>
      </w:r>
    </w:p>
    <w:p w14:paraId="249C2DC5">
      <w:pPr>
        <w:keepNext w:val="0"/>
        <w:keepLines w:val="0"/>
        <w:pageBreakBefore w:val="0"/>
        <w:wordWrap w:val="0"/>
        <w:overflowPunct/>
        <w:topLinePunct w:val="0"/>
        <w:bidi w:val="0"/>
        <w:spacing w:before="156" w:line="309" w:lineRule="auto"/>
        <w:ind w:left="8" w:right="65" w:firstLine="569"/>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15.1.5  </w:t>
      </w:r>
      <w:r>
        <w:rPr>
          <w:rFonts w:hint="eastAsia" w:ascii="宋体" w:hAnsi="宋体" w:eastAsia="宋体" w:cs="宋体"/>
          <w:color w:val="auto"/>
          <w:spacing w:val="0"/>
          <w:sz w:val="24"/>
          <w:szCs w:val="24"/>
          <w:highlight w:val="none"/>
        </w:rPr>
        <w:t>在任何评标环节中，当评标委员会就某项定性的评审结论不统一、需要做出表决时，由评标委员会全体成员按照少数服从多数的原则，以记名投票方式表决。评标委员会全体成员应共同遵守和执行表决结果，严禁评标委员会任何成员将个人意见强加给他人、影响评标正常秩序和妨碍评审结论的公正性。</w:t>
      </w:r>
    </w:p>
    <w:p w14:paraId="48CF65FA">
      <w:pPr>
        <w:keepNext w:val="0"/>
        <w:keepLines w:val="0"/>
        <w:pageBreakBefore w:val="0"/>
        <w:wordWrap w:val="0"/>
        <w:overflowPunct/>
        <w:topLinePunct w:val="0"/>
        <w:bidi w:val="0"/>
        <w:spacing w:before="79" w:line="221" w:lineRule="auto"/>
        <w:ind w:left="577"/>
        <w:rPr>
          <w:rFonts w:hint="eastAsia" w:ascii="宋体" w:hAnsi="宋体" w:eastAsia="宋体" w:cs="宋体"/>
          <w:color w:val="auto"/>
          <w:spacing w:val="0"/>
          <w:highlight w:val="none"/>
        </w:rPr>
      </w:pPr>
      <w:r>
        <w:rPr>
          <w:rFonts w:hint="eastAsia" w:ascii="宋体" w:hAnsi="宋体" w:eastAsia="宋体" w:cs="宋体"/>
          <w:b/>
          <w:bCs/>
          <w:color w:val="auto"/>
          <w:spacing w:val="0"/>
          <w:sz w:val="24"/>
          <w:szCs w:val="24"/>
          <w:highlight w:val="none"/>
        </w:rPr>
        <w:t xml:space="preserve">15.2  </w:t>
      </w:r>
      <w:r>
        <w:rPr>
          <w:rFonts w:hint="eastAsia" w:ascii="宋体" w:hAnsi="宋体" w:eastAsia="宋体" w:cs="宋体"/>
          <w:color w:val="auto"/>
          <w:spacing w:val="0"/>
          <w:sz w:val="24"/>
          <w:szCs w:val="24"/>
          <w:highlight w:val="none"/>
        </w:rPr>
        <w:t>评标方法</w:t>
      </w:r>
    </w:p>
    <w:p w14:paraId="55325087">
      <w:pPr>
        <w:keepNext w:val="0"/>
        <w:keepLines w:val="0"/>
        <w:pageBreakBefore w:val="0"/>
        <w:wordWrap w:val="0"/>
        <w:overflowPunct/>
        <w:topLinePunct w:val="0"/>
        <w:bidi w:val="0"/>
        <w:spacing w:before="78" w:line="326" w:lineRule="auto"/>
        <w:ind w:left="231" w:right="181" w:firstLine="560"/>
        <w:rPr>
          <w:rFonts w:hint="eastAsia" w:ascii="宋体" w:hAnsi="宋体" w:eastAsia="宋体" w:cs="宋体"/>
          <w:color w:val="auto"/>
          <w:spacing w:val="0"/>
          <w:highlight w:val="none"/>
        </w:rPr>
      </w:pPr>
      <w:bookmarkStart w:id="88" w:name="bookmark125"/>
      <w:bookmarkEnd w:id="88"/>
      <w:r>
        <w:rPr>
          <w:rFonts w:hint="eastAsia" w:ascii="宋体" w:hAnsi="宋体" w:eastAsia="宋体" w:cs="宋体"/>
          <w:color w:val="auto"/>
          <w:spacing w:val="0"/>
          <w:sz w:val="24"/>
          <w:szCs w:val="24"/>
          <w:highlight w:val="none"/>
        </w:rPr>
        <w:t>根据有关法律、法规的相关规定，结合本招标项目资金来源和规模特点，本次招标采用</w:t>
      </w:r>
      <w:r>
        <w:rPr>
          <w:rFonts w:hint="eastAsia" w:ascii="宋体" w:hAnsi="宋体" w:eastAsia="宋体" w:cs="宋体"/>
          <w:b/>
          <w:bCs/>
          <w:color w:val="auto"/>
          <w:spacing w:val="0"/>
          <w:sz w:val="24"/>
          <w:szCs w:val="24"/>
          <w:highlight w:val="none"/>
          <w:u w:val="single"/>
        </w:rPr>
        <w:t xml:space="preserve"> 综合评估法 </w:t>
      </w:r>
      <w:r>
        <w:rPr>
          <w:rFonts w:hint="eastAsia" w:ascii="宋体" w:hAnsi="宋体" w:eastAsia="宋体" w:cs="宋体"/>
          <w:color w:val="auto"/>
          <w:spacing w:val="0"/>
          <w:sz w:val="24"/>
          <w:szCs w:val="24"/>
          <w:highlight w:val="none"/>
          <w:u w:val="single"/>
        </w:rPr>
        <w:t>（</w:t>
      </w:r>
      <w:r>
        <w:rPr>
          <w:rFonts w:hint="eastAsia" w:ascii="宋体" w:hAnsi="宋体" w:eastAsia="宋体" w:cs="宋体"/>
          <w:color w:val="auto"/>
          <w:spacing w:val="0"/>
          <w:sz w:val="24"/>
          <w:szCs w:val="24"/>
          <w:highlight w:val="none"/>
        </w:rPr>
        <w:t>评标方法名称）进行评标。</w:t>
      </w:r>
    </w:p>
    <w:p w14:paraId="70BDFC71">
      <w:pPr>
        <w:keepNext w:val="0"/>
        <w:keepLines w:val="0"/>
        <w:pageBreakBefore w:val="0"/>
        <w:wordWrap w:val="0"/>
        <w:overflowPunct/>
        <w:topLinePunct w:val="0"/>
        <w:bidi w:val="0"/>
        <w:spacing w:before="154" w:line="269" w:lineRule="auto"/>
        <w:ind w:left="220" w:right="33" w:firstLine="496"/>
        <w:rPr>
          <w:rFonts w:hint="eastAsia" w:ascii="宋体" w:hAnsi="宋体" w:eastAsia="宋体" w:cs="宋体"/>
          <w:color w:val="auto"/>
          <w:spacing w:val="0"/>
          <w:sz w:val="25"/>
          <w:szCs w:val="25"/>
          <w:highlight w:val="none"/>
        </w:rPr>
      </w:pPr>
      <w:r>
        <w:rPr>
          <w:rFonts w:hint="eastAsia" w:ascii="宋体" w:hAnsi="宋体" w:eastAsia="宋体" w:cs="宋体"/>
          <w:b/>
          <w:bCs/>
          <w:color w:val="auto"/>
          <w:spacing w:val="0"/>
          <w:sz w:val="24"/>
          <w:szCs w:val="24"/>
          <w:highlight w:val="none"/>
        </w:rPr>
        <w:t xml:space="preserve">15.3  </w:t>
      </w:r>
      <w:r>
        <w:rPr>
          <w:rFonts w:hint="eastAsia" w:ascii="宋体" w:hAnsi="宋体" w:eastAsia="宋体" w:cs="宋体"/>
          <w:color w:val="auto"/>
          <w:spacing w:val="0"/>
          <w:sz w:val="24"/>
          <w:szCs w:val="24"/>
          <w:highlight w:val="none"/>
        </w:rPr>
        <w:t>评审范围：评标委员会应对所有投标人的投标文件进行评审。</w:t>
      </w:r>
    </w:p>
    <w:p w14:paraId="09E0A6B7">
      <w:pPr>
        <w:keepNext w:val="0"/>
        <w:keepLines w:val="0"/>
        <w:pageBreakBefore w:val="0"/>
        <w:wordWrap w:val="0"/>
        <w:overflowPunct/>
        <w:topLinePunct w:val="0"/>
        <w:bidi w:val="0"/>
        <w:spacing w:before="153" w:line="220" w:lineRule="auto"/>
        <w:ind w:left="71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15.4  </w:t>
      </w:r>
      <w:r>
        <w:rPr>
          <w:rFonts w:hint="eastAsia" w:ascii="宋体" w:hAnsi="宋体" w:eastAsia="宋体" w:cs="宋体"/>
          <w:color w:val="auto"/>
          <w:spacing w:val="0"/>
          <w:sz w:val="24"/>
          <w:szCs w:val="24"/>
          <w:highlight w:val="none"/>
        </w:rPr>
        <w:t>初步评审阶段</w:t>
      </w:r>
    </w:p>
    <w:p w14:paraId="4CA901EC">
      <w:pPr>
        <w:keepNext w:val="0"/>
        <w:keepLines w:val="0"/>
        <w:pageBreakBefore w:val="0"/>
        <w:wordWrap w:val="0"/>
        <w:overflowPunct/>
        <w:topLinePunct w:val="0"/>
        <w:bidi w:val="0"/>
        <w:spacing w:before="153" w:line="220" w:lineRule="auto"/>
        <w:ind w:left="70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初步评审阶段分为资格评审、形式评审和响应性评审三个环节。</w:t>
      </w:r>
    </w:p>
    <w:p w14:paraId="78213757">
      <w:pPr>
        <w:keepNext w:val="0"/>
        <w:keepLines w:val="0"/>
        <w:pageBreakBefore w:val="0"/>
        <w:tabs>
          <w:tab w:val="left" w:pos="3360"/>
        </w:tabs>
        <w:wordWrap w:val="0"/>
        <w:overflowPunct/>
        <w:topLinePunct w:val="0"/>
        <w:bidi w:val="0"/>
        <w:spacing w:before="155" w:line="279" w:lineRule="auto"/>
        <w:ind w:left="719" w:right="6040" w:rightChars="0" w:hanging="3"/>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15.4.1 </w:t>
      </w:r>
      <w:r>
        <w:rPr>
          <w:rFonts w:hint="eastAsia" w:ascii="宋体" w:hAnsi="宋体" w:eastAsia="宋体" w:cs="宋体"/>
          <w:color w:val="auto"/>
          <w:spacing w:val="0"/>
          <w:sz w:val="24"/>
          <w:szCs w:val="24"/>
          <w:highlight w:val="none"/>
        </w:rPr>
        <w:t xml:space="preserve"> 资格评审环节 </w:t>
      </w:r>
    </w:p>
    <w:p w14:paraId="6AC21840">
      <w:pPr>
        <w:keepNext w:val="0"/>
        <w:keepLines w:val="0"/>
        <w:pageBreakBefore w:val="0"/>
        <w:tabs>
          <w:tab w:val="left" w:pos="3360"/>
        </w:tabs>
        <w:wordWrap w:val="0"/>
        <w:overflowPunct/>
        <w:topLinePunct w:val="0"/>
        <w:bidi w:val="0"/>
        <w:spacing w:before="155" w:line="279" w:lineRule="auto"/>
        <w:ind w:left="719" w:right="6040" w:rightChars="0" w:hanging="3"/>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资格评审事项</w:t>
      </w:r>
      <w:r>
        <w:rPr>
          <w:rFonts w:hint="eastAsia" w:ascii="宋体" w:hAnsi="宋体" w:eastAsia="宋体" w:cs="宋体"/>
          <w:color w:val="auto"/>
          <w:spacing w:val="0"/>
          <w:sz w:val="24"/>
          <w:szCs w:val="24"/>
          <w:highlight w:val="none"/>
          <w:lang w:val="en-US" w:eastAsia="zh-CN"/>
        </w:rPr>
        <w:t>包括</w:t>
      </w:r>
      <w:r>
        <w:rPr>
          <w:rFonts w:hint="eastAsia" w:ascii="宋体" w:hAnsi="宋体" w:eastAsia="宋体" w:cs="宋体"/>
          <w:color w:val="auto"/>
          <w:spacing w:val="0"/>
          <w:sz w:val="24"/>
          <w:szCs w:val="24"/>
          <w:highlight w:val="none"/>
        </w:rPr>
        <w:t>：</w:t>
      </w:r>
    </w:p>
    <w:p w14:paraId="46DF1688">
      <w:pPr>
        <w:keepNext w:val="0"/>
        <w:keepLines w:val="0"/>
        <w:pageBreakBefore w:val="0"/>
        <w:wordWrap w:val="0"/>
        <w:overflowPunct/>
        <w:topLinePunct w:val="0"/>
        <w:bidi w:val="0"/>
        <w:spacing w:before="152" w:line="315" w:lineRule="auto"/>
        <w:ind w:left="231" w:firstLine="49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 xml:space="preserve">（1）投标人是否符合本章第三节第 </w:t>
      </w:r>
      <w:r>
        <w:rPr>
          <w:rFonts w:hint="eastAsia" w:ascii="宋体" w:hAnsi="宋体" w:eastAsia="宋体" w:cs="宋体"/>
          <w:b/>
          <w:bCs/>
          <w:color w:val="auto"/>
          <w:spacing w:val="0"/>
          <w:sz w:val="24"/>
          <w:szCs w:val="24"/>
          <w:highlight w:val="none"/>
        </w:rPr>
        <w:t xml:space="preserve">2.4 </w:t>
      </w:r>
      <w:r>
        <w:rPr>
          <w:rFonts w:hint="eastAsia" w:ascii="宋体" w:hAnsi="宋体" w:eastAsia="宋体" w:cs="宋体"/>
          <w:color w:val="auto"/>
          <w:spacing w:val="0"/>
          <w:sz w:val="24"/>
          <w:szCs w:val="24"/>
          <w:highlight w:val="none"/>
        </w:rPr>
        <w:t>条“禁止投标条款 ”规定。如果“禁止投标条款 ”包括失信惩戒的，投标人信用信息的获取采用现场实时查询的方式实施。由</w:t>
      </w:r>
      <w:r>
        <w:rPr>
          <w:rFonts w:hint="eastAsia" w:ascii="宋体" w:hAnsi="宋体" w:eastAsia="宋体" w:cs="宋体"/>
          <w:color w:val="auto"/>
          <w:spacing w:val="0"/>
          <w:sz w:val="24"/>
          <w:szCs w:val="24"/>
          <w:highlight w:val="none"/>
          <w:lang w:val="en-US" w:eastAsia="zh-CN"/>
        </w:rPr>
        <w:t>招标代理机构</w:t>
      </w:r>
      <w:r>
        <w:rPr>
          <w:rFonts w:hint="eastAsia" w:ascii="宋体" w:hAnsi="宋体" w:eastAsia="宋体" w:cs="宋体"/>
          <w:color w:val="auto"/>
          <w:spacing w:val="0"/>
          <w:sz w:val="24"/>
          <w:szCs w:val="24"/>
          <w:highlight w:val="none"/>
        </w:rPr>
        <w:t xml:space="preserve">登录信用中国网站（https://www.creditchina.gov.cn），在企业查询界面下载和打印《法人和非法人组织公共信用信息报告》。 </w:t>
      </w:r>
    </w:p>
    <w:p w14:paraId="493A89CC">
      <w:pPr>
        <w:keepNext w:val="0"/>
        <w:keepLines w:val="0"/>
        <w:pageBreakBefore w:val="0"/>
        <w:wordWrap w:val="0"/>
        <w:overflowPunct/>
        <w:topLinePunct w:val="0"/>
        <w:bidi w:val="0"/>
        <w:spacing w:before="155" w:line="219" w:lineRule="auto"/>
        <w:ind w:left="72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（2）投标人名称是否与营业执照、资质证书、安全生产许可证一致。</w:t>
      </w:r>
    </w:p>
    <w:p w14:paraId="7A1E3531">
      <w:pPr>
        <w:keepNext w:val="0"/>
        <w:keepLines w:val="0"/>
        <w:pageBreakBefore w:val="0"/>
        <w:widowControl/>
        <w:kinsoku w:val="0"/>
        <w:wordWrap w:val="0"/>
        <w:overflowPunct/>
        <w:topLinePunct w:val="0"/>
        <w:autoSpaceDE w:val="0"/>
        <w:autoSpaceDN w:val="0"/>
        <w:bidi w:val="0"/>
        <w:adjustRightInd w:val="0"/>
        <w:snapToGrid w:val="0"/>
        <w:spacing w:before="155" w:line="286" w:lineRule="auto"/>
        <w:ind w:left="232" w:right="96" w:firstLine="488"/>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（3）投标人的资质是否符合招标文件规定；其营业执照、资质证书、安全生产许可证（含实时网页查询页，可参考网址 https://zlaq.mohurd.gov.cn/fwmh/bjxcjgl/fwm</w:t>
      </w:r>
      <w:bookmarkStart w:id="89" w:name="bookmark126"/>
      <w:bookmarkEnd w:id="89"/>
      <w:r>
        <w:rPr>
          <w:rFonts w:hint="eastAsia" w:ascii="宋体" w:hAnsi="宋体" w:eastAsia="宋体" w:cs="宋体"/>
          <w:color w:val="auto"/>
          <w:spacing w:val="0"/>
          <w:position w:val="3"/>
          <w:sz w:val="24"/>
          <w:szCs w:val="24"/>
          <w:highlight w:val="none"/>
        </w:rPr>
        <w:t>h/pages/construction_safety/qyaqscxkz/qyaqscxkz）是否合法、有效、准确。</w:t>
      </w:r>
    </w:p>
    <w:p w14:paraId="03EC5957">
      <w:pPr>
        <w:keepNext w:val="0"/>
        <w:keepLines w:val="0"/>
        <w:pageBreakBefore w:val="0"/>
        <w:wordWrap w:val="0"/>
        <w:overflowPunct/>
        <w:topLinePunct w:val="0"/>
        <w:bidi w:val="0"/>
        <w:spacing w:before="144" w:line="219"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（4）《项目经理简历表》中拟派项目经理是否与《开标一览表》一致。</w:t>
      </w:r>
    </w:p>
    <w:p w14:paraId="50429088">
      <w:pPr>
        <w:keepNext w:val="0"/>
        <w:keepLines w:val="0"/>
        <w:pageBreakBefore w:val="0"/>
        <w:wordWrap w:val="0"/>
        <w:overflowPunct/>
        <w:topLinePunct w:val="0"/>
        <w:bidi w:val="0"/>
        <w:spacing w:before="151" w:line="315" w:lineRule="auto"/>
        <w:ind w:left="11" w:firstLine="48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拟派项目经理、项目技术负责人、专职安全员的条件是否符合招标文件规定；拟派的项目经理是否在投标文件《项目经理简历表》中签字确认；项目技术负责人是否在投标文件《项目技术负责人简历表》中签字确认；项目管理机构组成人员的各类证书、证件、证明是否合法、有效、准确；是否擅自修改、遗漏《项目经理任职声明》的实质性内容。</w:t>
      </w:r>
    </w:p>
    <w:p w14:paraId="28962204">
      <w:pPr>
        <w:keepNext w:val="0"/>
        <w:keepLines w:val="0"/>
        <w:pageBreakBefore w:val="0"/>
        <w:wordWrap w:val="0"/>
        <w:overflowPunct/>
        <w:topLinePunct w:val="0"/>
        <w:bidi w:val="0"/>
        <w:spacing w:before="156" w:line="298" w:lineRule="auto"/>
        <w:ind w:left="9" w:firstLine="49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6）联合体投标的，是否提交《联合体协议书》；是否擅自修改、遗漏《联合体协议书》的实质性内容；联合体成员的数量、资质是否符合招标文件规定；联合体成员是否以自己名义单独或者参加其他联合体参与本招标项目投标。</w:t>
      </w:r>
    </w:p>
    <w:p w14:paraId="470EFF36">
      <w:pPr>
        <w:keepNext w:val="0"/>
        <w:keepLines w:val="0"/>
        <w:pageBreakBefore w:val="0"/>
        <w:wordWrap w:val="0"/>
        <w:overflowPunct/>
        <w:topLinePunct w:val="0"/>
        <w:bidi w:val="0"/>
        <w:spacing w:before="155" w:line="360" w:lineRule="auto"/>
        <w:ind w:left="8" w:right="2" w:firstLine="492"/>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（7）投标人为外省建筑企业的，是否按规定在“进粤企业和人员诚信信息登记平台 ”录入企业及其拟派人员有关信息并通过数据规范检查。</w:t>
      </w:r>
    </w:p>
    <w:p w14:paraId="5EC55F35">
      <w:pPr>
        <w:keepNext w:val="0"/>
        <w:keepLines w:val="0"/>
        <w:pageBreakBefore w:val="0"/>
        <w:wordWrap w:val="0"/>
        <w:overflowPunct/>
        <w:topLinePunct w:val="0"/>
        <w:bidi w:val="0"/>
        <w:spacing w:before="15" w:line="360" w:lineRule="auto"/>
        <w:ind w:right="2" w:firstLine="482" w:firstLineChars="200"/>
        <w:jc w:val="both"/>
        <w:outlineLvl w:val="9"/>
        <w:rPr>
          <w:rFonts w:hint="eastAsia" w:ascii="宋体" w:hAnsi="宋体" w:eastAsia="宋体" w:cs="宋体"/>
          <w:color w:val="auto"/>
          <w:spacing w:val="0"/>
          <w:sz w:val="24"/>
          <w:szCs w:val="24"/>
          <w:highlight w:val="none"/>
        </w:rPr>
      </w:pPr>
      <w:bookmarkStart w:id="90" w:name="_Toc22778"/>
      <w:r>
        <w:rPr>
          <w:rFonts w:hint="eastAsia" w:ascii="宋体" w:hAnsi="宋体" w:eastAsia="宋体" w:cs="宋体"/>
          <w:b/>
          <w:bCs/>
          <w:color w:val="auto"/>
          <w:spacing w:val="0"/>
          <w:sz w:val="24"/>
          <w:szCs w:val="24"/>
          <w:highlight w:val="none"/>
        </w:rPr>
        <w:t xml:space="preserve">15.4.2 </w:t>
      </w:r>
      <w:r>
        <w:rPr>
          <w:rFonts w:hint="eastAsia" w:ascii="宋体" w:hAnsi="宋体" w:eastAsia="宋体" w:cs="宋体"/>
          <w:color w:val="auto"/>
          <w:spacing w:val="0"/>
          <w:sz w:val="24"/>
          <w:szCs w:val="24"/>
          <w:highlight w:val="none"/>
        </w:rPr>
        <w:t xml:space="preserve"> 形式评审环节</w:t>
      </w:r>
    </w:p>
    <w:p w14:paraId="33580EC9">
      <w:pPr>
        <w:keepNext w:val="0"/>
        <w:keepLines w:val="0"/>
        <w:pageBreakBefore w:val="0"/>
        <w:wordWrap w:val="0"/>
        <w:overflowPunct/>
        <w:topLinePunct w:val="0"/>
        <w:bidi w:val="0"/>
        <w:spacing w:before="15" w:line="360" w:lineRule="auto"/>
        <w:ind w:right="2" w:firstLine="480" w:firstLineChars="200"/>
        <w:jc w:val="both"/>
        <w:outlineLvl w:val="9"/>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sz w:val="24"/>
          <w:szCs w:val="24"/>
          <w:highlight w:val="none"/>
        </w:rPr>
        <w:t>形式评审事</w:t>
      </w:r>
      <w:r>
        <w:rPr>
          <w:rFonts w:hint="eastAsia" w:ascii="宋体" w:hAnsi="宋体" w:eastAsia="宋体" w:cs="宋体"/>
          <w:color w:val="auto"/>
          <w:spacing w:val="0"/>
          <w:sz w:val="24"/>
          <w:szCs w:val="24"/>
          <w:highlight w:val="none"/>
          <w:lang w:eastAsia="zh-CN"/>
        </w:rPr>
        <w:t>项包括</w:t>
      </w:r>
      <w:bookmarkEnd w:id="90"/>
      <w:r>
        <w:rPr>
          <w:rFonts w:hint="eastAsia" w:ascii="宋体" w:hAnsi="宋体" w:eastAsia="宋体" w:cs="宋体"/>
          <w:color w:val="auto"/>
          <w:spacing w:val="0"/>
          <w:sz w:val="24"/>
          <w:szCs w:val="24"/>
          <w:highlight w:val="none"/>
          <w:lang w:eastAsia="zh-CN"/>
        </w:rPr>
        <w:t>：</w:t>
      </w:r>
    </w:p>
    <w:p w14:paraId="67BE54FE">
      <w:pPr>
        <w:keepNext w:val="0"/>
        <w:keepLines w:val="0"/>
        <w:pageBreakBefore w:val="0"/>
        <w:wordWrap w:val="0"/>
        <w:overflowPunct/>
        <w:topLinePunct w:val="0"/>
        <w:bidi w:val="0"/>
        <w:spacing w:before="40" w:line="360" w:lineRule="auto"/>
        <w:ind w:left="501"/>
        <w:outlineLvl w:val="9"/>
        <w:rPr>
          <w:rFonts w:hint="eastAsia" w:ascii="宋体" w:hAnsi="宋体" w:eastAsia="宋体" w:cs="宋体"/>
          <w:color w:val="auto"/>
          <w:spacing w:val="0"/>
          <w:sz w:val="24"/>
          <w:szCs w:val="24"/>
          <w:highlight w:val="none"/>
        </w:rPr>
      </w:pPr>
      <w:bookmarkStart w:id="91" w:name="_Toc13304"/>
      <w:bookmarkStart w:id="92" w:name="_Toc20481"/>
      <w:bookmarkStart w:id="93" w:name="_Toc4914"/>
      <w:bookmarkStart w:id="94" w:name="_Toc23632"/>
      <w:r>
        <w:rPr>
          <w:rFonts w:hint="eastAsia" w:ascii="宋体" w:hAnsi="宋体" w:eastAsia="宋体" w:cs="宋体"/>
          <w:color w:val="auto"/>
          <w:spacing w:val="0"/>
          <w:sz w:val="24"/>
          <w:szCs w:val="24"/>
          <w:highlight w:val="none"/>
        </w:rPr>
        <w:t>（1）各分册是否按招标文件规定加盖电子印章。</w:t>
      </w:r>
      <w:bookmarkEnd w:id="91"/>
      <w:bookmarkEnd w:id="92"/>
      <w:bookmarkEnd w:id="93"/>
      <w:bookmarkEnd w:id="94"/>
    </w:p>
    <w:p w14:paraId="7ECD5312">
      <w:pPr>
        <w:keepNext w:val="0"/>
        <w:keepLines w:val="0"/>
        <w:pageBreakBefore w:val="0"/>
        <w:wordWrap w:val="0"/>
        <w:overflowPunct/>
        <w:topLinePunct w:val="0"/>
        <w:bidi w:val="0"/>
        <w:spacing w:before="15" w:line="360" w:lineRule="auto"/>
        <w:ind w:firstLine="480" w:firstLineChars="200"/>
        <w:outlineLvl w:val="9"/>
        <w:rPr>
          <w:rFonts w:hint="eastAsia" w:ascii="宋体" w:hAnsi="宋体" w:eastAsia="宋体" w:cs="宋体"/>
          <w:color w:val="auto"/>
          <w:spacing w:val="0"/>
          <w:sz w:val="24"/>
          <w:szCs w:val="24"/>
          <w:highlight w:val="none"/>
          <w:lang w:eastAsia="zh-CN"/>
        </w:rPr>
      </w:pPr>
      <w:bookmarkStart w:id="95" w:name="_Toc27432"/>
      <w:bookmarkStart w:id="96" w:name="_Toc28409"/>
      <w:bookmarkStart w:id="97" w:name="_Toc10806"/>
      <w:bookmarkStart w:id="98" w:name="_Toc12756"/>
      <w:r>
        <w:rPr>
          <w:rFonts w:hint="eastAsia" w:ascii="宋体" w:hAnsi="宋体" w:eastAsia="宋体" w:cs="宋体"/>
          <w:color w:val="auto"/>
          <w:spacing w:val="0"/>
          <w:sz w:val="24"/>
          <w:szCs w:val="24"/>
          <w:highlight w:val="none"/>
        </w:rPr>
        <w:t>（2）本节第</w:t>
      </w:r>
      <w:r>
        <w:rPr>
          <w:rFonts w:hint="eastAsia" w:ascii="宋体" w:hAnsi="宋体" w:eastAsia="宋体" w:cs="宋体"/>
          <w:b/>
          <w:bCs/>
          <w:color w:val="auto"/>
          <w:spacing w:val="0"/>
          <w:sz w:val="24"/>
          <w:szCs w:val="24"/>
          <w:highlight w:val="none"/>
        </w:rPr>
        <w:t xml:space="preserve"> 10.2.2 </w:t>
      </w:r>
      <w:r>
        <w:rPr>
          <w:rFonts w:hint="eastAsia" w:ascii="宋体" w:hAnsi="宋体" w:eastAsia="宋体" w:cs="宋体"/>
          <w:color w:val="auto"/>
          <w:spacing w:val="0"/>
          <w:sz w:val="24"/>
          <w:szCs w:val="24"/>
          <w:highlight w:val="none"/>
        </w:rPr>
        <w:t xml:space="preserve"> 目、第 </w:t>
      </w:r>
      <w:r>
        <w:rPr>
          <w:rFonts w:hint="eastAsia" w:ascii="宋体" w:hAnsi="宋体" w:eastAsia="宋体" w:cs="宋体"/>
          <w:b/>
          <w:bCs/>
          <w:color w:val="auto"/>
          <w:spacing w:val="0"/>
          <w:sz w:val="24"/>
          <w:szCs w:val="24"/>
          <w:highlight w:val="none"/>
        </w:rPr>
        <w:t xml:space="preserve">10.3.2 </w:t>
      </w:r>
      <w:r>
        <w:rPr>
          <w:rFonts w:hint="eastAsia" w:ascii="宋体" w:hAnsi="宋体" w:eastAsia="宋体" w:cs="宋体"/>
          <w:color w:val="auto"/>
          <w:spacing w:val="0"/>
          <w:sz w:val="24"/>
          <w:szCs w:val="24"/>
          <w:highlight w:val="none"/>
        </w:rPr>
        <w:t xml:space="preserve"> 目、第</w:t>
      </w:r>
      <w:r>
        <w:rPr>
          <w:rFonts w:hint="eastAsia" w:ascii="宋体" w:hAnsi="宋体" w:eastAsia="宋体" w:cs="宋体"/>
          <w:b/>
          <w:bCs/>
          <w:color w:val="auto"/>
          <w:spacing w:val="0"/>
          <w:sz w:val="24"/>
          <w:szCs w:val="24"/>
          <w:highlight w:val="none"/>
        </w:rPr>
        <w:t xml:space="preserve"> 10.4.3 </w:t>
      </w:r>
      <w:r>
        <w:rPr>
          <w:rFonts w:hint="eastAsia" w:ascii="宋体" w:hAnsi="宋体" w:eastAsia="宋体" w:cs="宋体"/>
          <w:color w:val="auto"/>
          <w:spacing w:val="0"/>
          <w:sz w:val="24"/>
          <w:szCs w:val="24"/>
          <w:highlight w:val="none"/>
        </w:rPr>
        <w:t xml:space="preserve"> 目中规定的“所有投标人均应提</w:t>
      </w:r>
      <w:bookmarkEnd w:id="95"/>
      <w:bookmarkEnd w:id="96"/>
      <w:bookmarkEnd w:id="97"/>
      <w:r>
        <w:rPr>
          <w:rFonts w:hint="eastAsia" w:ascii="宋体" w:hAnsi="宋体" w:eastAsia="宋体" w:cs="宋体"/>
          <w:color w:val="auto"/>
          <w:spacing w:val="0"/>
          <w:sz w:val="24"/>
          <w:szCs w:val="24"/>
          <w:highlight w:val="none"/>
        </w:rPr>
        <w:t>供 ”的组成内容（包括该组成内容的所附资料）是否完整、齐全</w:t>
      </w:r>
      <w:bookmarkEnd w:id="98"/>
      <w:r>
        <w:rPr>
          <w:rFonts w:hint="eastAsia" w:ascii="宋体" w:hAnsi="宋体" w:eastAsia="宋体" w:cs="宋体"/>
          <w:color w:val="auto"/>
          <w:spacing w:val="0"/>
          <w:sz w:val="24"/>
          <w:szCs w:val="24"/>
          <w:highlight w:val="none"/>
          <w:lang w:eastAsia="zh-CN"/>
        </w:rPr>
        <w:t>。</w:t>
      </w:r>
    </w:p>
    <w:p w14:paraId="4F52E08D">
      <w:pPr>
        <w:keepNext w:val="0"/>
        <w:keepLines w:val="0"/>
        <w:pageBreakBefore w:val="0"/>
        <w:wordWrap w:val="0"/>
        <w:overflowPunct/>
        <w:topLinePunct w:val="0"/>
        <w:bidi w:val="0"/>
        <w:spacing w:before="15" w:line="360" w:lineRule="auto"/>
        <w:ind w:right="2" w:firstLine="480" w:firstLineChars="200"/>
        <w:jc w:val="both"/>
        <w:outlineLvl w:val="9"/>
        <w:rPr>
          <w:rFonts w:hint="eastAsia" w:ascii="宋体" w:hAnsi="宋体" w:eastAsia="宋体" w:cs="宋体"/>
          <w:color w:val="auto"/>
          <w:spacing w:val="0"/>
          <w:sz w:val="24"/>
          <w:szCs w:val="24"/>
          <w:highlight w:val="none"/>
        </w:rPr>
      </w:pPr>
      <w:bookmarkStart w:id="99" w:name="_Toc9581"/>
      <w:bookmarkStart w:id="100" w:name="_Toc17918"/>
      <w:bookmarkStart w:id="101" w:name="_Toc22691"/>
      <w:bookmarkStart w:id="102" w:name="_Toc15678"/>
      <w:r>
        <w:rPr>
          <w:rFonts w:hint="eastAsia" w:ascii="宋体" w:hAnsi="宋体" w:eastAsia="宋体" w:cs="宋体"/>
          <w:color w:val="auto"/>
          <w:spacing w:val="0"/>
          <w:sz w:val="24"/>
          <w:szCs w:val="24"/>
          <w:highlight w:val="none"/>
          <w:lang w:eastAsia="zh-CN"/>
        </w:rPr>
        <w:t>（3）</w:t>
      </w:r>
      <w:r>
        <w:rPr>
          <w:rFonts w:hint="eastAsia" w:ascii="宋体" w:hAnsi="宋体" w:eastAsia="宋体" w:cs="宋体"/>
          <w:color w:val="auto"/>
          <w:spacing w:val="0"/>
          <w:sz w:val="24"/>
          <w:szCs w:val="24"/>
          <w:highlight w:val="none"/>
        </w:rPr>
        <w:t>施工组织设计采用“暗标 ”方式进行评审的，施工组织设计的规格颜色、文字排版、正文篇幅（若有）是否符合规定；其任何部位是否出现手写以及涂改、行间插字或删除痕迹；其任何部位是否出现投标人的名称和其它可识别投标人身份的字符、徽标、人员名称以及其他特殊标记。</w:t>
      </w:r>
      <w:bookmarkEnd w:id="99"/>
      <w:bookmarkEnd w:id="100"/>
      <w:bookmarkEnd w:id="101"/>
      <w:bookmarkEnd w:id="102"/>
    </w:p>
    <w:p w14:paraId="2625AE75">
      <w:pPr>
        <w:keepNext w:val="0"/>
        <w:keepLines w:val="0"/>
        <w:pageBreakBefore w:val="0"/>
        <w:wordWrap w:val="0"/>
        <w:overflowPunct/>
        <w:topLinePunct w:val="0"/>
        <w:bidi w:val="0"/>
        <w:spacing w:before="15" w:line="360" w:lineRule="auto"/>
        <w:ind w:right="2" w:firstLine="482" w:firstLineChars="200"/>
        <w:jc w:val="both"/>
        <w:outlineLvl w:val="9"/>
        <w:rPr>
          <w:rFonts w:hint="eastAsia" w:ascii="宋体" w:hAnsi="宋体" w:eastAsia="宋体" w:cs="宋体"/>
          <w:color w:val="auto"/>
          <w:spacing w:val="0"/>
          <w:sz w:val="24"/>
          <w:szCs w:val="24"/>
          <w:highlight w:val="none"/>
        </w:rPr>
      </w:pPr>
      <w:bookmarkStart w:id="103" w:name="_Toc14202"/>
      <w:bookmarkStart w:id="104" w:name="_Toc22642"/>
      <w:bookmarkStart w:id="105" w:name="_Toc16645"/>
      <w:bookmarkStart w:id="106" w:name="_Toc22562"/>
      <w:r>
        <w:rPr>
          <w:rFonts w:hint="eastAsia" w:ascii="宋体" w:hAnsi="宋体" w:eastAsia="宋体" w:cs="宋体"/>
          <w:b/>
          <w:bCs/>
          <w:color w:val="auto"/>
          <w:spacing w:val="0"/>
          <w:sz w:val="24"/>
          <w:szCs w:val="24"/>
          <w:highlight w:val="none"/>
        </w:rPr>
        <w:t xml:space="preserve">15.4.3  </w:t>
      </w:r>
      <w:r>
        <w:rPr>
          <w:rFonts w:hint="eastAsia" w:ascii="宋体" w:hAnsi="宋体" w:eastAsia="宋体" w:cs="宋体"/>
          <w:color w:val="auto"/>
          <w:spacing w:val="0"/>
          <w:sz w:val="24"/>
          <w:szCs w:val="24"/>
          <w:highlight w:val="none"/>
        </w:rPr>
        <w:t xml:space="preserve">响应性评审环节 </w:t>
      </w:r>
    </w:p>
    <w:p w14:paraId="415C822B">
      <w:pPr>
        <w:keepNext w:val="0"/>
        <w:keepLines w:val="0"/>
        <w:pageBreakBefore w:val="0"/>
        <w:wordWrap w:val="0"/>
        <w:overflowPunct/>
        <w:topLinePunct w:val="0"/>
        <w:bidi w:val="0"/>
        <w:spacing w:before="15" w:line="360" w:lineRule="auto"/>
        <w:ind w:right="2" w:firstLine="480" w:firstLineChars="200"/>
        <w:jc w:val="both"/>
        <w:outlineLvl w:val="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响应性评项包括：</w:t>
      </w:r>
      <w:bookmarkEnd w:id="103"/>
      <w:bookmarkEnd w:id="104"/>
      <w:bookmarkEnd w:id="105"/>
      <w:bookmarkEnd w:id="106"/>
    </w:p>
    <w:p w14:paraId="0FF752A8">
      <w:pPr>
        <w:keepNext w:val="0"/>
        <w:keepLines w:val="0"/>
        <w:pageBreakBefore w:val="0"/>
        <w:wordWrap w:val="0"/>
        <w:overflowPunct/>
        <w:topLinePunct w:val="0"/>
        <w:bidi w:val="0"/>
        <w:spacing w:before="155" w:line="360" w:lineRule="auto"/>
        <w:ind w:left="9" w:firstLine="49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（1）投标有效期、质量标准、工期等是否响应招标文件实质性要求；是否擅自修改、遗漏《投标函》《各项承诺一览表》的实质性内容。</w:t>
      </w:r>
    </w:p>
    <w:p w14:paraId="3B2D5C31">
      <w:pPr>
        <w:keepNext w:val="0"/>
        <w:keepLines w:val="0"/>
        <w:pageBreakBefore w:val="0"/>
        <w:wordWrap w:val="0"/>
        <w:overflowPunct/>
        <w:topLinePunct w:val="0"/>
        <w:bidi w:val="0"/>
        <w:spacing w:before="152" w:line="360"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（2）编制《投标总价》的造价工程师，其注册证书是否合法、有效。</w:t>
      </w:r>
    </w:p>
    <w:p w14:paraId="37C61502">
      <w:pPr>
        <w:keepNext w:val="0"/>
        <w:keepLines w:val="0"/>
        <w:pageBreakBefore w:val="0"/>
        <w:wordWrap w:val="0"/>
        <w:overflowPunct/>
        <w:topLinePunct w:val="0"/>
        <w:bidi w:val="0"/>
        <w:spacing w:before="158" w:line="360" w:lineRule="auto"/>
        <w:ind w:left="21" w:right="2" w:firstLine="48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（3）投标人委托造价咨询单位编制《投标总价》的，是否在《投标总价》“投标人 ”栏目加盖造价咨询人公章；是否提供造价咨询人的营业执照副本彩色扫描件；</w:t>
      </w:r>
    </w:p>
    <w:p w14:paraId="040DC93F">
      <w:pPr>
        <w:keepNext w:val="0"/>
        <w:keepLines w:val="0"/>
        <w:pageBreakBefore w:val="0"/>
        <w:wordWrap w:val="0"/>
        <w:overflowPunct/>
        <w:topLinePunct w:val="0"/>
        <w:bidi w:val="0"/>
        <w:spacing w:before="158" w:line="328" w:lineRule="auto"/>
        <w:ind w:left="9" w:firstLine="491"/>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（4）投标总价是否唯一；投标总价是否超出</w:t>
      </w:r>
      <w:r>
        <w:rPr>
          <w:rFonts w:hint="eastAsia" w:ascii="宋体" w:hAnsi="宋体" w:eastAsia="宋体" w:cs="宋体"/>
          <w:b/>
          <w:bCs/>
          <w:color w:val="auto"/>
          <w:spacing w:val="0"/>
          <w:sz w:val="24"/>
          <w:szCs w:val="24"/>
          <w:highlight w:val="none"/>
          <w:lang w:val="en-US" w:eastAsia="zh-CN"/>
        </w:rPr>
        <w:t>最高投标限价</w:t>
      </w:r>
      <w:r>
        <w:rPr>
          <w:rFonts w:hint="eastAsia" w:ascii="宋体" w:hAnsi="宋体" w:eastAsia="宋体" w:cs="宋体"/>
          <w:color w:val="auto"/>
          <w:spacing w:val="0"/>
          <w:sz w:val="24"/>
          <w:szCs w:val="24"/>
          <w:highlight w:val="none"/>
        </w:rPr>
        <w:t>；</w:t>
      </w:r>
      <w:r>
        <w:rPr>
          <w:rFonts w:hint="eastAsia" w:ascii="宋体" w:hAnsi="宋体" w:eastAsia="宋体" w:cs="宋体"/>
          <w:color w:val="auto"/>
          <w:spacing w:val="0"/>
          <w:sz w:val="24"/>
          <w:szCs w:val="24"/>
          <w:highlight w:val="none"/>
          <w:lang w:eastAsia="zh-CN"/>
        </w:rPr>
        <w:t>安全生产措施费</w:t>
      </w:r>
      <w:r>
        <w:rPr>
          <w:rFonts w:hint="eastAsia" w:ascii="宋体" w:hAnsi="宋体" w:eastAsia="宋体" w:cs="宋体"/>
          <w:color w:val="auto"/>
          <w:spacing w:val="0"/>
          <w:sz w:val="24"/>
          <w:szCs w:val="24"/>
          <w:highlight w:val="none"/>
        </w:rPr>
        <w:t>是否达到最低要求；暂列金额、暂估价是否按照招标工程量清单统一报价；投标人是否以低于成本的价格竞标。</w:t>
      </w:r>
    </w:p>
    <w:p w14:paraId="4A981D20">
      <w:pPr>
        <w:keepNext w:val="0"/>
        <w:keepLines w:val="0"/>
        <w:pageBreakBefore w:val="0"/>
        <w:wordWrap w:val="0"/>
        <w:overflowPunct/>
        <w:topLinePunct w:val="0"/>
        <w:bidi w:val="0"/>
        <w:spacing w:before="38" w:line="360" w:lineRule="auto"/>
        <w:ind w:right="2" w:firstLine="482" w:firstLineChars="200"/>
        <w:jc w:val="both"/>
        <w:rPr>
          <w:rFonts w:hint="eastAsia" w:ascii="宋体" w:hAnsi="宋体" w:eastAsia="宋体" w:cs="宋体"/>
          <w:color w:val="auto"/>
          <w:spacing w:val="0"/>
          <w:position w:val="-8"/>
          <w:sz w:val="24"/>
          <w:szCs w:val="24"/>
          <w:highlight w:val="none"/>
        </w:rPr>
      </w:pPr>
      <w:r>
        <w:rPr>
          <w:rFonts w:hint="eastAsia" w:ascii="宋体" w:hAnsi="宋体" w:eastAsia="宋体" w:cs="宋体"/>
          <w:b/>
          <w:bCs/>
          <w:color w:val="auto"/>
          <w:spacing w:val="0"/>
          <w:sz w:val="24"/>
          <w:szCs w:val="24"/>
          <w:highlight w:val="none"/>
        </w:rPr>
        <w:t>注：如果某投标人的投标总价下浮率超过</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rPr>
        <w:t>15% ，又未提供相应书面说明和佐证</w:t>
      </w:r>
      <w:bookmarkStart w:id="107" w:name="bookmark127"/>
      <w:bookmarkEnd w:id="107"/>
      <w:r>
        <w:rPr>
          <w:rFonts w:hint="eastAsia" w:ascii="宋体" w:hAnsi="宋体" w:eastAsia="宋体" w:cs="宋体"/>
          <w:b/>
          <w:bCs/>
          <w:color w:val="auto"/>
          <w:spacing w:val="0"/>
          <w:sz w:val="24"/>
          <w:szCs w:val="24"/>
          <w:highlight w:val="none"/>
        </w:rPr>
        <w:t>材料或提供的书面说明和佐证材料不能令人信服的，评标委员会应认定其以低于成本的价格竞标，并否决其投标。评标委员会接受该投标人的投标总价而未否决其投标的，应在评标报告中说明判断理由。投标总价下浮率＝（1－投标总价÷</w:t>
      </w:r>
      <w:r>
        <w:rPr>
          <w:rFonts w:hint="eastAsia" w:ascii="宋体" w:hAnsi="宋体" w:eastAsia="宋体" w:cs="宋体"/>
          <w:b/>
          <w:bCs/>
          <w:color w:val="auto"/>
          <w:spacing w:val="0"/>
          <w:sz w:val="24"/>
          <w:szCs w:val="24"/>
          <w:highlight w:val="none"/>
          <w:lang w:val="en-US" w:eastAsia="zh-CN"/>
        </w:rPr>
        <w:t>最高投标限价</w:t>
      </w:r>
      <w:r>
        <w:rPr>
          <w:rFonts w:hint="eastAsia" w:ascii="宋体" w:hAnsi="宋体" w:eastAsia="宋体" w:cs="宋体"/>
          <w:b/>
          <w:bCs/>
          <w:color w:val="auto"/>
          <w:spacing w:val="0"/>
          <w:sz w:val="24"/>
          <w:szCs w:val="24"/>
          <w:highlight w:val="none"/>
        </w:rPr>
        <w:t>）×100% 。</w:t>
      </w:r>
    </w:p>
    <w:p w14:paraId="4053FCCD">
      <w:pPr>
        <w:keepNext w:val="0"/>
        <w:keepLines w:val="0"/>
        <w:pageBreakBefore w:val="0"/>
        <w:wordWrap w:val="0"/>
        <w:overflowPunct/>
        <w:topLinePunct w:val="0"/>
        <w:bidi w:val="0"/>
        <w:spacing w:before="157" w:line="360" w:lineRule="auto"/>
        <w:ind w:left="11" w:right="114" w:firstLine="501" w:firstLineChars="209"/>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（5）施工组织设计的质量、进度保障措施是否符合国家和省市现行有关规范、规定、标准，是否能实现工程质量、进度管理目标。</w:t>
      </w:r>
    </w:p>
    <w:p w14:paraId="2E5F906C">
      <w:pPr>
        <w:keepNext w:val="0"/>
        <w:keepLines w:val="0"/>
        <w:pageBreakBefore w:val="0"/>
        <w:wordWrap w:val="0"/>
        <w:overflowPunct/>
        <w:topLinePunct w:val="0"/>
        <w:bidi w:val="0"/>
        <w:spacing w:before="82" w:line="211" w:lineRule="auto"/>
        <w:ind w:left="580"/>
        <w:outlineLvl w:val="9"/>
        <w:rPr>
          <w:rFonts w:hint="eastAsia" w:ascii="宋体" w:hAnsi="宋体" w:eastAsia="宋体" w:cs="宋体"/>
          <w:color w:val="auto"/>
          <w:spacing w:val="0"/>
          <w:sz w:val="25"/>
          <w:szCs w:val="25"/>
          <w:highlight w:val="none"/>
        </w:rPr>
      </w:pPr>
      <w:bookmarkStart w:id="108" w:name="_Toc15367"/>
      <w:bookmarkStart w:id="109" w:name="_Toc32114"/>
      <w:bookmarkStart w:id="110" w:name="_Toc19814"/>
      <w:bookmarkStart w:id="111" w:name="_Toc18204"/>
      <w:r>
        <w:rPr>
          <w:rFonts w:hint="eastAsia" w:ascii="宋体" w:hAnsi="宋体" w:eastAsia="宋体" w:cs="宋体"/>
          <w:b/>
          <w:bCs/>
          <w:color w:val="auto"/>
          <w:spacing w:val="0"/>
          <w:sz w:val="24"/>
          <w:szCs w:val="24"/>
          <w:highlight w:val="none"/>
        </w:rPr>
        <w:t xml:space="preserve">15.4.4  </w:t>
      </w:r>
      <w:r>
        <w:rPr>
          <w:rFonts w:hint="eastAsia" w:ascii="宋体" w:hAnsi="宋体" w:eastAsia="宋体" w:cs="宋体"/>
          <w:color w:val="auto"/>
          <w:spacing w:val="0"/>
          <w:sz w:val="24"/>
          <w:szCs w:val="24"/>
          <w:highlight w:val="none"/>
        </w:rPr>
        <w:t>否决投标说明</w:t>
      </w:r>
      <w:bookmarkEnd w:id="108"/>
      <w:bookmarkEnd w:id="109"/>
      <w:bookmarkEnd w:id="110"/>
      <w:bookmarkEnd w:id="111"/>
    </w:p>
    <w:p w14:paraId="3E143148">
      <w:pPr>
        <w:keepNext w:val="0"/>
        <w:keepLines w:val="0"/>
        <w:pageBreakBefore w:val="0"/>
        <w:wordWrap w:val="0"/>
        <w:overflowPunct/>
        <w:topLinePunct w:val="0"/>
        <w:bidi w:val="0"/>
        <w:spacing w:before="152" w:line="333" w:lineRule="auto"/>
        <w:ind w:left="11" w:right="175" w:firstLine="561"/>
        <w:rPr>
          <w:rFonts w:hint="eastAsia" w:ascii="宋体" w:hAnsi="宋体" w:eastAsia="宋体" w:cs="宋体"/>
          <w:color w:val="auto"/>
          <w:spacing w:val="0"/>
          <w:highlight w:val="none"/>
        </w:rPr>
      </w:pPr>
      <w:r>
        <w:rPr>
          <w:rFonts w:hint="eastAsia" w:ascii="宋体" w:hAnsi="宋体" w:eastAsia="宋体" w:cs="宋体"/>
          <w:color w:val="auto"/>
          <w:spacing w:val="0"/>
          <w:sz w:val="24"/>
          <w:szCs w:val="24"/>
          <w:highlight w:val="none"/>
        </w:rPr>
        <w:t>初步评审阶段各个环节否决投标的全部条件，在本章第四节“否决投标条件 ”第</w:t>
      </w:r>
      <w:r>
        <w:rPr>
          <w:rFonts w:hint="eastAsia" w:ascii="宋体" w:hAnsi="宋体" w:eastAsia="宋体" w:cs="宋体"/>
          <w:b/>
          <w:bCs/>
          <w:color w:val="auto"/>
          <w:spacing w:val="0"/>
          <w:sz w:val="24"/>
          <w:szCs w:val="24"/>
          <w:highlight w:val="none"/>
        </w:rPr>
        <w:t xml:space="preserve">1 </w:t>
      </w:r>
      <w:r>
        <w:rPr>
          <w:rFonts w:hint="eastAsia" w:ascii="宋体" w:hAnsi="宋体" w:eastAsia="宋体" w:cs="宋体"/>
          <w:color w:val="auto"/>
          <w:spacing w:val="0"/>
          <w:sz w:val="24"/>
          <w:szCs w:val="24"/>
          <w:highlight w:val="none"/>
        </w:rPr>
        <w:t xml:space="preserve">条至第 </w:t>
      </w:r>
      <w:r>
        <w:rPr>
          <w:rFonts w:hint="eastAsia" w:ascii="宋体" w:hAnsi="宋体" w:eastAsia="宋体" w:cs="宋体"/>
          <w:b/>
          <w:bCs/>
          <w:color w:val="auto"/>
          <w:spacing w:val="0"/>
          <w:sz w:val="24"/>
          <w:szCs w:val="24"/>
          <w:highlight w:val="none"/>
        </w:rPr>
        <w:t xml:space="preserve">4 </w:t>
      </w:r>
      <w:r>
        <w:rPr>
          <w:rFonts w:hint="eastAsia" w:ascii="宋体" w:hAnsi="宋体" w:eastAsia="宋体" w:cs="宋体"/>
          <w:color w:val="auto"/>
          <w:spacing w:val="0"/>
          <w:sz w:val="24"/>
          <w:szCs w:val="24"/>
          <w:highlight w:val="none"/>
        </w:rPr>
        <w:t>条中集中列示。投标人有其中所列任何一种情形的，由评标委员会否决其投标。在初步评审阶段任何环节被否决的投标人，不进入下一环节（或阶段）评审。在初步评审阶段任何环节</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评标委员会经评审，认为所有投标都不符合招标文件要求的，可否决所有投标，项目的所有投标被否决的，招标人应依法重新组织招标。</w:t>
      </w:r>
    </w:p>
    <w:p w14:paraId="6CA89AF4">
      <w:pPr>
        <w:keepNext w:val="0"/>
        <w:keepLines w:val="0"/>
        <w:pageBreakBefore w:val="0"/>
        <w:wordWrap w:val="0"/>
        <w:overflowPunct/>
        <w:topLinePunct w:val="0"/>
        <w:bidi w:val="0"/>
        <w:spacing w:before="78" w:line="221" w:lineRule="auto"/>
        <w:ind w:left="57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highlight w:val="none"/>
        </w:rPr>
        <w:drawing>
          <wp:anchor distT="0" distB="0" distL="114300" distR="114300" simplePos="0" relativeHeight="251669504" behindDoc="1" locked="0" layoutInCell="1" allowOverlap="1">
            <wp:simplePos x="0" y="0"/>
            <wp:positionH relativeFrom="column">
              <wp:posOffset>4789170</wp:posOffset>
            </wp:positionH>
            <wp:positionV relativeFrom="paragraph">
              <wp:posOffset>236220</wp:posOffset>
            </wp:positionV>
            <wp:extent cx="6350" cy="279400"/>
            <wp:effectExtent l="0" t="0" r="0" b="0"/>
            <wp:wrapNone/>
            <wp:docPr id="31" name="IM 46"/>
            <wp:cNvGraphicFramePr/>
            <a:graphic xmlns:a="http://schemas.openxmlformats.org/drawingml/2006/main">
              <a:graphicData uri="http://schemas.openxmlformats.org/drawingml/2006/picture">
                <pic:pic xmlns:pic="http://schemas.openxmlformats.org/drawingml/2006/picture">
                  <pic:nvPicPr>
                    <pic:cNvPr id="31" name="IM 46"/>
                    <pic:cNvPicPr/>
                  </pic:nvPicPr>
                  <pic:blipFill>
                    <a:blip r:embed="rId29"/>
                    <a:stretch>
                      <a:fillRect/>
                    </a:stretch>
                  </pic:blipFill>
                  <pic:spPr>
                    <a:xfrm>
                      <a:off x="0" y="0"/>
                      <a:ext cx="6350" cy="279400"/>
                    </a:xfrm>
                    <a:prstGeom prst="rect">
                      <a:avLst/>
                    </a:prstGeom>
                    <a:noFill/>
                    <a:ln>
                      <a:noFill/>
                    </a:ln>
                  </pic:spPr>
                </pic:pic>
              </a:graphicData>
            </a:graphic>
          </wp:anchor>
        </w:drawing>
      </w:r>
      <w:bookmarkStart w:id="112" w:name="bookmark128"/>
      <w:bookmarkEnd w:id="112"/>
      <w:r>
        <w:rPr>
          <w:rFonts w:hint="eastAsia" w:ascii="宋体" w:hAnsi="宋体" w:eastAsia="宋体" w:cs="宋体"/>
          <w:b/>
          <w:bCs/>
          <w:color w:val="auto"/>
          <w:spacing w:val="0"/>
          <w:sz w:val="24"/>
          <w:szCs w:val="24"/>
          <w:highlight w:val="none"/>
        </w:rPr>
        <w:t xml:space="preserve">15.5  </w:t>
      </w:r>
      <w:r>
        <w:rPr>
          <w:rFonts w:hint="eastAsia" w:ascii="宋体" w:hAnsi="宋体" w:eastAsia="宋体" w:cs="宋体"/>
          <w:color w:val="auto"/>
          <w:spacing w:val="0"/>
          <w:sz w:val="24"/>
          <w:szCs w:val="24"/>
          <w:highlight w:val="none"/>
        </w:rPr>
        <w:t>详细评审阶段</w:t>
      </w:r>
    </w:p>
    <w:p w14:paraId="6BFE2FD9">
      <w:pPr>
        <w:keepNext w:val="0"/>
        <w:keepLines w:val="0"/>
        <w:pageBreakBefore w:val="0"/>
        <w:wordWrap w:val="0"/>
        <w:overflowPunct/>
        <w:topLinePunct w:val="0"/>
        <w:bidi w:val="0"/>
        <w:spacing w:before="81" w:line="211" w:lineRule="auto"/>
        <w:ind w:left="498"/>
        <w:outlineLvl w:val="9"/>
        <w:rPr>
          <w:rFonts w:hint="eastAsia" w:ascii="宋体" w:hAnsi="宋体" w:eastAsia="宋体" w:cs="宋体"/>
          <w:color w:val="auto"/>
          <w:spacing w:val="0"/>
          <w:sz w:val="25"/>
          <w:szCs w:val="25"/>
          <w:highlight w:val="none"/>
        </w:rPr>
      </w:pPr>
      <w:bookmarkStart w:id="113" w:name="_Toc4119"/>
      <w:bookmarkStart w:id="114" w:name="_Toc10503"/>
      <w:bookmarkStart w:id="115" w:name="_Toc14991"/>
      <w:bookmarkStart w:id="116" w:name="_Toc28572"/>
      <w:r>
        <w:rPr>
          <w:rFonts w:hint="eastAsia" w:ascii="宋体" w:hAnsi="宋体" w:eastAsia="宋体" w:cs="宋体"/>
          <w:b/>
          <w:bCs/>
          <w:color w:val="auto"/>
          <w:spacing w:val="0"/>
          <w:sz w:val="24"/>
          <w:szCs w:val="24"/>
          <w:highlight w:val="none"/>
        </w:rPr>
        <w:t xml:space="preserve">15.5.1  </w:t>
      </w:r>
      <w:r>
        <w:rPr>
          <w:rFonts w:hint="eastAsia" w:ascii="宋体" w:hAnsi="宋体" w:eastAsia="宋体" w:cs="宋体"/>
          <w:color w:val="auto"/>
          <w:spacing w:val="0"/>
          <w:sz w:val="24"/>
          <w:szCs w:val="24"/>
          <w:highlight w:val="none"/>
        </w:rPr>
        <w:t>“综合评估法 ”评审程序</w:t>
      </w:r>
      <w:bookmarkEnd w:id="113"/>
      <w:bookmarkEnd w:id="114"/>
      <w:bookmarkEnd w:id="115"/>
      <w:bookmarkEnd w:id="116"/>
    </w:p>
    <w:p w14:paraId="57058453">
      <w:pPr>
        <w:keepNext w:val="0"/>
        <w:keepLines w:val="0"/>
        <w:pageBreakBefore w:val="0"/>
        <w:wordWrap w:val="0"/>
        <w:overflowPunct/>
        <w:topLinePunct w:val="0"/>
        <w:bidi w:val="0"/>
        <w:spacing w:before="152" w:line="329" w:lineRule="auto"/>
        <w:ind w:left="14" w:right="81" w:firstLine="476"/>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评审内容分为商务技术和投标报价两大部分。其中，商务技术合计满分</w:t>
      </w:r>
      <w:r>
        <w:rPr>
          <w:rFonts w:hint="eastAsia" w:ascii="宋体" w:hAnsi="宋体" w:eastAsia="宋体" w:cs="宋体"/>
          <w:color w:val="auto"/>
          <w:spacing w:val="0"/>
          <w:sz w:val="24"/>
          <w:szCs w:val="24"/>
          <w:highlight w:val="none"/>
          <w:lang w:eastAsia="zh-CN"/>
        </w:rPr>
        <w:t>100</w:t>
      </w:r>
      <w:r>
        <w:rPr>
          <w:rFonts w:hint="eastAsia" w:ascii="宋体" w:hAnsi="宋体" w:eastAsia="宋体" w:cs="宋体"/>
          <w:color w:val="auto"/>
          <w:spacing w:val="0"/>
          <w:sz w:val="24"/>
          <w:szCs w:val="24"/>
          <w:highlight w:val="none"/>
        </w:rPr>
        <w:t>分，权重为</w:t>
      </w:r>
      <w:r>
        <w:rPr>
          <w:rFonts w:hint="eastAsia" w:ascii="宋体" w:hAnsi="宋体" w:eastAsia="宋体" w:cs="宋体"/>
          <w:color w:val="auto"/>
          <w:spacing w:val="0"/>
          <w:sz w:val="24"/>
          <w:szCs w:val="24"/>
          <w:highlight w:val="none"/>
          <w:lang w:eastAsia="zh-CN"/>
        </w:rPr>
        <w:t>40</w:t>
      </w:r>
      <w:r>
        <w:rPr>
          <w:rFonts w:hint="eastAsia" w:ascii="宋体" w:hAnsi="宋体" w:eastAsia="宋体" w:cs="宋体"/>
          <w:color w:val="auto"/>
          <w:spacing w:val="0"/>
          <w:sz w:val="24"/>
          <w:szCs w:val="24"/>
          <w:highlight w:val="none"/>
        </w:rPr>
        <w:t>%；投标报价满分 100 分，权重为</w:t>
      </w:r>
      <w:r>
        <w:rPr>
          <w:rFonts w:hint="eastAsia" w:ascii="宋体" w:hAnsi="宋体" w:eastAsia="宋体" w:cs="宋体"/>
          <w:color w:val="auto"/>
          <w:spacing w:val="0"/>
          <w:sz w:val="24"/>
          <w:szCs w:val="24"/>
          <w:highlight w:val="none"/>
          <w:lang w:eastAsia="zh-CN"/>
        </w:rPr>
        <w:t>60</w:t>
      </w:r>
      <w:r>
        <w:rPr>
          <w:rFonts w:hint="eastAsia" w:ascii="宋体" w:hAnsi="宋体" w:eastAsia="宋体" w:cs="宋体"/>
          <w:color w:val="auto"/>
          <w:spacing w:val="0"/>
          <w:sz w:val="24"/>
          <w:szCs w:val="24"/>
          <w:highlight w:val="none"/>
        </w:rPr>
        <w:t>% 。两大部分权重之和应为 100%。</w:t>
      </w:r>
    </w:p>
    <w:p w14:paraId="68172283">
      <w:pPr>
        <w:keepNext w:val="0"/>
        <w:keepLines w:val="0"/>
        <w:pageBreakBefore w:val="0"/>
        <w:wordWrap w:val="0"/>
        <w:overflowPunct/>
        <w:topLinePunct w:val="0"/>
        <w:bidi w:val="0"/>
        <w:spacing w:before="153" w:line="324" w:lineRule="auto"/>
        <w:ind w:left="14" w:right="81" w:firstLine="49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除特别注明外，综合得分以及商务技术得分、投标报价得分的中间过程计算值和最终值，均按“ 四舍五入 ”原则精确到两位小数。</w:t>
      </w:r>
    </w:p>
    <w:p w14:paraId="691C357A">
      <w:pPr>
        <w:keepNext w:val="0"/>
        <w:keepLines w:val="0"/>
        <w:pageBreakBefore w:val="0"/>
        <w:wordWrap w:val="0"/>
        <w:overflowPunct/>
        <w:topLinePunct w:val="0"/>
        <w:bidi w:val="0"/>
        <w:spacing w:before="38" w:line="220" w:lineRule="auto"/>
        <w:ind w:left="503"/>
        <w:outlineLvl w:val="9"/>
        <w:rPr>
          <w:rFonts w:hint="eastAsia" w:ascii="宋体" w:hAnsi="宋体" w:eastAsia="宋体" w:cs="宋体"/>
          <w:color w:val="auto"/>
          <w:spacing w:val="0"/>
          <w:sz w:val="24"/>
          <w:szCs w:val="24"/>
          <w:highlight w:val="none"/>
        </w:rPr>
      </w:pPr>
      <w:bookmarkStart w:id="117" w:name="_Toc18029"/>
      <w:bookmarkStart w:id="118" w:name="_Toc22949"/>
      <w:bookmarkStart w:id="119" w:name="_Toc10398"/>
      <w:bookmarkStart w:id="120" w:name="_Toc17510"/>
      <w:r>
        <w:rPr>
          <w:rFonts w:hint="eastAsia" w:ascii="宋体" w:hAnsi="宋体" w:eastAsia="宋体" w:cs="宋体"/>
          <w:color w:val="auto"/>
          <w:spacing w:val="0"/>
          <w:sz w:val="24"/>
          <w:szCs w:val="24"/>
          <w:highlight w:val="none"/>
        </w:rPr>
        <w:t>（1）商务技术得分 M</w:t>
      </w:r>
      <w:bookmarkEnd w:id="117"/>
      <w:bookmarkEnd w:id="118"/>
      <w:bookmarkEnd w:id="119"/>
      <w:bookmarkEnd w:id="120"/>
    </w:p>
    <w:p w14:paraId="2FCE9F62">
      <w:pPr>
        <w:keepNext w:val="0"/>
        <w:keepLines w:val="0"/>
        <w:pageBreakBefore w:val="0"/>
        <w:wordWrap w:val="0"/>
        <w:overflowPunct/>
        <w:topLinePunct w:val="0"/>
        <w:bidi w:val="0"/>
        <w:spacing w:before="153" w:line="279" w:lineRule="auto"/>
        <w:ind w:left="15" w:right="81" w:firstLine="477"/>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a </w:t>
      </w:r>
      <w:r>
        <w:rPr>
          <w:rFonts w:hint="eastAsia" w:ascii="宋体" w:hAnsi="宋体" w:eastAsia="宋体" w:cs="宋体"/>
          <w:color w:val="auto"/>
          <w:spacing w:val="0"/>
          <w:sz w:val="24"/>
          <w:szCs w:val="24"/>
          <w:highlight w:val="none"/>
        </w:rPr>
        <w:t>．评标委员会按照《综合评分表》商务部分指定的评分标准对各评分因素进行打分。各评分因素得分之和即为某投标人的商务得分 M</w:t>
      </w:r>
      <w:r>
        <w:rPr>
          <w:rFonts w:hint="eastAsia" w:ascii="宋体" w:hAnsi="宋体" w:eastAsia="宋体" w:cs="宋体"/>
          <w:color w:val="auto"/>
          <w:spacing w:val="0"/>
          <w:position w:val="-1"/>
          <w:sz w:val="15"/>
          <w:szCs w:val="15"/>
          <w:highlight w:val="none"/>
        </w:rPr>
        <w:t>1</w:t>
      </w:r>
      <w:r>
        <w:rPr>
          <w:rFonts w:hint="eastAsia" w:ascii="宋体" w:hAnsi="宋体" w:eastAsia="宋体" w:cs="宋体"/>
          <w:color w:val="auto"/>
          <w:spacing w:val="0"/>
          <w:sz w:val="24"/>
          <w:szCs w:val="24"/>
          <w:highlight w:val="none"/>
        </w:rPr>
        <w:t>。</w:t>
      </w:r>
    </w:p>
    <w:p w14:paraId="32F1D3A3">
      <w:pPr>
        <w:keepNext w:val="0"/>
        <w:keepLines w:val="0"/>
        <w:pageBreakBefore w:val="0"/>
        <w:wordWrap w:val="0"/>
        <w:overflowPunct/>
        <w:topLinePunct w:val="0"/>
        <w:bidi w:val="0"/>
        <w:spacing w:before="154" w:line="299" w:lineRule="auto"/>
        <w:ind w:left="12" w:right="81" w:firstLine="474"/>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b </w:t>
      </w:r>
      <w:r>
        <w:rPr>
          <w:rFonts w:hint="eastAsia" w:ascii="宋体" w:hAnsi="宋体" w:eastAsia="宋体" w:cs="宋体"/>
          <w:color w:val="auto"/>
          <w:spacing w:val="0"/>
          <w:sz w:val="24"/>
          <w:szCs w:val="24"/>
          <w:highlight w:val="none"/>
        </w:rPr>
        <w:t>．评标委员会各成员独立按照《综合评分表》技术部分（施工组织设计）指定的评分标准对各评分因素进行打分，累加后得出技术评分。将评标委员会所有成员的技术评分去掉最高分和最低分后，取算术平均值，即为某投标人的技术得分 M</w:t>
      </w:r>
      <w:r>
        <w:rPr>
          <w:rFonts w:hint="eastAsia" w:ascii="宋体" w:hAnsi="宋体" w:eastAsia="宋体" w:cs="宋体"/>
          <w:color w:val="auto"/>
          <w:spacing w:val="0"/>
          <w:position w:val="-1"/>
          <w:sz w:val="15"/>
          <w:szCs w:val="15"/>
          <w:highlight w:val="none"/>
        </w:rPr>
        <w:t>2</w:t>
      </w:r>
      <w:r>
        <w:rPr>
          <w:rFonts w:hint="eastAsia" w:ascii="宋体" w:hAnsi="宋体" w:eastAsia="宋体" w:cs="宋体"/>
          <w:color w:val="auto"/>
          <w:spacing w:val="0"/>
          <w:sz w:val="24"/>
          <w:szCs w:val="24"/>
          <w:highlight w:val="none"/>
        </w:rPr>
        <w:t>。</w:t>
      </w:r>
    </w:p>
    <w:p w14:paraId="4DCD0D8C">
      <w:pPr>
        <w:keepNext w:val="0"/>
        <w:keepLines w:val="0"/>
        <w:pageBreakBefore w:val="0"/>
        <w:wordWrap w:val="0"/>
        <w:overflowPunct/>
        <w:topLinePunct w:val="0"/>
        <w:bidi w:val="0"/>
        <w:spacing w:before="155" w:line="231" w:lineRule="auto"/>
        <w:ind w:left="491"/>
        <w:rPr>
          <w:rFonts w:hint="eastAsia" w:ascii="宋体" w:hAnsi="宋体" w:eastAsia="宋体" w:cs="宋体"/>
          <w:color w:val="auto"/>
          <w:spacing w:val="0"/>
          <w:sz w:val="15"/>
          <w:szCs w:val="15"/>
          <w:highlight w:val="none"/>
        </w:rPr>
      </w:pPr>
      <w:r>
        <w:rPr>
          <w:rFonts w:hint="eastAsia" w:ascii="宋体" w:hAnsi="宋体" w:eastAsia="宋体" w:cs="宋体"/>
          <w:b/>
          <w:bCs/>
          <w:color w:val="auto"/>
          <w:spacing w:val="0"/>
          <w:sz w:val="24"/>
          <w:szCs w:val="24"/>
          <w:highlight w:val="none"/>
        </w:rPr>
        <w:t xml:space="preserve">c </w:t>
      </w:r>
      <w:r>
        <w:rPr>
          <w:rFonts w:hint="eastAsia" w:ascii="宋体" w:hAnsi="宋体" w:eastAsia="宋体" w:cs="宋体"/>
          <w:color w:val="auto"/>
          <w:spacing w:val="0"/>
          <w:sz w:val="24"/>
          <w:szCs w:val="24"/>
          <w:highlight w:val="none"/>
        </w:rPr>
        <w:t>．M ＝M</w:t>
      </w:r>
      <w:r>
        <w:rPr>
          <w:rFonts w:hint="eastAsia" w:ascii="宋体" w:hAnsi="宋体" w:eastAsia="宋体" w:cs="宋体"/>
          <w:color w:val="auto"/>
          <w:spacing w:val="0"/>
          <w:position w:val="-1"/>
          <w:sz w:val="15"/>
          <w:szCs w:val="15"/>
          <w:highlight w:val="none"/>
        </w:rPr>
        <w:t>1</w:t>
      </w:r>
      <w:r>
        <w:rPr>
          <w:rFonts w:hint="eastAsia" w:ascii="宋体" w:hAnsi="宋体" w:eastAsia="宋体" w:cs="宋体"/>
          <w:color w:val="auto"/>
          <w:spacing w:val="0"/>
          <w:sz w:val="24"/>
          <w:szCs w:val="24"/>
          <w:highlight w:val="none"/>
        </w:rPr>
        <w:t>＋M</w:t>
      </w:r>
      <w:r>
        <w:rPr>
          <w:rFonts w:hint="eastAsia" w:ascii="宋体" w:hAnsi="宋体" w:eastAsia="宋体" w:cs="宋体"/>
          <w:color w:val="auto"/>
          <w:spacing w:val="0"/>
          <w:position w:val="-1"/>
          <w:sz w:val="15"/>
          <w:szCs w:val="15"/>
          <w:highlight w:val="none"/>
        </w:rPr>
        <w:t>2</w:t>
      </w:r>
    </w:p>
    <w:p w14:paraId="0E3A2566">
      <w:pPr>
        <w:keepNext w:val="0"/>
        <w:keepLines w:val="0"/>
        <w:pageBreakBefore w:val="0"/>
        <w:wordWrap w:val="0"/>
        <w:overflowPunct/>
        <w:topLinePunct w:val="0"/>
        <w:bidi w:val="0"/>
        <w:spacing w:before="139" w:line="220" w:lineRule="auto"/>
        <w:ind w:left="496"/>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式中：M</w:t>
      </w:r>
      <w:r>
        <w:rPr>
          <w:rFonts w:hint="eastAsia" w:ascii="宋体" w:hAnsi="宋体" w:eastAsia="宋体" w:cs="宋体"/>
          <w:color w:val="auto"/>
          <w:spacing w:val="0"/>
          <w:position w:val="-1"/>
          <w:sz w:val="15"/>
          <w:szCs w:val="15"/>
          <w:highlight w:val="none"/>
        </w:rPr>
        <w:t>1</w:t>
      </w:r>
      <w:r>
        <w:rPr>
          <w:rFonts w:hint="eastAsia" w:ascii="宋体" w:hAnsi="宋体" w:eastAsia="宋体" w:cs="宋体"/>
          <w:color w:val="auto"/>
          <w:spacing w:val="0"/>
          <w:w w:val="101"/>
          <w:position w:val="-1"/>
          <w:sz w:val="15"/>
          <w:szCs w:val="15"/>
          <w:highlight w:val="none"/>
        </w:rPr>
        <w:t xml:space="preserve"> </w:t>
      </w:r>
      <w:r>
        <w:rPr>
          <w:rFonts w:hint="eastAsia" w:ascii="宋体" w:hAnsi="宋体" w:eastAsia="宋体" w:cs="宋体"/>
          <w:color w:val="auto"/>
          <w:spacing w:val="0"/>
          <w:sz w:val="24"/>
          <w:szCs w:val="24"/>
          <w:highlight w:val="none"/>
        </w:rPr>
        <w:t>为某投标人的商务得分，M</w:t>
      </w:r>
      <w:r>
        <w:rPr>
          <w:rFonts w:hint="eastAsia" w:ascii="宋体" w:hAnsi="宋体" w:eastAsia="宋体" w:cs="宋体"/>
          <w:color w:val="auto"/>
          <w:spacing w:val="0"/>
          <w:position w:val="-1"/>
          <w:sz w:val="15"/>
          <w:szCs w:val="15"/>
          <w:highlight w:val="none"/>
        </w:rPr>
        <w:t xml:space="preserve">2 </w:t>
      </w:r>
      <w:r>
        <w:rPr>
          <w:rFonts w:hint="eastAsia" w:ascii="宋体" w:hAnsi="宋体" w:eastAsia="宋体" w:cs="宋体"/>
          <w:color w:val="auto"/>
          <w:spacing w:val="0"/>
          <w:sz w:val="24"/>
          <w:szCs w:val="24"/>
          <w:highlight w:val="none"/>
        </w:rPr>
        <w:t>为某投标人的技术得分。</w:t>
      </w:r>
    </w:p>
    <w:p w14:paraId="5A36D4F4">
      <w:pPr>
        <w:keepNext w:val="0"/>
        <w:keepLines w:val="0"/>
        <w:pageBreakBefore w:val="0"/>
        <w:wordWrap w:val="0"/>
        <w:overflowPunct/>
        <w:topLinePunct w:val="0"/>
        <w:bidi w:val="0"/>
        <w:spacing w:before="153" w:line="219" w:lineRule="auto"/>
        <w:ind w:left="503"/>
        <w:outlineLvl w:val="9"/>
        <w:rPr>
          <w:rFonts w:hint="eastAsia" w:ascii="宋体" w:hAnsi="宋体" w:eastAsia="宋体" w:cs="宋体"/>
          <w:color w:val="auto"/>
          <w:spacing w:val="0"/>
          <w:sz w:val="24"/>
          <w:szCs w:val="24"/>
          <w:highlight w:val="none"/>
        </w:rPr>
      </w:pPr>
      <w:bookmarkStart w:id="121" w:name="_Toc3958"/>
      <w:bookmarkStart w:id="122" w:name="_Toc27609"/>
      <w:bookmarkStart w:id="123" w:name="_Toc14059"/>
      <w:bookmarkStart w:id="124" w:name="_Toc16136"/>
      <w:r>
        <w:rPr>
          <w:rFonts w:hint="eastAsia" w:ascii="宋体" w:hAnsi="宋体" w:eastAsia="宋体" w:cs="宋体"/>
          <w:color w:val="auto"/>
          <w:spacing w:val="0"/>
          <w:sz w:val="24"/>
          <w:szCs w:val="24"/>
          <w:highlight w:val="none"/>
        </w:rPr>
        <w:t>（2）投标报价得分 N</w:t>
      </w:r>
      <w:bookmarkEnd w:id="121"/>
      <w:bookmarkEnd w:id="122"/>
      <w:bookmarkEnd w:id="123"/>
      <w:bookmarkEnd w:id="124"/>
    </w:p>
    <w:p w14:paraId="39DDA78A">
      <w:pPr>
        <w:keepNext w:val="0"/>
        <w:keepLines w:val="0"/>
        <w:pageBreakBefore w:val="0"/>
        <w:wordWrap w:val="0"/>
        <w:overflowPunct/>
        <w:topLinePunct w:val="0"/>
        <w:bidi w:val="0"/>
        <w:spacing w:before="157" w:line="219" w:lineRule="auto"/>
        <w:ind w:firstLine="482" w:firstLineChars="200"/>
        <w:jc w:val="both"/>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a </w:t>
      </w:r>
      <w:r>
        <w:rPr>
          <w:rFonts w:hint="eastAsia" w:ascii="宋体" w:hAnsi="宋体" w:eastAsia="宋体" w:cs="宋体"/>
          <w:color w:val="auto"/>
          <w:spacing w:val="0"/>
          <w:sz w:val="24"/>
          <w:szCs w:val="24"/>
          <w:highlight w:val="none"/>
        </w:rPr>
        <w:t>．评标委员会按照《综合评分表》投标报价部分指定的方法计算评标基准价 D。</w:t>
      </w:r>
    </w:p>
    <w:p w14:paraId="186D5F01">
      <w:pPr>
        <w:keepNext w:val="0"/>
        <w:keepLines w:val="0"/>
        <w:pageBreakBefore w:val="0"/>
        <w:wordWrap w:val="0"/>
        <w:overflowPunct/>
        <w:topLinePunct w:val="0"/>
        <w:bidi w:val="0"/>
        <w:spacing w:before="155" w:line="299" w:lineRule="auto"/>
        <w:ind w:left="12" w:right="83" w:firstLine="474"/>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b </w:t>
      </w:r>
      <w:r>
        <w:rPr>
          <w:rFonts w:hint="eastAsia" w:ascii="宋体" w:hAnsi="宋体" w:eastAsia="宋体" w:cs="宋体"/>
          <w:color w:val="auto"/>
          <w:spacing w:val="0"/>
          <w:sz w:val="24"/>
          <w:szCs w:val="24"/>
          <w:highlight w:val="none"/>
        </w:rPr>
        <w:t xml:space="preserve">．采用内插法计算某投标人的投标报价得分 N ，即当投标人的投标总价等于评标基准价时得 100 分，每高于评标基准价一个百分点扣 </w:t>
      </w:r>
      <w:r>
        <w:rPr>
          <w:rFonts w:hint="eastAsia" w:ascii="宋体" w:hAnsi="宋体" w:eastAsia="宋体" w:cs="宋体"/>
          <w:b/>
          <w:bCs/>
          <w:color w:val="auto"/>
          <w:spacing w:val="0"/>
          <w:sz w:val="24"/>
          <w:szCs w:val="24"/>
          <w:highlight w:val="none"/>
        </w:rPr>
        <w:t xml:space="preserve">1 分, </w:t>
      </w:r>
      <w:r>
        <w:rPr>
          <w:rFonts w:hint="eastAsia" w:ascii="宋体" w:hAnsi="宋体" w:eastAsia="宋体" w:cs="宋体"/>
          <w:color w:val="auto"/>
          <w:spacing w:val="0"/>
          <w:sz w:val="24"/>
          <w:szCs w:val="24"/>
          <w:highlight w:val="none"/>
        </w:rPr>
        <w:t xml:space="preserve">每低于评标基准价一个百分点扣 </w:t>
      </w:r>
      <w:r>
        <w:rPr>
          <w:rFonts w:hint="eastAsia" w:ascii="宋体" w:hAnsi="宋体" w:eastAsia="宋体" w:cs="宋体"/>
          <w:b/>
          <w:bCs/>
          <w:color w:val="auto"/>
          <w:spacing w:val="0"/>
          <w:sz w:val="24"/>
          <w:szCs w:val="24"/>
          <w:highlight w:val="none"/>
        </w:rPr>
        <w:t>0.5 分</w:t>
      </w:r>
      <w:r>
        <w:rPr>
          <w:rFonts w:hint="eastAsia" w:ascii="宋体" w:hAnsi="宋体" w:eastAsia="宋体" w:cs="宋体"/>
          <w:color w:val="auto"/>
          <w:spacing w:val="0"/>
          <w:sz w:val="24"/>
          <w:szCs w:val="24"/>
          <w:highlight w:val="none"/>
        </w:rPr>
        <w:t>，扣完为止。公式如下：</w:t>
      </w:r>
    </w:p>
    <w:p w14:paraId="72C0DC40">
      <w:pPr>
        <w:keepNext w:val="0"/>
        <w:keepLines w:val="0"/>
        <w:pageBreakBefore w:val="0"/>
        <w:wordWrap w:val="0"/>
        <w:overflowPunct/>
        <w:topLinePunct w:val="0"/>
        <w:bidi w:val="0"/>
        <w:spacing w:before="118" w:line="333" w:lineRule="exact"/>
        <w:ind w:left="2418"/>
        <w:rPr>
          <w:rFonts w:hint="eastAsia" w:ascii="宋体" w:hAnsi="宋体" w:eastAsia="宋体" w:cs="宋体"/>
          <w:color w:val="auto"/>
          <w:spacing w:val="0"/>
          <w:sz w:val="24"/>
          <w:szCs w:val="24"/>
          <w:highlight w:val="none"/>
        </w:rPr>
      </w:pPr>
      <w:r>
        <w:rPr>
          <w:rFonts w:hint="eastAsia" w:ascii="宋体" w:hAnsi="宋体" w:eastAsia="宋体" w:cs="宋体"/>
          <w:color w:val="auto"/>
          <w:spacing w:val="0"/>
          <w:position w:val="3"/>
          <w:sz w:val="24"/>
          <w:szCs w:val="24"/>
          <w:highlight w:val="none"/>
        </w:rPr>
        <w:t>N ＝100－（| Di－D | ÷D） × 100×E</w:t>
      </w:r>
    </w:p>
    <w:p w14:paraId="0F59ABF1">
      <w:pPr>
        <w:keepNext w:val="0"/>
        <w:keepLines w:val="0"/>
        <w:pageBreakBefore w:val="0"/>
        <w:wordWrap w:val="0"/>
        <w:overflowPunct/>
        <w:topLinePunct w:val="0"/>
        <w:bidi w:val="0"/>
        <w:spacing w:before="106" w:line="316" w:lineRule="auto"/>
        <w:ind w:left="7" w:right="17" w:firstLine="48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式中：D 为评标基准价；Di为某投标人的投标总价；E 为扣分因子，当 Di＞D时，E ＝</w:t>
      </w:r>
      <w:r>
        <w:rPr>
          <w:rFonts w:hint="eastAsia" w:ascii="宋体" w:hAnsi="宋体" w:eastAsia="宋体" w:cs="宋体"/>
          <w:b/>
          <w:bCs/>
          <w:color w:val="auto"/>
          <w:spacing w:val="0"/>
          <w:sz w:val="24"/>
          <w:szCs w:val="24"/>
          <w:highlight w:val="none"/>
        </w:rPr>
        <w:t>1 ；</w:t>
      </w:r>
      <w:r>
        <w:rPr>
          <w:rFonts w:hint="eastAsia" w:ascii="宋体" w:hAnsi="宋体" w:eastAsia="宋体" w:cs="宋体"/>
          <w:color w:val="auto"/>
          <w:spacing w:val="0"/>
          <w:sz w:val="24"/>
          <w:szCs w:val="24"/>
          <w:highlight w:val="none"/>
        </w:rPr>
        <w:t>当 Di＜D</w:t>
      </w:r>
      <w:r>
        <w:rPr>
          <w:rFonts w:hint="eastAsia" w:ascii="宋体" w:hAnsi="宋体" w:eastAsia="宋体" w:cs="宋体"/>
          <w:color w:val="auto"/>
          <w:spacing w:val="0"/>
          <w:w w:val="101"/>
          <w:sz w:val="24"/>
          <w:szCs w:val="24"/>
          <w:highlight w:val="none"/>
        </w:rPr>
        <w:t xml:space="preserve"> </w:t>
      </w:r>
      <w:r>
        <w:rPr>
          <w:rFonts w:hint="eastAsia" w:ascii="宋体" w:hAnsi="宋体" w:eastAsia="宋体" w:cs="宋体"/>
          <w:color w:val="auto"/>
          <w:spacing w:val="0"/>
          <w:sz w:val="24"/>
          <w:szCs w:val="24"/>
          <w:highlight w:val="none"/>
        </w:rPr>
        <w:t xml:space="preserve">时，E </w:t>
      </w:r>
      <w:r>
        <w:rPr>
          <w:rFonts w:hint="eastAsia" w:ascii="宋体" w:hAnsi="宋体" w:eastAsia="宋体" w:cs="宋体"/>
          <w:b/>
          <w:bCs/>
          <w:color w:val="auto"/>
          <w:spacing w:val="0"/>
          <w:sz w:val="24"/>
          <w:szCs w:val="24"/>
          <w:highlight w:val="none"/>
        </w:rPr>
        <w:t>＝0.5</w:t>
      </w:r>
      <w:r>
        <w:rPr>
          <w:rFonts w:hint="eastAsia" w:ascii="宋体" w:hAnsi="宋体" w:eastAsia="宋体" w:cs="宋体"/>
          <w:b/>
          <w:bCs/>
          <w:color w:val="auto"/>
          <w:spacing w:val="0"/>
          <w:sz w:val="24"/>
          <w:szCs w:val="24"/>
          <w:highlight w:val="none"/>
          <w:lang w:val="en-US" w:eastAsia="zh-CN"/>
        </w:rPr>
        <w:t xml:space="preserve"> </w:t>
      </w:r>
      <w:r>
        <w:rPr>
          <w:rFonts w:hint="eastAsia" w:ascii="宋体" w:hAnsi="宋体" w:eastAsia="宋体" w:cs="宋体"/>
          <w:b/>
          <w:bCs/>
          <w:color w:val="auto"/>
          <w:spacing w:val="0"/>
          <w:sz w:val="24"/>
          <w:szCs w:val="24"/>
          <w:highlight w:val="none"/>
        </w:rPr>
        <w:t>。</w:t>
      </w:r>
    </w:p>
    <w:p w14:paraId="5A92D912">
      <w:pPr>
        <w:keepNext w:val="0"/>
        <w:keepLines w:val="0"/>
        <w:pageBreakBefore w:val="0"/>
        <w:wordWrap w:val="0"/>
        <w:overflowPunct/>
        <w:topLinePunct w:val="0"/>
        <w:bidi w:val="0"/>
        <w:spacing w:before="95" w:line="220" w:lineRule="auto"/>
        <w:ind w:left="503"/>
        <w:outlineLvl w:val="9"/>
        <w:rPr>
          <w:rFonts w:hint="eastAsia" w:ascii="宋体" w:hAnsi="宋体" w:eastAsia="宋体" w:cs="宋体"/>
          <w:color w:val="auto"/>
          <w:spacing w:val="0"/>
          <w:sz w:val="24"/>
          <w:szCs w:val="24"/>
          <w:highlight w:val="none"/>
        </w:rPr>
      </w:pPr>
      <w:bookmarkStart w:id="125" w:name="_Toc7915"/>
      <w:bookmarkStart w:id="126" w:name="_Toc576"/>
      <w:bookmarkStart w:id="127" w:name="_Toc3861"/>
      <w:bookmarkStart w:id="128" w:name="_Toc4990"/>
      <w:r>
        <w:rPr>
          <w:rFonts w:hint="eastAsia" w:ascii="宋体" w:hAnsi="宋体" w:eastAsia="宋体" w:cs="宋体"/>
          <w:color w:val="auto"/>
          <w:spacing w:val="0"/>
          <w:sz w:val="24"/>
          <w:szCs w:val="24"/>
          <w:highlight w:val="none"/>
        </w:rPr>
        <w:t>（3）综合得分</w:t>
      </w:r>
      <w:bookmarkEnd w:id="125"/>
      <w:bookmarkEnd w:id="126"/>
      <w:bookmarkEnd w:id="127"/>
      <w:bookmarkEnd w:id="128"/>
    </w:p>
    <w:p w14:paraId="3774ABFE">
      <w:pPr>
        <w:keepNext w:val="0"/>
        <w:keepLines w:val="0"/>
        <w:pageBreakBefore w:val="0"/>
        <w:wordWrap w:val="0"/>
        <w:overflowPunct/>
        <w:topLinePunct w:val="0"/>
        <w:bidi w:val="0"/>
        <w:spacing w:before="153" w:line="220" w:lineRule="auto"/>
        <w:ind w:left="494"/>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综合得分换算为百分制，满分 100 分，公式如下：</w:t>
      </w:r>
    </w:p>
    <w:p w14:paraId="619BE8B8">
      <w:pPr>
        <w:keepNext w:val="0"/>
        <w:keepLines w:val="0"/>
        <w:pageBreakBefore w:val="0"/>
        <w:wordWrap w:val="0"/>
        <w:overflowPunct/>
        <w:topLinePunct w:val="0"/>
        <w:bidi w:val="0"/>
        <w:spacing w:before="155" w:line="324" w:lineRule="auto"/>
        <w:ind w:left="496" w:right="532" w:hanging="33"/>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综合得分＝M÷商务技术合计满分×100×商务技术权重＋N×投标报价权重</w:t>
      </w:r>
    </w:p>
    <w:p w14:paraId="2D229F24">
      <w:pPr>
        <w:keepNext w:val="0"/>
        <w:keepLines w:val="0"/>
        <w:pageBreakBefore w:val="0"/>
        <w:wordWrap w:val="0"/>
        <w:overflowPunct/>
        <w:topLinePunct w:val="0"/>
        <w:bidi w:val="0"/>
        <w:spacing w:before="155" w:line="324" w:lineRule="auto"/>
        <w:ind w:left="496" w:right="532" w:hanging="33"/>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式中：M 为商务技术得分，N 为投标报价得分。</w:t>
      </w:r>
    </w:p>
    <w:p w14:paraId="4126B7AA">
      <w:pPr>
        <w:keepNext w:val="0"/>
        <w:keepLines w:val="0"/>
        <w:pageBreakBefore w:val="0"/>
        <w:wordWrap w:val="0"/>
        <w:overflowPunct/>
        <w:topLinePunct w:val="0"/>
        <w:bidi w:val="0"/>
        <w:spacing w:before="78" w:line="329" w:lineRule="auto"/>
        <w:ind w:left="276" w:right="263" w:hanging="1"/>
        <w:jc w:val="both"/>
        <w:rPr>
          <w:rFonts w:hint="default" w:ascii="宋体" w:hAnsi="宋体" w:eastAsia="宋体" w:cs="宋体"/>
          <w:b/>
          <w:bCs/>
          <w:color w:val="auto"/>
          <w:spacing w:val="0"/>
          <w:sz w:val="24"/>
          <w:szCs w:val="24"/>
          <w:highlight w:val="none"/>
          <w:lang w:val="en-US" w:eastAsia="zh-CN"/>
        </w:rPr>
      </w:pPr>
      <w:r>
        <w:rPr>
          <w:rFonts w:hint="eastAsia" w:ascii="宋体" w:hAnsi="宋体" w:eastAsia="宋体" w:cs="宋体"/>
          <w:b/>
          <w:bCs/>
          <w:color w:val="auto"/>
          <w:spacing w:val="0"/>
          <w:sz w:val="24"/>
          <w:szCs w:val="24"/>
          <w:highlight w:val="none"/>
        </w:rPr>
        <w:t>15.</w:t>
      </w:r>
      <w:r>
        <w:rPr>
          <w:rFonts w:hint="eastAsia" w:ascii="宋体" w:hAnsi="宋体" w:eastAsia="宋体" w:cs="宋体"/>
          <w:b/>
          <w:bCs/>
          <w:color w:val="auto"/>
          <w:spacing w:val="0"/>
          <w:sz w:val="24"/>
          <w:szCs w:val="24"/>
          <w:highlight w:val="none"/>
          <w:lang w:val="en-US" w:eastAsia="zh-CN"/>
        </w:rPr>
        <w:t>6 推荐定标候选人</w:t>
      </w:r>
    </w:p>
    <w:p w14:paraId="39202DE4">
      <w:pPr>
        <w:keepNext w:val="0"/>
        <w:keepLines w:val="0"/>
        <w:pageBreakBefore w:val="0"/>
        <w:shd w:val="clear" w:color="auto" w:fill="auto"/>
        <w:kinsoku/>
        <w:wordWrap/>
        <w:overflowPunct/>
        <w:topLinePunct w:val="0"/>
        <w:bidi w:val="0"/>
        <w:adjustRightInd/>
        <w:snapToGrid/>
        <w:spacing w:line="360" w:lineRule="auto"/>
        <w:ind w:left="0" w:lef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评标委员会根据招标文件规定的评分细则，对招标文件中的各评审因素进行评审、比较、打分</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并</w:t>
      </w:r>
      <w:r>
        <w:rPr>
          <w:rFonts w:ascii="宋体" w:hAnsi="宋体" w:eastAsia="宋体" w:cs="宋体"/>
          <w:snapToGrid w:val="0"/>
          <w:color w:val="auto"/>
          <w:spacing w:val="-1"/>
          <w:kern w:val="0"/>
          <w:sz w:val="24"/>
          <w:szCs w:val="24"/>
          <w:highlight w:val="none"/>
          <w:lang w:eastAsia="en-US"/>
        </w:rPr>
        <w:t>向招标人提交书</w:t>
      </w:r>
      <w:r>
        <w:rPr>
          <w:rFonts w:ascii="宋体" w:hAnsi="宋体" w:eastAsia="宋体" w:cs="宋体"/>
          <w:snapToGrid w:val="0"/>
          <w:color w:val="auto"/>
          <w:spacing w:val="-2"/>
          <w:kern w:val="0"/>
          <w:sz w:val="24"/>
          <w:szCs w:val="24"/>
          <w:highlight w:val="none"/>
          <w:lang w:eastAsia="en-US"/>
        </w:rPr>
        <w:t>面评标报告和</w:t>
      </w:r>
      <w:r>
        <w:rPr>
          <w:rFonts w:hint="eastAsia" w:ascii="宋体" w:hAnsi="宋体" w:eastAsia="宋体" w:cs="宋体"/>
          <w:snapToGrid w:val="0"/>
          <w:color w:val="auto"/>
          <w:spacing w:val="-2"/>
          <w:kern w:val="0"/>
          <w:sz w:val="24"/>
          <w:szCs w:val="24"/>
          <w:highlight w:val="none"/>
          <w:lang w:val="en-US" w:eastAsia="zh-CN"/>
        </w:rPr>
        <w:t>定</w:t>
      </w:r>
      <w:r>
        <w:rPr>
          <w:rFonts w:ascii="宋体" w:hAnsi="宋体" w:eastAsia="宋体" w:cs="宋体"/>
          <w:snapToGrid w:val="0"/>
          <w:color w:val="auto"/>
          <w:spacing w:val="-2"/>
          <w:kern w:val="0"/>
          <w:sz w:val="24"/>
          <w:szCs w:val="24"/>
          <w:highlight w:val="none"/>
          <w:lang w:eastAsia="en-US"/>
        </w:rPr>
        <w:t>标候选人名单</w:t>
      </w:r>
      <w:r>
        <w:rPr>
          <w:rFonts w:hint="eastAsia" w:ascii="宋体" w:hAnsi="宋体" w:eastAsia="宋体" w:cs="宋体"/>
          <w:snapToGrid w:val="0"/>
          <w:color w:val="auto"/>
          <w:kern w:val="0"/>
          <w:sz w:val="24"/>
          <w:szCs w:val="24"/>
          <w:highlight w:val="none"/>
          <w:lang w:eastAsia="en-US"/>
        </w:rPr>
        <w:t>（按企业统一社会信用代码后4位</w:t>
      </w:r>
      <w:r>
        <w:rPr>
          <w:rFonts w:hint="eastAsia" w:ascii="宋体" w:hAnsi="宋体" w:eastAsia="宋体" w:cs="宋体"/>
          <w:snapToGrid w:val="0"/>
          <w:color w:val="auto"/>
          <w:kern w:val="0"/>
          <w:sz w:val="24"/>
          <w:szCs w:val="24"/>
          <w:highlight w:val="none"/>
          <w:lang w:val="en-US" w:eastAsia="zh-CN"/>
        </w:rPr>
        <w:t>由</w:t>
      </w:r>
      <w:r>
        <w:rPr>
          <w:rFonts w:hint="eastAsia" w:ascii="宋体" w:hAnsi="宋体" w:eastAsia="宋体" w:cs="宋体"/>
          <w:snapToGrid w:val="0"/>
          <w:color w:val="auto"/>
          <w:kern w:val="0"/>
          <w:sz w:val="24"/>
          <w:szCs w:val="24"/>
          <w:highlight w:val="none"/>
          <w:lang w:eastAsia="en-US"/>
        </w:rPr>
        <w:t>大</w:t>
      </w:r>
      <w:r>
        <w:rPr>
          <w:rFonts w:hint="eastAsia" w:ascii="宋体" w:hAnsi="宋体" w:eastAsia="宋体" w:cs="宋体"/>
          <w:snapToGrid w:val="0"/>
          <w:color w:val="auto"/>
          <w:kern w:val="0"/>
          <w:sz w:val="24"/>
          <w:szCs w:val="24"/>
          <w:highlight w:val="none"/>
          <w:lang w:val="en-US" w:eastAsia="zh-CN"/>
        </w:rPr>
        <w:t>到</w:t>
      </w:r>
      <w:r>
        <w:rPr>
          <w:rFonts w:hint="eastAsia" w:ascii="宋体" w:hAnsi="宋体" w:eastAsia="宋体" w:cs="宋体"/>
          <w:snapToGrid w:val="0"/>
          <w:color w:val="auto"/>
          <w:kern w:val="0"/>
          <w:sz w:val="24"/>
          <w:szCs w:val="24"/>
          <w:highlight w:val="none"/>
          <w:lang w:eastAsia="en-US"/>
        </w:rPr>
        <w:t>小</w:t>
      </w:r>
      <w:r>
        <w:rPr>
          <w:rFonts w:hint="eastAsia" w:ascii="宋体" w:hAnsi="宋体" w:eastAsia="宋体" w:cs="宋体"/>
          <w:snapToGrid w:val="0"/>
          <w:color w:val="auto"/>
          <w:kern w:val="0"/>
          <w:sz w:val="24"/>
          <w:szCs w:val="24"/>
          <w:highlight w:val="none"/>
          <w:lang w:val="en-US" w:eastAsia="zh-CN"/>
        </w:rPr>
        <w:t>排序，如遇</w:t>
      </w:r>
      <w:r>
        <w:rPr>
          <w:rFonts w:hint="eastAsia" w:ascii="宋体" w:hAnsi="宋体" w:eastAsia="宋体" w:cs="宋体"/>
          <w:snapToGrid w:val="0"/>
          <w:color w:val="auto"/>
          <w:kern w:val="0"/>
          <w:sz w:val="24"/>
          <w:szCs w:val="24"/>
          <w:highlight w:val="none"/>
          <w:lang w:eastAsia="en-US"/>
        </w:rPr>
        <w:t>社会信用代码后4位</w:t>
      </w:r>
      <w:r>
        <w:rPr>
          <w:rFonts w:hint="eastAsia" w:ascii="宋体" w:hAnsi="宋体" w:eastAsia="宋体" w:cs="宋体"/>
          <w:snapToGrid w:val="0"/>
          <w:color w:val="auto"/>
          <w:kern w:val="0"/>
          <w:sz w:val="24"/>
          <w:szCs w:val="24"/>
          <w:highlight w:val="none"/>
          <w:lang w:val="en-US" w:eastAsia="zh-CN"/>
        </w:rPr>
        <w:t>为英文字母，则用0代替）</w:t>
      </w:r>
      <w:r>
        <w:rPr>
          <w:rFonts w:hint="eastAsia" w:ascii="宋体" w:hAnsi="宋体" w:eastAsia="宋体" w:cs="宋体"/>
          <w:color w:val="auto"/>
          <w:sz w:val="24"/>
          <w:highlight w:val="none"/>
        </w:rPr>
        <w:t>,当投标人综合总得分相同时，以报价低为前；当投标人综合总得分相同且报价相同时，由评标委员会投票确定排前。</w:t>
      </w:r>
    </w:p>
    <w:p w14:paraId="65BC6E82">
      <w:pPr>
        <w:keepNext w:val="0"/>
        <w:keepLines w:val="0"/>
        <w:pageBreakBefore w:val="0"/>
        <w:shd w:val="clear" w:color="auto" w:fill="auto"/>
        <w:kinsoku/>
        <w:wordWrap/>
        <w:overflowPunct/>
        <w:topLinePunct w:val="0"/>
        <w:bidi w:val="0"/>
        <w:adjustRightInd/>
        <w:snapToGrid/>
        <w:spacing w:line="360" w:lineRule="auto"/>
        <w:ind w:left="0" w:lef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color w:val="auto"/>
          <w:sz w:val="24"/>
          <w:highlight w:val="none"/>
        </w:rPr>
        <w:t>定标候选人得分只作为评标委员会的推荐依据，不作为定标委员会对中标候选人排序的依据。当有效投标人数量不足5名但满足法定要求时，所有通过评审的有效投标人均应作为定标候选人。</w:t>
      </w:r>
      <w:r>
        <w:rPr>
          <w:rFonts w:hint="eastAsia" w:ascii="宋体" w:hAnsi="宋体" w:eastAsia="宋体" w:cs="宋体"/>
          <w:color w:val="auto"/>
          <w:sz w:val="24"/>
          <w:highlight w:val="none"/>
          <w:lang w:val="en-US" w:eastAsia="zh-CN"/>
        </w:rPr>
        <w:t>评标委员会推荐定标候选人后，</w:t>
      </w:r>
      <w:r>
        <w:rPr>
          <w:rFonts w:hint="eastAsia" w:ascii="宋体" w:hAnsi="宋体" w:eastAsia="宋体" w:cs="宋体"/>
          <w:color w:val="auto"/>
          <w:sz w:val="24"/>
          <w:highlight w:val="none"/>
        </w:rPr>
        <w:t>招标人应</w:t>
      </w:r>
      <w:r>
        <w:rPr>
          <w:rFonts w:hint="eastAsia" w:ascii="宋体" w:hAnsi="宋体" w:eastAsia="宋体" w:cs="宋体"/>
          <w:color w:val="auto"/>
          <w:sz w:val="24"/>
          <w:highlight w:val="none"/>
          <w:lang w:eastAsia="zh-CN"/>
        </w:rPr>
        <w:t>于评标会结束后</w:t>
      </w:r>
      <w:r>
        <w:rPr>
          <w:rFonts w:hint="eastAsia" w:ascii="宋体" w:hAnsi="宋体" w:eastAsia="宋体" w:cs="宋体"/>
          <w:color w:val="auto"/>
          <w:sz w:val="24"/>
          <w:highlight w:val="none"/>
          <w:lang w:val="en-US" w:eastAsia="zh-CN"/>
        </w:rPr>
        <w:t>3个日历天内将</w:t>
      </w:r>
      <w:r>
        <w:rPr>
          <w:rFonts w:hint="eastAsia" w:ascii="宋体" w:hAnsi="宋体" w:eastAsia="宋体" w:cs="宋体"/>
          <w:color w:val="auto"/>
          <w:sz w:val="24"/>
          <w:highlight w:val="none"/>
          <w:lang w:eastAsia="zh-CN"/>
        </w:rPr>
        <w:t>定</w:t>
      </w:r>
      <w:r>
        <w:rPr>
          <w:rFonts w:hint="eastAsia" w:ascii="宋体" w:hAnsi="宋体" w:eastAsia="宋体" w:cs="宋体"/>
          <w:color w:val="auto"/>
          <w:sz w:val="24"/>
          <w:highlight w:val="none"/>
        </w:rPr>
        <w:t>标候选</w:t>
      </w:r>
      <w:r>
        <w:rPr>
          <w:rFonts w:hint="eastAsia" w:ascii="宋体" w:hAnsi="宋体" w:eastAsia="宋体" w:cs="宋体"/>
          <w:color w:val="auto"/>
          <w:sz w:val="24"/>
          <w:highlight w:val="none"/>
          <w:lang w:eastAsia="zh-CN"/>
        </w:rPr>
        <w:t>人和评标情况</w:t>
      </w:r>
      <w:r>
        <w:rPr>
          <w:rFonts w:hint="eastAsia" w:ascii="宋体" w:hAnsi="宋体" w:eastAsia="宋体" w:cs="宋体"/>
          <w:color w:val="auto"/>
          <w:sz w:val="24"/>
          <w:highlight w:val="none"/>
          <w:lang w:val="en-US" w:eastAsia="zh-CN"/>
        </w:rPr>
        <w:t>在广东省招标投标监管网和</w:t>
      </w:r>
      <w:r>
        <w:rPr>
          <w:rFonts w:hint="eastAsia" w:ascii="宋体" w:hAnsi="宋体" w:eastAsia="宋体" w:cs="宋体"/>
          <w:color w:val="auto"/>
          <w:sz w:val="24"/>
          <w:highlight w:val="none"/>
        </w:rPr>
        <w:t>韶关市公共资源交易中心</w:t>
      </w:r>
      <w:r>
        <w:rPr>
          <w:rFonts w:hint="eastAsia" w:ascii="宋体" w:hAnsi="宋体" w:eastAsia="宋体" w:cs="宋体"/>
          <w:color w:val="auto"/>
          <w:sz w:val="24"/>
          <w:highlight w:val="none"/>
          <w:lang w:eastAsia="zh-CN"/>
        </w:rPr>
        <w:t>建设工程交易系统</w:t>
      </w:r>
      <w:r>
        <w:rPr>
          <w:rFonts w:hint="eastAsia" w:ascii="宋体" w:hAnsi="宋体" w:eastAsia="宋体" w:cs="宋体"/>
          <w:color w:val="auto"/>
          <w:sz w:val="24"/>
          <w:highlight w:val="none"/>
          <w:lang w:val="en-US" w:eastAsia="zh-CN"/>
        </w:rPr>
        <w:t>上</w:t>
      </w:r>
      <w:r>
        <w:rPr>
          <w:rFonts w:hint="eastAsia" w:ascii="宋体" w:hAnsi="宋体" w:eastAsia="宋体" w:cs="宋体"/>
          <w:color w:val="auto"/>
          <w:sz w:val="24"/>
          <w:highlight w:val="none"/>
        </w:rPr>
        <w:t>公示</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公示时间不少于3个日历天。</w:t>
      </w:r>
      <w:r>
        <w:rPr>
          <w:rFonts w:hint="eastAsia" w:ascii="宋体" w:hAnsi="宋体" w:eastAsia="宋体" w:cs="宋体"/>
          <w:color w:val="auto"/>
          <w:kern w:val="0"/>
          <w:sz w:val="24"/>
          <w:szCs w:val="24"/>
          <w:highlight w:val="none"/>
          <w:u w:val="none" w:color="auto"/>
          <w:lang w:eastAsia="zh-CN"/>
        </w:rPr>
        <w:t>公示主要内容包括：（</w:t>
      </w:r>
      <w:r>
        <w:rPr>
          <w:rFonts w:hint="eastAsia" w:ascii="宋体" w:hAnsi="宋体" w:eastAsia="宋体" w:cs="宋体"/>
          <w:b w:val="0"/>
          <w:bCs w:val="0"/>
          <w:color w:val="auto"/>
          <w:spacing w:val="0"/>
          <w:position w:val="0"/>
          <w:sz w:val="24"/>
          <w:szCs w:val="24"/>
          <w:highlight w:val="none"/>
          <w:u w:val="none" w:color="auto"/>
          <w:lang w:val="en-US" w:eastAsia="zh-CN"/>
        </w:rPr>
        <w:t>1）定标候选人名称、投标报价、业绩奖项、质量、工期、拟派驻招标项目管理机构人员信息等；（2）定标候选人按照招标文件要求承诺的项目负责人姓名及相关证书名称和编号；（3）响应招标文件要求的资格能力条件；（4）提出异议的渠道和方式；（5）评标专家代码（评标专家姓名可用代码进行标示，如专家一、专家二等）及其对应的具体评标意见（含对否决投标人相关意见等）以及评标报告；（6）投标文件；（7）招标文件确认公示的其他内容。</w:t>
      </w:r>
    </w:p>
    <w:p w14:paraId="06184284">
      <w:pPr>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br w:type="page"/>
      </w:r>
    </w:p>
    <w:p w14:paraId="2F40C170">
      <w:pPr>
        <w:keepNext w:val="0"/>
        <w:keepLines w:val="0"/>
        <w:pageBreakBefore w:val="0"/>
        <w:shd w:val="clear" w:color="auto" w:fill="auto"/>
        <w:kinsoku/>
        <w:wordWrap/>
        <w:overflowPunct/>
        <w:topLinePunct w:val="0"/>
        <w:bidi w:val="0"/>
        <w:adjustRightInd/>
        <w:snapToGrid/>
        <w:spacing w:line="360" w:lineRule="auto"/>
        <w:ind w:left="0" w:lef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p>
    <w:p w14:paraId="186995F8">
      <w:pPr>
        <w:keepNext w:val="0"/>
        <w:keepLines w:val="0"/>
        <w:pageBreakBefore w:val="0"/>
        <w:wordWrap w:val="0"/>
        <w:overflowPunct/>
        <w:topLinePunct w:val="0"/>
        <w:bidi w:val="0"/>
        <w:spacing w:before="98" w:line="221" w:lineRule="auto"/>
        <w:ind w:left="4248"/>
        <w:outlineLvl w:val="9"/>
        <w:rPr>
          <w:rFonts w:hint="eastAsia" w:ascii="宋体" w:hAnsi="宋体" w:eastAsia="宋体" w:cs="宋体"/>
          <w:b/>
          <w:bCs/>
          <w:color w:val="auto"/>
          <w:spacing w:val="0"/>
          <w:sz w:val="30"/>
          <w:szCs w:val="30"/>
          <w:highlight w:val="none"/>
        </w:rPr>
      </w:pPr>
      <w:r>
        <w:rPr>
          <w:rFonts w:hint="eastAsia" w:ascii="宋体" w:hAnsi="宋体" w:eastAsia="宋体" w:cs="宋体"/>
          <w:b/>
          <w:bCs/>
          <w:color w:val="auto"/>
          <w:spacing w:val="0"/>
          <w:sz w:val="30"/>
          <w:szCs w:val="30"/>
          <w:highlight w:val="none"/>
        </w:rPr>
        <w:t>综合评分表</w:t>
      </w:r>
      <w:bookmarkEnd w:id="85"/>
      <w:bookmarkEnd w:id="86"/>
      <w:bookmarkEnd w:id="87"/>
    </w:p>
    <w:tbl>
      <w:tblPr>
        <w:tblStyle w:val="17"/>
        <w:tblW w:w="10307" w:type="dxa"/>
        <w:jc w:val="center"/>
        <w:tblLayout w:type="fixed"/>
        <w:tblCellMar>
          <w:top w:w="0" w:type="dxa"/>
          <w:left w:w="108" w:type="dxa"/>
          <w:bottom w:w="0" w:type="dxa"/>
          <w:right w:w="108" w:type="dxa"/>
        </w:tblCellMar>
      </w:tblPr>
      <w:tblGrid>
        <w:gridCol w:w="1216"/>
        <w:gridCol w:w="3733"/>
        <w:gridCol w:w="5358"/>
      </w:tblGrid>
      <w:tr w14:paraId="4717515B">
        <w:tblPrEx>
          <w:tblCellMar>
            <w:top w:w="0" w:type="dxa"/>
            <w:left w:w="108" w:type="dxa"/>
            <w:bottom w:w="0" w:type="dxa"/>
            <w:right w:w="108" w:type="dxa"/>
          </w:tblCellMar>
        </w:tblPrEx>
        <w:trPr>
          <w:trHeight w:val="587" w:hRule="exact"/>
          <w:jc w:val="center"/>
        </w:trPr>
        <w:tc>
          <w:tcPr>
            <w:tcW w:w="10307" w:type="dxa"/>
            <w:gridSpan w:val="3"/>
            <w:tcBorders>
              <w:top w:val="single" w:color="auto" w:sz="4" w:space="0"/>
              <w:left w:val="single" w:color="auto" w:sz="4" w:space="0"/>
              <w:bottom w:val="single" w:color="auto" w:sz="4" w:space="0"/>
              <w:right w:val="single" w:color="auto" w:sz="4" w:space="0"/>
            </w:tcBorders>
            <w:shd w:val="clear" w:color="auto" w:fill="D7D7D7"/>
            <w:noWrap w:val="0"/>
            <w:vAlign w:val="center"/>
          </w:tcPr>
          <w:p w14:paraId="2F41C804">
            <w:pPr>
              <w:widowControl w:val="0"/>
              <w:tabs>
                <w:tab w:val="left" w:pos="1354"/>
                <w:tab w:val="left" w:pos="1459"/>
                <w:tab w:val="center" w:pos="3902"/>
                <w:tab w:val="right" w:pos="7805"/>
              </w:tabs>
              <w:wordWrap w:val="0"/>
              <w:spacing w:after="0" w:line="240" w:lineRule="auto"/>
              <w:jc w:val="both"/>
              <w:rPr>
                <w:rFonts w:hint="eastAsia" w:asciiTheme="minorEastAsia" w:hAnsiTheme="minorEastAsia" w:eastAsiaTheme="minorEastAsia" w:cstheme="minorEastAsia"/>
                <w:snapToGrid w:val="0"/>
                <w:color w:val="auto"/>
                <w:kern w:val="0"/>
                <w:sz w:val="21"/>
                <w:szCs w:val="21"/>
                <w:highlight w:val="none"/>
                <w:lang w:val="en-US" w:eastAsia="zh-CN" w:bidi="ar-SA"/>
              </w:rPr>
            </w:pPr>
            <w:r>
              <w:rPr>
                <w:rFonts w:hint="eastAsia" w:asciiTheme="minorEastAsia" w:hAnsiTheme="minorEastAsia" w:eastAsiaTheme="minorEastAsia" w:cstheme="minorEastAsia"/>
                <w:b/>
                <w:bCs/>
                <w:snapToGrid w:val="0"/>
                <w:color w:val="auto"/>
                <w:kern w:val="0"/>
                <w:sz w:val="24"/>
                <w:szCs w:val="24"/>
                <w:highlight w:val="none"/>
                <w:lang w:val="en-US" w:eastAsia="zh-CN" w:bidi="ar-SA"/>
              </w:rPr>
              <w:t>商务部分，满分：</w:t>
            </w:r>
            <w:r>
              <w:rPr>
                <w:rFonts w:hint="eastAsia" w:asciiTheme="minorEastAsia" w:hAnsiTheme="minorEastAsia" w:eastAsiaTheme="minorEastAsia" w:cstheme="minorEastAsia"/>
                <w:b/>
                <w:bCs/>
                <w:snapToGrid w:val="0"/>
                <w:color w:val="auto"/>
                <w:kern w:val="0"/>
                <w:sz w:val="24"/>
                <w:szCs w:val="24"/>
                <w:highlight w:val="none"/>
                <w:u w:val="single"/>
                <w:lang w:val="en-US" w:eastAsia="zh-CN" w:bidi="ar-SA"/>
              </w:rPr>
              <w:t xml:space="preserve">  80  </w:t>
            </w:r>
            <w:r>
              <w:rPr>
                <w:rFonts w:hint="eastAsia" w:asciiTheme="minorEastAsia" w:hAnsiTheme="minorEastAsia" w:eastAsiaTheme="minorEastAsia" w:cstheme="minorEastAsia"/>
                <w:b/>
                <w:bCs/>
                <w:snapToGrid w:val="0"/>
                <w:color w:val="auto"/>
                <w:kern w:val="0"/>
                <w:sz w:val="24"/>
                <w:szCs w:val="24"/>
                <w:highlight w:val="none"/>
                <w:lang w:val="en-US" w:eastAsia="zh-CN" w:bidi="ar-SA"/>
              </w:rPr>
              <w:t>分。</w:t>
            </w:r>
          </w:p>
        </w:tc>
      </w:tr>
      <w:tr w14:paraId="1660D7D2">
        <w:tblPrEx>
          <w:tblCellMar>
            <w:top w:w="0" w:type="dxa"/>
            <w:left w:w="108" w:type="dxa"/>
            <w:bottom w:w="0" w:type="dxa"/>
            <w:right w:w="108" w:type="dxa"/>
          </w:tblCellMar>
        </w:tblPrEx>
        <w:trPr>
          <w:trHeight w:val="583" w:hRule="exact"/>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1CB2C1BE">
            <w:pPr>
              <w:widowControl w:val="0"/>
              <w:tabs>
                <w:tab w:val="left" w:pos="1354"/>
                <w:tab w:val="left" w:pos="1459"/>
                <w:tab w:val="center" w:pos="3902"/>
                <w:tab w:val="right" w:pos="7805"/>
              </w:tabs>
              <w:wordWrap w:val="0"/>
              <w:adjustRightInd w:val="0"/>
              <w:spacing w:after="0" w:line="240" w:lineRule="auto"/>
              <w:jc w:val="center"/>
              <w:rPr>
                <w:rFonts w:hint="eastAsia" w:asciiTheme="minorEastAsia" w:hAnsiTheme="minorEastAsia" w:eastAsiaTheme="minorEastAsia" w:cstheme="minorEastAsia"/>
                <w:snapToGrid w:val="0"/>
                <w:color w:val="auto"/>
                <w:kern w:val="0"/>
                <w:sz w:val="21"/>
                <w:szCs w:val="21"/>
                <w:highlight w:val="none"/>
                <w:lang w:val="en-US" w:eastAsia="zh-CN" w:bidi="ar-SA"/>
              </w:rPr>
            </w:pPr>
            <w:r>
              <w:rPr>
                <w:rFonts w:hint="eastAsia" w:asciiTheme="minorEastAsia" w:hAnsiTheme="minorEastAsia" w:eastAsiaTheme="minorEastAsia" w:cstheme="minorEastAsia"/>
                <w:snapToGrid w:val="0"/>
                <w:color w:val="auto"/>
                <w:kern w:val="0"/>
                <w:sz w:val="21"/>
                <w:szCs w:val="21"/>
                <w:highlight w:val="none"/>
                <w:lang w:val="en-US" w:eastAsia="zh-CN" w:bidi="ar-SA"/>
              </w:rPr>
              <w:t>评分因素</w:t>
            </w:r>
          </w:p>
        </w:tc>
        <w:tc>
          <w:tcPr>
            <w:tcW w:w="3733" w:type="dxa"/>
            <w:tcBorders>
              <w:top w:val="single" w:color="auto" w:sz="4" w:space="0"/>
              <w:left w:val="single" w:color="auto" w:sz="4" w:space="0"/>
              <w:bottom w:val="single" w:color="auto" w:sz="4" w:space="0"/>
              <w:right w:val="single" w:color="auto" w:sz="4" w:space="0"/>
            </w:tcBorders>
            <w:noWrap w:val="0"/>
            <w:vAlign w:val="center"/>
          </w:tcPr>
          <w:p w14:paraId="6ADC85B7">
            <w:pPr>
              <w:widowControl w:val="0"/>
              <w:tabs>
                <w:tab w:val="left" w:pos="1354"/>
                <w:tab w:val="left" w:pos="1459"/>
                <w:tab w:val="center" w:pos="3902"/>
                <w:tab w:val="right" w:pos="7805"/>
              </w:tabs>
              <w:wordWrap w:val="0"/>
              <w:adjustRightInd w:val="0"/>
              <w:spacing w:after="0" w:line="240" w:lineRule="auto"/>
              <w:jc w:val="center"/>
              <w:rPr>
                <w:rFonts w:hint="eastAsia" w:asciiTheme="minorEastAsia" w:hAnsiTheme="minorEastAsia" w:eastAsiaTheme="minorEastAsia" w:cstheme="minorEastAsia"/>
                <w:snapToGrid w:val="0"/>
                <w:color w:val="auto"/>
                <w:kern w:val="0"/>
                <w:sz w:val="21"/>
                <w:szCs w:val="21"/>
                <w:highlight w:val="none"/>
                <w:lang w:val="en-US" w:eastAsia="zh-CN" w:bidi="ar-SA"/>
              </w:rPr>
            </w:pPr>
            <w:r>
              <w:rPr>
                <w:rFonts w:hint="eastAsia" w:asciiTheme="minorEastAsia" w:hAnsiTheme="minorEastAsia" w:eastAsiaTheme="minorEastAsia" w:cstheme="minorEastAsia"/>
                <w:snapToGrid w:val="0"/>
                <w:color w:val="auto"/>
                <w:kern w:val="0"/>
                <w:sz w:val="21"/>
                <w:szCs w:val="21"/>
                <w:highlight w:val="none"/>
                <w:lang w:val="en-US" w:eastAsia="zh-CN" w:bidi="ar-SA"/>
              </w:rPr>
              <w:t>评分标准</w:t>
            </w:r>
          </w:p>
        </w:tc>
        <w:tc>
          <w:tcPr>
            <w:tcW w:w="5358" w:type="dxa"/>
            <w:tcBorders>
              <w:top w:val="single" w:color="auto" w:sz="4" w:space="0"/>
              <w:left w:val="single" w:color="auto" w:sz="4" w:space="0"/>
              <w:bottom w:val="single" w:color="auto" w:sz="4" w:space="0"/>
              <w:right w:val="single" w:color="auto" w:sz="4" w:space="0"/>
            </w:tcBorders>
            <w:noWrap w:val="0"/>
            <w:vAlign w:val="center"/>
          </w:tcPr>
          <w:p w14:paraId="616A4430">
            <w:pPr>
              <w:widowControl w:val="0"/>
              <w:tabs>
                <w:tab w:val="left" w:pos="1354"/>
                <w:tab w:val="left" w:pos="1459"/>
                <w:tab w:val="center" w:pos="3902"/>
                <w:tab w:val="right" w:pos="7805"/>
              </w:tabs>
              <w:wordWrap w:val="0"/>
              <w:adjustRightInd w:val="0"/>
              <w:spacing w:after="0" w:line="240" w:lineRule="auto"/>
              <w:jc w:val="center"/>
              <w:rPr>
                <w:rFonts w:hint="eastAsia" w:asciiTheme="minorEastAsia" w:hAnsiTheme="minorEastAsia" w:eastAsiaTheme="minorEastAsia" w:cstheme="minorEastAsia"/>
                <w:snapToGrid w:val="0"/>
                <w:color w:val="auto"/>
                <w:kern w:val="0"/>
                <w:sz w:val="21"/>
                <w:szCs w:val="21"/>
                <w:highlight w:val="none"/>
                <w:lang w:val="en-US" w:eastAsia="zh-CN" w:bidi="ar-SA"/>
              </w:rPr>
            </w:pPr>
            <w:r>
              <w:rPr>
                <w:rFonts w:hint="eastAsia" w:asciiTheme="minorEastAsia" w:hAnsiTheme="minorEastAsia" w:eastAsiaTheme="minorEastAsia" w:cstheme="minorEastAsia"/>
                <w:snapToGrid w:val="0"/>
                <w:color w:val="auto"/>
                <w:kern w:val="0"/>
                <w:sz w:val="21"/>
                <w:szCs w:val="21"/>
                <w:highlight w:val="none"/>
                <w:lang w:val="en-US" w:eastAsia="zh-CN" w:bidi="ar-SA"/>
              </w:rPr>
              <w:t>备注</w:t>
            </w:r>
          </w:p>
        </w:tc>
      </w:tr>
      <w:tr w14:paraId="05544B00">
        <w:tblPrEx>
          <w:tblCellMar>
            <w:top w:w="0" w:type="dxa"/>
            <w:left w:w="108" w:type="dxa"/>
            <w:bottom w:w="0" w:type="dxa"/>
            <w:right w:w="108" w:type="dxa"/>
          </w:tblCellMar>
        </w:tblPrEx>
        <w:trPr>
          <w:trHeight w:val="2069" w:hRule="atLeast"/>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58A81852">
            <w:pPr>
              <w:pStyle w:val="6"/>
              <w:keepNext w:val="0"/>
              <w:keepLines w:val="0"/>
              <w:pageBreakBefore w:val="0"/>
              <w:kinsoku/>
              <w:wordWrap w:val="0"/>
              <w:overflowPunct/>
              <w:topLinePunct w:val="0"/>
              <w:autoSpaceDE/>
              <w:autoSpaceDN/>
              <w:bidi w:val="0"/>
              <w:adjustRightInd w:val="0"/>
              <w:snapToGrid w:val="0"/>
              <w:spacing w:after="0"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项目经理</w:t>
            </w:r>
          </w:p>
          <w:p w14:paraId="4CBC7C37">
            <w:pPr>
              <w:pStyle w:val="6"/>
              <w:keepNext w:val="0"/>
              <w:keepLines w:val="0"/>
              <w:pageBreakBefore w:val="0"/>
              <w:kinsoku/>
              <w:wordWrap w:val="0"/>
              <w:overflowPunct/>
              <w:topLinePunct w:val="0"/>
              <w:autoSpaceDE/>
              <w:autoSpaceDN/>
              <w:bidi w:val="0"/>
              <w:adjustRightInd w:val="0"/>
              <w:snapToGrid w:val="0"/>
              <w:spacing w:after="0"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综合素质</w:t>
            </w:r>
          </w:p>
          <w:p w14:paraId="01B85599">
            <w:pPr>
              <w:pStyle w:val="6"/>
              <w:keepNext w:val="0"/>
              <w:keepLines w:val="0"/>
              <w:pageBreakBefore w:val="0"/>
              <w:kinsoku/>
              <w:wordWrap w:val="0"/>
              <w:overflowPunct/>
              <w:topLinePunct w:val="0"/>
              <w:autoSpaceDE/>
              <w:autoSpaceDN/>
              <w:bidi w:val="0"/>
              <w:adjustRightInd w:val="0"/>
              <w:snapToGrid w:val="0"/>
              <w:spacing w:after="0" w:line="360" w:lineRule="exact"/>
              <w:jc w:val="center"/>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10</w:t>
            </w:r>
            <w:r>
              <w:rPr>
                <w:rFonts w:hint="eastAsia" w:ascii="宋体" w:hAnsi="宋体" w:eastAsia="宋体" w:cs="宋体"/>
                <w:snapToGrid w:val="0"/>
                <w:color w:val="auto"/>
                <w:kern w:val="0"/>
                <w:sz w:val="24"/>
                <w:szCs w:val="24"/>
                <w:highlight w:val="none"/>
              </w:rPr>
              <w:t>分）</w:t>
            </w:r>
          </w:p>
        </w:tc>
        <w:tc>
          <w:tcPr>
            <w:tcW w:w="3733" w:type="dxa"/>
            <w:tcBorders>
              <w:top w:val="single" w:color="auto" w:sz="4" w:space="0"/>
              <w:left w:val="single" w:color="auto" w:sz="4" w:space="0"/>
              <w:bottom w:val="single" w:color="auto" w:sz="4" w:space="0"/>
              <w:right w:val="single" w:color="auto" w:sz="4" w:space="0"/>
            </w:tcBorders>
            <w:noWrap w:val="0"/>
            <w:vAlign w:val="center"/>
          </w:tcPr>
          <w:p w14:paraId="3236D2AC">
            <w:pPr>
              <w:pStyle w:val="6"/>
              <w:keepNext w:val="0"/>
              <w:keepLines w:val="0"/>
              <w:pageBreakBefore w:val="0"/>
              <w:widowControl/>
              <w:suppressLineNumbers w:val="0"/>
              <w:kinsoku/>
              <w:wordWrap w:val="0"/>
              <w:overflowPunct/>
              <w:topLinePunct w:val="0"/>
              <w:autoSpaceDE/>
              <w:autoSpaceDN/>
              <w:bidi w:val="0"/>
              <w:adjustRightInd w:val="0"/>
              <w:snapToGrid w:val="0"/>
              <w:spacing w:before="0" w:beforeAutospacing="0" w:after="0" w:line="360" w:lineRule="exact"/>
              <w:ind w:left="0" w:right="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项目经理工程类技术职称情况：</w:t>
            </w:r>
          </w:p>
          <w:p w14:paraId="4D1A3330">
            <w:pPr>
              <w:pStyle w:val="6"/>
              <w:keepNext w:val="0"/>
              <w:keepLines w:val="0"/>
              <w:pageBreakBefore w:val="0"/>
              <w:widowControl/>
              <w:suppressLineNumbers w:val="0"/>
              <w:kinsoku/>
              <w:wordWrap w:val="0"/>
              <w:overflowPunct/>
              <w:topLinePunct w:val="0"/>
              <w:autoSpaceDE/>
              <w:autoSpaceDN/>
              <w:bidi w:val="0"/>
              <w:adjustRightInd w:val="0"/>
              <w:snapToGrid w:val="0"/>
              <w:spacing w:before="0" w:beforeAutospacing="0" w:after="0" w:line="360" w:lineRule="exact"/>
              <w:ind w:left="0" w:right="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1．具备工程师或以上职称的，得</w:t>
            </w:r>
            <w:r>
              <w:rPr>
                <w:rFonts w:hint="eastAsia" w:ascii="宋体" w:hAnsi="宋体" w:eastAsia="宋体" w:cs="宋体"/>
                <w:snapToGrid w:val="0"/>
                <w:color w:val="auto"/>
                <w:kern w:val="0"/>
                <w:sz w:val="24"/>
                <w:szCs w:val="24"/>
                <w:highlight w:val="none"/>
                <w:u w:val="single"/>
                <w:lang w:val="en-US" w:eastAsia="zh-CN"/>
              </w:rPr>
              <w:t>10</w:t>
            </w:r>
            <w:r>
              <w:rPr>
                <w:rFonts w:hint="eastAsia" w:ascii="宋体" w:hAnsi="宋体" w:eastAsia="宋体" w:cs="宋体"/>
                <w:snapToGrid w:val="0"/>
                <w:color w:val="auto"/>
                <w:kern w:val="0"/>
                <w:sz w:val="24"/>
                <w:szCs w:val="24"/>
                <w:highlight w:val="none"/>
              </w:rPr>
              <w:t>分。</w:t>
            </w:r>
          </w:p>
          <w:p w14:paraId="21F96EC9">
            <w:pPr>
              <w:pStyle w:val="6"/>
              <w:keepNext w:val="0"/>
              <w:keepLines w:val="0"/>
              <w:pageBreakBefore w:val="0"/>
              <w:widowControl/>
              <w:suppressLineNumbers w:val="0"/>
              <w:kinsoku/>
              <w:wordWrap w:val="0"/>
              <w:overflowPunct/>
              <w:topLinePunct w:val="0"/>
              <w:autoSpaceDE/>
              <w:autoSpaceDN/>
              <w:bidi w:val="0"/>
              <w:adjustRightInd w:val="0"/>
              <w:snapToGrid w:val="0"/>
              <w:spacing w:before="0" w:beforeAutospacing="0" w:after="0" w:line="360" w:lineRule="exact"/>
              <w:ind w:left="0" w:right="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2．具备助理工程师职称的，得</w:t>
            </w:r>
            <w:r>
              <w:rPr>
                <w:rFonts w:hint="eastAsia" w:ascii="宋体" w:hAnsi="宋体" w:eastAsia="宋体" w:cs="宋体"/>
                <w:snapToGrid w:val="0"/>
                <w:color w:val="auto"/>
                <w:kern w:val="0"/>
                <w:sz w:val="24"/>
                <w:szCs w:val="24"/>
                <w:highlight w:val="none"/>
                <w:u w:val="single"/>
                <w:lang w:val="en-US" w:eastAsia="zh-CN"/>
              </w:rPr>
              <w:t>5</w:t>
            </w:r>
            <w:r>
              <w:rPr>
                <w:rFonts w:hint="eastAsia" w:ascii="宋体" w:hAnsi="宋体" w:eastAsia="宋体" w:cs="宋体"/>
                <w:snapToGrid w:val="0"/>
                <w:color w:val="auto"/>
                <w:kern w:val="0"/>
                <w:sz w:val="24"/>
                <w:szCs w:val="24"/>
                <w:highlight w:val="none"/>
              </w:rPr>
              <w:t>分。</w:t>
            </w:r>
          </w:p>
          <w:p w14:paraId="53FF6796">
            <w:pPr>
              <w:pStyle w:val="6"/>
              <w:keepNext w:val="0"/>
              <w:keepLines w:val="0"/>
              <w:pageBreakBefore w:val="0"/>
              <w:widowControl/>
              <w:kinsoku/>
              <w:wordWrap w:val="0"/>
              <w:overflowPunct/>
              <w:topLinePunct w:val="0"/>
              <w:autoSpaceDE/>
              <w:autoSpaceDN/>
              <w:bidi w:val="0"/>
              <w:adjustRightInd w:val="0"/>
              <w:snapToGrid w:val="0"/>
              <w:spacing w:after="0" w:line="360" w:lineRule="exact"/>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3．不具备以上职称的，不予计分。</w:t>
            </w:r>
          </w:p>
          <w:p w14:paraId="576858C7">
            <w:pPr>
              <w:pStyle w:val="13"/>
              <w:keepNext w:val="0"/>
              <w:keepLines w:val="0"/>
              <w:pageBreakBefore w:val="0"/>
              <w:widowControl/>
              <w:kinsoku/>
              <w:overflowPunct/>
              <w:topLinePunct w:val="0"/>
              <w:autoSpaceDE/>
              <w:autoSpaceDN/>
              <w:bidi w:val="0"/>
              <w:spacing w:line="360" w:lineRule="exact"/>
              <w:textAlignment w:val="baseline"/>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lang w:val="en-US" w:eastAsia="zh-CN" w:bidi="ar-SA"/>
              </w:rPr>
              <w:t>本项最高得10分。</w:t>
            </w:r>
          </w:p>
        </w:tc>
        <w:tc>
          <w:tcPr>
            <w:tcW w:w="5358" w:type="dxa"/>
            <w:tcBorders>
              <w:top w:val="single" w:color="auto" w:sz="4" w:space="0"/>
              <w:left w:val="single" w:color="auto" w:sz="4" w:space="0"/>
              <w:bottom w:val="single" w:color="auto" w:sz="4" w:space="0"/>
              <w:right w:val="single" w:color="auto" w:sz="4" w:space="0"/>
            </w:tcBorders>
            <w:noWrap w:val="0"/>
            <w:vAlign w:val="center"/>
          </w:tcPr>
          <w:p w14:paraId="518C18EA">
            <w:pPr>
              <w:keepNext w:val="0"/>
              <w:keepLines/>
              <w:pageBreakBefore w:val="0"/>
              <w:widowControl/>
              <w:kinsoku/>
              <w:wordWrap w:val="0"/>
              <w:overflowPunct/>
              <w:topLinePunct w:val="0"/>
              <w:bidi w:val="0"/>
              <w:adjustRightInd w:val="0"/>
              <w:snapToGrid w:val="0"/>
              <w:spacing w:after="0" w:line="420" w:lineRule="exact"/>
              <w:rPr>
                <w:rFonts w:hint="eastAsia" w:ascii="宋体" w:hAnsi="宋体" w:eastAsia="宋体" w:cs="宋体"/>
                <w:b/>
                <w:bCs/>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lang w:val="en-US" w:eastAsia="zh-CN"/>
              </w:rPr>
              <w:t>需</w:t>
            </w:r>
            <w:r>
              <w:rPr>
                <w:rFonts w:hint="eastAsia" w:ascii="宋体" w:hAnsi="宋体" w:eastAsia="宋体" w:cs="宋体"/>
                <w:snapToGrid w:val="0"/>
                <w:color w:val="auto"/>
                <w:kern w:val="0"/>
                <w:sz w:val="24"/>
                <w:szCs w:val="24"/>
                <w:highlight w:val="none"/>
              </w:rPr>
              <w:t>附职称证彩色扫描件(或打印件)并加盖</w:t>
            </w:r>
            <w:r>
              <w:rPr>
                <w:rFonts w:hint="eastAsia" w:ascii="宋体" w:hAnsi="宋体" w:eastAsia="宋体" w:cs="宋体"/>
                <w:snapToGrid w:val="0"/>
                <w:color w:val="auto"/>
                <w:kern w:val="0"/>
                <w:sz w:val="24"/>
                <w:szCs w:val="24"/>
                <w:highlight w:val="none"/>
                <w:lang w:val="en-US" w:eastAsia="zh-CN"/>
              </w:rPr>
              <w:t>单位</w:t>
            </w:r>
            <w:r>
              <w:rPr>
                <w:rFonts w:hint="eastAsia" w:ascii="宋体" w:hAnsi="宋体" w:eastAsia="宋体" w:cs="宋体"/>
                <w:snapToGrid w:val="0"/>
                <w:color w:val="auto"/>
                <w:kern w:val="0"/>
                <w:sz w:val="24"/>
                <w:szCs w:val="24"/>
                <w:highlight w:val="none"/>
              </w:rPr>
              <w:t>公章。</w:t>
            </w:r>
          </w:p>
        </w:tc>
      </w:tr>
      <w:tr w14:paraId="26BD457A">
        <w:tblPrEx>
          <w:tblCellMar>
            <w:top w:w="0" w:type="dxa"/>
            <w:left w:w="108" w:type="dxa"/>
            <w:bottom w:w="0" w:type="dxa"/>
            <w:right w:w="108" w:type="dxa"/>
          </w:tblCellMar>
        </w:tblPrEx>
        <w:trPr>
          <w:trHeight w:val="2843" w:hRule="atLeast"/>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15140BDD">
            <w:pPr>
              <w:pStyle w:val="6"/>
              <w:keepNext w:val="0"/>
              <w:keepLines w:val="0"/>
              <w:pageBreakBefore w:val="0"/>
              <w:kinsoku/>
              <w:wordWrap w:val="0"/>
              <w:overflowPunct/>
              <w:topLinePunct w:val="0"/>
              <w:autoSpaceDE/>
              <w:autoSpaceDN/>
              <w:bidi w:val="0"/>
              <w:adjustRightInd w:val="0"/>
              <w:snapToGrid w:val="0"/>
              <w:spacing w:after="0"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企业业绩</w:t>
            </w:r>
          </w:p>
          <w:p w14:paraId="019CAD16">
            <w:pPr>
              <w:pStyle w:val="6"/>
              <w:keepNext w:val="0"/>
              <w:keepLines w:val="0"/>
              <w:pageBreakBefore w:val="0"/>
              <w:kinsoku/>
              <w:wordWrap w:val="0"/>
              <w:overflowPunct/>
              <w:topLinePunct w:val="0"/>
              <w:autoSpaceDE/>
              <w:autoSpaceDN/>
              <w:bidi w:val="0"/>
              <w:adjustRightInd w:val="0"/>
              <w:snapToGrid w:val="0"/>
              <w:spacing w:after="0" w:line="360" w:lineRule="exact"/>
              <w:jc w:val="center"/>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15</w:t>
            </w:r>
            <w:r>
              <w:rPr>
                <w:rFonts w:hint="eastAsia" w:ascii="宋体" w:hAnsi="宋体" w:eastAsia="宋体" w:cs="宋体"/>
                <w:snapToGrid w:val="0"/>
                <w:color w:val="auto"/>
                <w:kern w:val="0"/>
                <w:sz w:val="24"/>
                <w:szCs w:val="24"/>
                <w:highlight w:val="none"/>
              </w:rPr>
              <w:t>分）</w:t>
            </w:r>
          </w:p>
        </w:tc>
        <w:tc>
          <w:tcPr>
            <w:tcW w:w="3733" w:type="dxa"/>
            <w:tcBorders>
              <w:top w:val="single" w:color="auto" w:sz="4" w:space="0"/>
              <w:left w:val="single" w:color="auto" w:sz="4" w:space="0"/>
              <w:bottom w:val="single" w:color="auto" w:sz="4" w:space="0"/>
              <w:right w:val="single" w:color="auto" w:sz="4" w:space="0"/>
            </w:tcBorders>
            <w:noWrap w:val="0"/>
            <w:vAlign w:val="center"/>
          </w:tcPr>
          <w:p w14:paraId="12C43C4B">
            <w:pPr>
              <w:pStyle w:val="6"/>
              <w:keepNext w:val="0"/>
              <w:keepLines w:val="0"/>
              <w:pageBreakBefore w:val="0"/>
              <w:widowControl w:val="0"/>
              <w:kinsoku/>
              <w:wordWrap w:val="0"/>
              <w:overflowPunct/>
              <w:topLinePunct w:val="0"/>
              <w:autoSpaceDE/>
              <w:autoSpaceDN/>
              <w:bidi w:val="0"/>
              <w:adjustRightInd w:val="0"/>
              <w:snapToGrid w:val="0"/>
              <w:spacing w:after="0" w:line="340" w:lineRule="exact"/>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企业近3年来（2023年至今）业绩情况：</w:t>
            </w:r>
          </w:p>
          <w:p w14:paraId="7BE075FD">
            <w:pPr>
              <w:pStyle w:val="6"/>
              <w:keepNext w:val="0"/>
              <w:keepLines w:val="0"/>
              <w:pageBreakBefore w:val="0"/>
              <w:widowControl w:val="0"/>
              <w:numPr>
                <w:ilvl w:val="0"/>
                <w:numId w:val="0"/>
              </w:numPr>
              <w:kinsoku/>
              <w:wordWrap w:val="0"/>
              <w:overflowPunct/>
              <w:topLinePunct w:val="0"/>
              <w:autoSpaceDE/>
              <w:autoSpaceDN/>
              <w:bidi w:val="0"/>
              <w:adjustRightInd w:val="0"/>
              <w:snapToGrid w:val="0"/>
              <w:spacing w:after="0" w:line="340" w:lineRule="exact"/>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bidi="ar-SA"/>
              </w:rPr>
              <w:t>1.</w:t>
            </w:r>
            <w:r>
              <w:rPr>
                <w:rFonts w:hint="eastAsia" w:ascii="宋体" w:hAnsi="宋体" w:eastAsia="宋体" w:cs="宋体"/>
                <w:snapToGrid w:val="0"/>
                <w:color w:val="auto"/>
                <w:kern w:val="0"/>
                <w:sz w:val="24"/>
                <w:szCs w:val="24"/>
                <w:highlight w:val="none"/>
                <w:u w:val="single"/>
                <w:lang w:val="en-US" w:eastAsia="zh-CN"/>
              </w:rPr>
              <w:t>承接</w:t>
            </w:r>
            <w:r>
              <w:rPr>
                <w:rFonts w:hint="eastAsia" w:ascii="宋体" w:hAnsi="宋体" w:eastAsia="宋体" w:cs="宋体"/>
                <w:snapToGrid w:val="0"/>
                <w:color w:val="auto"/>
                <w:kern w:val="0"/>
                <w:sz w:val="24"/>
                <w:szCs w:val="24"/>
                <w:highlight w:val="none"/>
                <w:lang w:val="en-US" w:eastAsia="zh-CN"/>
              </w:rPr>
              <w:t>过类似工程的，每个得</w:t>
            </w:r>
            <w:r>
              <w:rPr>
                <w:rFonts w:hint="eastAsia" w:ascii="宋体" w:hAnsi="宋体" w:eastAsia="宋体" w:cs="宋体"/>
                <w:snapToGrid w:val="0"/>
                <w:color w:val="auto"/>
                <w:kern w:val="0"/>
                <w:sz w:val="24"/>
                <w:szCs w:val="24"/>
                <w:highlight w:val="none"/>
                <w:u w:val="single"/>
                <w:lang w:val="en-US" w:eastAsia="zh-CN"/>
              </w:rPr>
              <w:t xml:space="preserve"> 5 </w:t>
            </w:r>
            <w:r>
              <w:rPr>
                <w:rFonts w:hint="eastAsia" w:ascii="宋体" w:hAnsi="宋体" w:eastAsia="宋体" w:cs="宋体"/>
                <w:snapToGrid w:val="0"/>
                <w:color w:val="auto"/>
                <w:kern w:val="0"/>
                <w:sz w:val="24"/>
                <w:szCs w:val="24"/>
                <w:highlight w:val="none"/>
                <w:lang w:val="en-US" w:eastAsia="zh-CN"/>
              </w:rPr>
              <w:t>分。</w:t>
            </w:r>
          </w:p>
          <w:p w14:paraId="3CD6F077">
            <w:pPr>
              <w:pStyle w:val="6"/>
              <w:keepNext w:val="0"/>
              <w:keepLines w:val="0"/>
              <w:pageBreakBefore w:val="0"/>
              <w:widowControl w:val="0"/>
              <w:numPr>
                <w:ilvl w:val="0"/>
                <w:numId w:val="0"/>
              </w:numPr>
              <w:kinsoku/>
              <w:wordWrap w:val="0"/>
              <w:overflowPunct/>
              <w:topLinePunct w:val="0"/>
              <w:autoSpaceDE/>
              <w:autoSpaceDN/>
              <w:bidi w:val="0"/>
              <w:adjustRightInd w:val="0"/>
              <w:snapToGrid w:val="0"/>
              <w:spacing w:after="0" w:line="340" w:lineRule="exact"/>
              <w:ind w:left="0" w:leftChars="0" w:firstLine="0" w:firstLineChars="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bidi="ar-SA"/>
              </w:rPr>
              <w:t>2.</w:t>
            </w:r>
            <w:r>
              <w:rPr>
                <w:rFonts w:hint="eastAsia" w:ascii="宋体" w:hAnsi="宋体" w:eastAsia="宋体" w:cs="宋体"/>
                <w:snapToGrid w:val="0"/>
                <w:color w:val="auto"/>
                <w:kern w:val="0"/>
                <w:sz w:val="24"/>
                <w:szCs w:val="24"/>
                <w:highlight w:val="none"/>
                <w:u w:val="single"/>
                <w:lang w:val="en-US" w:eastAsia="zh-CN"/>
              </w:rPr>
              <w:t>未承接</w:t>
            </w:r>
            <w:r>
              <w:rPr>
                <w:rFonts w:hint="eastAsia" w:ascii="宋体" w:hAnsi="宋体" w:eastAsia="宋体" w:cs="宋体"/>
                <w:snapToGrid w:val="0"/>
                <w:color w:val="auto"/>
                <w:kern w:val="0"/>
                <w:sz w:val="24"/>
                <w:szCs w:val="24"/>
                <w:highlight w:val="none"/>
                <w:lang w:val="en-US" w:eastAsia="zh-CN"/>
              </w:rPr>
              <w:t>过类似工程的，不予计分。</w:t>
            </w:r>
          </w:p>
          <w:p w14:paraId="0DD34343">
            <w:pPr>
              <w:pStyle w:val="6"/>
              <w:keepNext w:val="0"/>
              <w:keepLines w:val="0"/>
              <w:pageBreakBefore w:val="0"/>
              <w:widowControl w:val="0"/>
              <w:kinsoku/>
              <w:wordWrap w:val="0"/>
              <w:overflowPunct/>
              <w:topLinePunct w:val="0"/>
              <w:autoSpaceDE/>
              <w:autoSpaceDN/>
              <w:bidi w:val="0"/>
              <w:adjustRightInd w:val="0"/>
              <w:snapToGrid w:val="0"/>
              <w:spacing w:after="0" w:line="340" w:lineRule="exact"/>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snapToGrid w:val="0"/>
                <w:color w:val="auto"/>
                <w:kern w:val="0"/>
                <w:sz w:val="24"/>
                <w:szCs w:val="24"/>
                <w:highlight w:val="none"/>
                <w:lang w:val="en-US" w:eastAsia="zh-CN"/>
              </w:rPr>
              <w:t xml:space="preserve">本项最高得15分。 </w:t>
            </w:r>
          </w:p>
        </w:tc>
        <w:tc>
          <w:tcPr>
            <w:tcW w:w="5358" w:type="dxa"/>
            <w:tcBorders>
              <w:top w:val="single" w:color="auto" w:sz="4" w:space="0"/>
              <w:left w:val="single" w:color="auto" w:sz="4" w:space="0"/>
              <w:bottom w:val="single" w:color="auto" w:sz="4" w:space="0"/>
              <w:right w:val="single" w:color="auto" w:sz="4" w:space="0"/>
            </w:tcBorders>
            <w:noWrap w:val="0"/>
            <w:vAlign w:val="center"/>
          </w:tcPr>
          <w:p w14:paraId="5822E9F3">
            <w:pPr>
              <w:pStyle w:val="6"/>
              <w:keepNext w:val="0"/>
              <w:keepLines w:val="0"/>
              <w:pageBreakBefore w:val="0"/>
              <w:kinsoku/>
              <w:wordWrap w:val="0"/>
              <w:overflowPunct/>
              <w:topLinePunct w:val="0"/>
              <w:autoSpaceDE/>
              <w:autoSpaceDN/>
              <w:bidi w:val="0"/>
              <w:adjustRightInd w:val="0"/>
              <w:snapToGrid w:val="0"/>
              <w:spacing w:after="0" w:line="340" w:lineRule="exact"/>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1．</w:t>
            </w:r>
            <w:r>
              <w:rPr>
                <w:rFonts w:hint="eastAsia" w:ascii="宋体" w:hAnsi="宋体" w:eastAsia="宋体" w:cs="宋体"/>
                <w:snapToGrid w:val="0"/>
                <w:color w:val="auto"/>
                <w:kern w:val="0"/>
                <w:sz w:val="24"/>
                <w:szCs w:val="24"/>
                <w:highlight w:val="none"/>
              </w:rPr>
              <w:t>类似工程指：</w:t>
            </w:r>
            <w:r>
              <w:rPr>
                <w:rFonts w:hint="eastAsia" w:ascii="宋体" w:hAnsi="宋体" w:eastAsia="宋体" w:cs="宋体"/>
                <w:b/>
                <w:bCs/>
                <w:snapToGrid w:val="0"/>
                <w:color w:val="auto"/>
                <w:kern w:val="0"/>
                <w:sz w:val="24"/>
                <w:szCs w:val="24"/>
                <w:highlight w:val="none"/>
                <w:u w:val="single"/>
                <w:lang w:val="en-US" w:eastAsia="zh-CN"/>
              </w:rPr>
              <w:t xml:space="preserve"> </w:t>
            </w:r>
            <w:r>
              <w:rPr>
                <w:rFonts w:hint="eastAsia" w:ascii="宋体" w:hAnsi="宋体" w:eastAsia="宋体" w:cs="宋体"/>
                <w:b w:val="0"/>
                <w:bCs w:val="0"/>
                <w:snapToGrid w:val="0"/>
                <w:color w:val="auto"/>
                <w:kern w:val="0"/>
                <w:sz w:val="24"/>
                <w:szCs w:val="24"/>
                <w:highlight w:val="none"/>
                <w:u w:val="single"/>
                <w:lang w:val="en-US" w:eastAsia="zh-CN"/>
              </w:rPr>
              <w:t>工程类项目施工</w:t>
            </w:r>
            <w:r>
              <w:rPr>
                <w:rFonts w:hint="eastAsia" w:ascii="宋体" w:hAnsi="宋体" w:eastAsia="宋体" w:cs="宋体"/>
                <w:b/>
                <w:bCs/>
                <w:snapToGrid w:val="0"/>
                <w:color w:val="auto"/>
                <w:kern w:val="0"/>
                <w:sz w:val="24"/>
                <w:szCs w:val="24"/>
                <w:highlight w:val="none"/>
                <w:u w:val="single"/>
                <w:lang w:val="en-US" w:eastAsia="zh-CN"/>
              </w:rPr>
              <w:t xml:space="preserve"> 。</w:t>
            </w:r>
          </w:p>
          <w:p w14:paraId="75D781BD">
            <w:pPr>
              <w:pStyle w:val="6"/>
              <w:keepNext w:val="0"/>
              <w:keepLines w:val="0"/>
              <w:pageBreakBefore w:val="0"/>
              <w:kinsoku/>
              <w:wordWrap w:val="0"/>
              <w:overflowPunct/>
              <w:topLinePunct w:val="0"/>
              <w:autoSpaceDE/>
              <w:autoSpaceDN/>
              <w:bidi w:val="0"/>
              <w:adjustRightInd w:val="0"/>
              <w:snapToGrid w:val="0"/>
              <w:spacing w:after="0" w:line="340" w:lineRule="exact"/>
              <w:rPr>
                <w:rFonts w:hint="eastAsia" w:ascii="宋体" w:hAnsi="宋体" w:eastAsia="宋体" w:cs="宋体"/>
                <w:i/>
                <w:iCs/>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2．</w:t>
            </w:r>
            <w:r>
              <w:rPr>
                <w:rFonts w:hint="eastAsia" w:ascii="宋体" w:hAnsi="宋体" w:eastAsia="宋体" w:cs="宋体"/>
                <w:snapToGrid w:val="0"/>
                <w:color w:val="auto"/>
                <w:kern w:val="0"/>
                <w:sz w:val="24"/>
                <w:szCs w:val="24"/>
                <w:highlight w:val="none"/>
              </w:rPr>
              <w:t>需附有关业绩合同协议书</w:t>
            </w:r>
            <w:r>
              <w:rPr>
                <w:rFonts w:hint="eastAsia" w:ascii="宋体" w:hAnsi="宋体" w:eastAsia="宋体" w:cs="宋体"/>
                <w:snapToGrid w:val="0"/>
                <w:color w:val="auto"/>
                <w:kern w:val="0"/>
                <w:sz w:val="24"/>
                <w:szCs w:val="24"/>
                <w:highlight w:val="none"/>
                <w:lang w:eastAsia="zh-CN"/>
              </w:rPr>
              <w:t>（关键页）</w:t>
            </w:r>
            <w:r>
              <w:rPr>
                <w:rFonts w:hint="eastAsia" w:ascii="宋体" w:hAnsi="宋体" w:eastAsia="宋体" w:cs="宋体"/>
                <w:snapToGrid w:val="0"/>
                <w:color w:val="auto"/>
                <w:kern w:val="0"/>
                <w:sz w:val="24"/>
                <w:szCs w:val="24"/>
                <w:highlight w:val="none"/>
              </w:rPr>
              <w:t>的</w:t>
            </w:r>
            <w:r>
              <w:rPr>
                <w:rFonts w:hint="eastAsia" w:ascii="宋体" w:hAnsi="宋体" w:eastAsia="宋体" w:cs="宋体"/>
                <w:snapToGrid w:val="0"/>
                <w:color w:val="auto"/>
                <w:kern w:val="0"/>
                <w:sz w:val="24"/>
                <w:szCs w:val="24"/>
                <w:highlight w:val="none"/>
                <w:lang w:val="en-US" w:eastAsia="zh-CN"/>
              </w:rPr>
              <w:t>彩色扫描件。</w:t>
            </w:r>
          </w:p>
          <w:p w14:paraId="4B04D0B7">
            <w:pPr>
              <w:pStyle w:val="6"/>
              <w:keepNext w:val="0"/>
              <w:keepLines w:val="0"/>
              <w:pageBreakBefore w:val="0"/>
              <w:kinsoku/>
              <w:wordWrap w:val="0"/>
              <w:overflowPunct/>
              <w:topLinePunct w:val="0"/>
              <w:autoSpaceDE/>
              <w:autoSpaceDN/>
              <w:bidi w:val="0"/>
              <w:adjustRightInd w:val="0"/>
              <w:snapToGrid w:val="0"/>
              <w:spacing w:after="0" w:line="340" w:lineRule="exact"/>
              <w:rPr>
                <w:rFonts w:hint="eastAsia" w:ascii="宋体" w:hAnsi="宋体" w:eastAsia="宋体" w:cs="宋体"/>
                <w:i/>
                <w:iCs/>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3．业绩时间以合同协议书日期为准。</w:t>
            </w:r>
          </w:p>
          <w:p w14:paraId="13F690F9">
            <w:pPr>
              <w:pStyle w:val="6"/>
              <w:keepNext w:val="0"/>
              <w:keepLines w:val="0"/>
              <w:pageBreakBefore w:val="0"/>
              <w:kinsoku/>
              <w:wordWrap w:val="0"/>
              <w:overflowPunct/>
              <w:topLinePunct w:val="0"/>
              <w:autoSpaceDE/>
              <w:autoSpaceDN/>
              <w:bidi w:val="0"/>
              <w:adjustRightInd w:val="0"/>
              <w:snapToGrid w:val="0"/>
              <w:spacing w:after="0" w:line="340" w:lineRule="exact"/>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4．任一业绩有以下情形之一的，该业绩视为无效，不予计分：</w:t>
            </w:r>
          </w:p>
          <w:p w14:paraId="169235FA">
            <w:pPr>
              <w:pStyle w:val="6"/>
              <w:keepNext w:val="0"/>
              <w:keepLines w:val="0"/>
              <w:pageBreakBefore w:val="0"/>
              <w:kinsoku/>
              <w:wordWrap w:val="0"/>
              <w:overflowPunct/>
              <w:topLinePunct w:val="0"/>
              <w:autoSpaceDE/>
              <w:autoSpaceDN/>
              <w:bidi w:val="0"/>
              <w:adjustRightInd w:val="0"/>
              <w:snapToGrid w:val="0"/>
              <w:spacing w:after="0" w:line="340" w:lineRule="exac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①业绩不属于类似工程的；</w:t>
            </w:r>
          </w:p>
          <w:p w14:paraId="3B9E5BA8">
            <w:pPr>
              <w:pStyle w:val="6"/>
              <w:keepNext w:val="0"/>
              <w:keepLines w:val="0"/>
              <w:pageBreakBefore w:val="0"/>
              <w:kinsoku/>
              <w:wordWrap w:val="0"/>
              <w:overflowPunct/>
              <w:topLinePunct w:val="0"/>
              <w:autoSpaceDE/>
              <w:autoSpaceDN/>
              <w:bidi w:val="0"/>
              <w:adjustRightInd w:val="0"/>
              <w:snapToGrid w:val="0"/>
              <w:spacing w:after="0" w:line="340" w:lineRule="exac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②不是以指定身份参建的；</w:t>
            </w:r>
          </w:p>
          <w:p w14:paraId="134CA262">
            <w:pPr>
              <w:pStyle w:val="6"/>
              <w:keepNext w:val="0"/>
              <w:keepLines w:val="0"/>
              <w:pageBreakBefore w:val="0"/>
              <w:kinsoku/>
              <w:wordWrap w:val="0"/>
              <w:overflowPunct/>
              <w:topLinePunct w:val="0"/>
              <w:autoSpaceDE/>
              <w:autoSpaceDN/>
              <w:bidi w:val="0"/>
              <w:adjustRightInd w:val="0"/>
              <w:snapToGrid w:val="0"/>
              <w:spacing w:after="0" w:line="340" w:lineRule="exact"/>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③业绩时间不符合要求的</w:t>
            </w:r>
            <w:r>
              <w:rPr>
                <w:rFonts w:hint="eastAsia" w:ascii="宋体" w:hAnsi="宋体" w:eastAsia="宋体" w:cs="宋体"/>
                <w:snapToGrid w:val="0"/>
                <w:color w:val="auto"/>
                <w:kern w:val="0"/>
                <w:sz w:val="24"/>
                <w:szCs w:val="24"/>
                <w:highlight w:val="none"/>
                <w:lang w:val="en-US" w:eastAsia="zh-CN"/>
              </w:rPr>
              <w:t>。</w:t>
            </w:r>
          </w:p>
        </w:tc>
      </w:tr>
      <w:tr w14:paraId="0C0AEDFB">
        <w:tblPrEx>
          <w:tblCellMar>
            <w:top w:w="0" w:type="dxa"/>
            <w:left w:w="108" w:type="dxa"/>
            <w:bottom w:w="0" w:type="dxa"/>
            <w:right w:w="108" w:type="dxa"/>
          </w:tblCellMar>
        </w:tblPrEx>
        <w:trPr>
          <w:trHeight w:val="2741" w:hRule="atLeast"/>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41108EF0">
            <w:pPr>
              <w:pStyle w:val="6"/>
              <w:wordWrap w:val="0"/>
              <w:adjustRightInd w:val="0"/>
              <w:snapToGrid w:val="0"/>
              <w:spacing w:after="0" w:line="40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企业银行</w:t>
            </w:r>
          </w:p>
          <w:p w14:paraId="38C6E2FD">
            <w:pPr>
              <w:pStyle w:val="6"/>
              <w:wordWrap w:val="0"/>
              <w:adjustRightInd w:val="0"/>
              <w:snapToGrid w:val="0"/>
              <w:spacing w:after="0" w:line="40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资信</w:t>
            </w:r>
            <w:r>
              <w:rPr>
                <w:rFonts w:hint="eastAsia" w:ascii="宋体" w:hAnsi="宋体" w:eastAsia="宋体" w:cs="宋体"/>
                <w:b w:val="0"/>
                <w:bCs w:val="0"/>
                <w:snapToGrid w:val="0"/>
                <w:color w:val="auto"/>
                <w:kern w:val="0"/>
                <w:sz w:val="24"/>
                <w:szCs w:val="24"/>
                <w:highlight w:val="none"/>
                <w:lang w:val="en-US" w:eastAsia="zh-CN" w:bidi="ar-SA"/>
              </w:rPr>
              <w:t>等</w:t>
            </w:r>
            <w:r>
              <w:rPr>
                <w:rFonts w:hint="eastAsia" w:ascii="宋体" w:hAnsi="宋体" w:eastAsia="宋体" w:cs="宋体"/>
                <w:snapToGrid w:val="0"/>
                <w:color w:val="auto"/>
                <w:kern w:val="0"/>
                <w:sz w:val="24"/>
                <w:szCs w:val="24"/>
                <w:highlight w:val="none"/>
              </w:rPr>
              <w:t>级</w:t>
            </w:r>
          </w:p>
          <w:p w14:paraId="4EB46586">
            <w:pPr>
              <w:pStyle w:val="6"/>
              <w:wordWrap w:val="0"/>
              <w:adjustRightInd w:val="0"/>
              <w:snapToGrid w:val="0"/>
              <w:spacing w:after="0" w:line="400" w:lineRule="exact"/>
              <w:jc w:val="center"/>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10</w:t>
            </w:r>
            <w:r>
              <w:rPr>
                <w:rFonts w:hint="eastAsia" w:ascii="宋体" w:hAnsi="宋体" w:eastAsia="宋体" w:cs="宋体"/>
                <w:snapToGrid w:val="0"/>
                <w:color w:val="auto"/>
                <w:kern w:val="0"/>
                <w:sz w:val="24"/>
                <w:szCs w:val="24"/>
                <w:highlight w:val="none"/>
              </w:rPr>
              <w:t>分）</w:t>
            </w:r>
          </w:p>
        </w:tc>
        <w:tc>
          <w:tcPr>
            <w:tcW w:w="3733" w:type="dxa"/>
            <w:tcBorders>
              <w:top w:val="single" w:color="auto" w:sz="4" w:space="0"/>
              <w:left w:val="single" w:color="auto" w:sz="4" w:space="0"/>
              <w:bottom w:val="single" w:color="auto" w:sz="4" w:space="0"/>
              <w:right w:val="single" w:color="auto" w:sz="4" w:space="0"/>
            </w:tcBorders>
            <w:noWrap w:val="0"/>
            <w:vAlign w:val="center"/>
          </w:tcPr>
          <w:p w14:paraId="3E27F89C">
            <w:pPr>
              <w:keepNext w:val="0"/>
              <w:keepLines w:val="0"/>
              <w:pageBreakBefore w:val="0"/>
              <w:widowControl w:val="0"/>
              <w:kinsoku/>
              <w:wordWrap w:val="0"/>
              <w:overflowPunct/>
              <w:topLinePunct w:val="0"/>
              <w:autoSpaceDE/>
              <w:autoSpaceDN/>
              <w:bidi w:val="0"/>
              <w:adjustRightInd w:val="0"/>
              <w:snapToGrid w:val="0"/>
              <w:spacing w:after="0" w:line="360" w:lineRule="exact"/>
              <w:jc w:val="both"/>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1．银行资信等级AAA的，得</w:t>
            </w:r>
            <w:r>
              <w:rPr>
                <w:rFonts w:hint="eastAsia" w:ascii="宋体" w:hAnsi="宋体" w:eastAsia="宋体" w:cs="宋体"/>
                <w:b w:val="0"/>
                <w:bCs w:val="0"/>
                <w:snapToGrid w:val="0"/>
                <w:color w:val="auto"/>
                <w:kern w:val="0"/>
                <w:sz w:val="24"/>
                <w:szCs w:val="24"/>
                <w:highlight w:val="none"/>
                <w:u w:val="single"/>
                <w:lang w:val="en-US" w:eastAsia="zh-CN" w:bidi="ar-SA"/>
              </w:rPr>
              <w:t xml:space="preserve"> 10 </w:t>
            </w:r>
            <w:r>
              <w:rPr>
                <w:rFonts w:hint="eastAsia" w:ascii="宋体" w:hAnsi="宋体" w:eastAsia="宋体" w:cs="宋体"/>
                <w:b w:val="0"/>
                <w:bCs w:val="0"/>
                <w:snapToGrid w:val="0"/>
                <w:color w:val="auto"/>
                <w:kern w:val="0"/>
                <w:sz w:val="24"/>
                <w:szCs w:val="24"/>
                <w:highlight w:val="none"/>
                <w:lang w:val="en-US" w:eastAsia="zh-CN" w:bidi="ar-SA"/>
              </w:rPr>
              <w:t>分；</w:t>
            </w:r>
          </w:p>
          <w:p w14:paraId="1452FB97">
            <w:pPr>
              <w:keepNext w:val="0"/>
              <w:keepLines w:val="0"/>
              <w:pageBreakBefore w:val="0"/>
              <w:widowControl w:val="0"/>
              <w:kinsoku/>
              <w:wordWrap w:val="0"/>
              <w:overflowPunct/>
              <w:topLinePunct w:val="0"/>
              <w:autoSpaceDE/>
              <w:autoSpaceDN/>
              <w:bidi w:val="0"/>
              <w:adjustRightInd w:val="0"/>
              <w:snapToGrid w:val="0"/>
              <w:spacing w:after="0" w:line="360" w:lineRule="exact"/>
              <w:jc w:val="both"/>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2．银行资信等级AA（含AA＋、AA－）的，得</w:t>
            </w:r>
            <w:r>
              <w:rPr>
                <w:rFonts w:hint="eastAsia" w:ascii="宋体" w:hAnsi="宋体" w:eastAsia="宋体" w:cs="宋体"/>
                <w:b w:val="0"/>
                <w:bCs w:val="0"/>
                <w:snapToGrid w:val="0"/>
                <w:color w:val="auto"/>
                <w:kern w:val="0"/>
                <w:sz w:val="24"/>
                <w:szCs w:val="24"/>
                <w:highlight w:val="none"/>
                <w:u w:val="single"/>
                <w:lang w:val="en-US" w:eastAsia="zh-CN" w:bidi="ar-SA"/>
              </w:rPr>
              <w:t xml:space="preserve"> 5 </w:t>
            </w:r>
            <w:r>
              <w:rPr>
                <w:rFonts w:hint="eastAsia" w:ascii="宋体" w:hAnsi="宋体" w:eastAsia="宋体" w:cs="宋体"/>
                <w:b w:val="0"/>
                <w:bCs w:val="0"/>
                <w:snapToGrid w:val="0"/>
                <w:color w:val="auto"/>
                <w:kern w:val="0"/>
                <w:sz w:val="24"/>
                <w:szCs w:val="24"/>
                <w:highlight w:val="none"/>
                <w:lang w:val="en-US" w:eastAsia="zh-CN" w:bidi="ar-SA"/>
              </w:rPr>
              <w:t>分。</w:t>
            </w:r>
          </w:p>
          <w:p w14:paraId="4902EBD5">
            <w:pPr>
              <w:keepNext w:val="0"/>
              <w:keepLines w:val="0"/>
              <w:pageBreakBefore w:val="0"/>
              <w:widowControl w:val="0"/>
              <w:kinsoku/>
              <w:wordWrap w:val="0"/>
              <w:overflowPunct/>
              <w:topLinePunct w:val="0"/>
              <w:autoSpaceDE/>
              <w:autoSpaceDN/>
              <w:bidi w:val="0"/>
              <w:adjustRightInd w:val="0"/>
              <w:snapToGrid w:val="0"/>
              <w:spacing w:after="0" w:line="360" w:lineRule="exact"/>
              <w:jc w:val="both"/>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3．银行资信等级A（含A＋、A－）的，得</w:t>
            </w:r>
            <w:r>
              <w:rPr>
                <w:rFonts w:hint="eastAsia" w:ascii="宋体" w:hAnsi="宋体" w:eastAsia="宋体" w:cs="宋体"/>
                <w:b w:val="0"/>
                <w:bCs w:val="0"/>
                <w:snapToGrid w:val="0"/>
                <w:color w:val="auto"/>
                <w:kern w:val="0"/>
                <w:sz w:val="24"/>
                <w:szCs w:val="24"/>
                <w:highlight w:val="none"/>
                <w:u w:val="single"/>
                <w:lang w:val="en-US" w:eastAsia="zh-CN" w:bidi="ar-SA"/>
              </w:rPr>
              <w:t xml:space="preserve"> 2 </w:t>
            </w:r>
            <w:r>
              <w:rPr>
                <w:rFonts w:hint="eastAsia" w:ascii="宋体" w:hAnsi="宋体" w:eastAsia="宋体" w:cs="宋体"/>
                <w:b w:val="0"/>
                <w:bCs w:val="0"/>
                <w:snapToGrid w:val="0"/>
                <w:color w:val="auto"/>
                <w:kern w:val="0"/>
                <w:sz w:val="24"/>
                <w:szCs w:val="24"/>
                <w:highlight w:val="none"/>
                <w:lang w:val="en-US" w:eastAsia="zh-CN" w:bidi="ar-SA"/>
              </w:rPr>
              <w:t>分。</w:t>
            </w:r>
          </w:p>
          <w:p w14:paraId="699261F3">
            <w:pPr>
              <w:keepNext w:val="0"/>
              <w:keepLines w:val="0"/>
              <w:pageBreakBefore w:val="0"/>
              <w:widowControl w:val="0"/>
              <w:kinsoku/>
              <w:wordWrap w:val="0"/>
              <w:overflowPunct/>
              <w:topLinePunct w:val="0"/>
              <w:autoSpaceDE/>
              <w:autoSpaceDN/>
              <w:bidi w:val="0"/>
              <w:adjustRightInd w:val="0"/>
              <w:snapToGrid w:val="0"/>
              <w:spacing w:after="0" w:line="360" w:lineRule="exact"/>
              <w:jc w:val="both"/>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4．未获得过以上等级的，或等级证书无效的，不予计分。</w:t>
            </w:r>
          </w:p>
        </w:tc>
        <w:tc>
          <w:tcPr>
            <w:tcW w:w="5358" w:type="dxa"/>
            <w:tcBorders>
              <w:top w:val="single" w:color="auto" w:sz="4" w:space="0"/>
              <w:left w:val="single" w:color="auto" w:sz="4" w:space="0"/>
              <w:bottom w:val="single" w:color="auto" w:sz="4" w:space="0"/>
              <w:right w:val="single" w:color="auto" w:sz="4" w:space="0"/>
            </w:tcBorders>
            <w:noWrap w:val="0"/>
            <w:vAlign w:val="center"/>
          </w:tcPr>
          <w:p w14:paraId="531DDE07">
            <w:pPr>
              <w:keepNext w:val="0"/>
              <w:keepLines w:val="0"/>
              <w:pageBreakBefore w:val="0"/>
              <w:widowControl w:val="0"/>
              <w:kinsoku/>
              <w:wordWrap w:val="0"/>
              <w:overflowPunct/>
              <w:topLinePunct w:val="0"/>
              <w:autoSpaceDE/>
              <w:autoSpaceDN/>
              <w:bidi w:val="0"/>
              <w:adjustRightInd w:val="0"/>
              <w:snapToGrid w:val="0"/>
              <w:spacing w:after="0" w:line="360" w:lineRule="exact"/>
              <w:jc w:val="both"/>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1．需附在有效期内的资信等级证书（证明）彩色扫描件（或打印件）。</w:t>
            </w:r>
          </w:p>
          <w:p w14:paraId="723BA8DA">
            <w:pPr>
              <w:keepNext w:val="0"/>
              <w:keepLines w:val="0"/>
              <w:pageBreakBefore w:val="0"/>
              <w:widowControl w:val="0"/>
              <w:kinsoku/>
              <w:wordWrap w:val="0"/>
              <w:overflowPunct/>
              <w:topLinePunct w:val="0"/>
              <w:autoSpaceDE/>
              <w:autoSpaceDN/>
              <w:bidi w:val="0"/>
              <w:adjustRightInd w:val="0"/>
              <w:snapToGrid w:val="0"/>
              <w:spacing w:after="0" w:line="360" w:lineRule="exact"/>
              <w:jc w:val="both"/>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2．等级证书（证明）须由</w:t>
            </w:r>
            <w:r>
              <w:rPr>
                <w:rFonts w:hint="eastAsia" w:ascii="宋体" w:hAnsi="宋体" w:eastAsia="宋体" w:cs="宋体"/>
                <w:b w:val="0"/>
                <w:bCs w:val="0"/>
                <w:snapToGrid w:val="0"/>
                <w:color w:val="auto"/>
                <w:kern w:val="0"/>
                <w:sz w:val="24"/>
                <w:szCs w:val="24"/>
                <w:highlight w:val="none"/>
                <w:u w:val="single"/>
                <w:lang w:val="en-US" w:eastAsia="zh-CN"/>
              </w:rPr>
              <w:t>企业基本账户开户银行或中国人民银行企业征信备案机构</w:t>
            </w:r>
            <w:r>
              <w:rPr>
                <w:rFonts w:hint="eastAsia" w:ascii="宋体" w:hAnsi="宋体" w:eastAsia="宋体" w:cs="宋体"/>
                <w:b w:val="0"/>
                <w:bCs w:val="0"/>
                <w:snapToGrid w:val="0"/>
                <w:color w:val="auto"/>
                <w:kern w:val="0"/>
                <w:sz w:val="24"/>
                <w:szCs w:val="24"/>
                <w:highlight w:val="none"/>
                <w:lang w:val="en-US" w:eastAsia="zh-CN" w:bidi="ar-SA"/>
              </w:rPr>
              <w:t>出具。</w:t>
            </w:r>
          </w:p>
          <w:p w14:paraId="4E2A0738">
            <w:pPr>
              <w:keepNext w:val="0"/>
              <w:keepLines w:val="0"/>
              <w:pageBreakBefore w:val="0"/>
              <w:widowControl w:val="0"/>
              <w:kinsoku/>
              <w:wordWrap w:val="0"/>
              <w:overflowPunct/>
              <w:topLinePunct w:val="0"/>
              <w:autoSpaceDE/>
              <w:autoSpaceDN/>
              <w:bidi w:val="0"/>
              <w:adjustRightInd w:val="0"/>
              <w:snapToGrid w:val="0"/>
              <w:spacing w:after="0" w:line="360" w:lineRule="exact"/>
              <w:jc w:val="both"/>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3．等级证书（证明）有以下情形之一的，视为无效：</w:t>
            </w:r>
          </w:p>
          <w:p w14:paraId="579B598C">
            <w:pPr>
              <w:keepNext w:val="0"/>
              <w:keepLines w:val="0"/>
              <w:pageBreakBefore w:val="0"/>
              <w:widowControl w:val="0"/>
              <w:kinsoku/>
              <w:wordWrap w:val="0"/>
              <w:overflowPunct/>
              <w:topLinePunct w:val="0"/>
              <w:autoSpaceDE/>
              <w:autoSpaceDN/>
              <w:bidi w:val="0"/>
              <w:adjustRightInd w:val="0"/>
              <w:snapToGrid w:val="0"/>
              <w:spacing w:after="0" w:line="360" w:lineRule="exact"/>
              <w:jc w:val="both"/>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①等级证书（证明）不在有效期内的；</w:t>
            </w:r>
          </w:p>
          <w:p w14:paraId="7AC66595">
            <w:pPr>
              <w:keepNext w:val="0"/>
              <w:keepLines w:val="0"/>
              <w:pageBreakBefore w:val="0"/>
              <w:widowControl w:val="0"/>
              <w:kinsoku/>
              <w:wordWrap w:val="0"/>
              <w:overflowPunct/>
              <w:topLinePunct w:val="0"/>
              <w:autoSpaceDE/>
              <w:autoSpaceDN/>
              <w:bidi w:val="0"/>
              <w:adjustRightInd w:val="0"/>
              <w:snapToGrid w:val="0"/>
              <w:spacing w:after="0" w:line="360" w:lineRule="exact"/>
              <w:jc w:val="both"/>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②出具机构不符合要求的。</w:t>
            </w:r>
          </w:p>
        </w:tc>
      </w:tr>
      <w:tr w14:paraId="41E873A5">
        <w:tblPrEx>
          <w:tblCellMar>
            <w:top w:w="0" w:type="dxa"/>
            <w:left w:w="108" w:type="dxa"/>
            <w:bottom w:w="0" w:type="dxa"/>
            <w:right w:w="108" w:type="dxa"/>
          </w:tblCellMar>
        </w:tblPrEx>
        <w:trPr>
          <w:trHeight w:val="2741" w:hRule="atLeast"/>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01597ACC">
            <w:pPr>
              <w:pStyle w:val="6"/>
              <w:keepNext w:val="0"/>
              <w:keepLines w:val="0"/>
              <w:pageBreakBefore w:val="0"/>
              <w:widowControl w:val="0"/>
              <w:kinsoku/>
              <w:wordWrap w:val="0"/>
              <w:overflowPunct/>
              <w:topLinePunct w:val="0"/>
              <w:autoSpaceDE/>
              <w:autoSpaceDN/>
              <w:bidi w:val="0"/>
              <w:adjustRightInd w:val="0"/>
              <w:snapToGrid w:val="0"/>
              <w:spacing w:before="0" w:after="0" w:line="360" w:lineRule="exact"/>
              <w:ind w:left="0" w:leftChars="0" w:right="0" w:rightChars="0" w:firstLine="0" w:firstLineChars="0"/>
              <w:jc w:val="center"/>
              <w:textAlignment w:val="auto"/>
              <w:outlineLvl w:val="9"/>
              <w:rPr>
                <w:rFonts w:hint="eastAsia" w:ascii="宋体" w:hAnsi="宋体" w:eastAsia="宋体" w:cs="宋体"/>
                <w:b w:val="0"/>
                <w:bCs w:val="0"/>
                <w:caps w:val="0"/>
                <w:smallCaps w:val="0"/>
                <w:snapToGrid w:val="0"/>
                <w:color w:val="auto"/>
                <w:spacing w:val="0"/>
                <w:kern w:val="0"/>
                <w:sz w:val="24"/>
                <w:szCs w:val="24"/>
                <w:highlight w:val="none"/>
                <w:lang w:eastAsia="zh-CN" w:bidi="ar"/>
              </w:rPr>
            </w:pPr>
            <w:r>
              <w:rPr>
                <w:rFonts w:hint="eastAsia" w:ascii="宋体" w:hAnsi="宋体" w:eastAsia="宋体" w:cs="宋体"/>
                <w:b w:val="0"/>
                <w:bCs w:val="0"/>
                <w:caps w:val="0"/>
                <w:smallCaps w:val="0"/>
                <w:snapToGrid w:val="0"/>
                <w:color w:val="auto"/>
                <w:spacing w:val="0"/>
                <w:kern w:val="0"/>
                <w:sz w:val="24"/>
                <w:szCs w:val="24"/>
                <w:highlight w:val="none"/>
                <w:lang w:eastAsia="zh-CN" w:bidi="ar"/>
              </w:rPr>
              <w:t>企业管理</w:t>
            </w:r>
          </w:p>
          <w:p w14:paraId="1ADE818C">
            <w:pPr>
              <w:pStyle w:val="6"/>
              <w:keepNext w:val="0"/>
              <w:keepLines w:val="0"/>
              <w:pageBreakBefore w:val="0"/>
              <w:widowControl w:val="0"/>
              <w:kinsoku/>
              <w:wordWrap w:val="0"/>
              <w:overflowPunct/>
              <w:topLinePunct w:val="0"/>
              <w:autoSpaceDE/>
              <w:autoSpaceDN/>
              <w:bidi w:val="0"/>
              <w:adjustRightInd w:val="0"/>
              <w:snapToGrid w:val="0"/>
              <w:spacing w:before="0" w:after="0" w:line="360" w:lineRule="exact"/>
              <w:ind w:left="0" w:leftChars="0" w:right="0" w:rightChars="0" w:firstLine="0" w:firstLineChars="0"/>
              <w:jc w:val="center"/>
              <w:textAlignment w:val="auto"/>
              <w:outlineLvl w:val="9"/>
              <w:rPr>
                <w:rFonts w:hint="eastAsia" w:ascii="宋体" w:hAnsi="宋体" w:eastAsia="宋体" w:cs="宋体"/>
                <w:b w:val="0"/>
                <w:bCs w:val="0"/>
                <w:caps w:val="0"/>
                <w:smallCaps w:val="0"/>
                <w:snapToGrid w:val="0"/>
                <w:color w:val="auto"/>
                <w:spacing w:val="0"/>
                <w:kern w:val="0"/>
                <w:sz w:val="24"/>
                <w:szCs w:val="24"/>
                <w:highlight w:val="none"/>
                <w:lang w:eastAsia="zh-CN" w:bidi="ar"/>
              </w:rPr>
            </w:pPr>
            <w:r>
              <w:rPr>
                <w:rFonts w:hint="eastAsia" w:ascii="宋体" w:hAnsi="宋体" w:eastAsia="宋体" w:cs="宋体"/>
                <w:b w:val="0"/>
                <w:bCs w:val="0"/>
                <w:caps w:val="0"/>
                <w:smallCaps w:val="0"/>
                <w:snapToGrid w:val="0"/>
                <w:color w:val="auto"/>
                <w:spacing w:val="0"/>
                <w:kern w:val="0"/>
                <w:sz w:val="24"/>
                <w:szCs w:val="24"/>
                <w:highlight w:val="none"/>
                <w:lang w:eastAsia="zh-CN" w:bidi="ar"/>
              </w:rPr>
              <w:t>体系认证</w:t>
            </w:r>
          </w:p>
          <w:p w14:paraId="6E54F8F6">
            <w:pPr>
              <w:pStyle w:val="6"/>
              <w:keepNext w:val="0"/>
              <w:keepLines w:val="0"/>
              <w:pageBreakBefore w:val="0"/>
              <w:widowControl w:val="0"/>
              <w:kinsoku/>
              <w:wordWrap w:val="0"/>
              <w:overflowPunct/>
              <w:topLinePunct w:val="0"/>
              <w:autoSpaceDE/>
              <w:autoSpaceDN/>
              <w:bidi w:val="0"/>
              <w:adjustRightInd w:val="0"/>
              <w:snapToGrid w:val="0"/>
              <w:spacing w:before="0" w:after="0" w:line="360" w:lineRule="exact"/>
              <w:ind w:left="0" w:leftChars="0" w:right="0" w:rightChars="0" w:firstLine="0" w:firstLineChars="0"/>
              <w:jc w:val="center"/>
              <w:textAlignment w:val="auto"/>
              <w:outlineLvl w:val="9"/>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b w:val="0"/>
                <w:bCs w:val="0"/>
                <w:caps w:val="0"/>
                <w:smallCaps w:val="0"/>
                <w:snapToGrid w:val="0"/>
                <w:color w:val="auto"/>
                <w:spacing w:val="0"/>
                <w:kern w:val="0"/>
                <w:sz w:val="24"/>
                <w:szCs w:val="24"/>
                <w:highlight w:val="none"/>
                <w:lang w:eastAsia="zh-CN" w:bidi="ar"/>
              </w:rPr>
              <w:t>（</w:t>
            </w:r>
            <w:r>
              <w:rPr>
                <w:rFonts w:hint="eastAsia" w:ascii="宋体" w:hAnsi="宋体" w:eastAsia="宋体" w:cs="宋体"/>
                <w:b w:val="0"/>
                <w:bCs w:val="0"/>
                <w:caps w:val="0"/>
                <w:smallCaps w:val="0"/>
                <w:snapToGrid w:val="0"/>
                <w:color w:val="auto"/>
                <w:spacing w:val="0"/>
                <w:kern w:val="0"/>
                <w:sz w:val="24"/>
                <w:szCs w:val="24"/>
                <w:highlight w:val="none"/>
                <w:lang w:val="en-US" w:eastAsia="zh-CN" w:bidi="ar"/>
              </w:rPr>
              <w:t>20</w:t>
            </w:r>
            <w:r>
              <w:rPr>
                <w:rFonts w:hint="eastAsia" w:ascii="宋体" w:hAnsi="宋体" w:eastAsia="宋体" w:cs="宋体"/>
                <w:b w:val="0"/>
                <w:bCs w:val="0"/>
                <w:caps w:val="0"/>
                <w:smallCaps w:val="0"/>
                <w:snapToGrid w:val="0"/>
                <w:color w:val="auto"/>
                <w:spacing w:val="0"/>
                <w:kern w:val="0"/>
                <w:sz w:val="24"/>
                <w:szCs w:val="24"/>
                <w:highlight w:val="none"/>
                <w:lang w:bidi="ar"/>
              </w:rPr>
              <w:t>分</w:t>
            </w:r>
            <w:r>
              <w:rPr>
                <w:rFonts w:hint="eastAsia" w:ascii="宋体" w:hAnsi="宋体" w:eastAsia="宋体" w:cs="宋体"/>
                <w:b w:val="0"/>
                <w:bCs w:val="0"/>
                <w:caps w:val="0"/>
                <w:smallCaps w:val="0"/>
                <w:snapToGrid w:val="0"/>
                <w:color w:val="auto"/>
                <w:spacing w:val="0"/>
                <w:kern w:val="0"/>
                <w:sz w:val="24"/>
                <w:szCs w:val="24"/>
                <w:highlight w:val="none"/>
                <w:lang w:eastAsia="zh-CN" w:bidi="ar"/>
              </w:rPr>
              <w:t>）</w:t>
            </w:r>
          </w:p>
        </w:tc>
        <w:tc>
          <w:tcPr>
            <w:tcW w:w="3733" w:type="dxa"/>
            <w:tcBorders>
              <w:top w:val="single" w:color="auto" w:sz="4" w:space="0"/>
              <w:left w:val="single" w:color="auto" w:sz="4" w:space="0"/>
              <w:bottom w:val="single" w:color="auto" w:sz="4" w:space="0"/>
              <w:right w:val="single" w:color="auto" w:sz="4" w:space="0"/>
            </w:tcBorders>
            <w:noWrap w:val="0"/>
            <w:vAlign w:val="center"/>
          </w:tcPr>
          <w:p w14:paraId="047D9F0C">
            <w:pPr>
              <w:autoSpaceDE w:val="0"/>
              <w:spacing w:after="0"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投标人在本项目招标公告发布前获得过①质量管理体系认证证书、②职业健康安全管理体系认证证书、③环境管理体系认证证书、④</w:t>
            </w:r>
            <w:r>
              <w:rPr>
                <w:rFonts w:hint="eastAsia" w:ascii="宋体" w:hAnsi="宋体" w:eastAsia="宋体" w:cs="宋体"/>
                <w:color w:val="auto"/>
                <w:kern w:val="0"/>
                <w:sz w:val="24"/>
                <w:szCs w:val="24"/>
                <w:highlight w:val="none"/>
              </w:rPr>
              <w:t>企业应急管理规范认证证书</w:t>
            </w:r>
            <w:r>
              <w:rPr>
                <w:rFonts w:hint="eastAsia" w:ascii="宋体" w:hAnsi="宋体" w:eastAsia="宋体" w:cs="宋体"/>
                <w:color w:val="auto"/>
                <w:sz w:val="24"/>
                <w:szCs w:val="24"/>
                <w:highlight w:val="none"/>
              </w:rPr>
              <w:t>、⑤</w:t>
            </w:r>
            <w:r>
              <w:rPr>
                <w:rFonts w:hint="eastAsia" w:ascii="宋体" w:hAnsi="宋体" w:eastAsia="宋体" w:cs="宋体"/>
                <w:color w:val="auto"/>
                <w:kern w:val="0"/>
                <w:sz w:val="24"/>
                <w:szCs w:val="24"/>
                <w:highlight w:val="none"/>
                <w:lang w:eastAsia="zh-CN"/>
              </w:rPr>
              <w:t>市政工程施工安全规范体系认证证书</w:t>
            </w:r>
            <w:r>
              <w:rPr>
                <w:rFonts w:hint="eastAsia" w:ascii="宋体" w:hAnsi="宋体" w:eastAsia="宋体" w:cs="宋体"/>
                <w:color w:val="auto"/>
                <w:kern w:val="0"/>
                <w:sz w:val="24"/>
                <w:szCs w:val="24"/>
                <w:highlight w:val="none"/>
              </w:rPr>
              <w:t>。</w:t>
            </w:r>
          </w:p>
          <w:p w14:paraId="2E7BFFB0">
            <w:pPr>
              <w:autoSpaceDE w:val="0"/>
              <w:spacing w:after="0"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（1）投标人获得全部</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项证书的得</w:t>
            </w:r>
            <w:r>
              <w:rPr>
                <w:rFonts w:hint="eastAsia" w:ascii="宋体" w:hAnsi="宋体" w:eastAsia="宋体" w:cs="宋体"/>
                <w:color w:val="auto"/>
                <w:sz w:val="24"/>
                <w:szCs w:val="24"/>
                <w:highlight w:val="none"/>
                <w:lang w:val="en-US" w:eastAsia="zh-CN"/>
              </w:rPr>
              <w:t>20</w:t>
            </w:r>
            <w:r>
              <w:rPr>
                <w:rFonts w:hint="eastAsia" w:ascii="宋体" w:hAnsi="宋体" w:eastAsia="宋体" w:cs="宋体"/>
                <w:color w:val="auto"/>
                <w:sz w:val="24"/>
                <w:szCs w:val="24"/>
                <w:highlight w:val="none"/>
              </w:rPr>
              <w:t>分；</w:t>
            </w:r>
          </w:p>
          <w:p w14:paraId="09E7428F">
            <w:pPr>
              <w:autoSpaceDE w:val="0"/>
              <w:spacing w:after="0"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（2）投标人获得其中</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项证书的得</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分；</w:t>
            </w:r>
          </w:p>
          <w:p w14:paraId="5355D241">
            <w:pPr>
              <w:autoSpaceDE w:val="0"/>
              <w:spacing w:after="0"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（3）投标人获得其中</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项证书的得</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p w14:paraId="23E42A46">
            <w:pPr>
              <w:autoSpaceDE w:val="0"/>
              <w:spacing w:after="0" w:line="400" w:lineRule="exact"/>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宋体" w:hAnsi="宋体" w:eastAsia="宋体" w:cs="宋体"/>
                <w:color w:val="auto"/>
                <w:sz w:val="24"/>
                <w:szCs w:val="24"/>
                <w:highlight w:val="none"/>
              </w:rPr>
              <w:t>（4）未提供</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项及以上，不予计分。</w:t>
            </w:r>
          </w:p>
        </w:tc>
        <w:tc>
          <w:tcPr>
            <w:tcW w:w="5358" w:type="dxa"/>
            <w:tcBorders>
              <w:top w:val="single" w:color="auto" w:sz="4" w:space="0"/>
              <w:left w:val="single" w:color="auto" w:sz="4" w:space="0"/>
              <w:bottom w:val="single" w:color="auto" w:sz="4" w:space="0"/>
              <w:right w:val="single" w:color="auto" w:sz="4" w:space="0"/>
            </w:tcBorders>
            <w:noWrap w:val="0"/>
            <w:vAlign w:val="center"/>
          </w:tcPr>
          <w:p w14:paraId="6401B313">
            <w:pPr>
              <w:pStyle w:val="6"/>
              <w:keepNext w:val="0"/>
              <w:keepLines w:val="0"/>
              <w:pageBreakBefore w:val="0"/>
              <w:widowControl/>
              <w:kinsoku/>
              <w:wordWrap w:val="0"/>
              <w:overflowPunct/>
              <w:topLinePunct w:val="0"/>
              <w:autoSpaceDE/>
              <w:autoSpaceDN/>
              <w:bidi w:val="0"/>
              <w:adjustRightInd w:val="0"/>
              <w:snapToGrid w:val="0"/>
              <w:spacing w:after="0" w:line="340" w:lineRule="exact"/>
              <w:rPr>
                <w:rFonts w:hint="eastAsia" w:ascii="宋体" w:hAnsi="宋体" w:eastAsia="宋体" w:cs="宋体"/>
                <w:caps w:val="0"/>
                <w:smallCaps w:val="0"/>
                <w:snapToGrid w:val="0"/>
                <w:color w:val="auto"/>
                <w:spacing w:val="0"/>
                <w:kern w:val="0"/>
                <w:sz w:val="24"/>
                <w:szCs w:val="24"/>
                <w:highlight w:val="none"/>
                <w:lang w:val="en-US" w:eastAsia="zh-CN"/>
              </w:rPr>
            </w:pPr>
            <w:r>
              <w:rPr>
                <w:rFonts w:hint="eastAsia" w:ascii="宋体" w:hAnsi="宋体" w:eastAsia="宋体" w:cs="宋体"/>
                <w:caps w:val="0"/>
                <w:smallCaps w:val="0"/>
                <w:snapToGrid w:val="0"/>
                <w:color w:val="auto"/>
                <w:spacing w:val="0"/>
                <w:kern w:val="0"/>
                <w:sz w:val="24"/>
                <w:szCs w:val="24"/>
                <w:highlight w:val="none"/>
                <w:lang w:val="en-US" w:eastAsia="zh-CN"/>
              </w:rPr>
              <w:t>1．</w:t>
            </w:r>
            <w:r>
              <w:rPr>
                <w:rFonts w:hint="eastAsia" w:ascii="宋体" w:hAnsi="宋体" w:eastAsia="宋体" w:cs="宋体"/>
                <w:snapToGrid w:val="0"/>
                <w:color w:val="auto"/>
                <w:kern w:val="0"/>
                <w:sz w:val="24"/>
                <w:szCs w:val="24"/>
                <w:highlight w:val="none"/>
                <w:lang w:val="en-US" w:eastAsia="zh-CN"/>
              </w:rPr>
              <w:t>证书有效性在国家认证认可监督管理委员会官网（http://www.cnca.gov.cn/)可查，需提供网上截图及在有效期内的证书彩色扫描</w:t>
            </w:r>
            <w:r>
              <w:rPr>
                <w:rFonts w:hint="eastAsia" w:ascii="宋体" w:hAnsi="宋体" w:eastAsia="宋体" w:cs="宋体"/>
                <w:snapToGrid w:val="0"/>
                <w:color w:val="auto"/>
                <w:kern w:val="0"/>
                <w:sz w:val="24"/>
                <w:szCs w:val="24"/>
                <w:highlight w:val="none"/>
              </w:rPr>
              <w:t>件</w:t>
            </w:r>
            <w:r>
              <w:rPr>
                <w:rFonts w:hint="eastAsia" w:ascii="宋体" w:hAnsi="宋体" w:eastAsia="宋体" w:cs="宋体"/>
                <w:b/>
                <w:bCs/>
                <w:snapToGrid w:val="0"/>
                <w:color w:val="auto"/>
                <w:kern w:val="0"/>
                <w:sz w:val="24"/>
                <w:szCs w:val="24"/>
                <w:highlight w:val="none"/>
                <w:lang w:eastAsia="zh-CN"/>
              </w:rPr>
              <w:t>。</w:t>
            </w:r>
          </w:p>
          <w:p w14:paraId="758E5B77">
            <w:pPr>
              <w:pStyle w:val="6"/>
              <w:keepNext w:val="0"/>
              <w:keepLines w:val="0"/>
              <w:pageBreakBefore w:val="0"/>
              <w:widowControl w:val="0"/>
              <w:kinsoku/>
              <w:wordWrap w:val="0"/>
              <w:overflowPunct/>
              <w:topLinePunct w:val="0"/>
              <w:autoSpaceDE/>
              <w:autoSpaceDN/>
              <w:bidi w:val="0"/>
              <w:adjustRightInd w:val="0"/>
              <w:snapToGrid w:val="0"/>
              <w:spacing w:before="0" w:after="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4"/>
                <w:szCs w:val="24"/>
                <w:highlight w:val="none"/>
                <w:lang w:val="en-US" w:eastAsia="zh-CN"/>
              </w:rPr>
            </w:pPr>
            <w:r>
              <w:rPr>
                <w:rFonts w:hint="eastAsia" w:ascii="宋体" w:hAnsi="宋体" w:eastAsia="宋体" w:cs="宋体"/>
                <w:caps w:val="0"/>
                <w:smallCaps w:val="0"/>
                <w:snapToGrid w:val="0"/>
                <w:color w:val="auto"/>
                <w:spacing w:val="0"/>
                <w:kern w:val="0"/>
                <w:sz w:val="24"/>
                <w:szCs w:val="24"/>
                <w:highlight w:val="none"/>
                <w:lang w:val="en-US" w:eastAsia="zh-CN"/>
              </w:rPr>
              <w:t>2．任一认证证书有以下情形之一的，该认证证书视为无效，不予计分</w:t>
            </w:r>
            <w:r>
              <w:rPr>
                <w:rFonts w:hint="eastAsia" w:ascii="宋体" w:hAnsi="宋体" w:eastAsia="宋体" w:cs="宋体"/>
                <w:caps w:val="0"/>
                <w:smallCaps w:val="0"/>
                <w:snapToGrid w:val="0"/>
                <w:color w:val="auto"/>
                <w:spacing w:val="0"/>
                <w:kern w:val="0"/>
                <w:sz w:val="24"/>
                <w:szCs w:val="24"/>
                <w:highlight w:val="none"/>
                <w:lang w:eastAsia="zh-CN"/>
              </w:rPr>
              <w:t>：</w:t>
            </w:r>
          </w:p>
          <w:p w14:paraId="029532B2">
            <w:pPr>
              <w:pStyle w:val="6"/>
              <w:keepNext w:val="0"/>
              <w:keepLines w:val="0"/>
              <w:pageBreakBefore w:val="0"/>
              <w:widowControl w:val="0"/>
              <w:kinsoku/>
              <w:wordWrap w:val="0"/>
              <w:overflowPunct/>
              <w:topLinePunct w:val="0"/>
              <w:autoSpaceDE/>
              <w:autoSpaceDN/>
              <w:bidi w:val="0"/>
              <w:adjustRightInd w:val="0"/>
              <w:snapToGrid w:val="0"/>
              <w:spacing w:before="0" w:after="0" w:line="340" w:lineRule="exact"/>
              <w:ind w:left="0" w:leftChars="0" w:right="0" w:rightChars="0" w:firstLine="0" w:firstLineChars="0"/>
              <w:textAlignment w:val="auto"/>
              <w:outlineLvl w:val="9"/>
              <w:rPr>
                <w:rFonts w:hint="eastAsia" w:ascii="宋体" w:hAnsi="宋体" w:eastAsia="宋体" w:cs="宋体"/>
                <w:caps w:val="0"/>
                <w:smallCaps w:val="0"/>
                <w:snapToGrid w:val="0"/>
                <w:color w:val="auto"/>
                <w:spacing w:val="0"/>
                <w:kern w:val="0"/>
                <w:sz w:val="24"/>
                <w:szCs w:val="24"/>
                <w:highlight w:val="none"/>
                <w:lang w:val="en-US" w:eastAsia="zh-CN"/>
              </w:rPr>
            </w:pPr>
            <w:r>
              <w:rPr>
                <w:rFonts w:hint="eastAsia" w:ascii="宋体" w:hAnsi="宋体" w:eastAsia="宋体" w:cs="宋体"/>
                <w:caps w:val="0"/>
                <w:smallCaps w:val="0"/>
                <w:snapToGrid w:val="0"/>
                <w:color w:val="auto"/>
                <w:spacing w:val="0"/>
                <w:kern w:val="0"/>
                <w:sz w:val="24"/>
                <w:szCs w:val="24"/>
                <w:highlight w:val="none"/>
                <w:lang w:val="en-US" w:eastAsia="zh-CN"/>
              </w:rPr>
              <w:t>①认证证书不在有效期内的；</w:t>
            </w:r>
          </w:p>
          <w:p w14:paraId="55798C7F">
            <w:pPr>
              <w:pStyle w:val="6"/>
              <w:keepNext w:val="0"/>
              <w:keepLines w:val="0"/>
              <w:pageBreakBefore w:val="0"/>
              <w:widowControl w:val="0"/>
              <w:kinsoku/>
              <w:wordWrap w:val="0"/>
              <w:overflowPunct/>
              <w:topLinePunct w:val="0"/>
              <w:autoSpaceDE/>
              <w:autoSpaceDN/>
              <w:bidi w:val="0"/>
              <w:adjustRightInd w:val="0"/>
              <w:snapToGrid w:val="0"/>
              <w:spacing w:before="0" w:after="0" w:line="340" w:lineRule="exact"/>
              <w:ind w:left="0" w:leftChars="0" w:right="0" w:rightChars="0" w:firstLine="0" w:firstLineChars="0"/>
              <w:textAlignment w:val="auto"/>
              <w:outlineLvl w:val="9"/>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宋体" w:hAnsi="宋体" w:eastAsia="宋体" w:cs="宋体"/>
                <w:caps w:val="0"/>
                <w:smallCaps w:val="0"/>
                <w:snapToGrid w:val="0"/>
                <w:color w:val="auto"/>
                <w:spacing w:val="0"/>
                <w:kern w:val="0"/>
                <w:sz w:val="24"/>
                <w:szCs w:val="24"/>
                <w:highlight w:val="none"/>
                <w:lang w:val="en-US" w:eastAsia="zh-CN"/>
              </w:rPr>
              <w:t>②</w:t>
            </w:r>
            <w:r>
              <w:rPr>
                <w:rFonts w:hint="eastAsia" w:ascii="宋体" w:hAnsi="宋体" w:eastAsia="宋体" w:cs="宋体"/>
                <w:color w:val="auto"/>
                <w:sz w:val="24"/>
                <w:szCs w:val="24"/>
                <w:highlight w:val="none"/>
              </w:rPr>
              <w:t>认证证书的颁发日期不是在招标公告发布</w:t>
            </w:r>
            <w:r>
              <w:rPr>
                <w:rFonts w:hint="eastAsia" w:ascii="宋体" w:hAnsi="宋体" w:eastAsia="宋体" w:cs="宋体"/>
                <w:color w:val="auto"/>
                <w:sz w:val="24"/>
                <w:szCs w:val="24"/>
                <w:highlight w:val="none"/>
                <w:lang w:val="en-US" w:eastAsia="zh-CN"/>
              </w:rPr>
              <w:t>日</w:t>
            </w:r>
            <w:r>
              <w:rPr>
                <w:rFonts w:hint="eastAsia" w:ascii="宋体" w:hAnsi="宋体" w:eastAsia="宋体" w:cs="宋体"/>
                <w:color w:val="auto"/>
                <w:sz w:val="24"/>
                <w:szCs w:val="24"/>
                <w:highlight w:val="none"/>
              </w:rPr>
              <w:t>之前的</w:t>
            </w:r>
            <w:r>
              <w:rPr>
                <w:rFonts w:hint="eastAsia" w:ascii="宋体" w:hAnsi="宋体" w:eastAsia="宋体" w:cs="宋体"/>
                <w:color w:val="auto"/>
                <w:sz w:val="24"/>
                <w:szCs w:val="24"/>
                <w:highlight w:val="none"/>
                <w:lang w:eastAsia="zh-CN"/>
              </w:rPr>
              <w:t>，</w:t>
            </w:r>
            <w:r>
              <w:rPr>
                <w:rFonts w:hint="eastAsia" w:ascii="宋体" w:hAnsi="宋体" w:eastAsia="宋体" w:cs="宋体"/>
                <w:snapToGrid w:val="0"/>
                <w:color w:val="auto"/>
                <w:kern w:val="0"/>
                <w:sz w:val="24"/>
                <w:szCs w:val="24"/>
                <w:highlight w:val="none"/>
                <w:lang w:val="en-US" w:eastAsia="zh-CN"/>
              </w:rPr>
              <w:t>不予计分</w:t>
            </w:r>
            <w:r>
              <w:rPr>
                <w:rFonts w:hint="eastAsia" w:ascii="宋体" w:hAnsi="宋体" w:eastAsia="宋体" w:cs="宋体"/>
                <w:caps w:val="0"/>
                <w:smallCaps w:val="0"/>
                <w:snapToGrid w:val="0"/>
                <w:color w:val="auto"/>
                <w:spacing w:val="0"/>
                <w:kern w:val="0"/>
                <w:sz w:val="24"/>
                <w:szCs w:val="24"/>
                <w:highlight w:val="none"/>
                <w:lang w:val="en-US" w:eastAsia="zh-CN"/>
              </w:rPr>
              <w:t>。</w:t>
            </w:r>
          </w:p>
        </w:tc>
      </w:tr>
      <w:tr w14:paraId="2D99B402">
        <w:tblPrEx>
          <w:tblCellMar>
            <w:top w:w="0" w:type="dxa"/>
            <w:left w:w="108" w:type="dxa"/>
            <w:bottom w:w="0" w:type="dxa"/>
            <w:right w:w="108" w:type="dxa"/>
          </w:tblCellMar>
        </w:tblPrEx>
        <w:trPr>
          <w:trHeight w:val="2741" w:hRule="atLeast"/>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4D16DC0F">
            <w:pPr>
              <w:pStyle w:val="6"/>
              <w:keepNext w:val="0"/>
              <w:keepLines w:val="0"/>
              <w:pageBreakBefore w:val="0"/>
              <w:widowControl w:val="0"/>
              <w:kinsoku/>
              <w:wordWrap w:val="0"/>
              <w:overflowPunct/>
              <w:topLinePunct w:val="0"/>
              <w:autoSpaceDE/>
              <w:autoSpaceDN/>
              <w:bidi w:val="0"/>
              <w:adjustRightInd w:val="0"/>
              <w:snapToGrid w:val="0"/>
              <w:spacing w:before="0" w:after="0" w:line="360" w:lineRule="exact"/>
              <w:ind w:left="0" w:leftChars="0" w:right="0" w:rightChars="0" w:firstLine="0" w:firstLineChars="0"/>
              <w:jc w:val="center"/>
              <w:textAlignment w:val="auto"/>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企业</w:t>
            </w:r>
          </w:p>
          <w:p w14:paraId="7B922357">
            <w:pPr>
              <w:pStyle w:val="6"/>
              <w:keepNext w:val="0"/>
              <w:keepLines w:val="0"/>
              <w:pageBreakBefore w:val="0"/>
              <w:widowControl w:val="0"/>
              <w:kinsoku/>
              <w:wordWrap w:val="0"/>
              <w:overflowPunct/>
              <w:topLinePunct w:val="0"/>
              <w:autoSpaceDE/>
              <w:autoSpaceDN/>
              <w:bidi w:val="0"/>
              <w:adjustRightInd w:val="0"/>
              <w:snapToGrid w:val="0"/>
              <w:spacing w:before="0" w:after="0" w:line="360" w:lineRule="exact"/>
              <w:ind w:left="0" w:leftChars="0" w:right="0" w:rightChars="0" w:firstLine="0" w:firstLineChars="0"/>
              <w:jc w:val="center"/>
              <w:textAlignment w:val="auto"/>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财务状况</w:t>
            </w:r>
          </w:p>
          <w:p w14:paraId="79C57655">
            <w:pPr>
              <w:pStyle w:val="6"/>
              <w:keepNext w:val="0"/>
              <w:keepLines w:val="0"/>
              <w:pageBreakBefore w:val="0"/>
              <w:widowControl w:val="0"/>
              <w:kinsoku/>
              <w:wordWrap w:val="0"/>
              <w:overflowPunct/>
              <w:topLinePunct w:val="0"/>
              <w:autoSpaceDE/>
              <w:autoSpaceDN/>
              <w:bidi w:val="0"/>
              <w:adjustRightInd w:val="0"/>
              <w:snapToGrid w:val="0"/>
              <w:spacing w:before="0" w:after="0" w:line="360" w:lineRule="exact"/>
              <w:ind w:left="0" w:leftChars="0" w:right="0" w:rightChars="0" w:firstLine="0" w:firstLineChars="0"/>
              <w:jc w:val="center"/>
              <w:textAlignment w:val="auto"/>
              <w:outlineLvl w:val="9"/>
              <w:rPr>
                <w:rFonts w:hint="eastAsia" w:ascii="宋体" w:hAnsi="宋体" w:eastAsia="宋体" w:cs="宋体"/>
                <w:snapToGrid w:val="0"/>
                <w:color w:val="auto"/>
                <w:kern w:val="0"/>
                <w:sz w:val="21"/>
                <w:szCs w:val="21"/>
                <w:highlight w:val="none"/>
              </w:rPr>
            </w:pPr>
            <w:r>
              <w:rPr>
                <w:rFonts w:hint="eastAsia" w:ascii="宋体" w:hAnsi="宋体" w:eastAsia="宋体" w:cs="宋体"/>
                <w:color w:val="auto"/>
                <w:kern w:val="2"/>
                <w:sz w:val="24"/>
                <w:szCs w:val="24"/>
                <w:highlight w:val="none"/>
                <w:lang w:val="en-US" w:eastAsia="zh-CN" w:bidi="ar-SA"/>
              </w:rPr>
              <w:t>（15分）</w:t>
            </w:r>
          </w:p>
        </w:tc>
        <w:tc>
          <w:tcPr>
            <w:tcW w:w="3733" w:type="dxa"/>
            <w:tcBorders>
              <w:top w:val="single" w:color="auto" w:sz="4" w:space="0"/>
              <w:left w:val="single" w:color="auto" w:sz="4" w:space="0"/>
              <w:bottom w:val="single" w:color="auto" w:sz="4" w:space="0"/>
              <w:right w:val="single" w:color="auto" w:sz="4" w:space="0"/>
            </w:tcBorders>
            <w:noWrap w:val="0"/>
            <w:vAlign w:val="center"/>
          </w:tcPr>
          <w:p w14:paraId="18A737B1">
            <w:pPr>
              <w:keepNext w:val="0"/>
              <w:keepLines w:val="0"/>
              <w:pageBreakBefore w:val="0"/>
              <w:widowControl w:val="0"/>
              <w:numPr>
                <w:ilvl w:val="0"/>
                <w:numId w:val="0"/>
              </w:numPr>
              <w:kinsoku/>
              <w:overflowPunct/>
              <w:topLinePunct w:val="0"/>
              <w:autoSpaceDE/>
              <w:autoSpaceDN/>
              <w:bidi w:val="0"/>
              <w:spacing w:after="0" w:line="340" w:lineRule="exact"/>
              <w:ind w:left="0" w:leftChars="0" w:firstLine="0" w:firstLineChars="0"/>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snapToGrid w:val="0"/>
                <w:color w:val="auto"/>
                <w:sz w:val="24"/>
                <w:szCs w:val="24"/>
                <w:highlight w:val="none"/>
                <w:lang w:val="en-US" w:eastAsia="zh-CN" w:bidi="ar-SA"/>
              </w:rPr>
              <w:t>提供投标人基本账户在本项目招标公告发布之日起至投标截止时间期间出现过至少连续3日不少于</w:t>
            </w:r>
            <w:r>
              <w:rPr>
                <w:rFonts w:hint="eastAsia" w:ascii="宋体" w:hAnsi="宋体" w:eastAsia="宋体" w:cs="宋体"/>
                <w:snapToGrid w:val="0"/>
                <w:color w:val="auto"/>
                <w:sz w:val="24"/>
                <w:szCs w:val="24"/>
                <w:highlight w:val="none"/>
                <w:u w:val="single"/>
                <w:lang w:val="en-US" w:eastAsia="zh-CN" w:bidi="ar-SA"/>
              </w:rPr>
              <w:t xml:space="preserve"> 50 </w:t>
            </w:r>
            <w:r>
              <w:rPr>
                <w:rFonts w:hint="eastAsia" w:ascii="宋体" w:hAnsi="宋体" w:eastAsia="宋体" w:cs="宋体"/>
                <w:snapToGrid w:val="0"/>
                <w:color w:val="auto"/>
                <w:sz w:val="24"/>
                <w:szCs w:val="24"/>
                <w:highlight w:val="none"/>
                <w:lang w:val="en-US" w:eastAsia="zh-CN" w:bidi="ar-SA"/>
              </w:rPr>
              <w:t>万元存款余额资金流水证明的，得15分。</w:t>
            </w:r>
          </w:p>
        </w:tc>
        <w:tc>
          <w:tcPr>
            <w:tcW w:w="5358" w:type="dxa"/>
            <w:tcBorders>
              <w:top w:val="single" w:color="auto" w:sz="4" w:space="0"/>
              <w:left w:val="single" w:color="auto" w:sz="4" w:space="0"/>
              <w:bottom w:val="single" w:color="auto" w:sz="4" w:space="0"/>
              <w:right w:val="single" w:color="auto" w:sz="4" w:space="0"/>
            </w:tcBorders>
            <w:noWrap w:val="0"/>
            <w:vAlign w:val="center"/>
          </w:tcPr>
          <w:p w14:paraId="2CD74713">
            <w:pPr>
              <w:pStyle w:val="6"/>
              <w:keepNext w:val="0"/>
              <w:keepLines/>
              <w:pageBreakBefore w:val="0"/>
              <w:widowControl/>
              <w:kinsoku/>
              <w:wordWrap w:val="0"/>
              <w:overflowPunct/>
              <w:topLinePunct w:val="0"/>
              <w:bidi w:val="0"/>
              <w:adjustRightInd w:val="0"/>
              <w:snapToGrid w:val="0"/>
              <w:spacing w:after="0" w:afterLines="0" w:line="420" w:lineRule="exac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w:t>
            </w:r>
            <w:r>
              <w:rPr>
                <w:rFonts w:hint="eastAsia" w:ascii="宋体" w:hAnsi="宋体" w:eastAsia="宋体" w:cs="宋体"/>
                <w:snapToGrid w:val="0"/>
                <w:color w:val="auto"/>
                <w:kern w:val="0"/>
                <w:sz w:val="24"/>
                <w:szCs w:val="24"/>
                <w:highlight w:val="none"/>
                <w:lang w:val="en-US" w:eastAsia="zh-CN"/>
              </w:rPr>
              <w:t>需</w:t>
            </w:r>
            <w:r>
              <w:rPr>
                <w:rFonts w:hint="eastAsia" w:ascii="宋体" w:hAnsi="宋体" w:eastAsia="宋体" w:cs="宋体"/>
                <w:snapToGrid w:val="0"/>
                <w:color w:val="auto"/>
                <w:kern w:val="0"/>
                <w:sz w:val="24"/>
                <w:szCs w:val="24"/>
                <w:highlight w:val="none"/>
              </w:rPr>
              <w:t>附在有效期内的有关证明</w:t>
            </w:r>
            <w:r>
              <w:rPr>
                <w:rFonts w:hint="eastAsia" w:ascii="宋体" w:hAnsi="宋体" w:eastAsia="宋体" w:cs="宋体"/>
                <w:color w:val="auto"/>
                <w:sz w:val="24"/>
                <w:szCs w:val="24"/>
                <w:highlight w:val="none"/>
              </w:rPr>
              <w:t>彩色扫描件</w:t>
            </w:r>
            <w:r>
              <w:rPr>
                <w:rFonts w:hint="eastAsia" w:ascii="宋体" w:hAnsi="宋体" w:eastAsia="宋体" w:cs="宋体"/>
                <w:snapToGrid w:val="0"/>
                <w:color w:val="auto"/>
                <w:kern w:val="0"/>
                <w:sz w:val="24"/>
                <w:szCs w:val="24"/>
                <w:highlight w:val="none"/>
              </w:rPr>
              <w:t>(或打印件)</w:t>
            </w:r>
            <w:r>
              <w:rPr>
                <w:rFonts w:hint="eastAsia" w:ascii="宋体" w:hAnsi="宋体" w:eastAsia="宋体" w:cs="宋体"/>
                <w:color w:val="auto"/>
                <w:sz w:val="24"/>
                <w:szCs w:val="24"/>
                <w:highlight w:val="none"/>
              </w:rPr>
              <w:t>并加盖公章</w:t>
            </w:r>
            <w:r>
              <w:rPr>
                <w:rFonts w:hint="eastAsia" w:ascii="宋体" w:hAnsi="宋体" w:eastAsia="宋体" w:cs="宋体"/>
                <w:snapToGrid w:val="0"/>
                <w:color w:val="auto"/>
                <w:kern w:val="0"/>
                <w:sz w:val="24"/>
                <w:szCs w:val="24"/>
                <w:highlight w:val="none"/>
              </w:rPr>
              <w:t>。</w:t>
            </w:r>
          </w:p>
          <w:p w14:paraId="6804C699">
            <w:pPr>
              <w:keepNext w:val="0"/>
              <w:keepLines/>
              <w:pageBreakBefore w:val="0"/>
              <w:widowControl/>
              <w:kinsoku/>
              <w:wordWrap w:val="0"/>
              <w:overflowPunct/>
              <w:topLinePunct w:val="0"/>
              <w:bidi w:val="0"/>
              <w:adjustRightInd w:val="0"/>
              <w:snapToGrid w:val="0"/>
              <w:spacing w:after="0" w:line="420" w:lineRule="exac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2．存款余额资金流水证明有以下情形之一的，视为无效，不予计分：</w:t>
            </w:r>
          </w:p>
          <w:p w14:paraId="58DD0C8E">
            <w:pPr>
              <w:keepNext w:val="0"/>
              <w:keepLines/>
              <w:pageBreakBefore w:val="0"/>
              <w:widowControl/>
              <w:kinsoku/>
              <w:wordWrap w:val="0"/>
              <w:overflowPunct/>
              <w:topLinePunct w:val="0"/>
              <w:bidi w:val="0"/>
              <w:adjustRightInd w:val="0"/>
              <w:snapToGrid w:val="0"/>
              <w:spacing w:after="0" w:line="420" w:lineRule="exac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①存款账户不是基本账户的；</w:t>
            </w:r>
          </w:p>
          <w:p w14:paraId="4DA9FD9A">
            <w:pPr>
              <w:keepNext w:val="0"/>
              <w:keepLines/>
              <w:pageBreakBefore w:val="0"/>
              <w:widowControl/>
              <w:kinsoku/>
              <w:wordWrap w:val="0"/>
              <w:overflowPunct/>
              <w:topLinePunct w:val="0"/>
              <w:bidi w:val="0"/>
              <w:adjustRightInd w:val="0"/>
              <w:snapToGrid w:val="0"/>
              <w:spacing w:after="0" w:line="420" w:lineRule="exac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②存款时间不符合要求的；</w:t>
            </w:r>
          </w:p>
          <w:p w14:paraId="07BB7C9B">
            <w:pPr>
              <w:keepNext w:val="0"/>
              <w:keepLines/>
              <w:pageBreakBefore w:val="0"/>
              <w:widowControl/>
              <w:kinsoku/>
              <w:wordWrap w:val="0"/>
              <w:overflowPunct/>
              <w:topLinePunct w:val="0"/>
              <w:bidi w:val="0"/>
              <w:adjustRightInd w:val="0"/>
              <w:snapToGrid w:val="0"/>
              <w:spacing w:after="0" w:line="420" w:lineRule="exact"/>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③存款额度不符合要求的。</w:t>
            </w:r>
          </w:p>
        </w:tc>
      </w:tr>
      <w:tr w14:paraId="44DE4FB7">
        <w:tblPrEx>
          <w:tblCellMar>
            <w:top w:w="0" w:type="dxa"/>
            <w:left w:w="108" w:type="dxa"/>
            <w:bottom w:w="0" w:type="dxa"/>
            <w:right w:w="108" w:type="dxa"/>
          </w:tblCellMar>
        </w:tblPrEx>
        <w:trPr>
          <w:trHeight w:val="6655" w:hRule="atLeast"/>
          <w:jc w:val="center"/>
        </w:trPr>
        <w:tc>
          <w:tcPr>
            <w:tcW w:w="1216" w:type="dxa"/>
            <w:tcBorders>
              <w:top w:val="single" w:color="auto" w:sz="4" w:space="0"/>
              <w:left w:val="single" w:color="auto" w:sz="4" w:space="0"/>
              <w:right w:val="single" w:color="auto" w:sz="4" w:space="0"/>
            </w:tcBorders>
            <w:noWrap w:val="0"/>
            <w:vAlign w:val="center"/>
          </w:tcPr>
          <w:p w14:paraId="69A5BEF3">
            <w:pPr>
              <w:pStyle w:val="6"/>
              <w:keepNext w:val="0"/>
              <w:keepLines/>
              <w:pageBreakBefore w:val="0"/>
              <w:widowControl/>
              <w:kinsoku/>
              <w:wordWrap w:val="0"/>
              <w:overflowPunct/>
              <w:topLinePunct w:val="0"/>
              <w:bidi w:val="0"/>
              <w:spacing w:after="0" w:afterLines="0" w:line="42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招标人自选项</w:t>
            </w:r>
          </w:p>
          <w:p w14:paraId="1DD1B504">
            <w:pPr>
              <w:pStyle w:val="6"/>
              <w:keepNext w:val="0"/>
              <w:keepLines w:val="0"/>
              <w:pageBreakBefore w:val="0"/>
              <w:kinsoku/>
              <w:wordWrap w:val="0"/>
              <w:overflowPunct/>
              <w:topLinePunct w:val="0"/>
              <w:autoSpaceDE/>
              <w:autoSpaceDN/>
              <w:bidi w:val="0"/>
              <w:adjustRightInd w:val="0"/>
              <w:snapToGrid w:val="0"/>
              <w:spacing w:after="0" w:afterLines="0" w:line="360" w:lineRule="exact"/>
              <w:jc w:val="center"/>
              <w:textAlignment w:val="auto"/>
              <w:rPr>
                <w:rFonts w:hint="eastAsia" w:ascii="宋体" w:hAnsi="宋体" w:eastAsia="宋体" w:cs="宋体"/>
                <w:snapToGrid w:val="0"/>
                <w:color w:val="auto"/>
                <w:kern w:val="0"/>
                <w:sz w:val="24"/>
                <w:szCs w:val="24"/>
                <w:highlight w:val="none"/>
                <w:shd w:val="clear" w:color="auto" w:fill="auto"/>
                <w:lang w:bidi="ar"/>
              </w:rPr>
            </w:pP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10</w:t>
            </w:r>
            <w:r>
              <w:rPr>
                <w:rFonts w:hint="eastAsia" w:ascii="宋体" w:hAnsi="宋体" w:eastAsia="宋体" w:cs="宋体"/>
                <w:snapToGrid w:val="0"/>
                <w:color w:val="auto"/>
                <w:kern w:val="0"/>
                <w:sz w:val="24"/>
                <w:szCs w:val="24"/>
                <w:highlight w:val="none"/>
              </w:rPr>
              <w:t>分）</w:t>
            </w:r>
          </w:p>
        </w:tc>
        <w:tc>
          <w:tcPr>
            <w:tcW w:w="3733" w:type="dxa"/>
            <w:tcBorders>
              <w:top w:val="single" w:color="auto" w:sz="4" w:space="0"/>
              <w:left w:val="single" w:color="auto" w:sz="4" w:space="0"/>
              <w:right w:val="single" w:color="auto" w:sz="4" w:space="0"/>
            </w:tcBorders>
            <w:noWrap w:val="0"/>
            <w:vAlign w:val="center"/>
          </w:tcPr>
          <w:p w14:paraId="4470791F">
            <w:pPr>
              <w:pStyle w:val="6"/>
              <w:keepNext w:val="0"/>
              <w:keepLines/>
              <w:pageBreakBefore w:val="0"/>
              <w:widowControl/>
              <w:kinsoku/>
              <w:wordWrap w:val="0"/>
              <w:overflowPunct/>
              <w:topLinePunct w:val="0"/>
              <w:bidi w:val="0"/>
              <w:adjustRightInd w:val="0"/>
              <w:snapToGrid w:val="0"/>
              <w:spacing w:after="0" w:afterLines="0" w:line="420" w:lineRule="exact"/>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1.投标人近3年来（2023年1月1日至今）未发生事故等级为一般事故及以上的生产安全事故、一般质量事故及以上的工程质量事故的，得10分；</w:t>
            </w:r>
          </w:p>
          <w:p w14:paraId="529A7F32">
            <w:pPr>
              <w:pStyle w:val="13"/>
              <w:jc w:val="left"/>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lang w:val="en-US" w:eastAsia="zh-CN"/>
              </w:rPr>
              <w:t>2.其他情形的，不予计分。</w:t>
            </w:r>
          </w:p>
        </w:tc>
        <w:tc>
          <w:tcPr>
            <w:tcW w:w="5358" w:type="dxa"/>
            <w:tcBorders>
              <w:top w:val="single" w:color="auto" w:sz="4" w:space="0"/>
              <w:left w:val="single" w:color="auto" w:sz="4" w:space="0"/>
              <w:bottom w:val="single" w:color="auto" w:sz="4" w:space="0"/>
              <w:right w:val="single" w:color="auto" w:sz="4" w:space="0"/>
            </w:tcBorders>
            <w:noWrap w:val="0"/>
            <w:vAlign w:val="center"/>
          </w:tcPr>
          <w:p w14:paraId="657CAB8B">
            <w:pPr>
              <w:keepNext w:val="0"/>
              <w:keepLines w:val="0"/>
              <w:widowControl/>
              <w:suppressLineNumbers w:val="0"/>
              <w:spacing w:after="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 xml:space="preserve">1.需提供本单位承诺书（格式自定）并加盖本单位公章。 </w:t>
            </w:r>
          </w:p>
          <w:p w14:paraId="241B0C8C">
            <w:pPr>
              <w:pStyle w:val="6"/>
              <w:wordWrap w:val="0"/>
              <w:spacing w:after="0" w:line="360" w:lineRule="exact"/>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2.未提供本单位承诺书并加盖本单位公章的，按第2项标准处理。</w:t>
            </w:r>
          </w:p>
        </w:tc>
      </w:tr>
      <w:tr w14:paraId="25C73D15">
        <w:tblPrEx>
          <w:tblCellMar>
            <w:top w:w="0" w:type="dxa"/>
            <w:left w:w="108" w:type="dxa"/>
            <w:bottom w:w="0" w:type="dxa"/>
            <w:right w:w="108" w:type="dxa"/>
          </w:tblCellMar>
        </w:tblPrEx>
        <w:trPr>
          <w:trHeight w:val="567" w:hRule="exact"/>
          <w:jc w:val="center"/>
        </w:trPr>
        <w:tc>
          <w:tcPr>
            <w:tcW w:w="10307" w:type="dxa"/>
            <w:gridSpan w:val="3"/>
            <w:tcBorders>
              <w:top w:val="single" w:color="auto" w:sz="4" w:space="0"/>
              <w:left w:val="single" w:color="auto" w:sz="4" w:space="0"/>
              <w:bottom w:val="single" w:color="auto" w:sz="4" w:space="0"/>
              <w:right w:val="single" w:color="auto" w:sz="4" w:space="0"/>
            </w:tcBorders>
            <w:shd w:val="clear" w:color="auto" w:fill="D9D9D9"/>
            <w:noWrap w:val="0"/>
            <w:vAlign w:val="center"/>
          </w:tcPr>
          <w:p w14:paraId="45F679F3">
            <w:pPr>
              <w:widowControl w:val="0"/>
              <w:wordWrap w:val="0"/>
              <w:adjustRightInd w:val="0"/>
              <w:snapToGrid w:val="0"/>
              <w:spacing w:after="0" w:line="440" w:lineRule="exact"/>
              <w:jc w:val="left"/>
              <w:rPr>
                <w:rFonts w:hint="eastAsia" w:asciiTheme="minorEastAsia" w:hAnsiTheme="minorEastAsia" w:eastAsiaTheme="minorEastAsia" w:cstheme="minorEastAsia"/>
                <w:snapToGrid w:val="0"/>
                <w:color w:val="auto"/>
                <w:kern w:val="0"/>
                <w:sz w:val="21"/>
                <w:szCs w:val="21"/>
                <w:highlight w:val="none"/>
                <w:lang w:val="en-US" w:eastAsia="zh-CN" w:bidi="ar-SA"/>
              </w:rPr>
            </w:pPr>
            <w:r>
              <w:rPr>
                <w:rFonts w:hint="eastAsia" w:asciiTheme="minorEastAsia" w:hAnsiTheme="minorEastAsia" w:eastAsiaTheme="minorEastAsia" w:cstheme="minorEastAsia"/>
                <w:b/>
                <w:bCs/>
                <w:color w:val="auto"/>
                <w:kern w:val="0"/>
                <w:sz w:val="24"/>
                <w:szCs w:val="24"/>
                <w:highlight w:val="none"/>
                <w:lang w:val="en-US" w:eastAsia="zh-CN" w:bidi="ar-SA"/>
              </w:rPr>
              <w:t>技术部分（施工组织设计），满分：</w:t>
            </w:r>
            <w:r>
              <w:rPr>
                <w:rFonts w:hint="eastAsia" w:asciiTheme="minorEastAsia" w:hAnsiTheme="minorEastAsia" w:eastAsiaTheme="minorEastAsia" w:cstheme="minorEastAsia"/>
                <w:b/>
                <w:bCs/>
                <w:color w:val="auto"/>
                <w:kern w:val="0"/>
                <w:sz w:val="24"/>
                <w:szCs w:val="24"/>
                <w:highlight w:val="none"/>
                <w:u w:val="single"/>
                <w:lang w:val="en-US" w:eastAsia="zh-CN" w:bidi="ar-SA"/>
              </w:rPr>
              <w:t xml:space="preserve">  20  </w:t>
            </w:r>
            <w:r>
              <w:rPr>
                <w:rFonts w:hint="eastAsia" w:asciiTheme="minorEastAsia" w:hAnsiTheme="minorEastAsia" w:eastAsiaTheme="minorEastAsia" w:cstheme="minorEastAsia"/>
                <w:b/>
                <w:bCs/>
                <w:color w:val="auto"/>
                <w:kern w:val="0"/>
                <w:sz w:val="24"/>
                <w:szCs w:val="24"/>
                <w:highlight w:val="none"/>
                <w:lang w:val="en-US" w:eastAsia="zh-CN" w:bidi="ar-SA"/>
              </w:rPr>
              <w:t>分。</w:t>
            </w:r>
          </w:p>
        </w:tc>
      </w:tr>
      <w:tr w14:paraId="6464CE55">
        <w:tblPrEx>
          <w:tblCellMar>
            <w:top w:w="0" w:type="dxa"/>
            <w:left w:w="108" w:type="dxa"/>
            <w:bottom w:w="0" w:type="dxa"/>
            <w:right w:w="108" w:type="dxa"/>
          </w:tblCellMar>
        </w:tblPrEx>
        <w:trPr>
          <w:trHeight w:val="680" w:hRule="exact"/>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70AB2FD4">
            <w:pPr>
              <w:widowControl w:val="0"/>
              <w:wordWrap w:val="0"/>
              <w:adjustRightInd w:val="0"/>
              <w:snapToGrid w:val="0"/>
              <w:spacing w:after="0" w:line="440" w:lineRule="exact"/>
              <w:jc w:val="center"/>
              <w:rPr>
                <w:rFonts w:hint="eastAsia" w:asciiTheme="minorEastAsia" w:hAnsiTheme="minorEastAsia" w:eastAsiaTheme="minorEastAsia" w:cstheme="minorEastAsia"/>
                <w:snapToGrid w:val="0"/>
                <w:color w:val="auto"/>
                <w:kern w:val="0"/>
                <w:sz w:val="21"/>
                <w:szCs w:val="21"/>
                <w:highlight w:val="none"/>
                <w:lang w:val="en-US" w:eastAsia="zh-CN" w:bidi="ar-SA"/>
              </w:rPr>
            </w:pPr>
            <w:r>
              <w:rPr>
                <w:rFonts w:hint="eastAsia" w:asciiTheme="minorEastAsia" w:hAnsiTheme="minorEastAsia" w:eastAsiaTheme="minorEastAsia" w:cstheme="minorEastAsia"/>
                <w:snapToGrid w:val="0"/>
                <w:color w:val="auto"/>
                <w:kern w:val="0"/>
                <w:sz w:val="21"/>
                <w:szCs w:val="21"/>
                <w:highlight w:val="none"/>
                <w:lang w:val="en-US" w:eastAsia="zh-CN" w:bidi="ar-SA"/>
              </w:rPr>
              <w:t>评分因素</w:t>
            </w:r>
          </w:p>
        </w:tc>
        <w:tc>
          <w:tcPr>
            <w:tcW w:w="3733" w:type="dxa"/>
            <w:tcBorders>
              <w:top w:val="single" w:color="auto" w:sz="4" w:space="0"/>
              <w:left w:val="single" w:color="auto" w:sz="4" w:space="0"/>
              <w:bottom w:val="single" w:color="auto" w:sz="4" w:space="0"/>
              <w:right w:val="single" w:color="auto" w:sz="4" w:space="0"/>
            </w:tcBorders>
            <w:noWrap w:val="0"/>
            <w:vAlign w:val="center"/>
          </w:tcPr>
          <w:p w14:paraId="337219A5">
            <w:pPr>
              <w:widowControl w:val="0"/>
              <w:wordWrap w:val="0"/>
              <w:adjustRightInd w:val="0"/>
              <w:snapToGrid w:val="0"/>
              <w:spacing w:after="0" w:line="440" w:lineRule="exact"/>
              <w:jc w:val="center"/>
              <w:rPr>
                <w:rFonts w:hint="eastAsia" w:asciiTheme="minorEastAsia" w:hAnsiTheme="minorEastAsia" w:eastAsiaTheme="minorEastAsia" w:cstheme="minorEastAsia"/>
                <w:snapToGrid w:val="0"/>
                <w:color w:val="auto"/>
                <w:kern w:val="0"/>
                <w:sz w:val="21"/>
                <w:szCs w:val="21"/>
                <w:highlight w:val="none"/>
                <w:lang w:val="en-US" w:eastAsia="zh-CN" w:bidi="ar-SA"/>
              </w:rPr>
            </w:pPr>
            <w:r>
              <w:rPr>
                <w:rFonts w:hint="eastAsia" w:asciiTheme="minorEastAsia" w:hAnsiTheme="minorEastAsia" w:eastAsiaTheme="minorEastAsia" w:cstheme="minorEastAsia"/>
                <w:snapToGrid w:val="0"/>
                <w:color w:val="auto"/>
                <w:kern w:val="0"/>
                <w:sz w:val="21"/>
                <w:szCs w:val="21"/>
                <w:highlight w:val="none"/>
                <w:lang w:val="en-US" w:eastAsia="zh-CN" w:bidi="ar-SA"/>
              </w:rPr>
              <w:t>评分标准</w:t>
            </w:r>
          </w:p>
        </w:tc>
        <w:tc>
          <w:tcPr>
            <w:tcW w:w="5358" w:type="dxa"/>
            <w:tcBorders>
              <w:top w:val="single" w:color="auto" w:sz="4" w:space="0"/>
              <w:left w:val="single" w:color="auto" w:sz="4" w:space="0"/>
              <w:bottom w:val="single" w:color="auto" w:sz="4" w:space="0"/>
              <w:right w:val="single" w:color="auto" w:sz="4" w:space="0"/>
            </w:tcBorders>
            <w:noWrap w:val="0"/>
            <w:vAlign w:val="center"/>
          </w:tcPr>
          <w:p w14:paraId="142C6125">
            <w:pPr>
              <w:widowControl w:val="0"/>
              <w:wordWrap w:val="0"/>
              <w:adjustRightInd w:val="0"/>
              <w:snapToGrid w:val="0"/>
              <w:spacing w:after="0" w:line="440" w:lineRule="exact"/>
              <w:jc w:val="center"/>
              <w:rPr>
                <w:rFonts w:hint="eastAsia" w:asciiTheme="minorEastAsia" w:hAnsiTheme="minorEastAsia" w:eastAsiaTheme="minorEastAsia" w:cstheme="minorEastAsia"/>
                <w:snapToGrid w:val="0"/>
                <w:color w:val="auto"/>
                <w:kern w:val="0"/>
                <w:sz w:val="21"/>
                <w:szCs w:val="21"/>
                <w:highlight w:val="none"/>
                <w:lang w:val="en-US" w:eastAsia="zh-CN" w:bidi="ar-SA"/>
              </w:rPr>
            </w:pPr>
            <w:r>
              <w:rPr>
                <w:rFonts w:hint="eastAsia" w:asciiTheme="minorEastAsia" w:hAnsiTheme="minorEastAsia" w:eastAsiaTheme="minorEastAsia" w:cstheme="minorEastAsia"/>
                <w:snapToGrid w:val="0"/>
                <w:color w:val="auto"/>
                <w:kern w:val="0"/>
                <w:sz w:val="21"/>
                <w:szCs w:val="21"/>
                <w:highlight w:val="none"/>
                <w:lang w:val="en-US" w:eastAsia="zh-CN" w:bidi="ar-SA"/>
              </w:rPr>
              <w:t>备注</w:t>
            </w:r>
          </w:p>
        </w:tc>
      </w:tr>
      <w:tr w14:paraId="6A5185ED">
        <w:tblPrEx>
          <w:tblCellMar>
            <w:top w:w="0" w:type="dxa"/>
            <w:left w:w="108" w:type="dxa"/>
            <w:bottom w:w="0" w:type="dxa"/>
            <w:right w:w="108" w:type="dxa"/>
          </w:tblCellMar>
        </w:tblPrEx>
        <w:trPr>
          <w:trHeight w:val="457" w:hRule="atLeast"/>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05D1C615">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 xml:space="preserve"> 总体概述</w:t>
            </w:r>
          </w:p>
          <w:p w14:paraId="12C58E38">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b/>
                <w:bCs/>
                <w:snapToGrid w:val="0"/>
                <w:color w:val="auto"/>
                <w:kern w:val="0"/>
                <w:sz w:val="21"/>
                <w:szCs w:val="21"/>
                <w:highlight w:val="none"/>
                <w:lang w:eastAsia="zh-CN"/>
              </w:rPr>
              <w:t>（</w:t>
            </w:r>
            <w:r>
              <w:rPr>
                <w:rFonts w:hint="eastAsia" w:asciiTheme="minorEastAsia" w:hAnsiTheme="minorEastAsia" w:eastAsiaTheme="minorEastAsia" w:cstheme="minorEastAsia"/>
                <w:b/>
                <w:bCs/>
                <w:snapToGrid w:val="0"/>
                <w:color w:val="auto"/>
                <w:kern w:val="0"/>
                <w:sz w:val="21"/>
                <w:szCs w:val="21"/>
                <w:highlight w:val="none"/>
                <w:u w:val="single"/>
                <w:lang w:eastAsia="zh-CN"/>
              </w:rPr>
              <w:t xml:space="preserve"> 3 </w:t>
            </w:r>
            <w:r>
              <w:rPr>
                <w:rFonts w:hint="eastAsia" w:asciiTheme="minorEastAsia" w:hAnsiTheme="minorEastAsia" w:eastAsiaTheme="minorEastAsia" w:cstheme="minorEastAsia"/>
                <w:b/>
                <w:bCs/>
                <w:snapToGrid w:val="0"/>
                <w:color w:val="auto"/>
                <w:kern w:val="0"/>
                <w:sz w:val="21"/>
                <w:szCs w:val="21"/>
                <w:highlight w:val="none"/>
                <w:lang w:eastAsia="zh-CN"/>
              </w:rPr>
              <w:t>分）</w:t>
            </w:r>
          </w:p>
        </w:tc>
        <w:tc>
          <w:tcPr>
            <w:tcW w:w="3733" w:type="dxa"/>
            <w:tcBorders>
              <w:top w:val="single" w:color="auto" w:sz="4" w:space="0"/>
              <w:left w:val="single" w:color="auto" w:sz="4" w:space="0"/>
              <w:bottom w:val="single" w:color="auto" w:sz="4" w:space="0"/>
              <w:right w:val="single" w:color="auto" w:sz="4" w:space="0"/>
            </w:tcBorders>
            <w:noWrap w:val="0"/>
            <w:vAlign w:val="center"/>
          </w:tcPr>
          <w:p w14:paraId="7AB16E6B">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【优】得该项评分因素分值的90%～100%（含90%）。</w:t>
            </w:r>
          </w:p>
          <w:p w14:paraId="6F4AF29C">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【良】得该项评分因素分值的80%～90%（含80%）。</w:t>
            </w:r>
          </w:p>
          <w:p w14:paraId="31F3767D">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【中】得该项评分因素分值的70%～80%（含70%）。</w:t>
            </w:r>
          </w:p>
          <w:p w14:paraId="1E265642">
            <w:pPr>
              <w:widowControl w:val="0"/>
              <w:kinsoku/>
              <w:wordWrap w:val="0"/>
              <w:autoSpaceDE/>
              <w:autoSpaceDN/>
              <w:adjustRightInd w:val="0"/>
              <w:snapToGrid w:val="0"/>
              <w:spacing w:line="400" w:lineRule="exact"/>
              <w:jc w:val="left"/>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【差】得该项评分因素分值的60～70%（含60%）。</w:t>
            </w:r>
          </w:p>
        </w:tc>
        <w:tc>
          <w:tcPr>
            <w:tcW w:w="5358" w:type="dxa"/>
            <w:tcBorders>
              <w:top w:val="single" w:color="auto" w:sz="4" w:space="0"/>
              <w:left w:val="single" w:color="auto" w:sz="4" w:space="0"/>
              <w:bottom w:val="single" w:color="auto" w:sz="4" w:space="0"/>
              <w:right w:val="single" w:color="auto" w:sz="4" w:space="0"/>
            </w:tcBorders>
            <w:noWrap w:val="0"/>
            <w:vAlign w:val="center"/>
          </w:tcPr>
          <w:p w14:paraId="1003E2D1">
            <w:pPr>
              <w:widowControl w:val="0"/>
              <w:kinsoku/>
              <w:wordWrap w:val="0"/>
              <w:autoSpaceDE/>
              <w:autoSpaceDN/>
              <w:adjustRightInd w:val="0"/>
              <w:snapToGrid w:val="0"/>
              <w:spacing w:line="400" w:lineRule="exact"/>
              <w:jc w:val="left"/>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【优】对项目总体有深刻认识，表述清晰、完整、严谨、合理，措施先进、具体、有效、成熟，采用了新技术、新工艺、新材料、新设备；施工段划分呼应总体表述，划分清晰、合理，符合规范要求。</w:t>
            </w:r>
          </w:p>
          <w:p w14:paraId="2188486D">
            <w:pPr>
              <w:widowControl w:val="0"/>
              <w:kinsoku/>
              <w:wordWrap w:val="0"/>
              <w:autoSpaceDE/>
              <w:autoSpaceDN/>
              <w:adjustRightInd w:val="0"/>
              <w:snapToGrid w:val="0"/>
              <w:spacing w:line="400" w:lineRule="exact"/>
              <w:jc w:val="left"/>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【良】对项目总体有一定认识，表述清晰、完整，措施具体有效；施工段划分呼应总体表述，划分清晰，符合规范要求。</w:t>
            </w:r>
          </w:p>
          <w:p w14:paraId="1C3316D5">
            <w:pPr>
              <w:widowControl w:val="0"/>
              <w:kinsoku/>
              <w:wordWrap w:val="0"/>
              <w:autoSpaceDE/>
              <w:autoSpaceDN/>
              <w:adjustRightInd w:val="0"/>
              <w:snapToGrid w:val="0"/>
              <w:spacing w:line="400" w:lineRule="exact"/>
              <w:jc w:val="left"/>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【中】对项目总体有认识，有一定的措施但部分不具体；施工段划分较合理，符合规范要求。</w:t>
            </w:r>
          </w:p>
          <w:p w14:paraId="4CF8A36F">
            <w:pPr>
              <w:widowControl w:val="0"/>
              <w:kinsoku/>
              <w:wordWrap w:val="0"/>
              <w:autoSpaceDE/>
              <w:autoSpaceDN/>
              <w:adjustRightInd w:val="0"/>
              <w:snapToGrid w:val="0"/>
              <w:spacing w:line="400" w:lineRule="exact"/>
              <w:jc w:val="left"/>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【差】对项目认识不足，表述不清晰，措施不具体；施工段划分不合理。</w:t>
            </w:r>
          </w:p>
        </w:tc>
      </w:tr>
      <w:tr w14:paraId="17105993">
        <w:tblPrEx>
          <w:tblCellMar>
            <w:top w:w="0" w:type="dxa"/>
            <w:left w:w="108" w:type="dxa"/>
            <w:bottom w:w="0" w:type="dxa"/>
            <w:right w:w="108" w:type="dxa"/>
          </w:tblCellMar>
        </w:tblPrEx>
        <w:trPr>
          <w:trHeight w:val="457" w:hRule="atLeast"/>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65740AF7">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施工总进</w:t>
            </w:r>
          </w:p>
          <w:p w14:paraId="7C75B692">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度计划及</w:t>
            </w:r>
          </w:p>
          <w:p w14:paraId="28E81420">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保证措施</w:t>
            </w:r>
          </w:p>
          <w:p w14:paraId="44BBD391">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b/>
                <w:bCs/>
                <w:snapToGrid w:val="0"/>
                <w:color w:val="auto"/>
                <w:kern w:val="0"/>
                <w:sz w:val="21"/>
                <w:szCs w:val="21"/>
                <w:highlight w:val="none"/>
                <w:lang w:eastAsia="zh-CN"/>
              </w:rPr>
              <w:t>（</w:t>
            </w:r>
            <w:r>
              <w:rPr>
                <w:rFonts w:hint="eastAsia" w:asciiTheme="minorEastAsia" w:hAnsiTheme="minorEastAsia" w:eastAsiaTheme="minorEastAsia" w:cstheme="minorEastAsia"/>
                <w:b/>
                <w:bCs/>
                <w:snapToGrid w:val="0"/>
                <w:color w:val="auto"/>
                <w:kern w:val="0"/>
                <w:sz w:val="21"/>
                <w:szCs w:val="21"/>
                <w:highlight w:val="none"/>
                <w:u w:val="single"/>
                <w:lang w:eastAsia="zh-CN"/>
              </w:rPr>
              <w:t xml:space="preserve">3 </w:t>
            </w:r>
            <w:r>
              <w:rPr>
                <w:rFonts w:hint="eastAsia" w:asciiTheme="minorEastAsia" w:hAnsiTheme="minorEastAsia" w:eastAsiaTheme="minorEastAsia" w:cstheme="minorEastAsia"/>
                <w:b/>
                <w:bCs/>
                <w:snapToGrid w:val="0"/>
                <w:color w:val="auto"/>
                <w:kern w:val="0"/>
                <w:sz w:val="21"/>
                <w:szCs w:val="21"/>
                <w:highlight w:val="none"/>
                <w:lang w:eastAsia="zh-CN"/>
              </w:rPr>
              <w:t>分）</w:t>
            </w:r>
          </w:p>
        </w:tc>
        <w:tc>
          <w:tcPr>
            <w:tcW w:w="3733" w:type="dxa"/>
            <w:tcBorders>
              <w:top w:val="single" w:color="auto" w:sz="4" w:space="0"/>
              <w:left w:val="single" w:color="auto" w:sz="4" w:space="0"/>
              <w:bottom w:val="single" w:color="auto" w:sz="4" w:space="0"/>
              <w:right w:val="single" w:color="auto" w:sz="4" w:space="0"/>
            </w:tcBorders>
            <w:noWrap w:val="0"/>
            <w:vAlign w:val="center"/>
          </w:tcPr>
          <w:p w14:paraId="3B07CE96">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【优】得该项评分因素分值的90%～100%（含90%）。</w:t>
            </w:r>
          </w:p>
          <w:p w14:paraId="6128D63F">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【良】得该项评分因素分值的80%～90%（含80%）。</w:t>
            </w:r>
          </w:p>
          <w:p w14:paraId="2BDE0878">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【中】得该项评分因素分值的70%～80%（含70%）。</w:t>
            </w:r>
          </w:p>
          <w:p w14:paraId="09E61D98">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【差】得该项评分因素分值的60～70%（含60%）。</w:t>
            </w:r>
          </w:p>
        </w:tc>
        <w:tc>
          <w:tcPr>
            <w:tcW w:w="5358" w:type="dxa"/>
            <w:tcBorders>
              <w:top w:val="single" w:color="auto" w:sz="4" w:space="0"/>
              <w:left w:val="single" w:color="auto" w:sz="4" w:space="0"/>
              <w:bottom w:val="single" w:color="auto" w:sz="4" w:space="0"/>
              <w:right w:val="single" w:color="auto" w:sz="4" w:space="0"/>
            </w:tcBorders>
            <w:noWrap w:val="0"/>
            <w:vAlign w:val="center"/>
          </w:tcPr>
          <w:p w14:paraId="758694C5">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b/>
                <w:bCs/>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优】关键线路清晰、准确、完整，计划编制合理、可行。关键节点的控制措施有力、合理、可行。人、材、机需求和进场计划与进度计划相呼应，较好满足施工需要，调配投入计划合理、准确。进度违约责任承诺具体，</w:t>
            </w:r>
            <w:r>
              <w:rPr>
                <w:rFonts w:hint="eastAsia" w:asciiTheme="minorEastAsia" w:hAnsiTheme="minorEastAsia" w:eastAsiaTheme="minorEastAsia" w:cstheme="minorEastAsia"/>
                <w:b/>
                <w:bCs/>
                <w:snapToGrid w:val="0"/>
                <w:color w:val="auto"/>
                <w:kern w:val="0"/>
                <w:sz w:val="21"/>
                <w:szCs w:val="21"/>
                <w:highlight w:val="none"/>
                <w:lang w:eastAsia="zh-CN"/>
              </w:rPr>
              <w:t>经济赔偿合理。</w:t>
            </w:r>
          </w:p>
          <w:p w14:paraId="7A22596A">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b/>
                <w:bCs/>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【良】关键线路清晰、准确、完整，计划编制可行。关键节点的控制措施合理、可行。人、材、机需求和进场计划与进度计划相呼应，基本满足施工需要，调配投入计划基本合理、准确。进度违约责任承诺具体，</w:t>
            </w:r>
            <w:r>
              <w:rPr>
                <w:rFonts w:hint="eastAsia" w:asciiTheme="minorEastAsia" w:hAnsiTheme="minorEastAsia" w:eastAsiaTheme="minorEastAsia" w:cstheme="minorEastAsia"/>
                <w:b/>
                <w:bCs/>
                <w:snapToGrid w:val="0"/>
                <w:color w:val="auto"/>
                <w:kern w:val="0"/>
                <w:sz w:val="21"/>
                <w:szCs w:val="21"/>
                <w:highlight w:val="none"/>
                <w:lang w:eastAsia="zh-CN"/>
              </w:rPr>
              <w:t>经济赔偿较合理。</w:t>
            </w:r>
          </w:p>
          <w:p w14:paraId="474069E5">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【中】关键线路基本准确，计划编制基本合理。关键节点的控制措施基本可行。人、材、机需求和进场计划与进度计划相呼应，基本满足施工需要，调配投入计划基本合理。进度违约责任承诺具体。</w:t>
            </w:r>
          </w:p>
          <w:p w14:paraId="23316E86">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【差】关键线路不准确，计划编制不合理。关键节点的控制不可行。人、材、机需求和进场计划与进度计划不相呼应，不能满足施工需要。没有违约责任承诺。</w:t>
            </w:r>
          </w:p>
        </w:tc>
      </w:tr>
      <w:tr w14:paraId="720B6D83">
        <w:tblPrEx>
          <w:tblCellMar>
            <w:top w:w="0" w:type="dxa"/>
            <w:left w:w="108" w:type="dxa"/>
            <w:bottom w:w="0" w:type="dxa"/>
            <w:right w:w="108" w:type="dxa"/>
          </w:tblCellMar>
        </w:tblPrEx>
        <w:trPr>
          <w:trHeight w:val="457" w:hRule="atLeast"/>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6A950425">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质量</w:t>
            </w:r>
          </w:p>
          <w:p w14:paraId="1BB77949">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保证措施</w:t>
            </w:r>
          </w:p>
          <w:p w14:paraId="5D068E51">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b/>
                <w:bCs/>
                <w:snapToGrid w:val="0"/>
                <w:color w:val="auto"/>
                <w:kern w:val="0"/>
                <w:sz w:val="21"/>
                <w:szCs w:val="21"/>
                <w:highlight w:val="none"/>
                <w:lang w:eastAsia="zh-CN"/>
              </w:rPr>
              <w:t>（4</w:t>
            </w:r>
            <w:r>
              <w:rPr>
                <w:rFonts w:hint="eastAsia" w:asciiTheme="minorEastAsia" w:hAnsiTheme="minorEastAsia" w:eastAsiaTheme="minorEastAsia" w:cstheme="minorEastAsia"/>
                <w:b/>
                <w:bCs/>
                <w:snapToGrid w:val="0"/>
                <w:color w:val="auto"/>
                <w:kern w:val="0"/>
                <w:sz w:val="21"/>
                <w:szCs w:val="21"/>
                <w:highlight w:val="none"/>
                <w:u w:val="single"/>
                <w:lang w:eastAsia="zh-CN"/>
              </w:rPr>
              <w:t xml:space="preserve"> </w:t>
            </w:r>
            <w:r>
              <w:rPr>
                <w:rFonts w:hint="eastAsia" w:asciiTheme="minorEastAsia" w:hAnsiTheme="minorEastAsia" w:eastAsiaTheme="minorEastAsia" w:cstheme="minorEastAsia"/>
                <w:b/>
                <w:bCs/>
                <w:snapToGrid w:val="0"/>
                <w:color w:val="auto"/>
                <w:kern w:val="0"/>
                <w:sz w:val="21"/>
                <w:szCs w:val="21"/>
                <w:highlight w:val="none"/>
                <w:lang w:eastAsia="zh-CN"/>
              </w:rPr>
              <w:t>分）</w:t>
            </w:r>
          </w:p>
        </w:tc>
        <w:tc>
          <w:tcPr>
            <w:tcW w:w="3733" w:type="dxa"/>
            <w:tcBorders>
              <w:top w:val="single" w:color="auto" w:sz="4" w:space="0"/>
              <w:left w:val="single" w:color="auto" w:sz="4" w:space="0"/>
              <w:bottom w:val="single" w:color="auto" w:sz="4" w:space="0"/>
              <w:right w:val="single" w:color="auto" w:sz="4" w:space="0"/>
            </w:tcBorders>
            <w:noWrap w:val="0"/>
            <w:vAlign w:val="center"/>
          </w:tcPr>
          <w:p w14:paraId="2C7870EA">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【优】得该项评分因素分值的90%～100%（含90%）。</w:t>
            </w:r>
          </w:p>
          <w:p w14:paraId="3EC5CB61">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【良】得该项评分因素分值的80%～90%（含80%）。</w:t>
            </w:r>
          </w:p>
          <w:p w14:paraId="0360ABFD">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【中】得该项评分因素分值的70%～80%（含70%）。</w:t>
            </w:r>
          </w:p>
          <w:p w14:paraId="00A0CBB8">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【差】得该项评分因素分值的60～70%（含60%）。</w:t>
            </w:r>
          </w:p>
        </w:tc>
        <w:tc>
          <w:tcPr>
            <w:tcW w:w="5358" w:type="dxa"/>
            <w:tcBorders>
              <w:top w:val="single" w:color="auto" w:sz="4" w:space="0"/>
              <w:left w:val="single" w:color="auto" w:sz="4" w:space="0"/>
              <w:bottom w:val="single" w:color="auto" w:sz="4" w:space="0"/>
              <w:right w:val="single" w:color="auto" w:sz="4" w:space="0"/>
            </w:tcBorders>
            <w:noWrap w:val="0"/>
            <w:vAlign w:val="center"/>
          </w:tcPr>
          <w:p w14:paraId="0507B3EF">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【优】应用新技术、新工艺、新材料、新设备，针对项目实际提出先进、可行、具体的保证措施。超过招标文件的质量要求。</w:t>
            </w:r>
          </w:p>
          <w:p w14:paraId="184DFD15">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b/>
                <w:bCs/>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【良】针对项目实际提出先进、可行、具体的保证措施。满足招标文件的质量要求。</w:t>
            </w:r>
          </w:p>
          <w:p w14:paraId="45013BD1">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【中】具体措施可行。满足招标文件的质量要求。</w:t>
            </w:r>
          </w:p>
          <w:p w14:paraId="29FCD053">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【差】措施不可行，没有质量违约责任承诺。</w:t>
            </w:r>
          </w:p>
        </w:tc>
      </w:tr>
      <w:tr w14:paraId="10E8298B">
        <w:tblPrEx>
          <w:tblCellMar>
            <w:top w:w="0" w:type="dxa"/>
            <w:left w:w="108" w:type="dxa"/>
            <w:bottom w:w="0" w:type="dxa"/>
            <w:right w:w="108" w:type="dxa"/>
          </w:tblCellMar>
        </w:tblPrEx>
        <w:trPr>
          <w:trHeight w:val="457" w:hRule="atLeast"/>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6792576A">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施工</w:t>
            </w:r>
          </w:p>
          <w:p w14:paraId="025DB9D7">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技术措施</w:t>
            </w:r>
          </w:p>
          <w:p w14:paraId="0D8137DE">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b/>
                <w:bCs/>
                <w:snapToGrid w:val="0"/>
                <w:color w:val="auto"/>
                <w:kern w:val="0"/>
                <w:sz w:val="21"/>
                <w:szCs w:val="21"/>
                <w:highlight w:val="none"/>
                <w:lang w:eastAsia="zh-CN"/>
              </w:rPr>
              <w:t>（</w:t>
            </w:r>
            <w:r>
              <w:rPr>
                <w:rFonts w:hint="eastAsia" w:asciiTheme="minorEastAsia" w:hAnsiTheme="minorEastAsia" w:eastAsiaTheme="minorEastAsia" w:cstheme="minorEastAsia"/>
                <w:b/>
                <w:bCs/>
                <w:snapToGrid w:val="0"/>
                <w:color w:val="auto"/>
                <w:kern w:val="0"/>
                <w:sz w:val="21"/>
                <w:szCs w:val="21"/>
                <w:highlight w:val="none"/>
                <w:u w:val="single"/>
                <w:lang w:eastAsia="zh-CN"/>
              </w:rPr>
              <w:t xml:space="preserve"> 2 </w:t>
            </w:r>
            <w:r>
              <w:rPr>
                <w:rFonts w:hint="eastAsia" w:asciiTheme="minorEastAsia" w:hAnsiTheme="minorEastAsia" w:eastAsiaTheme="minorEastAsia" w:cstheme="minorEastAsia"/>
                <w:b/>
                <w:bCs/>
                <w:snapToGrid w:val="0"/>
                <w:color w:val="auto"/>
                <w:kern w:val="0"/>
                <w:sz w:val="21"/>
                <w:szCs w:val="21"/>
                <w:highlight w:val="none"/>
                <w:lang w:eastAsia="zh-CN"/>
              </w:rPr>
              <w:t>分）</w:t>
            </w:r>
          </w:p>
        </w:tc>
        <w:tc>
          <w:tcPr>
            <w:tcW w:w="3733" w:type="dxa"/>
            <w:tcBorders>
              <w:top w:val="single" w:color="auto" w:sz="4" w:space="0"/>
              <w:left w:val="single" w:color="auto" w:sz="4" w:space="0"/>
              <w:bottom w:val="single" w:color="auto" w:sz="4" w:space="0"/>
              <w:right w:val="single" w:color="auto" w:sz="4" w:space="0"/>
            </w:tcBorders>
            <w:noWrap w:val="0"/>
            <w:vAlign w:val="center"/>
          </w:tcPr>
          <w:p w14:paraId="1E5A5B7F">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【优】得该项评分因素分值的90%～100%（含90%）。</w:t>
            </w:r>
          </w:p>
          <w:p w14:paraId="56AF872B">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【良】得该项评分因素分值的80%～90%（含80%）。</w:t>
            </w:r>
          </w:p>
          <w:p w14:paraId="3D13A9B5">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【中】得该项评分因素分值的70%～80%（含70%）。</w:t>
            </w:r>
          </w:p>
          <w:p w14:paraId="110BC37E">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【差】得该项评分因素分值的60～70%（含60%）。</w:t>
            </w:r>
          </w:p>
        </w:tc>
        <w:tc>
          <w:tcPr>
            <w:tcW w:w="5358" w:type="dxa"/>
            <w:tcBorders>
              <w:top w:val="single" w:color="auto" w:sz="4" w:space="0"/>
              <w:left w:val="single" w:color="auto" w:sz="4" w:space="0"/>
              <w:bottom w:val="single" w:color="auto" w:sz="4" w:space="0"/>
              <w:right w:val="single" w:color="auto" w:sz="4" w:space="0"/>
            </w:tcBorders>
            <w:noWrap w:val="0"/>
            <w:vAlign w:val="center"/>
          </w:tcPr>
          <w:p w14:paraId="268C1A6E">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优】对项目关键技术、工艺有深入的表述，对重点、难点有先进、合理的建议，解决方案完整、经济、安全、切实可行，措施得力。针对项目实际，提出采用新技术的具体措施。新技术的验证材料可靠，对节约投资和工期的保证措施得力、具体、严谨。对采用新技术可能产生的风险有充分的预见，违约承诺具体，</w:t>
            </w:r>
            <w:r>
              <w:rPr>
                <w:rFonts w:hint="eastAsia" w:asciiTheme="minorEastAsia" w:hAnsiTheme="minorEastAsia" w:eastAsiaTheme="minorEastAsia" w:cstheme="minorEastAsia"/>
                <w:b/>
                <w:bCs/>
                <w:snapToGrid w:val="0"/>
                <w:color w:val="auto"/>
                <w:kern w:val="0"/>
                <w:sz w:val="21"/>
                <w:szCs w:val="21"/>
                <w:highlight w:val="none"/>
                <w:lang w:eastAsia="zh-CN"/>
              </w:rPr>
              <w:t>经济赔偿合理。</w:t>
            </w:r>
          </w:p>
          <w:p w14:paraId="2B4F5BA2">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b/>
                <w:bCs/>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良】对项目关键技术、工艺有深入的表述，对重点、难点有合理的建议，解决方案经济、安全、基本可行。针对项目实际，提出采用新技术的具体措施。新技术的验证材料可靠，对节约投资和工期有保证措施。对采用新技术可能产生的风险有一定的预见，违约责任承诺具体，</w:t>
            </w:r>
            <w:r>
              <w:rPr>
                <w:rFonts w:hint="eastAsia" w:asciiTheme="minorEastAsia" w:hAnsiTheme="minorEastAsia" w:eastAsiaTheme="minorEastAsia" w:cstheme="minorEastAsia"/>
                <w:b/>
                <w:bCs/>
                <w:snapToGrid w:val="0"/>
                <w:color w:val="auto"/>
                <w:kern w:val="0"/>
                <w:sz w:val="21"/>
                <w:szCs w:val="21"/>
                <w:highlight w:val="none"/>
                <w:lang w:eastAsia="zh-CN"/>
              </w:rPr>
              <w:t>经济赔偿较合理。</w:t>
            </w:r>
          </w:p>
          <w:p w14:paraId="3A4BA782">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中】对项目关键技术有一定了解，对重点、难点有建议，解决方案基本可行。有新技术措施，但验证材料不充分，对节约投资和工期可能有一定收益，但对采用的新技术可能产生的风险预见不足。有违约责任承诺。</w:t>
            </w:r>
          </w:p>
          <w:p w14:paraId="197604F8">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【差】对项目关键技术有表述，对重点、难点有建议，解决方案不可行。采用的新技术针对性不强或验证材料不可靠，对节约投资、工期没有具体收益。无违约责任承诺。</w:t>
            </w:r>
          </w:p>
        </w:tc>
      </w:tr>
      <w:tr w14:paraId="72877AD4">
        <w:tblPrEx>
          <w:tblCellMar>
            <w:top w:w="0" w:type="dxa"/>
            <w:left w:w="108" w:type="dxa"/>
            <w:bottom w:w="0" w:type="dxa"/>
            <w:right w:w="108" w:type="dxa"/>
          </w:tblCellMar>
        </w:tblPrEx>
        <w:trPr>
          <w:trHeight w:val="457" w:hRule="atLeast"/>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636F0706">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绿色施工、</w:t>
            </w:r>
          </w:p>
          <w:p w14:paraId="630C36B3">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安全防护、</w:t>
            </w:r>
          </w:p>
          <w:p w14:paraId="795B1B70">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文明施工</w:t>
            </w:r>
          </w:p>
          <w:p w14:paraId="4AF7ADD8">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措施计划</w:t>
            </w:r>
          </w:p>
          <w:p w14:paraId="1C83A4E5">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b/>
                <w:bCs/>
                <w:snapToGrid w:val="0"/>
                <w:color w:val="auto"/>
                <w:kern w:val="0"/>
                <w:sz w:val="21"/>
                <w:szCs w:val="21"/>
                <w:highlight w:val="none"/>
                <w:lang w:eastAsia="zh-CN"/>
              </w:rPr>
              <w:t>（</w:t>
            </w:r>
            <w:r>
              <w:rPr>
                <w:rFonts w:hint="eastAsia" w:asciiTheme="minorEastAsia" w:hAnsiTheme="minorEastAsia" w:eastAsiaTheme="minorEastAsia" w:cstheme="minorEastAsia"/>
                <w:b/>
                <w:bCs/>
                <w:snapToGrid w:val="0"/>
                <w:color w:val="auto"/>
                <w:kern w:val="0"/>
                <w:sz w:val="21"/>
                <w:szCs w:val="21"/>
                <w:highlight w:val="none"/>
                <w:u w:val="single"/>
                <w:lang w:eastAsia="zh-CN"/>
              </w:rPr>
              <w:t xml:space="preserve"> 3 </w:t>
            </w:r>
            <w:r>
              <w:rPr>
                <w:rFonts w:hint="eastAsia" w:asciiTheme="minorEastAsia" w:hAnsiTheme="minorEastAsia" w:eastAsiaTheme="minorEastAsia" w:cstheme="minorEastAsia"/>
                <w:b/>
                <w:bCs/>
                <w:snapToGrid w:val="0"/>
                <w:color w:val="auto"/>
                <w:kern w:val="0"/>
                <w:sz w:val="21"/>
                <w:szCs w:val="21"/>
                <w:highlight w:val="none"/>
                <w:lang w:eastAsia="zh-CN"/>
              </w:rPr>
              <w:t>分）</w:t>
            </w:r>
          </w:p>
        </w:tc>
        <w:tc>
          <w:tcPr>
            <w:tcW w:w="3733" w:type="dxa"/>
            <w:tcBorders>
              <w:top w:val="single" w:color="auto" w:sz="4" w:space="0"/>
              <w:left w:val="single" w:color="auto" w:sz="4" w:space="0"/>
              <w:bottom w:val="single" w:color="auto" w:sz="4" w:space="0"/>
              <w:right w:val="single" w:color="auto" w:sz="4" w:space="0"/>
            </w:tcBorders>
            <w:noWrap w:val="0"/>
            <w:vAlign w:val="center"/>
          </w:tcPr>
          <w:p w14:paraId="1876B25D">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【优】得该项评分因素分值的90%～100%（含90%）。</w:t>
            </w:r>
          </w:p>
          <w:p w14:paraId="72DD776B">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【良】得该项评分因素分值的80%～90%（含80%）。</w:t>
            </w:r>
          </w:p>
          <w:p w14:paraId="34EC7B56">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【中】得该项评分因素分值的70%～80%（含70%）。</w:t>
            </w:r>
          </w:p>
          <w:p w14:paraId="3E4CA633">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【差】得该项评分因素分值的60～70%（含60%）。</w:t>
            </w:r>
          </w:p>
        </w:tc>
        <w:tc>
          <w:tcPr>
            <w:tcW w:w="5358" w:type="dxa"/>
            <w:tcBorders>
              <w:top w:val="single" w:color="auto" w:sz="4" w:space="0"/>
              <w:left w:val="single" w:color="auto" w:sz="4" w:space="0"/>
              <w:bottom w:val="single" w:color="auto" w:sz="4" w:space="0"/>
              <w:right w:val="single" w:color="auto" w:sz="4" w:space="0"/>
            </w:tcBorders>
            <w:noWrap w:val="0"/>
            <w:vAlign w:val="center"/>
          </w:tcPr>
          <w:p w14:paraId="62CA1507">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【优】针对项目实际情况，有先进、具体、完整、可行的措施，采用规范准确、清晰。</w:t>
            </w:r>
          </w:p>
          <w:p w14:paraId="1075A11B">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【良】针对项目实际情况，有合理的措施且具体、完整，采用规范准确。</w:t>
            </w:r>
          </w:p>
          <w:p w14:paraId="1A6FF996">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【中】有基本合理的措施，采用规范准确。</w:t>
            </w:r>
          </w:p>
          <w:p w14:paraId="700B7C22">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【差】措施不力，采用规范不正确。</w:t>
            </w:r>
          </w:p>
        </w:tc>
      </w:tr>
      <w:tr w14:paraId="57AAB43B">
        <w:tblPrEx>
          <w:tblCellMar>
            <w:top w:w="0" w:type="dxa"/>
            <w:left w:w="108" w:type="dxa"/>
            <w:bottom w:w="0" w:type="dxa"/>
            <w:right w:w="108" w:type="dxa"/>
          </w:tblCellMar>
        </w:tblPrEx>
        <w:trPr>
          <w:trHeight w:val="457" w:hRule="atLeast"/>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06815969">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施工平面</w:t>
            </w:r>
          </w:p>
          <w:p w14:paraId="2E4C773F">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布置和临时设施布置</w:t>
            </w:r>
          </w:p>
          <w:p w14:paraId="782AF60A">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b/>
                <w:bCs/>
                <w:snapToGrid w:val="0"/>
                <w:color w:val="auto"/>
                <w:kern w:val="0"/>
                <w:sz w:val="21"/>
                <w:szCs w:val="21"/>
                <w:highlight w:val="none"/>
                <w:lang w:eastAsia="zh-CN"/>
              </w:rPr>
              <w:t>（</w:t>
            </w:r>
            <w:r>
              <w:rPr>
                <w:rFonts w:hint="eastAsia" w:asciiTheme="minorEastAsia" w:hAnsiTheme="minorEastAsia" w:eastAsiaTheme="minorEastAsia" w:cstheme="minorEastAsia"/>
                <w:b/>
                <w:bCs/>
                <w:snapToGrid w:val="0"/>
                <w:color w:val="auto"/>
                <w:kern w:val="0"/>
                <w:sz w:val="21"/>
                <w:szCs w:val="21"/>
                <w:highlight w:val="none"/>
                <w:u w:val="single"/>
                <w:lang w:eastAsia="zh-CN"/>
              </w:rPr>
              <w:t xml:space="preserve"> 2 </w:t>
            </w:r>
            <w:r>
              <w:rPr>
                <w:rFonts w:hint="eastAsia" w:asciiTheme="minorEastAsia" w:hAnsiTheme="minorEastAsia" w:eastAsiaTheme="minorEastAsia" w:cstheme="minorEastAsia"/>
                <w:b/>
                <w:bCs/>
                <w:snapToGrid w:val="0"/>
                <w:color w:val="auto"/>
                <w:kern w:val="0"/>
                <w:sz w:val="21"/>
                <w:szCs w:val="21"/>
                <w:highlight w:val="none"/>
                <w:lang w:eastAsia="zh-CN"/>
              </w:rPr>
              <w:t>分）</w:t>
            </w:r>
          </w:p>
        </w:tc>
        <w:tc>
          <w:tcPr>
            <w:tcW w:w="3733" w:type="dxa"/>
            <w:tcBorders>
              <w:top w:val="single" w:color="auto" w:sz="4" w:space="0"/>
              <w:left w:val="single" w:color="auto" w:sz="4" w:space="0"/>
              <w:bottom w:val="single" w:color="auto" w:sz="4" w:space="0"/>
              <w:right w:val="single" w:color="auto" w:sz="4" w:space="0"/>
            </w:tcBorders>
            <w:noWrap w:val="0"/>
            <w:vAlign w:val="center"/>
          </w:tcPr>
          <w:p w14:paraId="2AD9853A">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【优】得该项评分因素分值的90%～100%（含90%）。</w:t>
            </w:r>
          </w:p>
          <w:p w14:paraId="2C1CFE15">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【良】得该项评分因素分值的80%～90%（含80%）。</w:t>
            </w:r>
          </w:p>
          <w:p w14:paraId="6115559D">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【中】得该项评分因素分值的70%～80%（含70%）。</w:t>
            </w:r>
          </w:p>
          <w:p w14:paraId="22A0D54E">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【差】得该项评分因素分值的60～70%（含60%）。</w:t>
            </w:r>
          </w:p>
        </w:tc>
        <w:tc>
          <w:tcPr>
            <w:tcW w:w="5358" w:type="dxa"/>
            <w:tcBorders>
              <w:top w:val="single" w:color="auto" w:sz="4" w:space="0"/>
              <w:left w:val="single" w:color="auto" w:sz="4" w:space="0"/>
              <w:bottom w:val="single" w:color="auto" w:sz="4" w:space="0"/>
              <w:right w:val="single" w:color="auto" w:sz="4" w:space="0"/>
            </w:tcBorders>
            <w:noWrap w:val="0"/>
            <w:vAlign w:val="center"/>
          </w:tcPr>
          <w:p w14:paraId="097FC8F5">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【优】总体布置有针对性、合理，较好满足施工需要，符合绿色施工、安全防护、文明施工要求。</w:t>
            </w:r>
          </w:p>
          <w:p w14:paraId="15EA77DB">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【良】总体布置合理，能满足施工需要，基本符合绿色施工、安全防护、文明施工要求。</w:t>
            </w:r>
          </w:p>
          <w:p w14:paraId="4555E1E3">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【中】总体布置基本合理，基本满足施工需要。</w:t>
            </w:r>
          </w:p>
          <w:p w14:paraId="2C69A365">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【差】总体布置不合理，不符合绿色施工、安全防护、文明施工要求。</w:t>
            </w:r>
          </w:p>
        </w:tc>
      </w:tr>
      <w:tr w14:paraId="37994F47">
        <w:tblPrEx>
          <w:tblCellMar>
            <w:top w:w="0" w:type="dxa"/>
            <w:left w:w="108" w:type="dxa"/>
            <w:bottom w:w="0" w:type="dxa"/>
            <w:right w:w="108" w:type="dxa"/>
          </w:tblCellMar>
        </w:tblPrEx>
        <w:trPr>
          <w:trHeight w:val="7090" w:hRule="atLeast"/>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28D19013">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项目</w:t>
            </w:r>
          </w:p>
          <w:p w14:paraId="5E76C7B2">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管理机构</w:t>
            </w:r>
          </w:p>
          <w:p w14:paraId="7B10B238">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b/>
                <w:bCs/>
                <w:snapToGrid w:val="0"/>
                <w:color w:val="auto"/>
                <w:kern w:val="0"/>
                <w:sz w:val="21"/>
                <w:szCs w:val="21"/>
                <w:highlight w:val="none"/>
                <w:lang w:eastAsia="zh-CN"/>
              </w:rPr>
              <w:t>（</w:t>
            </w:r>
            <w:r>
              <w:rPr>
                <w:rFonts w:hint="eastAsia" w:asciiTheme="minorEastAsia" w:hAnsiTheme="minorEastAsia" w:eastAsiaTheme="minorEastAsia" w:cstheme="minorEastAsia"/>
                <w:b/>
                <w:bCs/>
                <w:snapToGrid w:val="0"/>
                <w:color w:val="auto"/>
                <w:kern w:val="0"/>
                <w:sz w:val="21"/>
                <w:szCs w:val="21"/>
                <w:highlight w:val="none"/>
                <w:u w:val="single"/>
                <w:lang w:eastAsia="zh-CN"/>
              </w:rPr>
              <w:t xml:space="preserve"> 3 </w:t>
            </w:r>
            <w:r>
              <w:rPr>
                <w:rFonts w:hint="eastAsia" w:asciiTheme="minorEastAsia" w:hAnsiTheme="minorEastAsia" w:eastAsiaTheme="minorEastAsia" w:cstheme="minorEastAsia"/>
                <w:b/>
                <w:bCs/>
                <w:snapToGrid w:val="0"/>
                <w:color w:val="auto"/>
                <w:kern w:val="0"/>
                <w:sz w:val="21"/>
                <w:szCs w:val="21"/>
                <w:highlight w:val="none"/>
                <w:lang w:eastAsia="zh-CN"/>
              </w:rPr>
              <w:t>分）</w:t>
            </w:r>
          </w:p>
        </w:tc>
        <w:tc>
          <w:tcPr>
            <w:tcW w:w="3733" w:type="dxa"/>
            <w:tcBorders>
              <w:top w:val="single" w:color="auto" w:sz="4" w:space="0"/>
              <w:left w:val="single" w:color="auto" w:sz="4" w:space="0"/>
              <w:bottom w:val="single" w:color="auto" w:sz="4" w:space="0"/>
              <w:right w:val="single" w:color="auto" w:sz="4" w:space="0"/>
            </w:tcBorders>
            <w:noWrap w:val="0"/>
            <w:vAlign w:val="center"/>
          </w:tcPr>
          <w:p w14:paraId="5E70429F">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【优】得该项评分因素分值的90%～100%（含90%）。</w:t>
            </w:r>
          </w:p>
          <w:p w14:paraId="7372176D">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【良】得该项评分因素分值的80%～90%（含80%）。</w:t>
            </w:r>
          </w:p>
          <w:p w14:paraId="4F0A3CD9">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【中】得该项评分因素分值的70%～80%（含70%）。</w:t>
            </w:r>
          </w:p>
          <w:p w14:paraId="03125E67">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【差】得该项评分因素分值的60～70%（含60%）。</w:t>
            </w:r>
          </w:p>
        </w:tc>
        <w:tc>
          <w:tcPr>
            <w:tcW w:w="5358" w:type="dxa"/>
            <w:tcBorders>
              <w:top w:val="single" w:color="auto" w:sz="4" w:space="0"/>
              <w:left w:val="single" w:color="auto" w:sz="4" w:space="0"/>
              <w:bottom w:val="single" w:color="auto" w:sz="4" w:space="0"/>
              <w:right w:val="single" w:color="auto" w:sz="4" w:space="0"/>
            </w:tcBorders>
            <w:noWrap w:val="0"/>
            <w:vAlign w:val="center"/>
          </w:tcPr>
          <w:p w14:paraId="25F4D992">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【优】组织机构形式合理，有完善的指挥系统，生产及质量、绿色施工、安全、文明施工、创优达标监控系统、联络协调系统，项目管理人员内高级职称人员20%（含20%）以上、中级职称人员</w:t>
            </w:r>
            <w:r>
              <w:rPr>
                <w:rFonts w:hint="eastAsia" w:asciiTheme="minorEastAsia" w:hAnsiTheme="minorEastAsia" w:eastAsiaTheme="minorEastAsia" w:cstheme="minorEastAsia"/>
                <w:b/>
                <w:bCs/>
                <w:snapToGrid w:val="0"/>
                <w:color w:val="auto"/>
                <w:kern w:val="0"/>
                <w:sz w:val="21"/>
                <w:szCs w:val="21"/>
                <w:highlight w:val="none"/>
                <w:lang w:eastAsia="zh-CN"/>
              </w:rPr>
              <w:t>及以上职称</w:t>
            </w:r>
            <w:r>
              <w:rPr>
                <w:rFonts w:hint="eastAsia" w:asciiTheme="minorEastAsia" w:hAnsiTheme="minorEastAsia" w:eastAsiaTheme="minorEastAsia" w:cstheme="minorEastAsia"/>
                <w:snapToGrid w:val="0"/>
                <w:color w:val="auto"/>
                <w:kern w:val="0"/>
                <w:sz w:val="21"/>
                <w:szCs w:val="21"/>
                <w:highlight w:val="none"/>
                <w:lang w:eastAsia="zh-CN"/>
              </w:rPr>
              <w:t>60%（含60%）以上。</w:t>
            </w:r>
          </w:p>
          <w:p w14:paraId="63A5E707">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【良】组织机构形式合理，指挥系统，生产及质量、绿色施工、安全、文明施工、创优达标监控系统、联络协调系统齐全，项目管理人员内高级职称人员15%～20%（含15%）、中级职称</w:t>
            </w:r>
            <w:r>
              <w:rPr>
                <w:rFonts w:hint="eastAsia" w:asciiTheme="minorEastAsia" w:hAnsiTheme="minorEastAsia" w:eastAsiaTheme="minorEastAsia" w:cstheme="minorEastAsia"/>
                <w:b/>
                <w:bCs/>
                <w:snapToGrid w:val="0"/>
                <w:color w:val="auto"/>
                <w:kern w:val="0"/>
                <w:sz w:val="21"/>
                <w:szCs w:val="21"/>
                <w:highlight w:val="none"/>
                <w:lang w:eastAsia="zh-CN"/>
              </w:rPr>
              <w:t>及以上职称</w:t>
            </w:r>
            <w:r>
              <w:rPr>
                <w:rFonts w:hint="eastAsia" w:asciiTheme="minorEastAsia" w:hAnsiTheme="minorEastAsia" w:eastAsiaTheme="minorEastAsia" w:cstheme="minorEastAsia"/>
                <w:snapToGrid w:val="0"/>
                <w:color w:val="auto"/>
                <w:kern w:val="0"/>
                <w:sz w:val="21"/>
                <w:szCs w:val="21"/>
                <w:highlight w:val="none"/>
                <w:lang w:eastAsia="zh-CN"/>
              </w:rPr>
              <w:t>人员50%～60%（含50%）。</w:t>
            </w:r>
          </w:p>
          <w:p w14:paraId="1C4732F4">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【中】组织机构形式基本合理，有指挥系统，生产及质量、绿色施工、安全、文明施工、创优达标监控系统、联络协调系统，项目管理人员内高级职称人员10%～15%（含10%）、中级职称人员</w:t>
            </w:r>
            <w:r>
              <w:rPr>
                <w:rFonts w:hint="eastAsia" w:asciiTheme="minorEastAsia" w:hAnsiTheme="minorEastAsia" w:eastAsiaTheme="minorEastAsia" w:cstheme="minorEastAsia"/>
                <w:b/>
                <w:bCs/>
                <w:snapToGrid w:val="0"/>
                <w:color w:val="auto"/>
                <w:kern w:val="0"/>
                <w:sz w:val="21"/>
                <w:szCs w:val="21"/>
                <w:highlight w:val="none"/>
                <w:lang w:eastAsia="zh-CN"/>
              </w:rPr>
              <w:t>及以上职称</w:t>
            </w:r>
            <w:r>
              <w:rPr>
                <w:rFonts w:hint="eastAsia" w:asciiTheme="minorEastAsia" w:hAnsiTheme="minorEastAsia" w:eastAsiaTheme="minorEastAsia" w:cstheme="minorEastAsia"/>
                <w:snapToGrid w:val="0"/>
                <w:color w:val="auto"/>
                <w:kern w:val="0"/>
                <w:sz w:val="21"/>
                <w:szCs w:val="21"/>
                <w:highlight w:val="none"/>
                <w:lang w:eastAsia="zh-CN"/>
              </w:rPr>
              <w:t>40%～50%（含40%）。</w:t>
            </w:r>
          </w:p>
          <w:p w14:paraId="437950D6">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【差】组织机构形式合理，指挥系统，生产及质量、绿色施工、安全、文明施工、创优达标监控系统、联络协调系统不齐全，项目管理人员内高级职称人员10%以下、中级职称人员</w:t>
            </w:r>
            <w:r>
              <w:rPr>
                <w:rFonts w:hint="eastAsia" w:asciiTheme="minorEastAsia" w:hAnsiTheme="minorEastAsia" w:eastAsiaTheme="minorEastAsia" w:cstheme="minorEastAsia"/>
                <w:b/>
                <w:bCs/>
                <w:snapToGrid w:val="0"/>
                <w:color w:val="auto"/>
                <w:kern w:val="0"/>
                <w:sz w:val="21"/>
                <w:szCs w:val="21"/>
                <w:highlight w:val="none"/>
                <w:lang w:eastAsia="zh-CN"/>
              </w:rPr>
              <w:t>及以上职称</w:t>
            </w:r>
            <w:r>
              <w:rPr>
                <w:rFonts w:hint="eastAsia" w:asciiTheme="minorEastAsia" w:hAnsiTheme="minorEastAsia" w:eastAsiaTheme="minorEastAsia" w:cstheme="minorEastAsia"/>
                <w:snapToGrid w:val="0"/>
                <w:color w:val="auto"/>
                <w:kern w:val="0"/>
                <w:sz w:val="21"/>
                <w:szCs w:val="21"/>
                <w:highlight w:val="none"/>
                <w:lang w:eastAsia="zh-CN"/>
              </w:rPr>
              <w:t>40%以下。</w:t>
            </w:r>
          </w:p>
        </w:tc>
      </w:tr>
      <w:tr w14:paraId="36BA5F3C">
        <w:tblPrEx>
          <w:tblCellMar>
            <w:top w:w="0" w:type="dxa"/>
            <w:left w:w="108" w:type="dxa"/>
            <w:bottom w:w="0" w:type="dxa"/>
            <w:right w:w="108" w:type="dxa"/>
          </w:tblCellMar>
        </w:tblPrEx>
        <w:trPr>
          <w:trHeight w:val="554" w:hRule="exact"/>
          <w:jc w:val="center"/>
        </w:trPr>
        <w:tc>
          <w:tcPr>
            <w:tcW w:w="10307" w:type="dxa"/>
            <w:gridSpan w:val="3"/>
            <w:tcBorders>
              <w:top w:val="single" w:color="auto" w:sz="4" w:space="0"/>
              <w:left w:val="single" w:color="auto" w:sz="4" w:space="0"/>
              <w:bottom w:val="single" w:color="auto" w:sz="4" w:space="0"/>
              <w:right w:val="single" w:color="auto" w:sz="4" w:space="0"/>
            </w:tcBorders>
            <w:shd w:val="clear" w:color="auto" w:fill="D9D9D9"/>
            <w:noWrap w:val="0"/>
            <w:vAlign w:val="center"/>
          </w:tcPr>
          <w:p w14:paraId="15A37AED">
            <w:pPr>
              <w:widowControl w:val="0"/>
              <w:wordWrap w:val="0"/>
              <w:adjustRightInd w:val="0"/>
              <w:snapToGrid w:val="0"/>
              <w:spacing w:line="400" w:lineRule="exact"/>
              <w:jc w:val="both"/>
              <w:rPr>
                <w:rFonts w:hint="eastAsia" w:asciiTheme="minorEastAsia" w:hAnsiTheme="minorEastAsia" w:eastAsiaTheme="minorEastAsia" w:cstheme="minorEastAsia"/>
                <w:snapToGrid w:val="0"/>
                <w:color w:val="auto"/>
                <w:kern w:val="0"/>
                <w:sz w:val="21"/>
                <w:szCs w:val="21"/>
                <w:highlight w:val="none"/>
                <w:lang w:val="en-US" w:eastAsia="zh-CN" w:bidi="ar-SA"/>
              </w:rPr>
            </w:pPr>
            <w:r>
              <w:rPr>
                <w:rFonts w:hint="eastAsia" w:asciiTheme="minorEastAsia" w:hAnsiTheme="minorEastAsia" w:eastAsiaTheme="minorEastAsia" w:cstheme="minorEastAsia"/>
                <w:b/>
                <w:bCs/>
                <w:snapToGrid w:val="0"/>
                <w:color w:val="auto"/>
                <w:kern w:val="0"/>
                <w:sz w:val="24"/>
                <w:szCs w:val="24"/>
                <w:highlight w:val="none"/>
                <w:lang w:val="en-US" w:eastAsia="zh-CN" w:bidi="ar-SA"/>
              </w:rPr>
              <w:t>投标报价部分，满分：100分。</w:t>
            </w:r>
          </w:p>
        </w:tc>
      </w:tr>
      <w:tr w14:paraId="166E36AC">
        <w:tblPrEx>
          <w:tblCellMar>
            <w:top w:w="0" w:type="dxa"/>
            <w:left w:w="108" w:type="dxa"/>
            <w:bottom w:w="0" w:type="dxa"/>
            <w:right w:w="108" w:type="dxa"/>
          </w:tblCellMar>
        </w:tblPrEx>
        <w:trPr>
          <w:trHeight w:val="451" w:hRule="exact"/>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1C126C12">
            <w:pPr>
              <w:widowControl w:val="0"/>
              <w:kinsoku/>
              <w:autoSpaceDE/>
              <w:autoSpaceDN/>
              <w:adjustRightInd w:val="0"/>
              <w:snapToGrid/>
              <w:spacing w:line="360" w:lineRule="atLeast"/>
              <w:jc w:val="center"/>
              <w:textAlignment w:val="baseline"/>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color w:val="auto"/>
                <w:kern w:val="0"/>
                <w:sz w:val="21"/>
                <w:szCs w:val="21"/>
                <w:highlight w:val="none"/>
                <w:lang w:eastAsia="zh-CN"/>
              </w:rPr>
              <w:t>评分事项</w:t>
            </w:r>
          </w:p>
        </w:tc>
        <w:tc>
          <w:tcPr>
            <w:tcW w:w="9091" w:type="dxa"/>
            <w:gridSpan w:val="2"/>
            <w:tcBorders>
              <w:top w:val="single" w:color="auto" w:sz="4" w:space="0"/>
              <w:left w:val="single" w:color="auto" w:sz="4" w:space="0"/>
              <w:bottom w:val="single" w:color="auto" w:sz="4" w:space="0"/>
              <w:right w:val="single" w:color="auto" w:sz="4" w:space="0"/>
            </w:tcBorders>
            <w:noWrap w:val="0"/>
            <w:vAlign w:val="center"/>
          </w:tcPr>
          <w:p w14:paraId="734F505A">
            <w:pPr>
              <w:widowControl w:val="0"/>
              <w:kinsoku/>
              <w:autoSpaceDE/>
              <w:autoSpaceDN/>
              <w:adjustRightInd w:val="0"/>
              <w:snapToGrid/>
              <w:spacing w:line="360" w:lineRule="atLeast"/>
              <w:jc w:val="center"/>
              <w:textAlignment w:val="baseline"/>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color w:val="auto"/>
                <w:kern w:val="0"/>
                <w:sz w:val="21"/>
                <w:szCs w:val="21"/>
                <w:highlight w:val="none"/>
                <w:lang w:eastAsia="zh-CN"/>
              </w:rPr>
              <w:t>评分方法</w:t>
            </w:r>
          </w:p>
        </w:tc>
      </w:tr>
      <w:tr w14:paraId="555D84A2">
        <w:tblPrEx>
          <w:tblCellMar>
            <w:top w:w="0" w:type="dxa"/>
            <w:left w:w="108" w:type="dxa"/>
            <w:bottom w:w="0" w:type="dxa"/>
            <w:right w:w="108" w:type="dxa"/>
          </w:tblCellMar>
        </w:tblPrEx>
        <w:trPr>
          <w:trHeight w:val="632" w:hRule="atLeast"/>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5CED2ED6">
            <w:pPr>
              <w:widowControl w:val="0"/>
              <w:kinsoku/>
              <w:autoSpaceDE/>
              <w:autoSpaceDN/>
              <w:adjustRightInd w:val="0"/>
              <w:snapToGrid/>
              <w:spacing w:line="360" w:lineRule="atLeast"/>
              <w:jc w:val="center"/>
              <w:textAlignment w:val="baseline"/>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color w:val="auto"/>
                <w:kern w:val="0"/>
                <w:sz w:val="21"/>
                <w:szCs w:val="21"/>
                <w:highlight w:val="none"/>
                <w:lang w:eastAsia="zh-CN"/>
              </w:rPr>
              <w:t>评标基准价D</w:t>
            </w:r>
          </w:p>
        </w:tc>
        <w:tc>
          <w:tcPr>
            <w:tcW w:w="9091" w:type="dxa"/>
            <w:gridSpan w:val="2"/>
            <w:tcBorders>
              <w:top w:val="single" w:color="auto" w:sz="4" w:space="0"/>
              <w:left w:val="single" w:color="auto" w:sz="4" w:space="0"/>
              <w:bottom w:val="single" w:color="auto" w:sz="4" w:space="0"/>
              <w:right w:val="single" w:color="auto" w:sz="4" w:space="0"/>
            </w:tcBorders>
            <w:noWrap w:val="0"/>
            <w:vAlign w:val="center"/>
          </w:tcPr>
          <w:p w14:paraId="4B48963C">
            <w:pPr>
              <w:widowControl w:val="0"/>
              <w:kinsoku/>
              <w:autoSpaceDE/>
              <w:autoSpaceDN/>
              <w:adjustRightInd w:val="0"/>
              <w:snapToGrid/>
              <w:spacing w:line="360" w:lineRule="atLeast"/>
              <w:jc w:val="left"/>
              <w:textAlignment w:val="baseline"/>
              <w:rPr>
                <w:rFonts w:hint="eastAsia" w:asciiTheme="minorEastAsia" w:hAnsiTheme="minorEastAsia" w:eastAsiaTheme="minorEastAsia" w:cstheme="minorEastAsia"/>
                <w:snapToGrid/>
                <w:color w:val="auto"/>
                <w:kern w:val="0"/>
                <w:sz w:val="21"/>
                <w:szCs w:val="21"/>
                <w:highlight w:val="none"/>
                <w:lang w:eastAsia="zh-CN"/>
              </w:rPr>
            </w:pPr>
            <w:r>
              <w:rPr>
                <w:rFonts w:hint="eastAsia" w:asciiTheme="minorEastAsia" w:hAnsiTheme="minorEastAsia" w:eastAsiaTheme="minorEastAsia" w:cstheme="minorEastAsia"/>
                <w:snapToGrid/>
                <w:color w:val="auto"/>
                <w:kern w:val="0"/>
                <w:sz w:val="21"/>
                <w:szCs w:val="21"/>
                <w:highlight w:val="none"/>
                <w:lang w:eastAsia="zh-CN"/>
              </w:rPr>
              <w:t>（1）确定</w:t>
            </w:r>
            <w:r>
              <w:rPr>
                <w:rFonts w:hint="eastAsia" w:asciiTheme="minorEastAsia" w:hAnsiTheme="minorEastAsia" w:eastAsiaTheme="minorEastAsia" w:cstheme="minorEastAsia"/>
                <w:snapToGrid/>
                <w:color w:val="auto"/>
                <w:kern w:val="0"/>
                <w:sz w:val="21"/>
                <w:szCs w:val="21"/>
                <w:highlight w:val="none"/>
                <w:lang w:val="en-US" w:eastAsia="zh-CN"/>
              </w:rPr>
              <w:t>最高投标限价</w:t>
            </w:r>
            <w:r>
              <w:rPr>
                <w:rFonts w:hint="eastAsia" w:asciiTheme="minorEastAsia" w:hAnsiTheme="minorEastAsia" w:eastAsiaTheme="minorEastAsia" w:cstheme="minorEastAsia"/>
                <w:snapToGrid/>
                <w:color w:val="auto"/>
                <w:kern w:val="0"/>
                <w:sz w:val="21"/>
                <w:szCs w:val="21"/>
                <w:highlight w:val="none"/>
                <w:lang w:eastAsia="zh-CN"/>
              </w:rPr>
              <w:t>下浮系数n：用1～21号球分别代表一个下浮系数，由评委代表从这21个号码中随机抽取 3 次，每次抽取1个号码，抽出的号球不参与下次抽取。所抽取的3个号码对应下浮系数的算术平均值作为</w:t>
            </w:r>
            <w:r>
              <w:rPr>
                <w:rFonts w:hint="eastAsia" w:asciiTheme="minorEastAsia" w:hAnsiTheme="minorEastAsia" w:eastAsiaTheme="minorEastAsia" w:cstheme="minorEastAsia"/>
                <w:snapToGrid/>
                <w:color w:val="auto"/>
                <w:kern w:val="0"/>
                <w:sz w:val="21"/>
                <w:szCs w:val="21"/>
                <w:highlight w:val="none"/>
                <w:lang w:val="en-US" w:eastAsia="zh-CN"/>
              </w:rPr>
              <w:t>最高投标限价</w:t>
            </w:r>
            <w:r>
              <w:rPr>
                <w:rFonts w:hint="eastAsia" w:asciiTheme="minorEastAsia" w:hAnsiTheme="minorEastAsia" w:eastAsiaTheme="minorEastAsia" w:cstheme="minorEastAsia"/>
                <w:snapToGrid/>
                <w:color w:val="auto"/>
                <w:kern w:val="0"/>
                <w:sz w:val="21"/>
                <w:szCs w:val="21"/>
                <w:highlight w:val="none"/>
                <w:lang w:eastAsia="zh-CN"/>
              </w:rPr>
              <w:t>下浮系数n。具体号码对应的下浮系数见下表。</w:t>
            </w:r>
          </w:p>
          <w:tbl>
            <w:tblPr>
              <w:tblStyle w:val="17"/>
              <w:tblW w:w="0" w:type="auto"/>
              <w:tblInd w:w="113" w:type="dxa"/>
              <w:tblLayout w:type="fixed"/>
              <w:tblCellMar>
                <w:top w:w="0" w:type="dxa"/>
                <w:left w:w="108" w:type="dxa"/>
                <w:bottom w:w="0" w:type="dxa"/>
                <w:right w:w="108" w:type="dxa"/>
              </w:tblCellMar>
            </w:tblPr>
            <w:tblGrid>
              <w:gridCol w:w="1731"/>
              <w:gridCol w:w="938"/>
              <w:gridCol w:w="1100"/>
              <w:gridCol w:w="1050"/>
              <w:gridCol w:w="987"/>
              <w:gridCol w:w="1038"/>
              <w:gridCol w:w="925"/>
              <w:gridCol w:w="850"/>
            </w:tblGrid>
            <w:tr w14:paraId="792C32A7">
              <w:tblPrEx>
                <w:tblCellMar>
                  <w:top w:w="0" w:type="dxa"/>
                  <w:left w:w="108" w:type="dxa"/>
                  <w:bottom w:w="0" w:type="dxa"/>
                  <w:right w:w="108" w:type="dxa"/>
                </w:tblCellMar>
              </w:tblPrEx>
              <w:trPr>
                <w:trHeight w:val="446" w:hRule="atLeast"/>
              </w:trPr>
              <w:tc>
                <w:tcPr>
                  <w:tcW w:w="1731" w:type="dxa"/>
                  <w:tcBorders>
                    <w:top w:val="single" w:color="000000" w:sz="4" w:space="0"/>
                    <w:left w:val="single" w:color="000000" w:sz="4" w:space="0"/>
                    <w:bottom w:val="single" w:color="000000" w:sz="4" w:space="0"/>
                    <w:right w:val="single" w:color="000000" w:sz="4" w:space="0"/>
                  </w:tcBorders>
                  <w:noWrap w:val="0"/>
                  <w:vAlign w:val="center"/>
                </w:tcPr>
                <w:p w14:paraId="116984F1">
                  <w:pPr>
                    <w:widowControl w:val="0"/>
                    <w:kinsoku/>
                    <w:autoSpaceDE/>
                    <w:autoSpaceDN/>
                    <w:adjustRightInd w:val="0"/>
                    <w:snapToGrid/>
                    <w:spacing w:line="360" w:lineRule="atLeast"/>
                    <w:jc w:val="center"/>
                    <w:textAlignment w:val="baseline"/>
                    <w:rPr>
                      <w:rFonts w:hint="eastAsia" w:asciiTheme="minorEastAsia" w:hAnsiTheme="minorEastAsia" w:eastAsiaTheme="minorEastAsia" w:cstheme="minorEastAsia"/>
                      <w:snapToGrid/>
                      <w:color w:val="auto"/>
                      <w:kern w:val="0"/>
                      <w:sz w:val="21"/>
                      <w:szCs w:val="21"/>
                      <w:highlight w:val="none"/>
                      <w:lang w:eastAsia="zh-CN"/>
                    </w:rPr>
                  </w:pPr>
                  <w:r>
                    <w:rPr>
                      <w:rFonts w:hint="eastAsia" w:asciiTheme="minorEastAsia" w:hAnsiTheme="minorEastAsia" w:eastAsiaTheme="minorEastAsia" w:cstheme="minorEastAsia"/>
                      <w:snapToGrid/>
                      <w:color w:val="auto"/>
                      <w:kern w:val="0"/>
                      <w:sz w:val="21"/>
                      <w:szCs w:val="21"/>
                      <w:highlight w:val="none"/>
                      <w:lang w:eastAsia="zh-CN"/>
                    </w:rPr>
                    <w:t>号球</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072E58BC">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69BC94E3">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2</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175345E2">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3</w:t>
                  </w:r>
                </w:p>
              </w:tc>
              <w:tc>
                <w:tcPr>
                  <w:tcW w:w="987" w:type="dxa"/>
                  <w:tcBorders>
                    <w:top w:val="single" w:color="000000" w:sz="4" w:space="0"/>
                    <w:left w:val="single" w:color="000000" w:sz="4" w:space="0"/>
                    <w:bottom w:val="single" w:color="000000" w:sz="4" w:space="0"/>
                    <w:right w:val="single" w:color="000000" w:sz="4" w:space="0"/>
                  </w:tcBorders>
                  <w:noWrap w:val="0"/>
                  <w:vAlign w:val="center"/>
                </w:tcPr>
                <w:p w14:paraId="4E2CA063">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4</w:t>
                  </w:r>
                </w:p>
              </w:tc>
              <w:tc>
                <w:tcPr>
                  <w:tcW w:w="1038" w:type="dxa"/>
                  <w:tcBorders>
                    <w:top w:val="single" w:color="000000" w:sz="4" w:space="0"/>
                    <w:left w:val="single" w:color="000000" w:sz="4" w:space="0"/>
                    <w:bottom w:val="single" w:color="000000" w:sz="4" w:space="0"/>
                    <w:right w:val="single" w:color="000000" w:sz="4" w:space="0"/>
                  </w:tcBorders>
                  <w:noWrap w:val="0"/>
                  <w:vAlign w:val="center"/>
                </w:tcPr>
                <w:p w14:paraId="398CF65E">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5</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0443E069">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6</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1CFD1F39">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7</w:t>
                  </w:r>
                </w:p>
              </w:tc>
            </w:tr>
            <w:tr w14:paraId="0B7293D2">
              <w:tblPrEx>
                <w:tblCellMar>
                  <w:top w:w="0" w:type="dxa"/>
                  <w:left w:w="108" w:type="dxa"/>
                  <w:bottom w:w="0" w:type="dxa"/>
                  <w:right w:w="108" w:type="dxa"/>
                </w:tblCellMar>
              </w:tblPrEx>
              <w:trPr>
                <w:trHeight w:val="637" w:hRule="atLeast"/>
              </w:trPr>
              <w:tc>
                <w:tcPr>
                  <w:tcW w:w="1731" w:type="dxa"/>
                  <w:tcBorders>
                    <w:top w:val="single" w:color="000000" w:sz="4" w:space="0"/>
                    <w:left w:val="single" w:color="000000" w:sz="4" w:space="0"/>
                    <w:bottom w:val="single" w:color="000000" w:sz="4" w:space="0"/>
                    <w:right w:val="single" w:color="000000" w:sz="4" w:space="0"/>
                  </w:tcBorders>
                  <w:noWrap w:val="0"/>
                  <w:vAlign w:val="center"/>
                </w:tcPr>
                <w:p w14:paraId="275FCB62">
                  <w:pPr>
                    <w:widowControl w:val="0"/>
                    <w:kinsoku/>
                    <w:autoSpaceDE/>
                    <w:autoSpaceDN/>
                    <w:adjustRightInd w:val="0"/>
                    <w:snapToGrid/>
                    <w:spacing w:line="360" w:lineRule="atLeast"/>
                    <w:jc w:val="center"/>
                    <w:textAlignment w:val="baseline"/>
                    <w:rPr>
                      <w:rFonts w:hint="eastAsia" w:asciiTheme="minorEastAsia" w:hAnsiTheme="minorEastAsia" w:eastAsiaTheme="minorEastAsia" w:cstheme="minorEastAsia"/>
                      <w:snapToGrid/>
                      <w:color w:val="auto"/>
                      <w:kern w:val="0"/>
                      <w:sz w:val="21"/>
                      <w:szCs w:val="21"/>
                      <w:highlight w:val="none"/>
                      <w:lang w:eastAsia="zh-CN"/>
                    </w:rPr>
                  </w:pPr>
                  <w:r>
                    <w:rPr>
                      <w:rFonts w:hint="eastAsia" w:asciiTheme="minorEastAsia" w:hAnsiTheme="minorEastAsia" w:eastAsiaTheme="minorEastAsia" w:cstheme="minorEastAsia"/>
                      <w:snapToGrid/>
                      <w:color w:val="auto"/>
                      <w:kern w:val="0"/>
                      <w:sz w:val="21"/>
                      <w:szCs w:val="21"/>
                      <w:highlight w:val="none"/>
                      <w:lang w:eastAsia="zh-CN"/>
                    </w:rPr>
                    <w:t>下浮系数（%）</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7A13B915">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1.0</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52E69BE8">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1.1</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72FAF900">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1.2</w:t>
                  </w:r>
                </w:p>
              </w:tc>
              <w:tc>
                <w:tcPr>
                  <w:tcW w:w="987" w:type="dxa"/>
                  <w:tcBorders>
                    <w:top w:val="single" w:color="000000" w:sz="4" w:space="0"/>
                    <w:left w:val="single" w:color="000000" w:sz="4" w:space="0"/>
                    <w:bottom w:val="single" w:color="000000" w:sz="4" w:space="0"/>
                    <w:right w:val="single" w:color="000000" w:sz="4" w:space="0"/>
                  </w:tcBorders>
                  <w:noWrap w:val="0"/>
                  <w:vAlign w:val="center"/>
                </w:tcPr>
                <w:p w14:paraId="0DD52C6F">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1.3</w:t>
                  </w:r>
                </w:p>
              </w:tc>
              <w:tc>
                <w:tcPr>
                  <w:tcW w:w="1038" w:type="dxa"/>
                  <w:tcBorders>
                    <w:top w:val="single" w:color="000000" w:sz="4" w:space="0"/>
                    <w:left w:val="single" w:color="000000" w:sz="4" w:space="0"/>
                    <w:bottom w:val="single" w:color="000000" w:sz="4" w:space="0"/>
                    <w:right w:val="single" w:color="000000" w:sz="4" w:space="0"/>
                  </w:tcBorders>
                  <w:noWrap w:val="0"/>
                  <w:vAlign w:val="center"/>
                </w:tcPr>
                <w:p w14:paraId="7A9B86DC">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1.4</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088D3D68">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1.5</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285240BB">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1.6</w:t>
                  </w:r>
                </w:p>
              </w:tc>
            </w:tr>
            <w:tr w14:paraId="380871F1">
              <w:tblPrEx>
                <w:tblCellMar>
                  <w:top w:w="0" w:type="dxa"/>
                  <w:left w:w="108" w:type="dxa"/>
                  <w:bottom w:w="0" w:type="dxa"/>
                  <w:right w:w="108" w:type="dxa"/>
                </w:tblCellMar>
              </w:tblPrEx>
              <w:trPr>
                <w:trHeight w:val="571" w:hRule="atLeast"/>
              </w:trPr>
              <w:tc>
                <w:tcPr>
                  <w:tcW w:w="1731" w:type="dxa"/>
                  <w:tcBorders>
                    <w:top w:val="single" w:color="000000" w:sz="4" w:space="0"/>
                    <w:left w:val="single" w:color="000000" w:sz="4" w:space="0"/>
                    <w:bottom w:val="single" w:color="000000" w:sz="4" w:space="0"/>
                    <w:right w:val="single" w:color="000000" w:sz="4" w:space="0"/>
                  </w:tcBorders>
                  <w:noWrap w:val="0"/>
                  <w:vAlign w:val="center"/>
                </w:tcPr>
                <w:p w14:paraId="63856E42">
                  <w:pPr>
                    <w:widowControl w:val="0"/>
                    <w:kinsoku/>
                    <w:autoSpaceDE/>
                    <w:autoSpaceDN/>
                    <w:adjustRightInd w:val="0"/>
                    <w:snapToGrid/>
                    <w:spacing w:line="360" w:lineRule="atLeast"/>
                    <w:jc w:val="center"/>
                    <w:textAlignment w:val="baseline"/>
                    <w:rPr>
                      <w:rFonts w:hint="eastAsia" w:asciiTheme="minorEastAsia" w:hAnsiTheme="minorEastAsia" w:eastAsiaTheme="minorEastAsia" w:cstheme="minorEastAsia"/>
                      <w:snapToGrid/>
                      <w:color w:val="auto"/>
                      <w:kern w:val="0"/>
                      <w:sz w:val="21"/>
                      <w:szCs w:val="21"/>
                      <w:highlight w:val="none"/>
                      <w:lang w:eastAsia="zh-CN"/>
                    </w:rPr>
                  </w:pPr>
                  <w:r>
                    <w:rPr>
                      <w:rFonts w:hint="eastAsia" w:asciiTheme="minorEastAsia" w:hAnsiTheme="minorEastAsia" w:eastAsiaTheme="minorEastAsia" w:cstheme="minorEastAsia"/>
                      <w:snapToGrid/>
                      <w:color w:val="auto"/>
                      <w:kern w:val="0"/>
                      <w:sz w:val="21"/>
                      <w:szCs w:val="21"/>
                      <w:highlight w:val="none"/>
                      <w:lang w:eastAsia="zh-CN"/>
                    </w:rPr>
                    <w:t>号球</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0A080231">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8</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332A078A">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9</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7F68A1CC">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10</w:t>
                  </w:r>
                </w:p>
              </w:tc>
              <w:tc>
                <w:tcPr>
                  <w:tcW w:w="987" w:type="dxa"/>
                  <w:tcBorders>
                    <w:top w:val="single" w:color="000000" w:sz="4" w:space="0"/>
                    <w:left w:val="single" w:color="000000" w:sz="4" w:space="0"/>
                    <w:bottom w:val="single" w:color="000000" w:sz="4" w:space="0"/>
                    <w:right w:val="single" w:color="000000" w:sz="4" w:space="0"/>
                  </w:tcBorders>
                  <w:noWrap w:val="0"/>
                  <w:vAlign w:val="center"/>
                </w:tcPr>
                <w:p w14:paraId="726648D8">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11</w:t>
                  </w:r>
                </w:p>
              </w:tc>
              <w:tc>
                <w:tcPr>
                  <w:tcW w:w="1038" w:type="dxa"/>
                  <w:tcBorders>
                    <w:top w:val="single" w:color="000000" w:sz="4" w:space="0"/>
                    <w:left w:val="single" w:color="000000" w:sz="4" w:space="0"/>
                    <w:bottom w:val="single" w:color="000000" w:sz="4" w:space="0"/>
                    <w:right w:val="single" w:color="000000" w:sz="4" w:space="0"/>
                  </w:tcBorders>
                  <w:noWrap w:val="0"/>
                  <w:vAlign w:val="center"/>
                </w:tcPr>
                <w:p w14:paraId="15966ADA">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12</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065724ED">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13</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6C89BBD4">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14</w:t>
                  </w:r>
                </w:p>
              </w:tc>
            </w:tr>
            <w:tr w14:paraId="5222EEFD">
              <w:tblPrEx>
                <w:tblCellMar>
                  <w:top w:w="0" w:type="dxa"/>
                  <w:left w:w="108" w:type="dxa"/>
                  <w:bottom w:w="0" w:type="dxa"/>
                  <w:right w:w="108" w:type="dxa"/>
                </w:tblCellMar>
              </w:tblPrEx>
              <w:trPr>
                <w:trHeight w:val="571" w:hRule="atLeast"/>
              </w:trPr>
              <w:tc>
                <w:tcPr>
                  <w:tcW w:w="1731" w:type="dxa"/>
                  <w:tcBorders>
                    <w:top w:val="single" w:color="000000" w:sz="4" w:space="0"/>
                    <w:left w:val="single" w:color="000000" w:sz="4" w:space="0"/>
                    <w:bottom w:val="single" w:color="000000" w:sz="4" w:space="0"/>
                    <w:right w:val="single" w:color="000000" w:sz="4" w:space="0"/>
                  </w:tcBorders>
                  <w:noWrap w:val="0"/>
                  <w:vAlign w:val="center"/>
                </w:tcPr>
                <w:p w14:paraId="4FAF77CD">
                  <w:pPr>
                    <w:widowControl w:val="0"/>
                    <w:kinsoku/>
                    <w:autoSpaceDE/>
                    <w:autoSpaceDN/>
                    <w:adjustRightInd w:val="0"/>
                    <w:snapToGrid/>
                    <w:spacing w:line="360" w:lineRule="atLeast"/>
                    <w:jc w:val="center"/>
                    <w:textAlignment w:val="baseline"/>
                    <w:rPr>
                      <w:rFonts w:hint="eastAsia" w:asciiTheme="minorEastAsia" w:hAnsiTheme="minorEastAsia" w:eastAsiaTheme="minorEastAsia" w:cstheme="minorEastAsia"/>
                      <w:snapToGrid/>
                      <w:color w:val="auto"/>
                      <w:kern w:val="0"/>
                      <w:sz w:val="21"/>
                      <w:szCs w:val="21"/>
                      <w:highlight w:val="none"/>
                      <w:lang w:eastAsia="zh-CN"/>
                    </w:rPr>
                  </w:pPr>
                  <w:r>
                    <w:rPr>
                      <w:rFonts w:hint="eastAsia" w:asciiTheme="minorEastAsia" w:hAnsiTheme="minorEastAsia" w:eastAsiaTheme="minorEastAsia" w:cstheme="minorEastAsia"/>
                      <w:snapToGrid/>
                      <w:color w:val="auto"/>
                      <w:kern w:val="0"/>
                      <w:sz w:val="21"/>
                      <w:szCs w:val="21"/>
                      <w:highlight w:val="none"/>
                      <w:lang w:eastAsia="zh-CN"/>
                    </w:rPr>
                    <w:t>下浮系数（%）</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0D114728">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1.7</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34AA4015">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1.8</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3D1F48A7">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1.9</w:t>
                  </w:r>
                </w:p>
              </w:tc>
              <w:tc>
                <w:tcPr>
                  <w:tcW w:w="987" w:type="dxa"/>
                  <w:tcBorders>
                    <w:top w:val="single" w:color="000000" w:sz="4" w:space="0"/>
                    <w:left w:val="single" w:color="000000" w:sz="4" w:space="0"/>
                    <w:bottom w:val="single" w:color="000000" w:sz="4" w:space="0"/>
                    <w:right w:val="single" w:color="000000" w:sz="4" w:space="0"/>
                  </w:tcBorders>
                  <w:noWrap w:val="0"/>
                  <w:vAlign w:val="center"/>
                </w:tcPr>
                <w:p w14:paraId="32AE35E5">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2.0</w:t>
                  </w:r>
                </w:p>
              </w:tc>
              <w:tc>
                <w:tcPr>
                  <w:tcW w:w="1038" w:type="dxa"/>
                  <w:tcBorders>
                    <w:top w:val="single" w:color="000000" w:sz="4" w:space="0"/>
                    <w:left w:val="single" w:color="000000" w:sz="4" w:space="0"/>
                    <w:bottom w:val="single" w:color="000000" w:sz="4" w:space="0"/>
                    <w:right w:val="single" w:color="000000" w:sz="4" w:space="0"/>
                  </w:tcBorders>
                  <w:noWrap w:val="0"/>
                  <w:vAlign w:val="center"/>
                </w:tcPr>
                <w:p w14:paraId="005B956C">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2.1</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4BCAB5AD">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2.2</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2CADE530">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2.3</w:t>
                  </w:r>
                </w:p>
              </w:tc>
            </w:tr>
            <w:tr w14:paraId="2C0460D1">
              <w:tblPrEx>
                <w:tblCellMar>
                  <w:top w:w="0" w:type="dxa"/>
                  <w:left w:w="108" w:type="dxa"/>
                  <w:bottom w:w="0" w:type="dxa"/>
                  <w:right w:w="108" w:type="dxa"/>
                </w:tblCellMar>
              </w:tblPrEx>
              <w:trPr>
                <w:trHeight w:val="522" w:hRule="atLeast"/>
              </w:trPr>
              <w:tc>
                <w:tcPr>
                  <w:tcW w:w="1731" w:type="dxa"/>
                  <w:tcBorders>
                    <w:top w:val="single" w:color="000000" w:sz="4" w:space="0"/>
                    <w:left w:val="single" w:color="000000" w:sz="4" w:space="0"/>
                    <w:bottom w:val="single" w:color="000000" w:sz="4" w:space="0"/>
                    <w:right w:val="single" w:color="000000" w:sz="4" w:space="0"/>
                  </w:tcBorders>
                  <w:noWrap w:val="0"/>
                  <w:vAlign w:val="center"/>
                </w:tcPr>
                <w:p w14:paraId="165FB55B">
                  <w:pPr>
                    <w:widowControl w:val="0"/>
                    <w:kinsoku/>
                    <w:autoSpaceDE/>
                    <w:autoSpaceDN/>
                    <w:adjustRightInd w:val="0"/>
                    <w:snapToGrid/>
                    <w:spacing w:line="360" w:lineRule="atLeast"/>
                    <w:jc w:val="center"/>
                    <w:textAlignment w:val="baseline"/>
                    <w:rPr>
                      <w:rFonts w:hint="eastAsia" w:asciiTheme="minorEastAsia" w:hAnsiTheme="minorEastAsia" w:eastAsiaTheme="minorEastAsia" w:cstheme="minorEastAsia"/>
                      <w:snapToGrid/>
                      <w:color w:val="auto"/>
                      <w:kern w:val="0"/>
                      <w:sz w:val="21"/>
                      <w:szCs w:val="21"/>
                      <w:highlight w:val="none"/>
                      <w:lang w:eastAsia="zh-CN"/>
                    </w:rPr>
                  </w:pPr>
                  <w:r>
                    <w:rPr>
                      <w:rFonts w:hint="eastAsia" w:asciiTheme="minorEastAsia" w:hAnsiTheme="minorEastAsia" w:eastAsiaTheme="minorEastAsia" w:cstheme="minorEastAsia"/>
                      <w:snapToGrid/>
                      <w:color w:val="auto"/>
                      <w:kern w:val="0"/>
                      <w:sz w:val="21"/>
                      <w:szCs w:val="21"/>
                      <w:highlight w:val="none"/>
                      <w:lang w:eastAsia="zh-CN"/>
                    </w:rPr>
                    <w:t>号球</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4ADE09B2">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15</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55447B52">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16</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5C8B340B">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17</w:t>
                  </w:r>
                </w:p>
              </w:tc>
              <w:tc>
                <w:tcPr>
                  <w:tcW w:w="987" w:type="dxa"/>
                  <w:tcBorders>
                    <w:top w:val="single" w:color="000000" w:sz="4" w:space="0"/>
                    <w:left w:val="single" w:color="000000" w:sz="4" w:space="0"/>
                    <w:bottom w:val="single" w:color="000000" w:sz="4" w:space="0"/>
                    <w:right w:val="single" w:color="000000" w:sz="4" w:space="0"/>
                  </w:tcBorders>
                  <w:noWrap w:val="0"/>
                  <w:vAlign w:val="center"/>
                </w:tcPr>
                <w:p w14:paraId="7D73C168">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18</w:t>
                  </w:r>
                </w:p>
              </w:tc>
              <w:tc>
                <w:tcPr>
                  <w:tcW w:w="1038" w:type="dxa"/>
                  <w:tcBorders>
                    <w:top w:val="single" w:color="000000" w:sz="4" w:space="0"/>
                    <w:left w:val="single" w:color="000000" w:sz="4" w:space="0"/>
                    <w:bottom w:val="single" w:color="000000" w:sz="4" w:space="0"/>
                    <w:right w:val="single" w:color="000000" w:sz="4" w:space="0"/>
                  </w:tcBorders>
                  <w:noWrap w:val="0"/>
                  <w:vAlign w:val="center"/>
                </w:tcPr>
                <w:p w14:paraId="2CAAC428">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19</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6F257B52">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20</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08806220">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21</w:t>
                  </w:r>
                </w:p>
              </w:tc>
            </w:tr>
            <w:tr w14:paraId="038979FF">
              <w:tblPrEx>
                <w:tblCellMar>
                  <w:top w:w="0" w:type="dxa"/>
                  <w:left w:w="108" w:type="dxa"/>
                  <w:bottom w:w="0" w:type="dxa"/>
                  <w:right w:w="108" w:type="dxa"/>
                </w:tblCellMar>
              </w:tblPrEx>
              <w:trPr>
                <w:trHeight w:val="675" w:hRule="atLeast"/>
              </w:trPr>
              <w:tc>
                <w:tcPr>
                  <w:tcW w:w="1731" w:type="dxa"/>
                  <w:tcBorders>
                    <w:top w:val="single" w:color="000000" w:sz="4" w:space="0"/>
                    <w:left w:val="single" w:color="000000" w:sz="4" w:space="0"/>
                    <w:bottom w:val="single" w:color="000000" w:sz="4" w:space="0"/>
                    <w:right w:val="single" w:color="000000" w:sz="4" w:space="0"/>
                  </w:tcBorders>
                  <w:noWrap w:val="0"/>
                  <w:vAlign w:val="center"/>
                </w:tcPr>
                <w:p w14:paraId="3D9D9106">
                  <w:pPr>
                    <w:widowControl w:val="0"/>
                    <w:kinsoku/>
                    <w:autoSpaceDE/>
                    <w:autoSpaceDN/>
                    <w:adjustRightInd w:val="0"/>
                    <w:snapToGrid/>
                    <w:spacing w:line="360" w:lineRule="atLeast"/>
                    <w:jc w:val="center"/>
                    <w:textAlignment w:val="baseline"/>
                    <w:rPr>
                      <w:rFonts w:hint="eastAsia" w:asciiTheme="minorEastAsia" w:hAnsiTheme="minorEastAsia" w:eastAsiaTheme="minorEastAsia" w:cstheme="minorEastAsia"/>
                      <w:snapToGrid/>
                      <w:color w:val="auto"/>
                      <w:kern w:val="0"/>
                      <w:sz w:val="21"/>
                      <w:szCs w:val="21"/>
                      <w:highlight w:val="none"/>
                      <w:lang w:eastAsia="zh-CN"/>
                    </w:rPr>
                  </w:pPr>
                  <w:r>
                    <w:rPr>
                      <w:rFonts w:hint="eastAsia" w:asciiTheme="minorEastAsia" w:hAnsiTheme="minorEastAsia" w:eastAsiaTheme="minorEastAsia" w:cstheme="minorEastAsia"/>
                      <w:snapToGrid/>
                      <w:color w:val="auto"/>
                      <w:kern w:val="0"/>
                      <w:sz w:val="21"/>
                      <w:szCs w:val="21"/>
                      <w:highlight w:val="none"/>
                      <w:lang w:eastAsia="zh-CN"/>
                    </w:rPr>
                    <w:t>下浮系数（%）</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F704048">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2.4</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39C6B5BE">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2.5</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61540C8E">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2.6</w:t>
                  </w:r>
                </w:p>
              </w:tc>
              <w:tc>
                <w:tcPr>
                  <w:tcW w:w="987" w:type="dxa"/>
                  <w:tcBorders>
                    <w:top w:val="single" w:color="000000" w:sz="4" w:space="0"/>
                    <w:left w:val="single" w:color="000000" w:sz="4" w:space="0"/>
                    <w:bottom w:val="single" w:color="000000" w:sz="4" w:space="0"/>
                    <w:right w:val="single" w:color="000000" w:sz="4" w:space="0"/>
                  </w:tcBorders>
                  <w:noWrap w:val="0"/>
                  <w:vAlign w:val="center"/>
                </w:tcPr>
                <w:p w14:paraId="35ACF178">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2.7</w:t>
                  </w:r>
                </w:p>
              </w:tc>
              <w:tc>
                <w:tcPr>
                  <w:tcW w:w="1038" w:type="dxa"/>
                  <w:tcBorders>
                    <w:top w:val="single" w:color="000000" w:sz="4" w:space="0"/>
                    <w:left w:val="single" w:color="000000" w:sz="4" w:space="0"/>
                    <w:bottom w:val="single" w:color="000000" w:sz="4" w:space="0"/>
                    <w:right w:val="single" w:color="000000" w:sz="4" w:space="0"/>
                  </w:tcBorders>
                  <w:noWrap w:val="0"/>
                  <w:vAlign w:val="center"/>
                </w:tcPr>
                <w:p w14:paraId="22D57574">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2.8</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123B4EB6">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2.9</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041A8EEA">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3.0</w:t>
                  </w:r>
                </w:p>
              </w:tc>
            </w:tr>
          </w:tbl>
          <w:p w14:paraId="032071CA">
            <w:pPr>
              <w:widowControl w:val="0"/>
              <w:kinsoku/>
              <w:autoSpaceDE/>
              <w:autoSpaceDN/>
              <w:adjustRightInd w:val="0"/>
              <w:snapToGrid/>
              <w:spacing w:line="360" w:lineRule="atLeast"/>
              <w:jc w:val="left"/>
              <w:textAlignment w:val="baseline"/>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color w:val="auto"/>
                <w:kern w:val="0"/>
                <w:sz w:val="21"/>
                <w:szCs w:val="21"/>
                <w:highlight w:val="none"/>
                <w:lang w:eastAsia="zh-CN"/>
              </w:rPr>
              <w:t>（2）评标基准价D＝</w:t>
            </w:r>
            <w:r>
              <w:rPr>
                <w:rFonts w:hint="eastAsia" w:asciiTheme="minorEastAsia" w:hAnsiTheme="minorEastAsia" w:eastAsiaTheme="minorEastAsia" w:cstheme="minorEastAsia"/>
                <w:snapToGrid/>
                <w:color w:val="auto"/>
                <w:kern w:val="0"/>
                <w:sz w:val="21"/>
                <w:szCs w:val="21"/>
                <w:highlight w:val="none"/>
                <w:lang w:val="en-US" w:eastAsia="zh-CN"/>
              </w:rPr>
              <w:t>最高投标限价</w:t>
            </w:r>
            <w:r>
              <w:rPr>
                <w:rFonts w:hint="eastAsia" w:asciiTheme="minorEastAsia" w:hAnsiTheme="minorEastAsia" w:eastAsiaTheme="minorEastAsia" w:cstheme="minorEastAsia"/>
                <w:snapToGrid/>
                <w:color w:val="auto"/>
                <w:kern w:val="0"/>
                <w:sz w:val="21"/>
                <w:szCs w:val="21"/>
                <w:highlight w:val="none"/>
                <w:lang w:eastAsia="zh-CN"/>
              </w:rPr>
              <w:t>×（1－n）</w:t>
            </w:r>
          </w:p>
        </w:tc>
      </w:tr>
      <w:tr w14:paraId="10E0E44E">
        <w:tblPrEx>
          <w:tblCellMar>
            <w:top w:w="0" w:type="dxa"/>
            <w:left w:w="108" w:type="dxa"/>
            <w:bottom w:w="0" w:type="dxa"/>
            <w:right w:w="108" w:type="dxa"/>
          </w:tblCellMar>
        </w:tblPrEx>
        <w:trPr>
          <w:jc w:val="center"/>
        </w:trPr>
        <w:tc>
          <w:tcPr>
            <w:tcW w:w="1216" w:type="dxa"/>
            <w:tcBorders>
              <w:top w:val="single" w:color="auto" w:sz="4" w:space="0"/>
              <w:left w:val="single" w:color="auto" w:sz="4" w:space="0"/>
              <w:bottom w:val="single" w:color="auto" w:sz="4" w:space="0"/>
              <w:right w:val="single" w:color="auto" w:sz="4" w:space="0"/>
            </w:tcBorders>
            <w:noWrap w:val="0"/>
            <w:vAlign w:val="center"/>
          </w:tcPr>
          <w:p w14:paraId="62DDE654">
            <w:pPr>
              <w:widowControl w:val="0"/>
              <w:kinsoku/>
              <w:autoSpaceDE/>
              <w:autoSpaceDN/>
              <w:adjustRightInd w:val="0"/>
              <w:snapToGrid/>
              <w:spacing w:line="360" w:lineRule="atLeast"/>
              <w:jc w:val="center"/>
              <w:textAlignment w:val="baseline"/>
              <w:rPr>
                <w:rFonts w:hint="eastAsia" w:asciiTheme="minorEastAsia" w:hAnsiTheme="minorEastAsia" w:eastAsiaTheme="minorEastAsia" w:cstheme="minorEastAsia"/>
                <w:snapToGrid/>
                <w:color w:val="auto"/>
                <w:kern w:val="0"/>
                <w:sz w:val="21"/>
                <w:szCs w:val="21"/>
                <w:highlight w:val="none"/>
                <w:lang w:eastAsia="zh-CN"/>
              </w:rPr>
            </w:pPr>
            <w:r>
              <w:rPr>
                <w:rFonts w:hint="eastAsia" w:asciiTheme="minorEastAsia" w:hAnsiTheme="minorEastAsia" w:eastAsiaTheme="minorEastAsia" w:cstheme="minorEastAsia"/>
                <w:snapToGrid/>
                <w:color w:val="auto"/>
                <w:kern w:val="0"/>
                <w:sz w:val="21"/>
                <w:szCs w:val="21"/>
                <w:highlight w:val="none"/>
                <w:lang w:eastAsia="zh-CN"/>
              </w:rPr>
              <w:t>投标报价</w:t>
            </w:r>
          </w:p>
          <w:p w14:paraId="7F167817">
            <w:pPr>
              <w:widowControl w:val="0"/>
              <w:kinsoku/>
              <w:autoSpaceDE/>
              <w:autoSpaceDN/>
              <w:adjustRightInd w:val="0"/>
              <w:snapToGrid/>
              <w:spacing w:line="360" w:lineRule="atLeast"/>
              <w:jc w:val="center"/>
              <w:textAlignment w:val="baseline"/>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color w:val="auto"/>
                <w:kern w:val="0"/>
                <w:sz w:val="21"/>
                <w:szCs w:val="21"/>
                <w:highlight w:val="none"/>
                <w:lang w:eastAsia="zh-CN"/>
              </w:rPr>
              <w:t>得分N</w:t>
            </w:r>
          </w:p>
        </w:tc>
        <w:tc>
          <w:tcPr>
            <w:tcW w:w="9091" w:type="dxa"/>
            <w:gridSpan w:val="2"/>
            <w:tcBorders>
              <w:top w:val="single" w:color="auto" w:sz="4" w:space="0"/>
              <w:left w:val="single" w:color="auto" w:sz="4" w:space="0"/>
              <w:bottom w:val="single" w:color="auto" w:sz="4" w:space="0"/>
              <w:right w:val="single" w:color="auto" w:sz="4" w:space="0"/>
            </w:tcBorders>
            <w:noWrap w:val="0"/>
            <w:vAlign w:val="center"/>
          </w:tcPr>
          <w:p w14:paraId="242855AD">
            <w:pPr>
              <w:widowControl w:val="0"/>
              <w:kinsoku/>
              <w:autoSpaceDE/>
              <w:autoSpaceDN/>
              <w:adjustRightInd w:val="0"/>
              <w:snapToGrid/>
              <w:spacing w:line="360" w:lineRule="atLeast"/>
              <w:jc w:val="left"/>
              <w:textAlignment w:val="baseline"/>
              <w:rPr>
                <w:rFonts w:hint="eastAsia" w:asciiTheme="minorEastAsia" w:hAnsiTheme="minorEastAsia" w:eastAsiaTheme="minorEastAsia" w:cstheme="minorEastAsia"/>
                <w:snapToGrid/>
                <w:color w:val="auto"/>
                <w:kern w:val="0"/>
                <w:sz w:val="21"/>
                <w:szCs w:val="21"/>
                <w:highlight w:val="none"/>
                <w:lang w:eastAsia="zh-CN"/>
              </w:rPr>
            </w:pPr>
            <w:r>
              <w:rPr>
                <w:rFonts w:hint="eastAsia" w:asciiTheme="minorEastAsia" w:hAnsiTheme="minorEastAsia" w:eastAsiaTheme="minorEastAsia" w:cstheme="minorEastAsia"/>
                <w:snapToGrid/>
                <w:color w:val="auto"/>
                <w:kern w:val="0"/>
                <w:sz w:val="21"/>
                <w:szCs w:val="21"/>
                <w:highlight w:val="none"/>
                <w:lang w:eastAsia="zh-CN"/>
              </w:rPr>
              <w:t>采用内插法计算某投标人的投标报价得分N，即当投标人的投标总价等于评标基准价时得100分，每高于评标基准价一个百分点扣</w:t>
            </w:r>
            <w:r>
              <w:rPr>
                <w:rFonts w:hint="eastAsia" w:asciiTheme="minorEastAsia" w:hAnsiTheme="minorEastAsia" w:eastAsiaTheme="minorEastAsia" w:cstheme="minorEastAsia"/>
                <w:b/>
                <w:bCs/>
                <w:snapToGrid/>
                <w:color w:val="auto"/>
                <w:kern w:val="0"/>
                <w:sz w:val="21"/>
                <w:szCs w:val="21"/>
                <w:highlight w:val="none"/>
                <w:lang w:eastAsia="zh-CN"/>
              </w:rPr>
              <w:t>1分</w:t>
            </w:r>
            <w:r>
              <w:rPr>
                <w:rFonts w:hint="eastAsia" w:asciiTheme="minorEastAsia" w:hAnsiTheme="minorEastAsia" w:eastAsiaTheme="minorEastAsia" w:cstheme="minorEastAsia"/>
                <w:snapToGrid/>
                <w:color w:val="auto"/>
                <w:kern w:val="0"/>
                <w:sz w:val="21"/>
                <w:szCs w:val="21"/>
                <w:highlight w:val="none"/>
                <w:lang w:eastAsia="zh-CN"/>
              </w:rPr>
              <w:t>, 每低于评标基准价一个百分点扣</w:t>
            </w:r>
            <w:r>
              <w:rPr>
                <w:rFonts w:hint="eastAsia" w:asciiTheme="minorEastAsia" w:hAnsiTheme="minorEastAsia" w:eastAsiaTheme="minorEastAsia" w:cstheme="minorEastAsia"/>
                <w:b/>
                <w:bCs/>
                <w:snapToGrid/>
                <w:color w:val="auto"/>
                <w:kern w:val="0"/>
                <w:sz w:val="21"/>
                <w:szCs w:val="21"/>
                <w:highlight w:val="none"/>
                <w:lang w:eastAsia="zh-CN"/>
              </w:rPr>
              <w:t>0.5分</w:t>
            </w:r>
            <w:r>
              <w:rPr>
                <w:rFonts w:hint="eastAsia" w:asciiTheme="minorEastAsia" w:hAnsiTheme="minorEastAsia" w:eastAsiaTheme="minorEastAsia" w:cstheme="minorEastAsia"/>
                <w:snapToGrid/>
                <w:color w:val="auto"/>
                <w:kern w:val="0"/>
                <w:sz w:val="21"/>
                <w:szCs w:val="21"/>
                <w:highlight w:val="none"/>
                <w:lang w:eastAsia="zh-CN"/>
              </w:rPr>
              <w:t>，扣完为止。公式如下：</w:t>
            </w:r>
          </w:p>
          <w:p w14:paraId="360271B2">
            <w:pPr>
              <w:widowControl w:val="0"/>
              <w:kinsoku/>
              <w:autoSpaceDE/>
              <w:autoSpaceDN/>
              <w:adjustRightInd w:val="0"/>
              <w:snapToGrid/>
              <w:spacing w:line="360" w:lineRule="atLeast"/>
              <w:jc w:val="left"/>
              <w:textAlignment w:val="baseline"/>
              <w:rPr>
                <w:rFonts w:hint="eastAsia" w:asciiTheme="minorEastAsia" w:hAnsiTheme="minorEastAsia" w:eastAsiaTheme="minorEastAsia" w:cstheme="minorEastAsia"/>
                <w:snapToGrid/>
                <w:color w:val="auto"/>
                <w:kern w:val="0"/>
                <w:sz w:val="21"/>
                <w:szCs w:val="21"/>
                <w:highlight w:val="none"/>
                <w:lang w:eastAsia="zh-CN"/>
              </w:rPr>
            </w:pPr>
            <w:r>
              <w:rPr>
                <w:rFonts w:hint="eastAsia" w:asciiTheme="minorEastAsia" w:hAnsiTheme="minorEastAsia" w:eastAsiaTheme="minorEastAsia" w:cstheme="minorEastAsia"/>
                <w:snapToGrid/>
                <w:color w:val="auto"/>
                <w:kern w:val="0"/>
                <w:sz w:val="21"/>
                <w:szCs w:val="21"/>
                <w:highlight w:val="none"/>
                <w:lang w:eastAsia="zh-CN"/>
              </w:rPr>
              <w:t>N＝100－（| Di－D | ÷D）×100×E</w:t>
            </w:r>
          </w:p>
          <w:p w14:paraId="5484F949">
            <w:pPr>
              <w:widowControl w:val="0"/>
              <w:kinsoku/>
              <w:autoSpaceDE/>
              <w:autoSpaceDN/>
              <w:adjustRightInd w:val="0"/>
              <w:snapToGrid/>
              <w:spacing w:line="360" w:lineRule="atLeast"/>
              <w:jc w:val="left"/>
              <w:textAlignment w:val="baseline"/>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color w:val="auto"/>
                <w:kern w:val="0"/>
                <w:sz w:val="21"/>
                <w:szCs w:val="21"/>
                <w:highlight w:val="none"/>
                <w:lang w:eastAsia="zh-CN"/>
              </w:rPr>
              <w:t>式中：D为评标基准价；Di为某投标人的投标总价；E为扣分因子，当Di＞D时，E＝</w:t>
            </w:r>
            <w:r>
              <w:rPr>
                <w:rFonts w:hint="eastAsia" w:asciiTheme="minorEastAsia" w:hAnsiTheme="minorEastAsia" w:eastAsiaTheme="minorEastAsia" w:cstheme="minorEastAsia"/>
                <w:b/>
                <w:bCs/>
                <w:snapToGrid/>
                <w:color w:val="auto"/>
                <w:kern w:val="0"/>
                <w:sz w:val="21"/>
                <w:szCs w:val="21"/>
                <w:highlight w:val="none"/>
                <w:lang w:eastAsia="zh-CN"/>
              </w:rPr>
              <w:t>1</w:t>
            </w:r>
            <w:r>
              <w:rPr>
                <w:rFonts w:hint="eastAsia" w:asciiTheme="minorEastAsia" w:hAnsiTheme="minorEastAsia" w:eastAsiaTheme="minorEastAsia" w:cstheme="minorEastAsia"/>
                <w:snapToGrid/>
                <w:color w:val="auto"/>
                <w:kern w:val="0"/>
                <w:sz w:val="21"/>
                <w:szCs w:val="21"/>
                <w:highlight w:val="none"/>
                <w:lang w:eastAsia="zh-CN"/>
              </w:rPr>
              <w:t xml:space="preserve"> ；当Di＜D时，E＝</w:t>
            </w:r>
            <w:r>
              <w:rPr>
                <w:rFonts w:hint="eastAsia" w:asciiTheme="minorEastAsia" w:hAnsiTheme="minorEastAsia" w:eastAsiaTheme="minorEastAsia" w:cstheme="minorEastAsia"/>
                <w:b/>
                <w:bCs/>
                <w:snapToGrid/>
                <w:color w:val="auto"/>
                <w:kern w:val="0"/>
                <w:sz w:val="21"/>
                <w:szCs w:val="21"/>
                <w:highlight w:val="none"/>
                <w:lang w:eastAsia="zh-CN"/>
              </w:rPr>
              <w:t>0.5</w:t>
            </w:r>
            <w:r>
              <w:rPr>
                <w:rFonts w:hint="eastAsia" w:asciiTheme="minorEastAsia" w:hAnsiTheme="minorEastAsia" w:eastAsiaTheme="minorEastAsia" w:cstheme="minorEastAsia"/>
                <w:snapToGrid/>
                <w:color w:val="auto"/>
                <w:kern w:val="0"/>
                <w:sz w:val="21"/>
                <w:szCs w:val="21"/>
                <w:highlight w:val="none"/>
                <w:lang w:eastAsia="zh-CN"/>
              </w:rPr>
              <w:t>。</w:t>
            </w:r>
          </w:p>
        </w:tc>
      </w:tr>
    </w:tbl>
    <w:p w14:paraId="316C4F13">
      <w:pPr>
        <w:pStyle w:val="27"/>
        <w:jc w:val="both"/>
        <w:rPr>
          <w:rFonts w:hint="eastAsia"/>
          <w:color w:val="auto"/>
          <w:highlight w:val="none"/>
        </w:rPr>
      </w:pPr>
    </w:p>
    <w:p w14:paraId="525035E4">
      <w:pPr>
        <w:keepNext w:val="0"/>
        <w:keepLines w:val="0"/>
        <w:pageBreakBefore w:val="0"/>
        <w:wordWrap w:val="0"/>
        <w:overflowPunct/>
        <w:topLinePunct w:val="0"/>
        <w:bidi w:val="0"/>
        <w:spacing w:before="155" w:line="211" w:lineRule="auto"/>
        <w:ind w:firstLine="482" w:firstLineChars="200"/>
        <w:outlineLvl w:val="9"/>
        <w:rPr>
          <w:rFonts w:hint="eastAsia" w:ascii="宋体" w:hAnsi="宋体" w:eastAsia="宋体" w:cs="宋体"/>
          <w:color w:val="auto"/>
          <w:spacing w:val="0"/>
          <w:sz w:val="25"/>
          <w:szCs w:val="25"/>
          <w:highlight w:val="none"/>
        </w:rPr>
      </w:pPr>
      <w:bookmarkStart w:id="129" w:name="bookmark137"/>
      <w:bookmarkEnd w:id="129"/>
      <w:bookmarkStart w:id="130" w:name="bookmark138"/>
      <w:bookmarkEnd w:id="130"/>
      <w:r>
        <w:rPr>
          <w:rFonts w:hint="eastAsia" w:ascii="宋体" w:hAnsi="宋体" w:eastAsia="宋体" w:cs="宋体"/>
          <w:b/>
          <w:bCs/>
          <w:color w:val="auto"/>
          <w:spacing w:val="0"/>
          <w:sz w:val="24"/>
          <w:szCs w:val="24"/>
          <w:highlight w:val="none"/>
        </w:rPr>
        <w:t xml:space="preserve">15.5.2  </w:t>
      </w:r>
      <w:r>
        <w:rPr>
          <w:rFonts w:hint="eastAsia" w:ascii="宋体" w:hAnsi="宋体" w:eastAsia="宋体" w:cs="宋体"/>
          <w:color w:val="auto"/>
          <w:spacing w:val="0"/>
          <w:sz w:val="24"/>
          <w:szCs w:val="24"/>
          <w:highlight w:val="none"/>
        </w:rPr>
        <w:t>否决投标说明</w:t>
      </w:r>
    </w:p>
    <w:p w14:paraId="3705CF44">
      <w:pPr>
        <w:keepNext w:val="0"/>
        <w:keepLines w:val="0"/>
        <w:pageBreakBefore w:val="0"/>
        <w:wordWrap w:val="0"/>
        <w:overflowPunct/>
        <w:topLinePunct w:val="0"/>
        <w:bidi w:val="0"/>
        <w:spacing w:before="150" w:line="332" w:lineRule="auto"/>
        <w:ind w:left="10" w:right="195" w:firstLine="564"/>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详细评审阶段否决投标的全部条件，在本章第四节“否决投标条件 ”第 4 条中集中列示。投标人有其中所列任何一种情形的，由评标委员会否决其投标。评标委员会经评审，认为所有投标都不符合招标文件要求的，可否决所有投标，项目的所有投标被否决的，招标人应依法重新组织招标。</w:t>
      </w:r>
    </w:p>
    <w:p w14:paraId="7A7276A5">
      <w:pPr>
        <w:keepNext w:val="0"/>
        <w:keepLines w:val="0"/>
        <w:pageBreakBefore w:val="0"/>
        <w:wordWrap w:val="0"/>
        <w:overflowPunct/>
        <w:topLinePunct w:val="0"/>
        <w:bidi w:val="0"/>
        <w:spacing w:before="59" w:line="330" w:lineRule="auto"/>
        <w:ind w:left="10" w:right="195" w:firstLine="480"/>
        <w:jc w:val="both"/>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lang w:val="en-US" w:eastAsia="zh-CN"/>
        </w:rPr>
        <w:t>温馨提示</w:t>
      </w:r>
      <w:r>
        <w:rPr>
          <w:rFonts w:hint="eastAsia" w:ascii="宋体" w:hAnsi="宋体" w:eastAsia="宋体" w:cs="宋体"/>
          <w:b/>
          <w:bCs/>
          <w:color w:val="auto"/>
          <w:spacing w:val="0"/>
          <w:sz w:val="24"/>
          <w:szCs w:val="24"/>
          <w:highlight w:val="none"/>
        </w:rPr>
        <w:t>：投标人在详细评审阶段根据评分方法提供的佐证材料，其合法性、有效性和准确性不符合要求的，有关量化因素（或评分因素）的折算、调整（或评分）按相应量化标准（或评分标准）处理，但不否决投标。</w:t>
      </w:r>
    </w:p>
    <w:p w14:paraId="73F1D77D">
      <w:pPr>
        <w:keepNext w:val="0"/>
        <w:keepLines w:val="0"/>
        <w:pageBreakBefore w:val="0"/>
        <w:wordWrap w:val="0"/>
        <w:overflowPunct/>
        <w:topLinePunct w:val="0"/>
        <w:bidi w:val="0"/>
        <w:spacing w:before="78" w:line="220" w:lineRule="auto"/>
        <w:ind w:left="496"/>
        <w:outlineLvl w:val="2"/>
        <w:rPr>
          <w:rFonts w:hint="eastAsia" w:ascii="宋体" w:hAnsi="宋体" w:eastAsia="宋体" w:cs="宋体"/>
          <w:b/>
          <w:bCs/>
          <w:color w:val="auto"/>
          <w:spacing w:val="0"/>
          <w:sz w:val="24"/>
          <w:szCs w:val="24"/>
          <w:highlight w:val="none"/>
        </w:rPr>
      </w:pPr>
      <w:bookmarkStart w:id="131" w:name="_Toc16384"/>
      <w:bookmarkStart w:id="132" w:name="_Toc1221"/>
      <w:bookmarkStart w:id="133" w:name="_Toc6322"/>
      <w:r>
        <w:rPr>
          <w:rFonts w:hint="eastAsia" w:ascii="宋体" w:hAnsi="宋体" w:eastAsia="宋体" w:cs="宋体"/>
          <w:b/>
          <w:bCs/>
          <w:color w:val="auto"/>
          <w:spacing w:val="0"/>
          <w:sz w:val="24"/>
          <w:szCs w:val="24"/>
          <w:highlight w:val="none"/>
        </w:rPr>
        <w:t>16 ．</w:t>
      </w:r>
      <w:r>
        <w:rPr>
          <w:rFonts w:hint="eastAsia" w:ascii="宋体" w:hAnsi="宋体" w:eastAsia="宋体" w:cs="宋体"/>
          <w:b/>
          <w:bCs/>
          <w:color w:val="auto"/>
          <w:spacing w:val="0"/>
          <w:sz w:val="24"/>
          <w:szCs w:val="24"/>
          <w:highlight w:val="none"/>
          <w:lang w:val="en-US" w:eastAsia="zh-CN"/>
        </w:rPr>
        <w:t>定</w:t>
      </w:r>
      <w:r>
        <w:rPr>
          <w:rFonts w:hint="eastAsia" w:ascii="宋体" w:hAnsi="宋体" w:eastAsia="宋体" w:cs="宋体"/>
          <w:b/>
          <w:bCs/>
          <w:color w:val="auto"/>
          <w:spacing w:val="0"/>
          <w:sz w:val="24"/>
          <w:szCs w:val="24"/>
          <w:highlight w:val="none"/>
        </w:rPr>
        <w:t>标</w:t>
      </w:r>
      <w:bookmarkEnd w:id="131"/>
      <w:bookmarkEnd w:id="132"/>
      <w:bookmarkEnd w:id="133"/>
    </w:p>
    <w:p w14:paraId="7814F4FF">
      <w:pPr>
        <w:keepNext w:val="0"/>
        <w:keepLines w:val="0"/>
        <w:pageBreakBefore w:val="0"/>
        <w:kinsoku/>
        <w:wordWrap/>
        <w:overflowPunct/>
        <w:topLinePunct w:val="0"/>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bCs/>
          <w:color w:val="auto"/>
          <w:spacing w:val="0"/>
          <w:sz w:val="24"/>
          <w:szCs w:val="24"/>
          <w:highlight w:val="none"/>
          <w:lang w:val="en-US" w:eastAsia="zh-CN"/>
        </w:rPr>
      </w:pPr>
      <w:r>
        <w:rPr>
          <w:rFonts w:hint="eastAsia" w:ascii="宋体" w:hAnsi="宋体" w:eastAsia="宋体" w:cs="宋体"/>
          <w:b/>
          <w:bCs/>
          <w:color w:val="auto"/>
          <w:spacing w:val="0"/>
          <w:sz w:val="24"/>
          <w:szCs w:val="24"/>
          <w:highlight w:val="none"/>
        </w:rPr>
        <w:t>16.</w:t>
      </w:r>
      <w:r>
        <w:rPr>
          <w:rFonts w:hint="eastAsia" w:ascii="宋体" w:hAnsi="宋体" w:eastAsia="宋体" w:cs="宋体"/>
          <w:b/>
          <w:bCs/>
          <w:color w:val="auto"/>
          <w:spacing w:val="0"/>
          <w:sz w:val="24"/>
          <w:szCs w:val="24"/>
          <w:highlight w:val="none"/>
          <w:lang w:val="en-US" w:eastAsia="zh-CN"/>
        </w:rPr>
        <w:t>1</w:t>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b/>
          <w:bCs/>
          <w:color w:val="auto"/>
          <w:spacing w:val="0"/>
          <w:sz w:val="24"/>
          <w:szCs w:val="24"/>
          <w:highlight w:val="none"/>
          <w:lang w:val="en-US" w:eastAsia="zh-CN"/>
        </w:rPr>
        <w:t>定标时间及办法</w:t>
      </w:r>
    </w:p>
    <w:p w14:paraId="03AF8CBA">
      <w:pPr>
        <w:keepNext w:val="0"/>
        <w:keepLines w:val="0"/>
        <w:pageBreakBefore w:val="0"/>
        <w:wordWrap/>
        <w:overflowPunct/>
        <w:topLinePunct w:val="0"/>
        <w:bidi w:val="0"/>
        <w:spacing w:line="360" w:lineRule="auto"/>
        <w:ind w:left="479" w:leftChars="228" w:firstLine="0" w:firstLineChars="0"/>
        <w:rPr>
          <w:rFonts w:hint="eastAsia" w:ascii="宋体" w:hAnsi="宋体" w:eastAsia="宋体" w:cs="宋体"/>
          <w:color w:val="auto"/>
          <w:spacing w:val="0"/>
          <w:sz w:val="24"/>
          <w:szCs w:val="24"/>
          <w:highlight w:val="none"/>
          <w:lang w:val="en-US" w:eastAsia="zh-CN"/>
        </w:rPr>
      </w:pPr>
      <w:r>
        <w:rPr>
          <w:rFonts w:hint="eastAsia" w:ascii="宋体" w:hAnsi="宋体" w:eastAsia="宋体" w:cs="宋体"/>
          <w:b/>
          <w:bCs/>
          <w:strike w:val="0"/>
          <w:dstrike w:val="0"/>
          <w:color w:val="auto"/>
          <w:kern w:val="2"/>
          <w:sz w:val="24"/>
          <w:szCs w:val="24"/>
          <w:highlight w:val="none"/>
          <w:u w:val="none"/>
          <w:lang w:val="en-US" w:eastAsia="zh-CN" w:bidi="ar-SA"/>
        </w:rPr>
        <w:t>定标时间的确定</w:t>
      </w:r>
      <w:r>
        <w:rPr>
          <w:rFonts w:hint="eastAsia" w:ascii="宋体" w:hAnsi="宋体" w:eastAsia="宋体" w:cs="宋体"/>
          <w:strike w:val="0"/>
          <w:dstrike w:val="0"/>
          <w:color w:val="auto"/>
          <w:kern w:val="2"/>
          <w:sz w:val="24"/>
          <w:szCs w:val="24"/>
          <w:highlight w:val="none"/>
          <w:u w:val="none"/>
          <w:lang w:val="en-US" w:eastAsia="zh-CN" w:bidi="ar-SA"/>
        </w:rPr>
        <w:t>：</w:t>
      </w:r>
      <w:r>
        <w:rPr>
          <w:rFonts w:hint="eastAsia" w:ascii="宋体" w:hAnsi="宋体" w:eastAsia="宋体" w:cs="宋体"/>
          <w:color w:val="auto"/>
          <w:spacing w:val="0"/>
          <w:sz w:val="24"/>
          <w:szCs w:val="24"/>
          <w:highlight w:val="none"/>
        </w:rPr>
        <w:t>招标人</w:t>
      </w:r>
      <w:r>
        <w:rPr>
          <w:rFonts w:hint="eastAsia" w:ascii="宋体" w:hAnsi="宋体" w:eastAsia="宋体" w:cs="宋体"/>
          <w:color w:val="auto"/>
          <w:spacing w:val="0"/>
          <w:sz w:val="24"/>
          <w:szCs w:val="24"/>
          <w:highlight w:val="none"/>
          <w:lang w:eastAsia="zh-CN"/>
        </w:rPr>
        <w:t>应</w:t>
      </w:r>
      <w:r>
        <w:rPr>
          <w:rFonts w:hint="eastAsia" w:ascii="宋体" w:hAnsi="宋体" w:eastAsia="宋体" w:cs="宋体"/>
          <w:color w:val="auto"/>
          <w:spacing w:val="0"/>
          <w:sz w:val="24"/>
          <w:szCs w:val="24"/>
          <w:highlight w:val="none"/>
        </w:rPr>
        <w:t>自</w:t>
      </w:r>
      <w:r>
        <w:rPr>
          <w:rFonts w:hint="eastAsia" w:ascii="宋体" w:hAnsi="宋体" w:eastAsia="宋体" w:cs="宋体"/>
          <w:color w:val="auto"/>
          <w:spacing w:val="0"/>
          <w:sz w:val="24"/>
          <w:szCs w:val="24"/>
          <w:highlight w:val="none"/>
          <w:lang w:val="en-US" w:eastAsia="zh-CN"/>
        </w:rPr>
        <w:t>定标候选人</w:t>
      </w:r>
      <w:r>
        <w:rPr>
          <w:rFonts w:hint="eastAsia" w:ascii="宋体" w:hAnsi="宋体" w:eastAsia="宋体" w:cs="宋体"/>
          <w:color w:val="auto"/>
          <w:spacing w:val="0"/>
          <w:sz w:val="24"/>
          <w:szCs w:val="24"/>
          <w:highlight w:val="none"/>
        </w:rPr>
        <w:t>公示期满后</w:t>
      </w:r>
      <w:r>
        <w:rPr>
          <w:rFonts w:hint="eastAsia" w:ascii="宋体" w:hAnsi="宋体" w:eastAsia="宋体" w:cs="宋体"/>
          <w:color w:val="auto"/>
          <w:spacing w:val="0"/>
          <w:sz w:val="24"/>
          <w:szCs w:val="24"/>
          <w:highlight w:val="none"/>
          <w:lang w:val="en-US" w:eastAsia="zh-CN"/>
        </w:rPr>
        <w:t>5</w:t>
      </w:r>
      <w:r>
        <w:rPr>
          <w:rFonts w:hint="eastAsia" w:ascii="宋体" w:hAnsi="宋体" w:eastAsia="宋体" w:cs="宋体"/>
          <w:color w:val="auto"/>
          <w:spacing w:val="0"/>
          <w:sz w:val="24"/>
          <w:szCs w:val="24"/>
          <w:highlight w:val="none"/>
        </w:rPr>
        <w:t>个工作日内进入公共资源交易平台（与评标阶段公共资源交易平台相同）进行定标。定标会议全过程录音录像。招标人需要延期定标的，</w:t>
      </w:r>
      <w:r>
        <w:rPr>
          <w:rFonts w:hint="eastAsia" w:ascii="宋体" w:hAnsi="宋体" w:eastAsia="宋体" w:cs="宋体"/>
          <w:color w:val="auto"/>
          <w:spacing w:val="0"/>
          <w:sz w:val="24"/>
          <w:szCs w:val="24"/>
          <w:highlight w:val="none"/>
          <w:lang w:eastAsia="zh-CN"/>
        </w:rPr>
        <w:t>应</w:t>
      </w:r>
      <w:r>
        <w:rPr>
          <w:rFonts w:hint="eastAsia" w:ascii="宋体" w:hAnsi="宋体" w:eastAsia="宋体" w:cs="宋体"/>
          <w:color w:val="auto"/>
          <w:spacing w:val="0"/>
          <w:sz w:val="24"/>
          <w:szCs w:val="24"/>
          <w:highlight w:val="none"/>
        </w:rPr>
        <w:t>通过公共资源交易平台公布延期原因和定标时间。</w:t>
      </w:r>
    </w:p>
    <w:p w14:paraId="1EEE6071">
      <w:pPr>
        <w:keepNext w:val="0"/>
        <w:keepLines w:val="0"/>
        <w:pageBreakBefore w:val="0"/>
        <w:kinsoku/>
        <w:wordWrap/>
        <w:overflowPunct/>
        <w:topLinePunct w:val="0"/>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color w:val="auto"/>
          <w:spacing w:val="0"/>
          <w:sz w:val="24"/>
          <w:szCs w:val="24"/>
          <w:highlight w:val="none"/>
          <w:lang w:eastAsia="zh-CN"/>
        </w:rPr>
      </w:pPr>
      <w:r>
        <w:rPr>
          <w:rFonts w:hint="eastAsia" w:ascii="宋体" w:hAnsi="宋体" w:eastAsia="宋体" w:cs="宋体"/>
          <w:b/>
          <w:bCs/>
          <w:strike w:val="0"/>
          <w:dstrike w:val="0"/>
          <w:color w:val="auto"/>
          <w:kern w:val="2"/>
          <w:sz w:val="24"/>
          <w:szCs w:val="24"/>
          <w:highlight w:val="none"/>
          <w:u w:val="none"/>
          <w:lang w:val="en-US" w:eastAsia="zh-CN" w:bidi="ar-SA"/>
        </w:rPr>
        <w:t>定标办法</w:t>
      </w:r>
      <w:r>
        <w:rPr>
          <w:rFonts w:hint="eastAsia" w:ascii="宋体" w:hAnsi="宋体" w:eastAsia="宋体" w:cs="宋体"/>
          <w:strike w:val="0"/>
          <w:dstrike w:val="0"/>
          <w:color w:val="auto"/>
          <w:kern w:val="2"/>
          <w:sz w:val="24"/>
          <w:szCs w:val="24"/>
          <w:highlight w:val="none"/>
          <w:u w:val="none"/>
          <w:lang w:val="en-US" w:eastAsia="zh-CN" w:bidi="ar-SA"/>
        </w:rPr>
        <w:t>：本项目定标办法由招标人按本投标人须知前附表的规定确定。</w:t>
      </w:r>
    </w:p>
    <w:p w14:paraId="63FA0BDB">
      <w:pPr>
        <w:pStyle w:val="14"/>
        <w:keepNext w:val="0"/>
        <w:keepLines w:val="0"/>
        <w:pageBreakBefore w:val="0"/>
        <w:widowControl w:val="0"/>
        <w:kinsoku/>
        <w:wordWrap/>
        <w:overflowPunct/>
        <w:topLinePunct w:val="0"/>
        <w:autoSpaceDE/>
        <w:autoSpaceDN w:val="0"/>
        <w:bidi w:val="0"/>
        <w:adjustRightInd/>
        <w:snapToGrid/>
        <w:spacing w:before="0" w:beforeLines="0" w:beforeAutospacing="0" w:after="0" w:afterLines="0" w:afterAutospacing="0" w:line="360" w:lineRule="auto"/>
        <w:ind w:left="0" w:leftChars="0" w:right="0" w:rightChars="0" w:firstLine="482" w:firstLineChars="200"/>
        <w:jc w:val="both"/>
        <w:textAlignment w:val="auto"/>
        <w:outlineLvl w:val="9"/>
        <w:rPr>
          <w:rFonts w:hint="eastAsia" w:ascii="宋体" w:hAnsi="宋体" w:eastAsia="宋体" w:cs="宋体"/>
          <w:b/>
          <w:color w:val="auto"/>
          <w:highlight w:val="none"/>
        </w:rPr>
      </w:pPr>
      <w:r>
        <w:rPr>
          <w:rFonts w:hint="eastAsia" w:ascii="宋体" w:hAnsi="宋体" w:eastAsia="宋体" w:cs="宋体"/>
          <w:b/>
          <w:bCs/>
          <w:color w:val="auto"/>
          <w:spacing w:val="0"/>
          <w:sz w:val="24"/>
          <w:szCs w:val="24"/>
          <w:highlight w:val="none"/>
        </w:rPr>
        <w:t>1</w:t>
      </w:r>
      <w:r>
        <w:rPr>
          <w:rFonts w:hint="eastAsia" w:ascii="宋体" w:hAnsi="宋体" w:eastAsia="宋体" w:cs="宋体"/>
          <w:b/>
          <w:bCs/>
          <w:color w:val="auto"/>
          <w:spacing w:val="0"/>
          <w:sz w:val="24"/>
          <w:szCs w:val="24"/>
          <w:highlight w:val="none"/>
          <w:lang w:val="en-US" w:eastAsia="zh-CN"/>
        </w:rPr>
        <w:t>6</w:t>
      </w:r>
      <w:r>
        <w:rPr>
          <w:rFonts w:hint="eastAsia" w:ascii="宋体" w:hAnsi="宋体" w:eastAsia="宋体" w:cs="宋体"/>
          <w:b/>
          <w:bCs/>
          <w:color w:val="auto"/>
          <w:spacing w:val="0"/>
          <w:sz w:val="24"/>
          <w:szCs w:val="24"/>
          <w:highlight w:val="none"/>
        </w:rPr>
        <w:t>.</w:t>
      </w:r>
      <w:r>
        <w:rPr>
          <w:rFonts w:hint="eastAsia" w:ascii="宋体" w:hAnsi="宋体" w:eastAsia="宋体" w:cs="宋体"/>
          <w:b/>
          <w:bCs/>
          <w:color w:val="auto"/>
          <w:spacing w:val="0"/>
          <w:sz w:val="24"/>
          <w:szCs w:val="24"/>
          <w:highlight w:val="none"/>
          <w:lang w:val="en-US" w:eastAsia="zh-CN"/>
        </w:rPr>
        <w:t>2</w:t>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b/>
          <w:bCs/>
          <w:color w:val="auto"/>
          <w:spacing w:val="0"/>
          <w:sz w:val="24"/>
          <w:szCs w:val="24"/>
          <w:highlight w:val="none"/>
          <w:lang w:val="en-US" w:eastAsia="zh-CN"/>
        </w:rPr>
        <w:t>定标依据：</w:t>
      </w:r>
      <w:r>
        <w:rPr>
          <w:rFonts w:hint="eastAsia" w:ascii="宋体" w:hAnsi="宋体" w:eastAsia="宋体" w:cs="宋体"/>
          <w:color w:val="auto"/>
          <w:spacing w:val="0"/>
          <w:sz w:val="24"/>
          <w:szCs w:val="24"/>
          <w:highlight w:val="none"/>
          <w:lang w:val="en-US" w:eastAsia="zh-CN"/>
        </w:rPr>
        <w:br w:type="textWrapping"/>
      </w:r>
      <w:r>
        <w:rPr>
          <w:rFonts w:hint="eastAsia" w:ascii="宋体" w:hAnsi="宋体" w:eastAsia="宋体" w:cs="宋体"/>
          <w:color w:val="auto"/>
          <w:spacing w:val="0"/>
          <w:sz w:val="24"/>
          <w:szCs w:val="24"/>
          <w:highlight w:val="none"/>
          <w:lang w:val="en-US" w:eastAsia="zh-CN"/>
        </w:rPr>
        <w:t>（1）现行的法律、法规、规章、规范性文件及国家、省、市各级政府部门工作文件规定；</w:t>
      </w:r>
      <w:r>
        <w:rPr>
          <w:rFonts w:hint="eastAsia" w:ascii="宋体" w:hAnsi="宋体" w:eastAsia="宋体" w:cs="宋体"/>
          <w:color w:val="auto"/>
          <w:spacing w:val="0"/>
          <w:sz w:val="24"/>
          <w:szCs w:val="24"/>
          <w:highlight w:val="none"/>
          <w:lang w:val="en-US" w:eastAsia="zh-CN"/>
        </w:rPr>
        <w:br w:type="textWrapping"/>
      </w:r>
      <w:r>
        <w:rPr>
          <w:rFonts w:hint="eastAsia" w:ascii="宋体" w:hAnsi="宋体" w:eastAsia="宋体" w:cs="宋体"/>
          <w:color w:val="auto"/>
          <w:spacing w:val="0"/>
          <w:sz w:val="24"/>
          <w:szCs w:val="24"/>
          <w:highlight w:val="none"/>
          <w:lang w:val="en-US" w:eastAsia="zh-CN"/>
        </w:rPr>
        <w:t>（2）招标文件及其他补充通知和补充资料；</w:t>
      </w:r>
      <w:r>
        <w:rPr>
          <w:rFonts w:hint="eastAsia" w:ascii="宋体" w:hAnsi="宋体" w:eastAsia="宋体" w:cs="宋体"/>
          <w:color w:val="auto"/>
          <w:spacing w:val="0"/>
          <w:sz w:val="24"/>
          <w:szCs w:val="24"/>
          <w:highlight w:val="none"/>
          <w:lang w:val="en-US" w:eastAsia="zh-CN"/>
        </w:rPr>
        <w:br w:type="textWrapping"/>
      </w:r>
      <w:r>
        <w:rPr>
          <w:rFonts w:hint="eastAsia" w:ascii="宋体" w:hAnsi="宋体" w:eastAsia="宋体" w:cs="宋体"/>
          <w:color w:val="auto"/>
          <w:spacing w:val="0"/>
          <w:sz w:val="24"/>
          <w:szCs w:val="24"/>
          <w:highlight w:val="none"/>
          <w:lang w:val="en-US" w:eastAsia="zh-CN"/>
        </w:rPr>
        <w:t>（3）评标报告以及定标候选人推荐名单；</w:t>
      </w:r>
      <w:r>
        <w:rPr>
          <w:rFonts w:hint="eastAsia" w:ascii="宋体" w:hAnsi="宋体" w:eastAsia="宋体" w:cs="宋体"/>
          <w:color w:val="auto"/>
          <w:spacing w:val="0"/>
          <w:sz w:val="24"/>
          <w:szCs w:val="24"/>
          <w:highlight w:val="none"/>
          <w:lang w:val="en-US" w:eastAsia="zh-CN"/>
        </w:rPr>
        <w:br w:type="textWrapping"/>
      </w:r>
      <w:r>
        <w:rPr>
          <w:rFonts w:hint="eastAsia" w:ascii="宋体" w:hAnsi="宋体" w:eastAsia="宋体" w:cs="宋体"/>
          <w:color w:val="auto"/>
          <w:spacing w:val="0"/>
          <w:sz w:val="24"/>
          <w:szCs w:val="24"/>
          <w:highlight w:val="none"/>
          <w:lang w:val="en-US" w:eastAsia="zh-CN"/>
        </w:rPr>
        <w:t>（4）定标候选人的投标文件；</w:t>
      </w:r>
      <w:r>
        <w:rPr>
          <w:rFonts w:hint="eastAsia" w:ascii="宋体" w:hAnsi="宋体" w:eastAsia="宋体" w:cs="宋体"/>
          <w:color w:val="auto"/>
          <w:spacing w:val="0"/>
          <w:sz w:val="24"/>
          <w:szCs w:val="24"/>
          <w:highlight w:val="none"/>
          <w:lang w:val="en-US" w:eastAsia="zh-CN"/>
        </w:rPr>
        <w:br w:type="textWrapping"/>
      </w:r>
      <w:r>
        <w:rPr>
          <w:rFonts w:hint="eastAsia" w:ascii="宋体" w:hAnsi="宋体" w:eastAsia="宋体" w:cs="宋体"/>
          <w:color w:val="auto"/>
          <w:spacing w:val="0"/>
          <w:sz w:val="24"/>
          <w:szCs w:val="24"/>
          <w:highlight w:val="none"/>
          <w:lang w:val="en-US" w:eastAsia="zh-CN"/>
        </w:rPr>
        <w:t>（5）开、评标全过程资料；</w:t>
      </w:r>
      <w:r>
        <w:rPr>
          <w:rFonts w:hint="eastAsia" w:ascii="宋体" w:hAnsi="宋体" w:eastAsia="宋体" w:cs="宋体"/>
          <w:color w:val="auto"/>
          <w:spacing w:val="0"/>
          <w:sz w:val="24"/>
          <w:szCs w:val="24"/>
          <w:highlight w:val="none"/>
          <w:lang w:val="en-US" w:eastAsia="zh-CN"/>
        </w:rPr>
        <w:br w:type="textWrapping"/>
      </w:r>
      <w:r>
        <w:rPr>
          <w:rFonts w:hint="eastAsia" w:ascii="宋体" w:hAnsi="宋体" w:eastAsia="宋体" w:cs="宋体"/>
          <w:color w:val="auto"/>
          <w:spacing w:val="0"/>
          <w:sz w:val="24"/>
          <w:szCs w:val="24"/>
          <w:highlight w:val="none"/>
          <w:lang w:val="en-US" w:eastAsia="zh-CN"/>
        </w:rPr>
        <w:t>（6）对定标候选人的考察评价资料（如有）；</w:t>
      </w:r>
      <w:r>
        <w:rPr>
          <w:rFonts w:hint="eastAsia" w:ascii="宋体" w:hAnsi="宋体" w:eastAsia="宋体" w:cs="宋体"/>
          <w:color w:val="auto"/>
          <w:spacing w:val="0"/>
          <w:sz w:val="24"/>
          <w:szCs w:val="24"/>
          <w:highlight w:val="none"/>
          <w:lang w:val="en-US" w:eastAsia="zh-CN"/>
        </w:rPr>
        <w:br w:type="textWrapping"/>
      </w:r>
      <w:r>
        <w:rPr>
          <w:rFonts w:hint="eastAsia" w:ascii="宋体" w:hAnsi="宋体" w:eastAsia="宋体" w:cs="宋体"/>
          <w:color w:val="auto"/>
          <w:spacing w:val="0"/>
          <w:sz w:val="24"/>
          <w:szCs w:val="24"/>
          <w:highlight w:val="none"/>
          <w:lang w:val="en-US" w:eastAsia="zh-CN"/>
        </w:rPr>
        <w:t>（7）关于本工程的其他相关资料。</w:t>
      </w:r>
      <w:r>
        <w:rPr>
          <w:rFonts w:hint="eastAsia" w:ascii="宋体" w:hAnsi="宋体" w:eastAsia="宋体" w:cs="宋体"/>
          <w:color w:val="auto"/>
          <w:spacing w:val="0"/>
          <w:sz w:val="24"/>
          <w:szCs w:val="24"/>
          <w:highlight w:val="none"/>
          <w:lang w:val="en-US" w:eastAsia="zh-CN"/>
        </w:rPr>
        <w:br w:type="textWrapping"/>
      </w:r>
      <w:r>
        <w:rPr>
          <w:rFonts w:hint="eastAsia" w:ascii="宋体" w:hAnsi="宋体" w:eastAsia="宋体" w:cs="宋体"/>
          <w:color w:val="auto"/>
          <w:spacing w:val="0"/>
          <w:sz w:val="24"/>
          <w:szCs w:val="24"/>
          <w:highlight w:val="none"/>
          <w:lang w:val="en-US" w:eastAsia="zh-CN"/>
        </w:rPr>
        <w:t xml:space="preserve">    </w:t>
      </w:r>
      <w:r>
        <w:rPr>
          <w:rFonts w:hint="eastAsia" w:ascii="宋体" w:hAnsi="宋体" w:eastAsia="宋体" w:cs="宋体"/>
          <w:b/>
          <w:bCs/>
          <w:color w:val="auto"/>
          <w:spacing w:val="0"/>
          <w:sz w:val="24"/>
          <w:szCs w:val="24"/>
          <w:highlight w:val="none"/>
        </w:rPr>
        <w:t>1</w:t>
      </w:r>
      <w:r>
        <w:rPr>
          <w:rFonts w:hint="eastAsia" w:ascii="宋体" w:hAnsi="宋体" w:eastAsia="宋体" w:cs="宋体"/>
          <w:b/>
          <w:bCs/>
          <w:color w:val="auto"/>
          <w:spacing w:val="0"/>
          <w:sz w:val="24"/>
          <w:szCs w:val="24"/>
          <w:highlight w:val="none"/>
          <w:lang w:val="en-US" w:eastAsia="zh-CN"/>
        </w:rPr>
        <w:t>6</w:t>
      </w:r>
      <w:r>
        <w:rPr>
          <w:rFonts w:hint="eastAsia" w:ascii="宋体" w:hAnsi="宋体" w:eastAsia="宋体" w:cs="宋体"/>
          <w:b/>
          <w:bCs/>
          <w:color w:val="auto"/>
          <w:spacing w:val="0"/>
          <w:sz w:val="24"/>
          <w:szCs w:val="24"/>
          <w:highlight w:val="none"/>
        </w:rPr>
        <w:t>.</w:t>
      </w:r>
      <w:r>
        <w:rPr>
          <w:rFonts w:hint="eastAsia" w:ascii="宋体" w:hAnsi="宋体" w:eastAsia="宋体" w:cs="宋体"/>
          <w:b/>
          <w:bCs/>
          <w:color w:val="auto"/>
          <w:spacing w:val="0"/>
          <w:sz w:val="24"/>
          <w:szCs w:val="24"/>
          <w:highlight w:val="none"/>
          <w:lang w:val="en-US" w:eastAsia="zh-CN"/>
        </w:rPr>
        <w:t>2</w:t>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b/>
          <w:bCs/>
          <w:color w:val="auto"/>
          <w:spacing w:val="0"/>
          <w:sz w:val="24"/>
          <w:szCs w:val="24"/>
          <w:highlight w:val="none"/>
          <w:lang w:val="en-US" w:eastAsia="zh-CN"/>
        </w:rPr>
        <w:t>定标监督小组：</w:t>
      </w:r>
      <w:r>
        <w:rPr>
          <w:rFonts w:hint="eastAsia" w:ascii="宋体" w:hAnsi="宋体" w:eastAsia="宋体" w:cs="宋体"/>
          <w:b/>
          <w:bCs/>
          <w:color w:val="auto"/>
          <w:spacing w:val="0"/>
          <w:sz w:val="24"/>
          <w:szCs w:val="24"/>
          <w:highlight w:val="none"/>
          <w:lang w:val="en-US" w:eastAsia="zh-CN"/>
        </w:rPr>
        <w:br w:type="textWrapping"/>
      </w:r>
      <w:r>
        <w:rPr>
          <w:rFonts w:hint="eastAsia" w:ascii="宋体" w:hAnsi="宋体" w:eastAsia="宋体" w:cs="宋体"/>
          <w:b/>
          <w:bCs/>
          <w:color w:val="auto"/>
          <w:spacing w:val="0"/>
          <w:sz w:val="24"/>
          <w:szCs w:val="24"/>
          <w:highlight w:val="none"/>
          <w:lang w:val="en-US" w:eastAsia="zh-CN"/>
        </w:rPr>
        <w:t xml:space="preserve">   </w:t>
      </w:r>
      <w:r>
        <w:rPr>
          <w:rFonts w:hint="eastAsia" w:ascii="宋体" w:hAnsi="宋体" w:eastAsia="宋体" w:cs="宋体"/>
          <w:strike w:val="0"/>
          <w:dstrike w:val="0"/>
          <w:color w:val="auto"/>
          <w:kern w:val="2"/>
          <w:sz w:val="24"/>
          <w:szCs w:val="24"/>
          <w:highlight w:val="none"/>
          <w:u w:val="none"/>
          <w:lang w:val="en-US" w:eastAsia="zh-CN"/>
        </w:rPr>
        <w:t>招标人应组建招标监督小组，对招标投标活动全过程进行监督，及时指出、制止违反程序及纪律的行为，但不得就评标、定标涉及的实质内容发表意见或者参与定标委员会的讨论。相关人员存在违反程序及纪律的行为被指出后仍拒绝纠正的、发现招标投标活动存在其他违反相关规定行为的，招标监督小组应如实记录并及时报告招标单位主要负责人、行政监督部门。</w:t>
      </w:r>
    </w:p>
    <w:p w14:paraId="126FD1CC">
      <w:pPr>
        <w:keepNext w:val="0"/>
        <w:keepLines w:val="0"/>
        <w:pageBreakBefore w:val="0"/>
        <w:widowControl w:val="0"/>
        <w:shd w:val="clear" w:color="auto" w:fill="auto"/>
        <w:kinsoku/>
        <w:wordWrap/>
        <w:overflowPunct/>
        <w:topLinePunct w:val="0"/>
        <w:autoSpaceDE/>
        <w:autoSpaceDN/>
        <w:bidi w:val="0"/>
        <w:adjustRightInd/>
        <w:snapToGrid/>
        <w:spacing w:beforeAutospacing="0" w:afterAutospacing="0" w:line="360" w:lineRule="auto"/>
        <w:ind w:left="0" w:leftChars="0" w:firstLine="480" w:firstLineChars="200"/>
        <w:jc w:val="both"/>
        <w:textAlignment w:val="auto"/>
        <w:outlineLvl w:val="9"/>
        <w:rPr>
          <w:rFonts w:hint="eastAsia" w:ascii="宋体" w:hAnsi="宋体" w:eastAsia="宋体" w:cs="宋体"/>
          <w:b/>
          <w:color w:val="auto"/>
          <w:sz w:val="24"/>
          <w:highlight w:val="none"/>
        </w:rPr>
      </w:pPr>
      <w:r>
        <w:rPr>
          <w:rFonts w:hint="eastAsia" w:ascii="宋体" w:hAnsi="宋体" w:eastAsia="宋体" w:cs="宋体"/>
          <w:color w:val="auto"/>
          <w:spacing w:val="0"/>
          <w:sz w:val="24"/>
          <w:szCs w:val="24"/>
          <w:highlight w:val="none"/>
          <w:lang w:val="en-US" w:eastAsia="zh-CN"/>
        </w:rPr>
        <w:t xml:space="preserve"> </w:t>
      </w:r>
      <w:r>
        <w:rPr>
          <w:rFonts w:hint="eastAsia" w:ascii="宋体" w:hAnsi="宋体" w:eastAsia="宋体" w:cs="宋体"/>
          <w:b/>
          <w:bCs/>
          <w:color w:val="auto"/>
          <w:spacing w:val="0"/>
          <w:sz w:val="24"/>
          <w:szCs w:val="24"/>
          <w:highlight w:val="none"/>
        </w:rPr>
        <w:t>1</w:t>
      </w:r>
      <w:r>
        <w:rPr>
          <w:rFonts w:hint="eastAsia" w:ascii="宋体" w:hAnsi="宋体" w:eastAsia="宋体" w:cs="宋体"/>
          <w:b/>
          <w:bCs/>
          <w:color w:val="auto"/>
          <w:spacing w:val="0"/>
          <w:sz w:val="24"/>
          <w:szCs w:val="24"/>
          <w:highlight w:val="none"/>
          <w:lang w:val="en-US" w:eastAsia="zh-CN"/>
        </w:rPr>
        <w:t>6</w:t>
      </w:r>
      <w:r>
        <w:rPr>
          <w:rFonts w:hint="eastAsia" w:ascii="宋体" w:hAnsi="宋体" w:eastAsia="宋体" w:cs="宋体"/>
          <w:b/>
          <w:bCs/>
          <w:color w:val="auto"/>
          <w:spacing w:val="0"/>
          <w:sz w:val="24"/>
          <w:szCs w:val="24"/>
          <w:highlight w:val="none"/>
        </w:rPr>
        <w:t>.</w:t>
      </w:r>
      <w:r>
        <w:rPr>
          <w:rFonts w:hint="eastAsia" w:ascii="宋体" w:hAnsi="宋体" w:eastAsia="宋体" w:cs="宋体"/>
          <w:b/>
          <w:bCs/>
          <w:color w:val="auto"/>
          <w:spacing w:val="0"/>
          <w:sz w:val="24"/>
          <w:szCs w:val="24"/>
          <w:highlight w:val="none"/>
          <w:lang w:val="en-US" w:eastAsia="zh-CN"/>
        </w:rPr>
        <w:t>3</w:t>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b/>
          <w:bCs/>
          <w:color w:val="auto"/>
          <w:spacing w:val="0"/>
          <w:sz w:val="24"/>
          <w:szCs w:val="24"/>
          <w:highlight w:val="none"/>
          <w:lang w:val="en-US" w:eastAsia="zh-CN"/>
        </w:rPr>
        <w:t>定标委员会：</w:t>
      </w:r>
      <w:r>
        <w:rPr>
          <w:rFonts w:hint="eastAsia" w:ascii="宋体" w:hAnsi="宋体" w:eastAsia="宋体" w:cs="宋体"/>
          <w:b/>
          <w:bCs/>
          <w:color w:val="auto"/>
          <w:spacing w:val="0"/>
          <w:sz w:val="24"/>
          <w:szCs w:val="24"/>
          <w:highlight w:val="none"/>
          <w:lang w:val="en-US" w:eastAsia="zh-CN"/>
        </w:rPr>
        <w:br w:type="textWrapping"/>
      </w:r>
      <w:r>
        <w:rPr>
          <w:rFonts w:hint="eastAsia" w:ascii="宋体" w:hAnsi="宋体" w:eastAsia="宋体" w:cs="宋体"/>
          <w:b/>
          <w:bCs/>
          <w:color w:val="auto"/>
          <w:spacing w:val="0"/>
          <w:sz w:val="24"/>
          <w:szCs w:val="24"/>
          <w:highlight w:val="none"/>
          <w:lang w:val="en-US" w:eastAsia="zh-CN"/>
        </w:rPr>
        <w:t xml:space="preserve">   </w:t>
      </w:r>
      <w:r>
        <w:rPr>
          <w:rFonts w:hint="eastAsia" w:ascii="宋体" w:hAnsi="宋体" w:eastAsia="宋体" w:cs="宋体"/>
          <w:b w:val="0"/>
          <w:bCs w:val="0"/>
          <w:color w:val="auto"/>
          <w:sz w:val="24"/>
          <w:szCs w:val="24"/>
          <w:highlight w:val="none"/>
          <w:u w:val="none"/>
          <w:lang w:val="en-US" w:eastAsia="zh-CN"/>
        </w:rPr>
        <w:t>招标人负责组建定标委员会，由项目业主的法定代表人或者主要负责人担任定标委员会组长。定标委员会的组成方式和人员由招标人按相关规定自行确定。招标项目对技术、商务等有特别要求的可从广东省综合评标评审专家库抽取专家(外部人员）补足，成员数量为7人及以上单数，成员数量应在招标文件中明确。专家人数原则上不超过2人。定标委员会成员数量在本投标人须知前附表中约定。</w:t>
      </w:r>
    </w:p>
    <w:p w14:paraId="6DC63157">
      <w:pPr>
        <w:keepNext w:val="0"/>
        <w:keepLines w:val="0"/>
        <w:pageBreakBefore w:val="0"/>
        <w:widowControl/>
        <w:kinsoku w:val="0"/>
        <w:wordWrap w:val="0"/>
        <w:overflowPunct/>
        <w:topLinePunct w:val="0"/>
        <w:autoSpaceDE w:val="0"/>
        <w:autoSpaceDN w:val="0"/>
        <w:bidi w:val="0"/>
        <w:adjustRightInd w:val="0"/>
        <w:snapToGrid w:val="0"/>
        <w:spacing w:before="0" w:beforeLines="100" w:line="360" w:lineRule="auto"/>
        <w:ind w:left="239" w:leftChars="114" w:right="0" w:firstLine="241" w:firstLineChars="100"/>
        <w:jc w:val="left"/>
        <w:textAlignment w:val="baseline"/>
        <w:rPr>
          <w:rFonts w:hint="default" w:ascii="宋体" w:hAnsi="宋体" w:eastAsia="宋体" w:cs="宋体"/>
          <w:color w:val="auto"/>
          <w:spacing w:val="0"/>
          <w:sz w:val="24"/>
          <w:szCs w:val="24"/>
          <w:highlight w:val="none"/>
          <w:lang w:val="en-US"/>
        </w:rPr>
      </w:pPr>
      <w:r>
        <w:rPr>
          <w:rFonts w:hint="eastAsia" w:ascii="宋体" w:hAnsi="宋体" w:eastAsia="宋体" w:cs="宋体"/>
          <w:b/>
          <w:bCs/>
          <w:color w:val="auto"/>
          <w:spacing w:val="0"/>
          <w:sz w:val="24"/>
          <w:szCs w:val="24"/>
          <w:highlight w:val="none"/>
          <w:lang w:val="en-US" w:eastAsia="zh-CN"/>
        </w:rPr>
        <w:t>16.4</w:t>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b/>
          <w:bCs/>
          <w:color w:val="auto"/>
          <w:spacing w:val="0"/>
          <w:sz w:val="24"/>
          <w:szCs w:val="24"/>
          <w:highlight w:val="none"/>
          <w:lang w:val="en-US" w:eastAsia="zh-CN"/>
        </w:rPr>
        <w:t>定</w:t>
      </w:r>
      <w:r>
        <w:rPr>
          <w:rFonts w:hint="eastAsia" w:ascii="宋体" w:hAnsi="宋体" w:eastAsia="宋体" w:cs="宋体"/>
          <w:b/>
          <w:bCs/>
          <w:color w:val="auto"/>
          <w:spacing w:val="0"/>
          <w:sz w:val="24"/>
          <w:szCs w:val="24"/>
          <w:highlight w:val="none"/>
        </w:rPr>
        <w:t>标</w:t>
      </w:r>
      <w:r>
        <w:rPr>
          <w:rFonts w:hint="eastAsia" w:ascii="宋体" w:hAnsi="宋体" w:eastAsia="宋体" w:cs="宋体"/>
          <w:b/>
          <w:bCs/>
          <w:color w:val="auto"/>
          <w:spacing w:val="0"/>
          <w:sz w:val="24"/>
          <w:szCs w:val="24"/>
          <w:highlight w:val="none"/>
          <w:lang w:val="en-US" w:eastAsia="zh-CN"/>
        </w:rPr>
        <w:t>细则</w:t>
      </w:r>
    </w:p>
    <w:p w14:paraId="33826BE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本项目采用票决数量法定标。</w:t>
      </w:r>
    </w:p>
    <w:p w14:paraId="4A281C5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color w:val="auto"/>
          <w:spacing w:val="0"/>
          <w:position w:val="0"/>
          <w:sz w:val="24"/>
          <w:szCs w:val="24"/>
          <w:highlight w:val="none"/>
          <w:u w:val="none" w:color="auto"/>
          <w:lang w:eastAsia="zh-CN"/>
        </w:rPr>
      </w:pPr>
      <w:r>
        <w:rPr>
          <w:rFonts w:hint="eastAsia" w:ascii="宋体" w:hAnsi="宋体" w:eastAsia="宋体" w:cs="宋体"/>
          <w:b/>
          <w:bCs/>
          <w:color w:val="auto"/>
          <w:spacing w:val="0"/>
          <w:position w:val="0"/>
          <w:sz w:val="24"/>
          <w:szCs w:val="24"/>
          <w:highlight w:val="none"/>
          <w:u w:val="none" w:color="auto"/>
          <w:lang w:val="en-US" w:eastAsia="zh-CN"/>
        </w:rPr>
        <w:t>16.4.1票决数量法程序</w:t>
      </w:r>
    </w:p>
    <w:p w14:paraId="13AAB28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i w:val="0"/>
          <w:snapToGrid/>
          <w:color w:val="auto"/>
          <w:sz w:val="24"/>
          <w:szCs w:val="24"/>
          <w:highlight w:val="none"/>
          <w:u w:val="none"/>
          <w:shd w:val="clear" w:color="auto" w:fill="FFFFFF"/>
          <w:lang w:eastAsia="zh-CN"/>
        </w:rPr>
        <w:t>定标委员会根据定标因素对定标候选人进行评审比较后，每名定标委员会成员</w:t>
      </w:r>
      <w:r>
        <w:rPr>
          <w:rFonts w:hint="eastAsia" w:ascii="宋体" w:hAnsi="宋体" w:eastAsia="宋体" w:cs="宋体"/>
          <w:color w:val="auto"/>
          <w:sz w:val="24"/>
          <w:szCs w:val="24"/>
          <w:highlight w:val="none"/>
          <w:u w:val="none"/>
          <w:lang w:val="en-US" w:eastAsia="zh-CN"/>
        </w:rPr>
        <w:t>有且仅有投出1票的权利，1票只能投1名定标候选人，</w:t>
      </w:r>
      <w:r>
        <w:rPr>
          <w:rFonts w:hint="eastAsia" w:ascii="宋体" w:hAnsi="宋体" w:eastAsia="宋体" w:cs="宋体"/>
          <w:b w:val="0"/>
          <w:i w:val="0"/>
          <w:snapToGrid/>
          <w:color w:val="auto"/>
          <w:sz w:val="24"/>
          <w:szCs w:val="24"/>
          <w:highlight w:val="none"/>
          <w:u w:val="none"/>
          <w:shd w:val="clear" w:color="auto" w:fill="FFFFFF"/>
          <w:lang w:eastAsia="zh-CN"/>
        </w:rPr>
        <w:t>进行票决排名确定排序的中标候选人。即各定标委员会成员对定标候选人进行投票，按得票高低推荐排序的前三名中标候选人。</w:t>
      </w:r>
      <w:r>
        <w:rPr>
          <w:rFonts w:hint="eastAsia" w:ascii="宋体" w:hAnsi="宋体" w:eastAsia="宋体" w:cs="宋体"/>
          <w:color w:val="auto"/>
          <w:sz w:val="24"/>
          <w:szCs w:val="24"/>
          <w:highlight w:val="none"/>
          <w:u w:val="none"/>
          <w:lang w:val="en-US" w:eastAsia="zh-CN"/>
        </w:rPr>
        <w:t>若第一轮投票中前三名中标候选人有</w:t>
      </w:r>
      <w:r>
        <w:rPr>
          <w:rFonts w:hint="eastAsia" w:ascii="宋体" w:hAnsi="宋体" w:eastAsia="宋体" w:cs="宋体"/>
          <w:color w:val="auto"/>
          <w:sz w:val="24"/>
          <w:szCs w:val="24"/>
          <w:highlight w:val="none"/>
          <w:u w:val="none"/>
          <w:shd w:val="clear" w:color="auto" w:fill="FFFFFF"/>
          <w:lang w:val="en-US" w:eastAsia="zh-CN"/>
        </w:rPr>
        <w:t>得票相同且影响中标候选人排序确定的，由定标委员会对总票数相同的单位进行再次票决确定排序,</w:t>
      </w:r>
      <w:r>
        <w:rPr>
          <w:rFonts w:hint="eastAsia" w:ascii="宋体" w:hAnsi="宋体" w:eastAsia="宋体" w:cs="宋体"/>
          <w:color w:val="auto"/>
          <w:sz w:val="24"/>
          <w:szCs w:val="24"/>
          <w:highlight w:val="none"/>
          <w:u w:val="none"/>
          <w:lang w:val="en-US" w:eastAsia="zh-CN"/>
        </w:rPr>
        <w:t>直至决出排序的前三名中标候选人。若定标候选人中没有符合评审要求的三名中标候选人，则宣告本次招标失败。</w:t>
      </w:r>
      <w:r>
        <w:rPr>
          <w:rFonts w:hint="eastAsia" w:ascii="宋体" w:hAnsi="宋体" w:eastAsia="宋体" w:cs="宋体"/>
          <w:b w:val="0"/>
          <w:i w:val="0"/>
          <w:snapToGrid/>
          <w:color w:val="auto"/>
          <w:sz w:val="24"/>
          <w:szCs w:val="24"/>
          <w:highlight w:val="none"/>
          <w:u w:val="none"/>
          <w:shd w:val="clear" w:color="auto" w:fill="FFFFFF"/>
          <w:lang w:eastAsia="zh-CN"/>
        </w:rPr>
        <w:t>票决采用记名方式并注明投票理由。</w:t>
      </w:r>
    </w:p>
    <w:p w14:paraId="1708DCA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color w:val="auto"/>
          <w:sz w:val="24"/>
          <w:szCs w:val="24"/>
          <w:highlight w:val="none"/>
          <w:u w:val="none"/>
          <w:shd w:val="clear" w:color="auto" w:fill="FFFFFF"/>
        </w:rPr>
      </w:pPr>
      <w:r>
        <w:rPr>
          <w:rFonts w:hint="eastAsia" w:ascii="宋体" w:hAnsi="宋体" w:eastAsia="宋体" w:cs="宋体"/>
          <w:b/>
          <w:bCs/>
          <w:color w:val="auto"/>
          <w:spacing w:val="0"/>
          <w:position w:val="0"/>
          <w:sz w:val="24"/>
          <w:szCs w:val="24"/>
          <w:highlight w:val="none"/>
          <w:u w:val="none" w:color="auto"/>
          <w:lang w:val="en-US" w:eastAsia="zh-CN"/>
        </w:rPr>
        <w:t>16.4.2</w:t>
      </w:r>
      <w:r>
        <w:rPr>
          <w:rFonts w:hint="eastAsia" w:ascii="宋体" w:hAnsi="宋体" w:eastAsia="宋体" w:cs="宋体"/>
          <w:b/>
          <w:bCs/>
          <w:color w:val="auto"/>
          <w:sz w:val="24"/>
          <w:szCs w:val="24"/>
          <w:highlight w:val="none"/>
          <w:u w:val="none"/>
          <w:shd w:val="clear" w:color="auto" w:fill="FFFFFF"/>
        </w:rPr>
        <w:t>项目情况介绍</w:t>
      </w:r>
    </w:p>
    <w:p w14:paraId="5938C48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eastAsia="zh-CN"/>
        </w:rPr>
      </w:pPr>
      <w:r>
        <w:rPr>
          <w:rFonts w:hint="eastAsia" w:ascii="宋体" w:hAnsi="宋体" w:eastAsia="宋体" w:cs="宋体"/>
          <w:b w:val="0"/>
          <w:bCs w:val="0"/>
          <w:color w:val="auto"/>
          <w:spacing w:val="0"/>
          <w:position w:val="0"/>
          <w:sz w:val="24"/>
          <w:szCs w:val="24"/>
          <w:highlight w:val="none"/>
          <w:u w:val="none" w:color="auto"/>
          <w:lang w:eastAsia="zh-CN"/>
        </w:rPr>
        <w:t>招标人代表介绍项目的概况及招标要求，以及定标方法与定标工作规则，不得发表具有倾向性的言论。</w:t>
      </w:r>
    </w:p>
    <w:p w14:paraId="0B4EBDB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color w:val="auto"/>
          <w:spacing w:val="0"/>
          <w:position w:val="0"/>
          <w:sz w:val="24"/>
          <w:szCs w:val="24"/>
          <w:highlight w:val="none"/>
          <w:u w:val="none" w:color="auto"/>
          <w:lang w:val="en-US" w:eastAsia="zh-CN"/>
        </w:rPr>
      </w:pPr>
      <w:r>
        <w:rPr>
          <w:rFonts w:hint="eastAsia" w:ascii="宋体" w:hAnsi="宋体" w:eastAsia="宋体" w:cs="宋体"/>
          <w:b/>
          <w:bCs/>
          <w:color w:val="auto"/>
          <w:spacing w:val="0"/>
          <w:position w:val="0"/>
          <w:sz w:val="24"/>
          <w:szCs w:val="24"/>
          <w:highlight w:val="none"/>
          <w:u w:val="none" w:color="auto"/>
          <w:lang w:val="en-US" w:eastAsia="zh-CN"/>
        </w:rPr>
        <w:t>16.4.3</w:t>
      </w:r>
      <w:r>
        <w:rPr>
          <w:rFonts w:hint="eastAsia" w:ascii="宋体" w:hAnsi="宋体" w:eastAsia="宋体" w:cs="宋体"/>
          <w:b/>
          <w:bCs/>
          <w:color w:val="auto"/>
          <w:sz w:val="24"/>
          <w:szCs w:val="24"/>
          <w:highlight w:val="none"/>
          <w:u w:val="none"/>
          <w:shd w:val="clear" w:color="auto" w:fill="FFFFFF"/>
        </w:rPr>
        <w:t>审阅定标资料</w:t>
      </w:r>
    </w:p>
    <w:p w14:paraId="79324EC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eastAsia="zh-CN"/>
        </w:rPr>
      </w:pPr>
      <w:r>
        <w:rPr>
          <w:rFonts w:hint="eastAsia" w:ascii="宋体" w:hAnsi="宋体" w:eastAsia="宋体" w:cs="宋体"/>
          <w:b w:val="0"/>
          <w:bCs w:val="0"/>
          <w:color w:val="auto"/>
          <w:spacing w:val="0"/>
          <w:position w:val="0"/>
          <w:sz w:val="24"/>
          <w:szCs w:val="24"/>
          <w:highlight w:val="none"/>
          <w:u w:val="none" w:color="auto"/>
          <w:lang w:eastAsia="zh-CN"/>
        </w:rPr>
        <w:t>定标委员会成员对各定标候选人的投标文件进行审阅，审阅内容主要是定标工作规则所规定的定标因素，</w:t>
      </w:r>
      <w:r>
        <w:rPr>
          <w:rFonts w:hint="eastAsia" w:ascii="宋体" w:hAnsi="宋体" w:eastAsia="宋体" w:cs="宋体"/>
          <w:b w:val="0"/>
          <w:bCs w:val="0"/>
          <w:color w:val="auto"/>
          <w:spacing w:val="0"/>
          <w:position w:val="0"/>
          <w:sz w:val="24"/>
          <w:szCs w:val="24"/>
          <w:highlight w:val="none"/>
          <w:u w:val="none" w:color="auto"/>
          <w:lang w:val="en-US" w:eastAsia="zh-CN"/>
        </w:rPr>
        <w:t>聚焦于项目需求与候选人能力的匹配度</w:t>
      </w:r>
      <w:r>
        <w:rPr>
          <w:rFonts w:hint="eastAsia" w:ascii="宋体" w:hAnsi="宋体" w:eastAsia="宋体" w:cs="宋体"/>
          <w:color w:val="auto"/>
          <w:sz w:val="24"/>
          <w:szCs w:val="24"/>
          <w:highlight w:val="none"/>
          <w:u w:val="none"/>
          <w:shd w:val="clear" w:color="auto" w:fill="FFFFFF"/>
          <w:lang w:eastAsia="zh-CN"/>
        </w:rPr>
        <w:t>。</w:t>
      </w:r>
    </w:p>
    <w:p w14:paraId="09114216">
      <w:pPr>
        <w:pStyle w:val="14"/>
        <w:keepNext w:val="0"/>
        <w:keepLines w:val="0"/>
        <w:pageBreakBefore w:val="0"/>
        <w:numPr>
          <w:ilvl w:val="0"/>
          <w:numId w:val="0"/>
        </w:numPr>
        <w:shd w:val="clear" w:color="auto" w:fill="FFFFFF"/>
        <w:kinsoku/>
        <w:wordWrap/>
        <w:overflowPunct/>
        <w:topLinePunct w:val="0"/>
        <w:autoSpaceDE/>
        <w:autoSpaceDN/>
        <w:bidi w:val="0"/>
        <w:adjustRightInd/>
        <w:snapToGrid/>
        <w:spacing w:before="0" w:beforeLines="0" w:beforeAutospacing="0" w:after="0" w:afterLines="0" w:afterAutospacing="0" w:line="360" w:lineRule="exact"/>
        <w:ind w:leftChars="228"/>
        <w:jc w:val="both"/>
        <w:textAlignment w:val="auto"/>
        <w:outlineLvl w:val="9"/>
        <w:rPr>
          <w:rFonts w:hint="eastAsia" w:ascii="宋体" w:hAnsi="宋体" w:eastAsia="宋体" w:cs="宋体"/>
          <w:b/>
          <w:bCs/>
          <w:color w:val="auto"/>
          <w:sz w:val="24"/>
          <w:szCs w:val="24"/>
          <w:highlight w:val="none"/>
          <w:u w:val="none"/>
          <w:shd w:val="clear" w:color="auto" w:fill="FFFFFF"/>
        </w:rPr>
      </w:pPr>
      <w:r>
        <w:rPr>
          <w:rFonts w:hint="eastAsia" w:ascii="宋体" w:hAnsi="宋体" w:eastAsia="宋体" w:cs="宋体"/>
          <w:b/>
          <w:bCs/>
          <w:color w:val="auto"/>
          <w:spacing w:val="0"/>
          <w:position w:val="0"/>
          <w:sz w:val="24"/>
          <w:szCs w:val="24"/>
          <w:highlight w:val="none"/>
          <w:u w:val="none" w:color="auto"/>
          <w:lang w:val="en-US" w:eastAsia="zh-CN"/>
        </w:rPr>
        <w:t>16.4.4</w:t>
      </w:r>
      <w:r>
        <w:rPr>
          <w:rFonts w:hint="eastAsia" w:ascii="宋体" w:hAnsi="宋体" w:eastAsia="宋体" w:cs="宋体"/>
          <w:b/>
          <w:bCs/>
          <w:color w:val="auto"/>
          <w:sz w:val="24"/>
          <w:szCs w:val="24"/>
          <w:highlight w:val="none"/>
          <w:u w:val="none"/>
          <w:shd w:val="clear" w:color="auto" w:fill="FFFFFF"/>
        </w:rPr>
        <w:t>疑问澄清</w:t>
      </w:r>
    </w:p>
    <w:p w14:paraId="3EAF8CA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color w:val="auto"/>
          <w:sz w:val="24"/>
          <w:szCs w:val="24"/>
          <w:highlight w:val="none"/>
          <w:u w:val="none"/>
          <w:shd w:val="clear" w:color="auto" w:fill="FFFFFF"/>
        </w:rPr>
        <w:t>讨论过程中，若成员对投标文件内容或项目细节存在疑问，可向招标人代表提出。招标人应现场作出答复，答复内容不得改变招标文件和投标文件的实质性内容，不得明示或暗示中标人。问答过程需形成书面记录，并由提问人与答复人签字确认。</w:t>
      </w:r>
    </w:p>
    <w:p w14:paraId="47E9356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color w:val="auto"/>
          <w:kern w:val="0"/>
          <w:sz w:val="24"/>
          <w:szCs w:val="24"/>
          <w:highlight w:val="none"/>
          <w:u w:val="none"/>
          <w:shd w:val="clear" w:color="auto" w:fill="FFFFFF"/>
          <w:lang w:val="en-US" w:eastAsia="zh-CN" w:bidi="ar-SA"/>
        </w:rPr>
      </w:pPr>
      <w:r>
        <w:rPr>
          <w:rFonts w:hint="eastAsia" w:ascii="宋体" w:hAnsi="宋体" w:eastAsia="宋体" w:cs="宋体"/>
          <w:b/>
          <w:bCs/>
          <w:color w:val="auto"/>
          <w:kern w:val="0"/>
          <w:sz w:val="24"/>
          <w:szCs w:val="24"/>
          <w:highlight w:val="none"/>
          <w:u w:val="none"/>
          <w:shd w:val="clear" w:color="auto" w:fill="FFFFFF"/>
          <w:lang w:val="en-US" w:eastAsia="zh-CN" w:bidi="ar-SA"/>
        </w:rPr>
        <w:t>16.4.5投票，收票，点票和汇总</w:t>
      </w:r>
    </w:p>
    <w:p w14:paraId="1BC448B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eastAsia="zh-CN"/>
        </w:rPr>
        <w:t>定标委员会成员按照票决定标法程序，根据公平、公正、择优原则，独立完成票决后，统一由定标工作人员收集、清点，并对票数进行汇总排名。得票相同且影响中标候选人排序确定的，可由定标委员会对总票数相同的单位进行再次票决确定排序。</w:t>
      </w:r>
    </w:p>
    <w:p w14:paraId="2842BF0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val="0"/>
          <w:bCs/>
          <w:color w:val="auto"/>
          <w:sz w:val="24"/>
          <w:szCs w:val="24"/>
          <w:highlight w:val="none"/>
          <w:lang w:eastAsia="zh-CN"/>
        </w:rPr>
      </w:pPr>
      <w:r>
        <w:rPr>
          <w:rFonts w:hint="eastAsia" w:ascii="宋体" w:hAnsi="宋体" w:eastAsia="宋体" w:cs="宋体"/>
          <w:b/>
          <w:bCs/>
          <w:color w:val="auto"/>
          <w:kern w:val="0"/>
          <w:sz w:val="24"/>
          <w:szCs w:val="24"/>
          <w:highlight w:val="none"/>
          <w:u w:val="none"/>
          <w:shd w:val="clear" w:color="auto" w:fill="FFFFFF"/>
          <w:lang w:val="en-US" w:eastAsia="zh-CN" w:bidi="ar-SA"/>
        </w:rPr>
        <w:t>16.4.6公布结果和出具定标报告</w:t>
      </w:r>
    </w:p>
    <w:p w14:paraId="08DA15A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color w:val="auto"/>
          <w:sz w:val="24"/>
          <w:szCs w:val="24"/>
          <w:highlight w:val="none"/>
          <w:lang w:eastAsia="zh-CN"/>
        </w:rPr>
        <w:t>点票工作完成后，定标委员会组长汇总定标结果，编制定标报告，确定中标候选人，全体成员签名。</w:t>
      </w:r>
    </w:p>
    <w:p w14:paraId="0A94B47F">
      <w:pPr>
        <w:pStyle w:val="14"/>
        <w:keepNext w:val="0"/>
        <w:keepLines w:val="0"/>
        <w:pageBreakBefore w:val="0"/>
        <w:numPr>
          <w:ilvl w:val="0"/>
          <w:numId w:val="0"/>
        </w:numPr>
        <w:shd w:val="clear" w:color="auto" w:fill="FFFFFF"/>
        <w:kinsoku/>
        <w:wordWrap/>
        <w:overflowPunct/>
        <w:topLinePunct w:val="0"/>
        <w:autoSpaceDE/>
        <w:autoSpaceDN/>
        <w:bidi w:val="0"/>
        <w:adjustRightInd/>
        <w:snapToGrid/>
        <w:spacing w:before="0" w:beforeLines="0" w:beforeAutospacing="0" w:after="0" w:afterLines="0" w:afterAutospacing="0" w:line="360" w:lineRule="exact"/>
        <w:ind w:leftChars="200"/>
        <w:jc w:val="both"/>
        <w:textAlignment w:val="auto"/>
        <w:outlineLvl w:val="9"/>
        <w:rPr>
          <w:rFonts w:hint="eastAsia" w:ascii="宋体" w:hAnsi="宋体" w:eastAsia="宋体" w:cs="宋体"/>
          <w:b/>
          <w:bCs/>
          <w:color w:val="auto"/>
          <w:sz w:val="24"/>
          <w:szCs w:val="24"/>
          <w:highlight w:val="none"/>
          <w:u w:val="none"/>
          <w:shd w:val="clear" w:color="auto" w:fill="FFFFFF"/>
        </w:rPr>
      </w:pPr>
      <w:r>
        <w:rPr>
          <w:rFonts w:hint="eastAsia" w:ascii="宋体" w:hAnsi="宋体" w:eastAsia="宋体" w:cs="宋体"/>
          <w:b/>
          <w:bCs/>
          <w:color w:val="auto"/>
          <w:spacing w:val="0"/>
          <w:position w:val="0"/>
          <w:sz w:val="24"/>
          <w:szCs w:val="24"/>
          <w:highlight w:val="none"/>
          <w:u w:val="none" w:color="auto"/>
          <w:lang w:val="en-US" w:eastAsia="zh-CN"/>
        </w:rPr>
        <w:t>16.4.7</w:t>
      </w:r>
      <w:r>
        <w:rPr>
          <w:rFonts w:hint="eastAsia" w:ascii="宋体" w:hAnsi="宋体" w:eastAsia="宋体" w:cs="宋体"/>
          <w:b/>
          <w:bCs/>
          <w:color w:val="auto"/>
          <w:sz w:val="24"/>
          <w:szCs w:val="24"/>
          <w:highlight w:val="none"/>
          <w:u w:val="none"/>
          <w:shd w:val="clear" w:color="auto" w:fill="FFFFFF"/>
        </w:rPr>
        <w:t>全程监督</w:t>
      </w:r>
    </w:p>
    <w:p w14:paraId="49B1DBA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lang w:eastAsia="zh-CN"/>
        </w:rPr>
        <w:t>招标监督小组对集体议定的全过程进行监督，确保程序合规、讨论充分、记录完整，结论形成过程公正、透明。</w:t>
      </w:r>
    </w:p>
    <w:p w14:paraId="3016D66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color w:val="auto"/>
          <w:spacing w:val="0"/>
          <w:position w:val="0"/>
          <w:sz w:val="24"/>
          <w:szCs w:val="24"/>
          <w:highlight w:val="none"/>
          <w:u w:val="none" w:color="auto"/>
          <w:lang w:val="en-US" w:eastAsia="zh-CN"/>
        </w:rPr>
      </w:pPr>
      <w:r>
        <w:rPr>
          <w:rFonts w:hint="eastAsia" w:ascii="宋体" w:hAnsi="宋体" w:eastAsia="宋体" w:cs="宋体"/>
          <w:b/>
          <w:bCs/>
          <w:color w:val="auto"/>
          <w:spacing w:val="0"/>
          <w:position w:val="0"/>
          <w:sz w:val="24"/>
          <w:szCs w:val="24"/>
          <w:highlight w:val="none"/>
          <w:u w:val="none" w:color="auto"/>
          <w:lang w:val="en-US" w:eastAsia="zh-CN"/>
        </w:rPr>
        <w:t>16.5定标因素</w:t>
      </w:r>
    </w:p>
    <w:p w14:paraId="2302B6C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i/>
          <w:iCs/>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在同等条件下，择优的定标因素和相对标准有以下几个方面：</w:t>
      </w:r>
    </w:p>
    <w:p w14:paraId="1A76382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bCs/>
          <w:color w:val="auto"/>
          <w:spacing w:val="0"/>
          <w:position w:val="0"/>
          <w:sz w:val="24"/>
          <w:szCs w:val="24"/>
          <w:highlight w:val="none"/>
          <w:u w:val="none" w:color="auto"/>
          <w:lang w:val="en-US" w:eastAsia="zh-CN"/>
        </w:rPr>
        <w:t>16.5.1</w:t>
      </w:r>
      <w:r>
        <w:rPr>
          <w:rFonts w:hint="eastAsia" w:ascii="宋体" w:hAnsi="宋体" w:eastAsia="宋体" w:cs="宋体"/>
          <w:b w:val="0"/>
          <w:bCs w:val="0"/>
          <w:color w:val="auto"/>
          <w:spacing w:val="0"/>
          <w:position w:val="0"/>
          <w:sz w:val="24"/>
          <w:szCs w:val="24"/>
          <w:highlight w:val="none"/>
          <w:u w:val="none" w:color="auto"/>
          <w:lang w:val="en-US" w:eastAsia="zh-CN"/>
        </w:rPr>
        <w:t>拟派团队管理能力与水平（履约能力）</w:t>
      </w:r>
    </w:p>
    <w:p w14:paraId="19CCF3F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相对标准：拟派团队管理能力与水平（履约能力）强的定标候选人优于拟派团队管理能力与水平（履约能力）一般的定标候选人。</w:t>
      </w:r>
    </w:p>
    <w:p w14:paraId="3F88956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bCs/>
          <w:color w:val="auto"/>
          <w:spacing w:val="0"/>
          <w:position w:val="0"/>
          <w:sz w:val="24"/>
          <w:szCs w:val="24"/>
          <w:highlight w:val="none"/>
          <w:u w:val="none" w:color="auto"/>
          <w:lang w:val="en-US" w:eastAsia="zh-CN"/>
        </w:rPr>
        <w:t>16.5.2</w:t>
      </w:r>
      <w:r>
        <w:rPr>
          <w:rFonts w:hint="eastAsia" w:ascii="宋体" w:hAnsi="宋体" w:eastAsia="宋体" w:cs="宋体"/>
          <w:b w:val="0"/>
          <w:bCs w:val="0"/>
          <w:color w:val="auto"/>
          <w:spacing w:val="0"/>
          <w:position w:val="0"/>
          <w:sz w:val="24"/>
          <w:szCs w:val="24"/>
          <w:highlight w:val="none"/>
          <w:u w:val="none" w:color="auto"/>
          <w:lang w:val="en-US" w:eastAsia="zh-CN"/>
        </w:rPr>
        <w:t>企业信誉</w:t>
      </w:r>
    </w:p>
    <w:p w14:paraId="364CE2E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相对标准：企业信誉评价好的定标候选人优于企业信誉评价一般的定标候选人。</w:t>
      </w:r>
    </w:p>
    <w:p w14:paraId="0142CEE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bCs/>
          <w:color w:val="auto"/>
          <w:spacing w:val="0"/>
          <w:position w:val="0"/>
          <w:sz w:val="24"/>
          <w:szCs w:val="24"/>
          <w:highlight w:val="none"/>
          <w:u w:val="none" w:color="auto"/>
          <w:lang w:val="en-US" w:eastAsia="zh-CN"/>
        </w:rPr>
        <w:t>16.5.3</w:t>
      </w:r>
      <w:r>
        <w:rPr>
          <w:rFonts w:hint="eastAsia" w:ascii="宋体" w:hAnsi="宋体" w:eastAsia="宋体" w:cs="宋体"/>
          <w:b w:val="0"/>
          <w:bCs w:val="0"/>
          <w:color w:val="auto"/>
          <w:spacing w:val="0"/>
          <w:position w:val="0"/>
          <w:sz w:val="24"/>
          <w:szCs w:val="24"/>
          <w:highlight w:val="none"/>
          <w:u w:val="none" w:color="auto"/>
          <w:lang w:val="en-US" w:eastAsia="zh-CN"/>
        </w:rPr>
        <w:t>农民工工资保障情况</w:t>
      </w:r>
    </w:p>
    <w:p w14:paraId="42E422A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default"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相对标准：农民工工资保障情况好的定标候选人优于农民工工资保障情况差的定标候选人（结合定标候选人提交的证明材料和招标人查询的材料进行评审）。</w:t>
      </w:r>
    </w:p>
    <w:p w14:paraId="1E62F1BA">
      <w:pPr>
        <w:keepNext w:val="0"/>
        <w:keepLines w:val="0"/>
        <w:pageBreakBefore w:val="0"/>
        <w:widowControl w:val="0"/>
        <w:kinsoku/>
        <w:wordWrap/>
        <w:overflowPunct/>
        <w:topLinePunct w:val="0"/>
        <w:autoSpaceDE/>
        <w:autoSpaceDN/>
        <w:bidi w:val="0"/>
        <w:adjustRightInd/>
        <w:snapToGrid/>
        <w:spacing w:after="0" w:afterLines="50" w:line="400" w:lineRule="exact"/>
        <w:ind w:left="0" w:leftChars="0" w:right="0" w:rightChars="0" w:firstLine="482"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bCs/>
          <w:color w:val="auto"/>
          <w:spacing w:val="0"/>
          <w:position w:val="0"/>
          <w:sz w:val="24"/>
          <w:szCs w:val="24"/>
          <w:highlight w:val="none"/>
          <w:u w:val="none" w:color="auto"/>
          <w:lang w:val="en-US" w:eastAsia="zh-CN"/>
        </w:rPr>
        <w:t>16.5.4</w:t>
      </w:r>
      <w:r>
        <w:rPr>
          <w:rFonts w:hint="eastAsia" w:ascii="宋体" w:hAnsi="宋体" w:eastAsia="宋体" w:cs="宋体"/>
          <w:b w:val="0"/>
          <w:bCs w:val="0"/>
          <w:color w:val="auto"/>
          <w:spacing w:val="0"/>
          <w:position w:val="0"/>
          <w:sz w:val="24"/>
          <w:szCs w:val="24"/>
          <w:highlight w:val="none"/>
          <w:u w:val="none" w:color="auto"/>
          <w:lang w:val="en-US" w:eastAsia="zh-CN"/>
        </w:rPr>
        <w:t>企业社会贡献（助力“百千万工程”、社会公益项目）</w:t>
      </w:r>
    </w:p>
    <w:p w14:paraId="2C1D6C80">
      <w:pPr>
        <w:pStyle w:val="4"/>
        <w:ind w:firstLine="480" w:firstLineChars="200"/>
        <w:rPr>
          <w:rFonts w:hint="default" w:ascii="宋体" w:hAnsi="宋体" w:eastAsia="宋体" w:cs="宋体"/>
          <w:b w:val="0"/>
          <w:bCs w:val="0"/>
          <w:snapToGrid w:val="0"/>
          <w:color w:val="auto"/>
          <w:spacing w:val="0"/>
          <w:position w:val="0"/>
          <w:sz w:val="24"/>
          <w:szCs w:val="24"/>
          <w:highlight w:val="none"/>
          <w:u w:val="none" w:color="auto"/>
          <w:lang w:val="en-US" w:eastAsia="zh-CN" w:bidi="ar-SA"/>
        </w:rPr>
      </w:pPr>
      <w:r>
        <w:rPr>
          <w:rFonts w:hint="eastAsia" w:ascii="宋体" w:hAnsi="宋体" w:eastAsia="宋体" w:cs="宋体"/>
          <w:b w:val="0"/>
          <w:bCs w:val="0"/>
          <w:snapToGrid w:val="0"/>
          <w:color w:val="auto"/>
          <w:spacing w:val="0"/>
          <w:position w:val="0"/>
          <w:sz w:val="24"/>
          <w:szCs w:val="24"/>
          <w:highlight w:val="none"/>
          <w:u w:val="none" w:color="auto"/>
          <w:lang w:val="en-US" w:eastAsia="zh-CN" w:bidi="ar-SA"/>
        </w:rPr>
        <w:t>相对标准：承诺助“百千万工程”的定标候选人优于未承诺的定标候选人（以《助力项目承诺书》为准）；参与社会公益项目的定标候选人优于未参与过的定标候选人（提供相关佐证）</w:t>
      </w:r>
    </w:p>
    <w:p w14:paraId="6201991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default"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bCs/>
          <w:color w:val="auto"/>
          <w:spacing w:val="0"/>
          <w:position w:val="0"/>
          <w:sz w:val="24"/>
          <w:szCs w:val="24"/>
          <w:highlight w:val="none"/>
          <w:u w:val="none" w:color="auto"/>
          <w:lang w:val="en-US" w:eastAsia="zh-CN"/>
        </w:rPr>
        <w:t>16.5.5</w:t>
      </w:r>
      <w:r>
        <w:rPr>
          <w:rFonts w:hint="eastAsia" w:ascii="宋体" w:hAnsi="宋体" w:eastAsia="宋体" w:cs="宋体"/>
          <w:b w:val="0"/>
          <w:bCs w:val="0"/>
          <w:color w:val="auto"/>
          <w:spacing w:val="0"/>
          <w:position w:val="0"/>
          <w:sz w:val="24"/>
          <w:szCs w:val="24"/>
          <w:highlight w:val="none"/>
          <w:u w:val="none" w:color="auto"/>
          <w:lang w:val="en-US" w:eastAsia="zh-CN"/>
        </w:rPr>
        <w:t>企业实力</w:t>
      </w:r>
    </w:p>
    <w:p w14:paraId="686CEA0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相对较大、行业主管部门的行业排名比较靠前（如有）、资质等级较高、专业技标准：企业实力包括企业规模术人员规模较大、过往业绩（含业绩影响力、难易程度）等方面较多、按时按质完成项目的能力较强、施工期间现场服务及时性较强的定标候选人优于企业实力包括企业规模较小、行业主管部门的行业排名比较靠后（如有）、资质等级较低、专业技术人员规模较小、过往业绩（含业绩影响力、难易程度）等方面较少、按时按质完成项目的能力较弱、施工期间现场服务及时性较弱的定标候选人。</w:t>
      </w:r>
    </w:p>
    <w:p w14:paraId="48F4DA9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bCs/>
          <w:color w:val="auto"/>
          <w:spacing w:val="0"/>
          <w:position w:val="0"/>
          <w:sz w:val="24"/>
          <w:szCs w:val="24"/>
          <w:highlight w:val="none"/>
          <w:u w:val="none" w:color="auto"/>
          <w:lang w:val="en-US" w:eastAsia="zh-CN"/>
        </w:rPr>
        <w:t>16.5.6</w:t>
      </w:r>
      <w:r>
        <w:rPr>
          <w:rFonts w:hint="eastAsia" w:ascii="宋体" w:hAnsi="宋体" w:eastAsia="宋体" w:cs="宋体"/>
          <w:b w:val="0"/>
          <w:bCs w:val="0"/>
          <w:color w:val="auto"/>
          <w:spacing w:val="0"/>
          <w:position w:val="0"/>
          <w:sz w:val="24"/>
          <w:szCs w:val="24"/>
          <w:highlight w:val="none"/>
          <w:u w:val="none" w:color="auto"/>
          <w:lang w:val="en-US" w:eastAsia="zh-CN"/>
        </w:rPr>
        <w:t>技术方案</w:t>
      </w:r>
    </w:p>
    <w:p w14:paraId="6D882EC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相对标准：技术方案的定标候选人优于技术方案一般的定标候选人。（技术方案对保证措施、施工计划和技术、工艺及工程项目实施的重点、难点分析和解决方案、安全文明施工措施、新技术应用、质量保证和违约责任承诺等的充分考虑，技术方案合理性、科学性、表述清晰、完整、具体、有效并实施可行。）</w:t>
      </w:r>
    </w:p>
    <w:p w14:paraId="7E417E9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bCs/>
          <w:color w:val="auto"/>
          <w:spacing w:val="0"/>
          <w:position w:val="0"/>
          <w:sz w:val="24"/>
          <w:szCs w:val="24"/>
          <w:highlight w:val="none"/>
          <w:u w:val="none" w:color="auto"/>
          <w:lang w:val="en-US" w:eastAsia="zh-CN"/>
        </w:rPr>
        <w:t>16.5.7</w:t>
      </w:r>
      <w:r>
        <w:rPr>
          <w:rFonts w:hint="eastAsia" w:ascii="宋体" w:hAnsi="宋体" w:eastAsia="宋体" w:cs="宋体"/>
          <w:b w:val="0"/>
          <w:bCs w:val="0"/>
          <w:color w:val="auto"/>
          <w:spacing w:val="0"/>
          <w:position w:val="0"/>
          <w:sz w:val="24"/>
          <w:szCs w:val="24"/>
          <w:highlight w:val="none"/>
          <w:u w:val="none" w:color="auto"/>
          <w:lang w:val="en-US" w:eastAsia="zh-CN"/>
        </w:rPr>
        <w:t>评标报告</w:t>
      </w:r>
    </w:p>
    <w:p w14:paraId="1234E46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color w:val="auto"/>
          <w:highlight w:val="none"/>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相对标准：评标委员会评审意见为具有优势</w:t>
      </w:r>
      <w:r>
        <w:rPr>
          <w:rFonts w:hint="eastAsia" w:ascii="宋体" w:hAnsi="宋体" w:eastAsia="宋体" w:cs="宋体"/>
          <w:color w:val="auto"/>
          <w:sz w:val="24"/>
          <w:szCs w:val="24"/>
          <w:highlight w:val="none"/>
        </w:rPr>
        <w:t>风险</w:t>
      </w:r>
      <w:r>
        <w:rPr>
          <w:rFonts w:hint="eastAsia" w:ascii="宋体" w:hAnsi="宋体" w:eastAsia="宋体" w:cs="宋体"/>
          <w:color w:val="auto"/>
          <w:sz w:val="24"/>
          <w:szCs w:val="24"/>
          <w:highlight w:val="none"/>
          <w:lang w:val="en-US" w:eastAsia="zh-CN"/>
        </w:rPr>
        <w:t>低</w:t>
      </w:r>
      <w:r>
        <w:rPr>
          <w:rFonts w:hint="eastAsia" w:ascii="宋体" w:hAnsi="宋体" w:eastAsia="宋体" w:cs="宋体"/>
          <w:b w:val="0"/>
          <w:bCs w:val="0"/>
          <w:color w:val="auto"/>
          <w:spacing w:val="0"/>
          <w:position w:val="0"/>
          <w:sz w:val="24"/>
          <w:szCs w:val="24"/>
          <w:highlight w:val="none"/>
          <w:u w:val="none" w:color="auto"/>
          <w:lang w:val="en-US" w:eastAsia="zh-CN"/>
        </w:rPr>
        <w:t>的定标候选人优于评标委员会评审意见为没有优势</w:t>
      </w:r>
      <w:r>
        <w:rPr>
          <w:rFonts w:hint="eastAsia" w:ascii="宋体" w:hAnsi="宋体" w:eastAsia="宋体" w:cs="宋体"/>
          <w:color w:val="auto"/>
          <w:sz w:val="24"/>
          <w:szCs w:val="24"/>
          <w:highlight w:val="none"/>
        </w:rPr>
        <w:t>风险</w:t>
      </w:r>
      <w:r>
        <w:rPr>
          <w:rFonts w:hint="eastAsia" w:ascii="宋体" w:hAnsi="宋体" w:eastAsia="宋体" w:cs="宋体"/>
          <w:color w:val="auto"/>
          <w:sz w:val="24"/>
          <w:szCs w:val="24"/>
          <w:highlight w:val="none"/>
          <w:lang w:val="en-US" w:eastAsia="zh-CN"/>
        </w:rPr>
        <w:t>高</w:t>
      </w:r>
      <w:r>
        <w:rPr>
          <w:rFonts w:hint="eastAsia" w:ascii="宋体" w:hAnsi="宋体" w:eastAsia="宋体" w:cs="宋体"/>
          <w:b w:val="0"/>
          <w:bCs w:val="0"/>
          <w:color w:val="auto"/>
          <w:spacing w:val="0"/>
          <w:position w:val="0"/>
          <w:sz w:val="24"/>
          <w:szCs w:val="24"/>
          <w:highlight w:val="none"/>
          <w:u w:val="none" w:color="auto"/>
          <w:lang w:val="en-US" w:eastAsia="zh-CN"/>
        </w:rPr>
        <w:t>的</w:t>
      </w:r>
      <w:r>
        <w:rPr>
          <w:rFonts w:hint="eastAsia" w:ascii="宋体" w:hAnsi="宋体" w:eastAsia="宋体" w:cs="宋体"/>
          <w:color w:val="auto"/>
          <w:sz w:val="24"/>
          <w:szCs w:val="24"/>
          <w:highlight w:val="none"/>
        </w:rPr>
        <w:t>定标候选人</w:t>
      </w:r>
      <w:r>
        <w:rPr>
          <w:rFonts w:hint="eastAsia" w:ascii="宋体" w:hAnsi="宋体" w:eastAsia="宋体" w:cs="宋体"/>
          <w:color w:val="auto"/>
          <w:sz w:val="24"/>
          <w:szCs w:val="24"/>
          <w:highlight w:val="none"/>
          <w:lang w:eastAsia="zh-CN"/>
        </w:rPr>
        <w:t>（</w:t>
      </w:r>
      <w:r>
        <w:rPr>
          <w:rFonts w:hint="eastAsia" w:ascii="宋体" w:hAnsi="宋体" w:eastAsia="宋体" w:cs="宋体"/>
          <w:b w:val="0"/>
          <w:bCs w:val="0"/>
          <w:color w:val="auto"/>
          <w:spacing w:val="0"/>
          <w:position w:val="0"/>
          <w:sz w:val="24"/>
          <w:szCs w:val="24"/>
          <w:highlight w:val="none"/>
          <w:u w:val="none" w:color="auto"/>
          <w:lang w:val="en-US" w:eastAsia="zh-CN"/>
        </w:rPr>
        <w:t>综合考虑评标委员会的评审意见，对各定标候选人</w:t>
      </w:r>
      <w:r>
        <w:rPr>
          <w:rFonts w:hint="eastAsia" w:ascii="宋体" w:hAnsi="宋体" w:eastAsia="宋体" w:cs="宋体"/>
          <w:color w:val="auto"/>
          <w:sz w:val="24"/>
          <w:szCs w:val="24"/>
          <w:highlight w:val="none"/>
        </w:rPr>
        <w:t>的优势、风险等评审情况</w:t>
      </w:r>
      <w:r>
        <w:rPr>
          <w:rFonts w:hint="eastAsia" w:ascii="宋体" w:hAnsi="宋体" w:eastAsia="宋体" w:cs="宋体"/>
          <w:b w:val="0"/>
          <w:bCs w:val="0"/>
          <w:color w:val="auto"/>
          <w:spacing w:val="0"/>
          <w:position w:val="0"/>
          <w:sz w:val="24"/>
          <w:szCs w:val="24"/>
          <w:highlight w:val="none"/>
          <w:u w:val="none" w:color="auto"/>
          <w:lang w:val="en-US" w:eastAsia="zh-CN"/>
        </w:rPr>
        <w:t>进行评审比较</w:t>
      </w:r>
      <w:r>
        <w:rPr>
          <w:rFonts w:hint="eastAsia" w:ascii="宋体" w:hAnsi="宋体" w:eastAsia="宋体" w:cs="宋体"/>
          <w:color w:val="auto"/>
          <w:sz w:val="24"/>
          <w:szCs w:val="24"/>
          <w:highlight w:val="none"/>
          <w:lang w:eastAsia="zh-CN"/>
        </w:rPr>
        <w:t>）</w:t>
      </w:r>
      <w:r>
        <w:rPr>
          <w:rFonts w:hint="eastAsia" w:ascii="宋体" w:hAnsi="宋体" w:eastAsia="宋体" w:cs="宋体"/>
          <w:b w:val="0"/>
          <w:bCs w:val="0"/>
          <w:color w:val="auto"/>
          <w:spacing w:val="0"/>
          <w:position w:val="0"/>
          <w:sz w:val="24"/>
          <w:szCs w:val="24"/>
          <w:highlight w:val="none"/>
          <w:u w:val="none" w:color="auto"/>
          <w:lang w:val="en-US" w:eastAsia="zh-CN"/>
        </w:rPr>
        <w:t>。</w:t>
      </w:r>
    </w:p>
    <w:p w14:paraId="3A765619">
      <w:pPr>
        <w:keepNext w:val="0"/>
        <w:keepLines w:val="0"/>
        <w:pageBreakBefore w:val="0"/>
        <w:wordWrap w:val="0"/>
        <w:overflowPunct/>
        <w:topLinePunct w:val="0"/>
        <w:bidi w:val="0"/>
        <w:spacing w:before="78" w:line="220" w:lineRule="auto"/>
        <w:ind w:left="496"/>
        <w:outlineLvl w:val="2"/>
        <w:rPr>
          <w:rFonts w:hint="eastAsia" w:ascii="宋体" w:hAnsi="宋体" w:eastAsia="宋体" w:cs="宋体"/>
          <w:b/>
          <w:bCs/>
          <w:color w:val="auto"/>
          <w:spacing w:val="0"/>
          <w:sz w:val="24"/>
          <w:szCs w:val="24"/>
          <w:highlight w:val="none"/>
        </w:rPr>
      </w:pPr>
      <w:bookmarkStart w:id="134" w:name="_Toc6260"/>
      <w:r>
        <w:rPr>
          <w:rFonts w:hint="eastAsia" w:ascii="宋体" w:hAnsi="宋体" w:eastAsia="宋体" w:cs="宋体"/>
          <w:b/>
          <w:bCs/>
          <w:color w:val="auto"/>
          <w:spacing w:val="0"/>
          <w:sz w:val="24"/>
          <w:szCs w:val="24"/>
          <w:highlight w:val="none"/>
          <w:lang w:val="en-US" w:eastAsia="zh-CN"/>
        </w:rPr>
        <w:t>17</w:t>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b/>
          <w:bCs/>
          <w:color w:val="auto"/>
          <w:spacing w:val="0"/>
          <w:sz w:val="24"/>
          <w:szCs w:val="24"/>
          <w:highlight w:val="none"/>
          <w:lang w:val="en-US" w:eastAsia="zh-CN"/>
        </w:rPr>
        <w:t>定</w:t>
      </w:r>
      <w:r>
        <w:rPr>
          <w:rFonts w:hint="eastAsia" w:ascii="宋体" w:hAnsi="宋体" w:eastAsia="宋体" w:cs="宋体"/>
          <w:b/>
          <w:bCs/>
          <w:color w:val="auto"/>
          <w:spacing w:val="0"/>
          <w:sz w:val="24"/>
          <w:szCs w:val="24"/>
          <w:highlight w:val="none"/>
        </w:rPr>
        <w:t>标</w:t>
      </w:r>
      <w:r>
        <w:rPr>
          <w:rFonts w:hint="eastAsia" w:ascii="宋体" w:hAnsi="宋体" w:eastAsia="宋体" w:cs="宋体"/>
          <w:b/>
          <w:bCs/>
          <w:color w:val="auto"/>
          <w:spacing w:val="0"/>
          <w:sz w:val="24"/>
          <w:szCs w:val="24"/>
          <w:highlight w:val="none"/>
          <w:lang w:val="en-US" w:eastAsia="zh-CN"/>
        </w:rPr>
        <w:t>结果</w:t>
      </w:r>
      <w:r>
        <w:rPr>
          <w:rFonts w:hint="eastAsia" w:ascii="宋体" w:hAnsi="宋体" w:eastAsia="宋体" w:cs="宋体"/>
          <w:b/>
          <w:bCs/>
          <w:color w:val="auto"/>
          <w:spacing w:val="0"/>
          <w:sz w:val="24"/>
          <w:szCs w:val="24"/>
          <w:highlight w:val="none"/>
        </w:rPr>
        <w:t>公示</w:t>
      </w:r>
      <w:bookmarkEnd w:id="134"/>
    </w:p>
    <w:p w14:paraId="49DA4E33">
      <w:pPr>
        <w:keepNext w:val="0"/>
        <w:keepLines w:val="0"/>
        <w:pageBreakBefore w:val="0"/>
        <w:widowControl/>
        <w:kinsoku w:val="0"/>
        <w:wordWrap w:val="0"/>
        <w:overflowPunct/>
        <w:topLinePunct w:val="0"/>
        <w:autoSpaceDE w:val="0"/>
        <w:autoSpaceDN w:val="0"/>
        <w:bidi w:val="0"/>
        <w:adjustRightInd w:val="0"/>
        <w:snapToGrid w:val="0"/>
        <w:spacing w:before="60" w:line="360" w:lineRule="auto"/>
        <w:ind w:left="567" w:right="108" w:firstLine="493"/>
        <w:jc w:val="both"/>
        <w:textAlignment w:val="baseline"/>
        <w:rPr>
          <w:rFonts w:hint="eastAsia" w:ascii="宋体" w:hAnsi="宋体" w:eastAsia="宋体" w:cs="宋体"/>
          <w:color w:val="auto"/>
          <w:spacing w:val="0"/>
          <w:sz w:val="24"/>
          <w:szCs w:val="24"/>
          <w:highlight w:val="none"/>
        </w:rPr>
      </w:pPr>
      <w:r>
        <w:rPr>
          <w:rFonts w:hint="eastAsia" w:ascii="宋体" w:hAnsi="宋体" w:eastAsia="宋体" w:cs="宋体"/>
          <w:strike w:val="0"/>
          <w:dstrike w:val="0"/>
          <w:color w:val="auto"/>
          <w:kern w:val="2"/>
          <w:sz w:val="24"/>
          <w:szCs w:val="24"/>
          <w:highlight w:val="none"/>
          <w:u w:val="none"/>
          <w:lang w:val="en-US" w:eastAsia="zh-CN" w:bidi="ar-SA"/>
        </w:rPr>
        <w:t>定标委员会完成定标后，招标人应于定标会结束后3日内将中标候选人和定标情况在</w:t>
      </w:r>
      <w:r>
        <w:rPr>
          <w:rFonts w:hint="eastAsia" w:ascii="宋体" w:hAnsi="宋体" w:eastAsia="宋体" w:cs="宋体"/>
          <w:color w:val="auto"/>
          <w:spacing w:val="0"/>
          <w:sz w:val="24"/>
          <w:szCs w:val="24"/>
          <w:highlight w:val="none"/>
        </w:rPr>
        <w:t>广东省招标投标监管网（http://zbtb.gd.gov.cn）、全国公共资源交易平台（广东省 ·韶关市）（https://ygp.gdzwfw.gov.cn/ggzy-portal/#/440200/index）进行公示。</w:t>
      </w:r>
    </w:p>
    <w:p w14:paraId="7FC1E5E1">
      <w:pPr>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rPr>
        <w:br w:type="page"/>
      </w:r>
    </w:p>
    <w:p w14:paraId="3012B1B1">
      <w:pPr>
        <w:keepNext w:val="0"/>
        <w:keepLines w:val="0"/>
        <w:pageBreakBefore w:val="0"/>
        <w:wordWrap w:val="0"/>
        <w:overflowPunct/>
        <w:topLinePunct w:val="0"/>
        <w:bidi w:val="0"/>
        <w:spacing w:before="78" w:line="220" w:lineRule="auto"/>
        <w:ind w:left="9"/>
        <w:jc w:val="center"/>
        <w:outlineLvl w:val="1"/>
        <w:rPr>
          <w:rFonts w:hint="eastAsia" w:ascii="宋体" w:hAnsi="宋体" w:eastAsia="宋体" w:cs="宋体"/>
          <w:color w:val="auto"/>
          <w:spacing w:val="0"/>
          <w:sz w:val="24"/>
          <w:szCs w:val="24"/>
          <w:highlight w:val="none"/>
        </w:rPr>
      </w:pPr>
      <w:bookmarkStart w:id="135" w:name="_Toc1505"/>
      <w:r>
        <w:rPr>
          <w:rFonts w:hint="eastAsia" w:ascii="宋体" w:hAnsi="宋体" w:eastAsia="宋体" w:cs="宋体"/>
          <w:b/>
          <w:bCs/>
          <w:color w:val="auto"/>
          <w:spacing w:val="0"/>
          <w:sz w:val="24"/>
          <w:szCs w:val="24"/>
          <w:highlight w:val="none"/>
        </w:rPr>
        <w:t>第四节</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rPr>
        <w:t>否决投标条件</w:t>
      </w:r>
      <w:bookmarkEnd w:id="135"/>
    </w:p>
    <w:p w14:paraId="24363C78">
      <w:pPr>
        <w:pStyle w:val="6"/>
        <w:keepNext w:val="0"/>
        <w:keepLines w:val="0"/>
        <w:pageBreakBefore w:val="0"/>
        <w:wordWrap w:val="0"/>
        <w:overflowPunct/>
        <w:topLinePunct w:val="0"/>
        <w:bidi w:val="0"/>
        <w:spacing w:line="256" w:lineRule="auto"/>
        <w:rPr>
          <w:rFonts w:hint="eastAsia" w:ascii="宋体" w:hAnsi="宋体" w:eastAsia="宋体" w:cs="宋体"/>
          <w:color w:val="auto"/>
          <w:spacing w:val="0"/>
          <w:highlight w:val="none"/>
        </w:rPr>
      </w:pPr>
    </w:p>
    <w:p w14:paraId="370638C2">
      <w:pPr>
        <w:keepNext w:val="0"/>
        <w:keepLines w:val="0"/>
        <w:pageBreakBefore w:val="0"/>
        <w:wordWrap w:val="0"/>
        <w:overflowPunct/>
        <w:topLinePunct w:val="0"/>
        <w:bidi w:val="0"/>
        <w:spacing w:before="78" w:line="330" w:lineRule="auto"/>
        <w:ind w:left="10" w:right="65" w:firstLine="48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本节所集中列示的否决投标条件，是本章第三节“投标人须知正文 ”的组成部分，是对本章第三节所规定的否决投标条件的总结和补充。</w:t>
      </w:r>
      <w:r>
        <w:rPr>
          <w:rFonts w:hint="eastAsia" w:ascii="宋体" w:hAnsi="宋体" w:eastAsia="宋体" w:cs="宋体"/>
          <w:b/>
          <w:bCs/>
          <w:color w:val="auto"/>
          <w:spacing w:val="0"/>
          <w:sz w:val="24"/>
          <w:szCs w:val="24"/>
          <w:highlight w:val="none"/>
        </w:rPr>
        <w:t>投标人未有列入本节情形的，评标时一律不得否决其投标。</w:t>
      </w:r>
      <w:r>
        <w:rPr>
          <w:rFonts w:hint="eastAsia" w:ascii="宋体" w:hAnsi="宋体" w:eastAsia="宋体" w:cs="宋体"/>
          <w:color w:val="auto"/>
          <w:spacing w:val="0"/>
          <w:sz w:val="24"/>
          <w:szCs w:val="24"/>
          <w:highlight w:val="none"/>
        </w:rPr>
        <w:t>本节所称“规定 ”均指招标文件的规定。</w:t>
      </w:r>
    </w:p>
    <w:p w14:paraId="6EE207A4">
      <w:pPr>
        <w:keepNext w:val="0"/>
        <w:keepLines w:val="0"/>
        <w:pageBreakBefore w:val="0"/>
        <w:wordWrap w:val="0"/>
        <w:overflowPunct/>
        <w:topLinePunct w:val="0"/>
        <w:bidi w:val="0"/>
        <w:spacing w:before="34" w:line="220" w:lineRule="auto"/>
        <w:ind w:left="495"/>
        <w:outlineLvl w:val="2"/>
        <w:rPr>
          <w:rFonts w:hint="eastAsia" w:ascii="宋体" w:hAnsi="宋体" w:eastAsia="宋体" w:cs="宋体"/>
          <w:color w:val="auto"/>
          <w:spacing w:val="0"/>
          <w:sz w:val="24"/>
          <w:szCs w:val="24"/>
          <w:highlight w:val="none"/>
        </w:rPr>
      </w:pPr>
      <w:bookmarkStart w:id="136" w:name="_Toc7264"/>
      <w:r>
        <w:rPr>
          <w:rFonts w:hint="eastAsia" w:ascii="宋体" w:hAnsi="宋体" w:eastAsia="宋体" w:cs="宋体"/>
          <w:b/>
          <w:bCs/>
          <w:color w:val="auto"/>
          <w:spacing w:val="0"/>
          <w:sz w:val="24"/>
          <w:szCs w:val="24"/>
          <w:highlight w:val="none"/>
        </w:rPr>
        <w:t>1 ．资格评审环节</w:t>
      </w:r>
      <w:bookmarkEnd w:id="136"/>
    </w:p>
    <w:p w14:paraId="20B35AF9">
      <w:pPr>
        <w:keepNext w:val="0"/>
        <w:keepLines w:val="0"/>
        <w:pageBreakBefore w:val="0"/>
        <w:wordWrap w:val="0"/>
        <w:overflowPunct/>
        <w:topLinePunct w:val="0"/>
        <w:bidi w:val="0"/>
        <w:spacing w:before="152" w:line="327" w:lineRule="auto"/>
        <w:ind w:left="13" w:right="65" w:firstLine="478"/>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投标人有下列情形之一的，评标委员会应否决其投标。被否决的投标人，不进入形式评审环节。</w:t>
      </w:r>
    </w:p>
    <w:p w14:paraId="641EFED9">
      <w:pPr>
        <w:keepNext w:val="0"/>
        <w:keepLines w:val="0"/>
        <w:pageBreakBefore w:val="0"/>
        <w:wordWrap w:val="0"/>
        <w:overflowPunct/>
        <w:topLinePunct w:val="0"/>
        <w:bidi w:val="0"/>
        <w:spacing w:before="32" w:line="219" w:lineRule="auto"/>
        <w:ind w:left="50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 xml:space="preserve">（1）有本章第三节第 </w:t>
      </w:r>
      <w:r>
        <w:rPr>
          <w:rFonts w:hint="eastAsia" w:ascii="宋体" w:hAnsi="宋体" w:eastAsia="宋体" w:cs="宋体"/>
          <w:b/>
          <w:bCs/>
          <w:color w:val="auto"/>
          <w:spacing w:val="0"/>
          <w:sz w:val="24"/>
          <w:szCs w:val="24"/>
          <w:highlight w:val="none"/>
        </w:rPr>
        <w:t xml:space="preserve">2.4 </w:t>
      </w:r>
      <w:r>
        <w:rPr>
          <w:rFonts w:hint="eastAsia" w:ascii="宋体" w:hAnsi="宋体" w:eastAsia="宋体" w:cs="宋体"/>
          <w:color w:val="auto"/>
          <w:spacing w:val="0"/>
          <w:sz w:val="24"/>
          <w:szCs w:val="24"/>
          <w:highlight w:val="none"/>
        </w:rPr>
        <w:t>条“禁止投标条款 ”规定的任何一种情形；</w:t>
      </w:r>
    </w:p>
    <w:p w14:paraId="31348943">
      <w:pPr>
        <w:keepNext w:val="0"/>
        <w:keepLines w:val="0"/>
        <w:pageBreakBefore w:val="0"/>
        <w:wordWrap w:val="0"/>
        <w:overflowPunct/>
        <w:topLinePunct w:val="0"/>
        <w:bidi w:val="0"/>
        <w:spacing w:before="154" w:line="220" w:lineRule="auto"/>
        <w:ind w:left="50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（2）投标人资质不符合规定的；</w:t>
      </w:r>
    </w:p>
    <w:p w14:paraId="7D9B0F39">
      <w:pPr>
        <w:keepNext w:val="0"/>
        <w:keepLines w:val="0"/>
        <w:pageBreakBefore w:val="0"/>
        <w:wordWrap w:val="0"/>
        <w:overflowPunct/>
        <w:topLinePunct w:val="0"/>
        <w:bidi w:val="0"/>
        <w:spacing w:before="153" w:line="315" w:lineRule="auto"/>
        <w:ind w:right="57" w:firstLine="50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投标人名称与营业执照、资质证书、安全生产许可证上的企业名称相互不一致的；其资质证书、安全生产许可证不是由住房城乡建设主管部门颁发的；营业执照、资质证书、安全生产许可证（含实时网页查询页，可参考网址 https://zlaq.mohurd.gov.cn/fwmh/bjxcjgl/fwmh/pages/construction_safety/qyaqscxkz/qyaqscxkz）被吊销、暂扣或不在有效期内的；</w:t>
      </w:r>
    </w:p>
    <w:p w14:paraId="6569CE0A">
      <w:pPr>
        <w:keepNext w:val="0"/>
        <w:keepLines w:val="0"/>
        <w:pageBreakBefore w:val="0"/>
        <w:wordWrap w:val="0"/>
        <w:overflowPunct/>
        <w:topLinePunct w:val="0"/>
        <w:bidi w:val="0"/>
        <w:spacing w:before="153" w:line="330" w:lineRule="auto"/>
        <w:ind w:left="9" w:right="66" w:firstLine="480"/>
        <w:jc w:val="both"/>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注：投标人已经工商变更，但其企业资质证书、安全生产许可证的企业名称未完成变更的，不得否决其投标；投标人营业执照、资质证书、安全生产许可证之间登记的信息不一致，应当允许投标人澄清，不得直接否决其投标。</w:t>
      </w:r>
    </w:p>
    <w:p w14:paraId="6895CBAE">
      <w:pPr>
        <w:keepNext w:val="0"/>
        <w:keepLines w:val="0"/>
        <w:pageBreakBefore w:val="0"/>
        <w:wordWrap w:val="0"/>
        <w:overflowPunct/>
        <w:topLinePunct w:val="0"/>
        <w:bidi w:val="0"/>
        <w:spacing w:before="32" w:line="325" w:lineRule="auto"/>
        <w:ind w:left="10" w:right="65" w:firstLine="490"/>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sz w:val="24"/>
          <w:szCs w:val="24"/>
          <w:highlight w:val="none"/>
        </w:rPr>
        <w:t>（4）拟派项目经理、项目技术负责人、专职安全员的条件不符合规定的；拟派专职安全员数量不符合规定的；项目技术负责人未在投标文件《项目技术负责人简历表》中签</w:t>
      </w:r>
      <w:r>
        <w:rPr>
          <w:rFonts w:hint="eastAsia" w:ascii="宋体" w:hAnsi="宋体" w:eastAsia="宋体" w:cs="宋体"/>
          <w:color w:val="auto"/>
          <w:spacing w:val="0"/>
          <w:sz w:val="24"/>
          <w:szCs w:val="24"/>
          <w:highlight w:val="none"/>
          <w:lang w:eastAsia="zh-CN"/>
        </w:rPr>
        <w:t>字确认。</w:t>
      </w:r>
    </w:p>
    <w:p w14:paraId="1488775C">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rPr>
        <w:t>温馨提示：建造师打印电子证书后，应在个人签名处手写本人签名，未手写签名或与签名图像笔迹不一致的，该电子证书无效。</w:t>
      </w:r>
    </w:p>
    <w:p w14:paraId="3E2DECC1">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项目经理简历表》中拟派项目经理与《开标一览表》不一致的；拟派的项目经理未在投标文件《项目经理简历表》中签字确认；一级建造师的注册证书不是国家住建部颁发的；建造师的注册单位与投标人不一致的；项目管理班子组成人员的各类证书、证件、证明不在有效期内的（</w:t>
      </w:r>
      <w:r>
        <w:rPr>
          <w:rFonts w:hint="eastAsia" w:ascii="宋体" w:hAnsi="宋体" w:eastAsia="宋体" w:cs="宋体"/>
          <w:b/>
          <w:bCs/>
          <w:color w:val="auto"/>
          <w:spacing w:val="0"/>
          <w:sz w:val="24"/>
          <w:szCs w:val="24"/>
          <w:highlight w:val="none"/>
        </w:rPr>
        <w:t>建造师注册证书不在使用有效期内的</w:t>
      </w:r>
      <w:r>
        <w:rPr>
          <w:rFonts w:hint="eastAsia" w:ascii="宋体" w:hAnsi="宋体" w:eastAsia="宋体" w:cs="宋体"/>
          <w:color w:val="auto"/>
          <w:spacing w:val="0"/>
          <w:sz w:val="24"/>
          <w:szCs w:val="24"/>
          <w:highlight w:val="none"/>
        </w:rPr>
        <w:t>）；擅自修改、遗漏《项目经理任职声明》实质性内容的；</w:t>
      </w:r>
    </w:p>
    <w:p w14:paraId="6409E7CE">
      <w:pPr>
        <w:keepNext w:val="0"/>
        <w:keepLines w:val="0"/>
        <w:pageBreakBefore w:val="0"/>
        <w:wordWrap w:val="0"/>
        <w:overflowPunct/>
        <w:topLinePunct w:val="0"/>
        <w:bidi w:val="0"/>
        <w:spacing w:before="1" w:line="293" w:lineRule="auto"/>
        <w:ind w:left="28" w:right="66" w:firstLine="462"/>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注：投标人已经工商变更，但其员工执业资格注册证书的注册单位名称未完成变更的，不得否决其投标。</w:t>
      </w:r>
    </w:p>
    <w:p w14:paraId="3B76D714">
      <w:pPr>
        <w:keepNext w:val="0"/>
        <w:keepLines w:val="0"/>
        <w:pageBreakBefore w:val="0"/>
        <w:wordWrap w:val="0"/>
        <w:overflowPunct/>
        <w:topLinePunct w:val="0"/>
        <w:bidi w:val="0"/>
        <w:spacing w:before="153" w:line="330" w:lineRule="auto"/>
        <w:ind w:left="9" w:right="66" w:firstLine="480"/>
        <w:jc w:val="both"/>
        <w:rPr>
          <w:rFonts w:hint="eastAsia" w:ascii="宋体" w:hAnsi="宋体" w:eastAsia="宋体" w:cs="宋体"/>
          <w:b/>
          <w:bCs/>
          <w:color w:val="auto"/>
          <w:spacing w:val="0"/>
          <w:sz w:val="24"/>
          <w:szCs w:val="24"/>
          <w:highlight w:val="none"/>
        </w:rPr>
      </w:pPr>
      <w:bookmarkStart w:id="137" w:name="OLE_LINK27"/>
      <w:r>
        <w:rPr>
          <w:rFonts w:hint="eastAsia" w:ascii="宋体" w:hAnsi="宋体" w:eastAsia="宋体" w:cs="宋体"/>
          <w:b/>
          <w:bCs/>
          <w:color w:val="auto"/>
          <w:spacing w:val="0"/>
          <w:sz w:val="24"/>
          <w:szCs w:val="24"/>
          <w:highlight w:val="none"/>
        </w:rPr>
        <w:t>鉴于目前继续教育开展的实际情况，建筑和市政工程施工现场专业人员（例如：施</w:t>
      </w:r>
      <w:bookmarkStart w:id="138" w:name="bookmark139"/>
      <w:bookmarkEnd w:id="138"/>
      <w:r>
        <w:rPr>
          <w:rFonts w:hint="eastAsia" w:ascii="宋体" w:hAnsi="宋体" w:eastAsia="宋体" w:cs="宋体"/>
          <w:b/>
          <w:bCs/>
          <w:color w:val="auto"/>
          <w:spacing w:val="0"/>
          <w:sz w:val="24"/>
          <w:szCs w:val="24"/>
          <w:highlight w:val="none"/>
        </w:rPr>
        <w:t>工员、质量员、材料员、资料员）的岗位证书或培训证书不审查其证书的有效期。</w:t>
      </w:r>
      <w:bookmarkEnd w:id="137"/>
    </w:p>
    <w:p w14:paraId="32F15891">
      <w:pPr>
        <w:keepNext w:val="0"/>
        <w:keepLines w:val="0"/>
        <w:pageBreakBefore w:val="0"/>
        <w:wordWrap w:val="0"/>
        <w:overflowPunct/>
        <w:topLinePunct w:val="0"/>
        <w:bidi w:val="0"/>
        <w:spacing w:before="146" w:line="220" w:lineRule="auto"/>
        <w:ind w:left="492"/>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（6）招标文件规定不接受联合体投标，但以联合体投标的；</w:t>
      </w:r>
    </w:p>
    <w:p w14:paraId="3FB74B13">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（7）联合体投标，未提交《联合体协议书》的；擅自修改、遗漏《联合体协议书》实质性内容的；联合体成员的数量、资质不符合规定的；联合体成员同时以自己名义单独投标或者参加其他联合体投标的；</w:t>
      </w:r>
    </w:p>
    <w:p w14:paraId="7A4FAF0A">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w:t>
      </w:r>
      <w:r>
        <w:rPr>
          <w:rFonts w:hint="eastAsia" w:ascii="宋体" w:hAnsi="宋体" w:eastAsia="宋体" w:cs="宋体"/>
          <w:color w:val="auto"/>
          <w:spacing w:val="0"/>
          <w:sz w:val="24"/>
          <w:szCs w:val="24"/>
          <w:highlight w:val="none"/>
          <w:lang w:val="en-US" w:eastAsia="zh-CN"/>
        </w:rPr>
        <w:t>8</w:t>
      </w:r>
      <w:r>
        <w:rPr>
          <w:rFonts w:hint="eastAsia" w:ascii="宋体" w:hAnsi="宋体" w:eastAsia="宋体" w:cs="宋体"/>
          <w:color w:val="auto"/>
          <w:spacing w:val="0"/>
          <w:sz w:val="24"/>
          <w:szCs w:val="24"/>
          <w:highlight w:val="none"/>
        </w:rPr>
        <w:t>）投标人为外省建筑企业，但未提供“进粤企业和人员诚信信息登记平台 ”企业和拟派人员信息情况打印页或网页截图的。</w:t>
      </w:r>
    </w:p>
    <w:p w14:paraId="3DA45149">
      <w:pPr>
        <w:keepNext w:val="0"/>
        <w:keepLines w:val="0"/>
        <w:pageBreakBefore w:val="0"/>
        <w:wordWrap w:val="0"/>
        <w:overflowPunct/>
        <w:topLinePunct w:val="0"/>
        <w:bidi w:val="0"/>
        <w:spacing w:before="154" w:line="221" w:lineRule="auto"/>
        <w:ind w:left="477"/>
        <w:outlineLvl w:val="2"/>
        <w:rPr>
          <w:rFonts w:hint="eastAsia" w:ascii="宋体" w:hAnsi="宋体" w:eastAsia="宋体" w:cs="宋体"/>
          <w:color w:val="auto"/>
          <w:spacing w:val="0"/>
          <w:sz w:val="24"/>
          <w:szCs w:val="24"/>
          <w:highlight w:val="none"/>
        </w:rPr>
      </w:pPr>
      <w:bookmarkStart w:id="139" w:name="_Toc29694"/>
      <w:r>
        <w:rPr>
          <w:rFonts w:hint="eastAsia" w:ascii="宋体" w:hAnsi="宋体" w:eastAsia="宋体" w:cs="宋体"/>
          <w:b/>
          <w:bCs/>
          <w:color w:val="auto"/>
          <w:spacing w:val="0"/>
          <w:sz w:val="24"/>
          <w:szCs w:val="24"/>
          <w:highlight w:val="none"/>
        </w:rPr>
        <w:t>2 ．形式评审环节</w:t>
      </w:r>
      <w:bookmarkEnd w:id="139"/>
    </w:p>
    <w:p w14:paraId="2567C23E">
      <w:pPr>
        <w:keepNext w:val="0"/>
        <w:keepLines w:val="0"/>
        <w:pageBreakBefore w:val="0"/>
        <w:wordWrap w:val="0"/>
        <w:overflowPunct/>
        <w:topLinePunct w:val="0"/>
        <w:bidi w:val="0"/>
        <w:spacing w:before="151" w:line="327" w:lineRule="auto"/>
        <w:ind w:right="200" w:firstLine="482"/>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投标人有下列情形之一的，评标委员会应否决其投标。被否决的投标人，不进入响应性评审环节。</w:t>
      </w:r>
    </w:p>
    <w:p w14:paraId="5B7BF2AE">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（1）各分册没按招标文件规定加盖电子印章；</w:t>
      </w:r>
    </w:p>
    <w:p w14:paraId="4B66EBEB">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 xml:space="preserve">（2）本章第三节第 </w:t>
      </w:r>
      <w:r>
        <w:rPr>
          <w:rFonts w:hint="eastAsia" w:ascii="宋体" w:hAnsi="宋体" w:eastAsia="宋体" w:cs="宋体"/>
          <w:b/>
          <w:bCs/>
          <w:color w:val="auto"/>
          <w:spacing w:val="0"/>
          <w:sz w:val="24"/>
          <w:szCs w:val="24"/>
          <w:highlight w:val="none"/>
        </w:rPr>
        <w:t>10.2.2</w:t>
      </w:r>
      <w:r>
        <w:rPr>
          <w:rFonts w:hint="eastAsia" w:ascii="宋体" w:hAnsi="宋体" w:eastAsia="宋体" w:cs="宋体"/>
          <w:color w:val="auto"/>
          <w:spacing w:val="0"/>
          <w:sz w:val="24"/>
          <w:szCs w:val="24"/>
          <w:highlight w:val="none"/>
        </w:rPr>
        <w:t xml:space="preserve"> 目、第 </w:t>
      </w:r>
      <w:r>
        <w:rPr>
          <w:rFonts w:hint="eastAsia" w:ascii="宋体" w:hAnsi="宋体" w:eastAsia="宋体" w:cs="宋体"/>
          <w:b/>
          <w:bCs/>
          <w:color w:val="auto"/>
          <w:spacing w:val="0"/>
          <w:sz w:val="24"/>
          <w:szCs w:val="24"/>
          <w:highlight w:val="none"/>
        </w:rPr>
        <w:t>10.3.2</w:t>
      </w:r>
      <w:r>
        <w:rPr>
          <w:rFonts w:hint="eastAsia" w:ascii="宋体" w:hAnsi="宋体" w:eastAsia="宋体" w:cs="宋体"/>
          <w:color w:val="auto"/>
          <w:spacing w:val="0"/>
          <w:sz w:val="24"/>
          <w:szCs w:val="24"/>
          <w:highlight w:val="none"/>
        </w:rPr>
        <w:t xml:space="preserve"> 目、第 </w:t>
      </w:r>
      <w:r>
        <w:rPr>
          <w:rFonts w:hint="eastAsia" w:ascii="宋体" w:hAnsi="宋体" w:eastAsia="宋体" w:cs="宋体"/>
          <w:b/>
          <w:bCs/>
          <w:color w:val="auto"/>
          <w:spacing w:val="0"/>
          <w:sz w:val="24"/>
          <w:szCs w:val="24"/>
          <w:highlight w:val="none"/>
        </w:rPr>
        <w:t>10.4.3</w:t>
      </w:r>
      <w:r>
        <w:rPr>
          <w:rFonts w:hint="eastAsia" w:ascii="宋体" w:hAnsi="宋体" w:eastAsia="宋体" w:cs="宋体"/>
          <w:color w:val="auto"/>
          <w:spacing w:val="0"/>
          <w:sz w:val="24"/>
          <w:szCs w:val="24"/>
          <w:highlight w:val="none"/>
        </w:rPr>
        <w:t xml:space="preserve"> 目中规定的“所有投标人均应提供 ”的组成内容（包括该组成内容的所附资料）中，任何一项有缺漏的；</w:t>
      </w:r>
    </w:p>
    <w:p w14:paraId="23B198BD">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（3）关键字迹模糊、无法辨认，且该种过错将导致评标委员会无法判断投标文件是否响应招标文件实质性要求的；有涂改、行间插字或删除，但未加盖单</w:t>
      </w:r>
      <w:r>
        <w:rPr>
          <w:rFonts w:hint="eastAsia" w:ascii="宋体" w:hAnsi="宋体" w:eastAsia="宋体" w:cs="宋体"/>
          <w:color w:val="auto"/>
          <w:spacing w:val="0"/>
          <w:sz w:val="24"/>
          <w:szCs w:val="24"/>
          <w:highlight w:val="none"/>
          <w:lang w:eastAsia="zh-CN"/>
        </w:rPr>
        <w:t>位公</w:t>
      </w:r>
      <w:r>
        <w:rPr>
          <w:rFonts w:hint="eastAsia" w:ascii="宋体" w:hAnsi="宋体" w:eastAsia="宋体" w:cs="宋体"/>
          <w:color w:val="auto"/>
          <w:spacing w:val="0"/>
          <w:sz w:val="24"/>
          <w:szCs w:val="24"/>
          <w:highlight w:val="none"/>
        </w:rPr>
        <w:t>章或由投标人的法定代表人或其委托代理人签字确认的；</w:t>
      </w:r>
    </w:p>
    <w:p w14:paraId="38C5ABD9">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（4）投标文件未按规定签字、盖章的。</w:t>
      </w:r>
    </w:p>
    <w:p w14:paraId="63A1F27B">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（5）招标文件规定施工组织设计采用“暗标 ”方式进行评审，但施工组织设计的规格颜色、文字排版、正文篇幅（若有）不符合规定的；其任何部位出现手写以及涂改、 行间插字或删除痕迹的；其任何部位出现投标人的名称和</w:t>
      </w:r>
      <w:r>
        <w:rPr>
          <w:rFonts w:hint="eastAsia" w:ascii="宋体" w:hAnsi="宋体" w:eastAsia="宋体" w:cs="宋体"/>
          <w:color w:val="auto"/>
          <w:spacing w:val="0"/>
          <w:sz w:val="24"/>
          <w:szCs w:val="24"/>
          <w:highlight w:val="none"/>
          <w:lang w:eastAsia="zh-CN"/>
        </w:rPr>
        <w:t>其他</w:t>
      </w:r>
      <w:r>
        <w:rPr>
          <w:rFonts w:hint="eastAsia" w:ascii="宋体" w:hAnsi="宋体" w:eastAsia="宋体" w:cs="宋体"/>
          <w:color w:val="auto"/>
          <w:spacing w:val="0"/>
          <w:sz w:val="24"/>
          <w:szCs w:val="24"/>
          <w:highlight w:val="none"/>
        </w:rPr>
        <w:t>可识别投标人身份的字符、徽标、人员名称以及其他特殊标记的。</w:t>
      </w:r>
    </w:p>
    <w:p w14:paraId="35E5810A">
      <w:pPr>
        <w:wordWrap w:val="0"/>
        <w:adjustRightInd w:val="0"/>
        <w:snapToGrid w:val="0"/>
        <w:spacing w:line="440" w:lineRule="exact"/>
        <w:ind w:firstLine="480"/>
        <w:rPr>
          <w:rFonts w:hint="eastAsia" w:ascii="Times New Roman"/>
          <w:b/>
          <w:bCs/>
          <w:snapToGrid w:val="0"/>
          <w:color w:val="auto"/>
          <w:kern w:val="0"/>
          <w:highlight w:val="none"/>
        </w:rPr>
      </w:pPr>
      <w:r>
        <w:rPr>
          <w:rFonts w:hint="eastAsia" w:ascii="宋体" w:hAnsi="宋体" w:eastAsia="宋体" w:cs="宋体"/>
          <w:color w:val="auto"/>
          <w:spacing w:val="0"/>
          <w:sz w:val="24"/>
          <w:szCs w:val="24"/>
          <w:highlight w:val="none"/>
        </w:rPr>
        <w:t>（</w:t>
      </w:r>
      <w:r>
        <w:rPr>
          <w:rFonts w:hint="eastAsia" w:ascii="宋体" w:hAnsi="宋体" w:eastAsia="宋体" w:cs="宋体"/>
          <w:color w:val="auto"/>
          <w:spacing w:val="0"/>
          <w:sz w:val="24"/>
          <w:szCs w:val="24"/>
          <w:highlight w:val="none"/>
          <w:lang w:val="en-US" w:eastAsia="zh-CN"/>
        </w:rPr>
        <w:t>6</w:t>
      </w:r>
      <w:r>
        <w:rPr>
          <w:rFonts w:hint="eastAsia" w:ascii="宋体" w:hAnsi="宋体" w:eastAsia="宋体" w:cs="宋体"/>
          <w:color w:val="auto"/>
          <w:spacing w:val="0"/>
          <w:sz w:val="24"/>
          <w:szCs w:val="24"/>
          <w:highlight w:val="none"/>
        </w:rPr>
        <w:t>）</w:t>
      </w:r>
      <w:r>
        <w:rPr>
          <w:rFonts w:hint="eastAsia" w:ascii="宋体" w:hAnsi="宋体" w:eastAsia="宋体" w:cs="宋体"/>
          <w:color w:val="auto"/>
          <w:spacing w:val="0"/>
          <w:sz w:val="24"/>
          <w:szCs w:val="24"/>
          <w:highlight w:val="none"/>
          <w:lang w:val="en-US" w:eastAsia="zh-CN"/>
        </w:rPr>
        <w:t>不同投标人通过同一IP地址上传投标文件。</w:t>
      </w:r>
    </w:p>
    <w:p w14:paraId="2459BF63">
      <w:pPr>
        <w:keepNext w:val="0"/>
        <w:keepLines w:val="0"/>
        <w:pageBreakBefore w:val="0"/>
        <w:wordWrap w:val="0"/>
        <w:overflowPunct/>
        <w:topLinePunct w:val="0"/>
        <w:bidi w:val="0"/>
        <w:spacing w:before="227" w:line="221" w:lineRule="auto"/>
        <w:ind w:left="475"/>
        <w:outlineLvl w:val="2"/>
        <w:rPr>
          <w:rFonts w:hint="eastAsia" w:ascii="宋体" w:hAnsi="宋体" w:eastAsia="宋体" w:cs="宋体"/>
          <w:color w:val="auto"/>
          <w:spacing w:val="0"/>
          <w:sz w:val="24"/>
          <w:szCs w:val="24"/>
          <w:highlight w:val="none"/>
        </w:rPr>
      </w:pPr>
      <w:bookmarkStart w:id="140" w:name="_Toc13699"/>
      <w:r>
        <w:rPr>
          <w:rFonts w:hint="eastAsia" w:ascii="宋体" w:hAnsi="宋体" w:eastAsia="宋体" w:cs="宋体"/>
          <w:b/>
          <w:bCs/>
          <w:color w:val="auto"/>
          <w:spacing w:val="0"/>
          <w:sz w:val="24"/>
          <w:szCs w:val="24"/>
          <w:highlight w:val="none"/>
        </w:rPr>
        <w:t>3 ．响应性评审环节</w:t>
      </w:r>
      <w:bookmarkEnd w:id="140"/>
    </w:p>
    <w:p w14:paraId="2F6CE08D">
      <w:pPr>
        <w:keepNext w:val="0"/>
        <w:keepLines w:val="0"/>
        <w:pageBreakBefore w:val="0"/>
        <w:wordWrap w:val="0"/>
        <w:overflowPunct/>
        <w:topLinePunct w:val="0"/>
        <w:bidi w:val="0"/>
        <w:spacing w:before="151" w:line="327" w:lineRule="auto"/>
        <w:ind w:left="1" w:right="200" w:firstLine="48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投标人有下列情形之一的，评标委员会应否决其投标。被否决的投标人，不进入详细评审阶段。</w:t>
      </w:r>
    </w:p>
    <w:p w14:paraId="59470056">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（1）承诺的投标有效期短于规定的；质量标准低于规定的；工期超出规定的；擅自修改、遗漏《投标函》《各项承诺一览表》实质性内容的；</w:t>
      </w:r>
    </w:p>
    <w:p w14:paraId="056B45A8">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（2）编制《投标总价》的造价工程师，其注册证书不是</w:t>
      </w:r>
      <w:r>
        <w:rPr>
          <w:rFonts w:hint="eastAsia" w:ascii="宋体" w:hAnsi="宋体" w:eastAsia="宋体" w:cs="宋体"/>
          <w:b/>
          <w:bCs/>
          <w:color w:val="auto"/>
          <w:spacing w:val="0"/>
          <w:sz w:val="24"/>
          <w:szCs w:val="24"/>
          <w:highlight w:val="none"/>
        </w:rPr>
        <w:t>住建部门</w:t>
      </w:r>
      <w:r>
        <w:rPr>
          <w:rFonts w:hint="eastAsia" w:ascii="宋体" w:hAnsi="宋体" w:eastAsia="宋体" w:cs="宋体"/>
          <w:color w:val="auto"/>
          <w:spacing w:val="0"/>
          <w:sz w:val="24"/>
          <w:szCs w:val="24"/>
          <w:highlight w:val="none"/>
        </w:rPr>
        <w:t>颁发的；其注册单位与投标人（或造价咨询人）不一致的；其注册证书不在有效期内的。</w:t>
      </w:r>
    </w:p>
    <w:p w14:paraId="6FCD54B6">
      <w:pPr>
        <w:keepNext w:val="0"/>
        <w:keepLines w:val="0"/>
        <w:pageBreakBefore w:val="0"/>
        <w:wordWrap w:val="0"/>
        <w:overflowPunct/>
        <w:topLinePunct w:val="0"/>
        <w:bidi w:val="0"/>
        <w:spacing w:before="156" w:line="329" w:lineRule="auto"/>
        <w:ind w:right="200" w:firstLine="480"/>
        <w:jc w:val="both"/>
        <w:rPr>
          <w:rFonts w:hint="eastAsia" w:ascii="宋体" w:hAnsi="宋体" w:eastAsia="宋体" w:cs="宋体"/>
          <w:color w:val="auto"/>
          <w:spacing w:val="0"/>
          <w:highlight w:val="none"/>
        </w:rPr>
      </w:pPr>
      <w:r>
        <w:rPr>
          <w:rFonts w:hint="eastAsia" w:ascii="宋体" w:hAnsi="宋体" w:eastAsia="宋体" w:cs="宋体"/>
          <w:b/>
          <w:bCs/>
          <w:color w:val="auto"/>
          <w:spacing w:val="0"/>
          <w:sz w:val="24"/>
          <w:szCs w:val="24"/>
          <w:highlight w:val="none"/>
        </w:rPr>
        <w:t>注：投标人（或造价咨询人）已经工商变更，但其员工的执业资格注册证书的注册单位名称未完成变更的，不得否决其投标。</w:t>
      </w:r>
    </w:p>
    <w:p w14:paraId="3ACA3ECA">
      <w:pPr>
        <w:keepNext w:val="0"/>
        <w:keepLines w:val="0"/>
        <w:pageBreakBefore w:val="0"/>
        <w:wordWrap w:val="0"/>
        <w:overflowPunct/>
        <w:topLinePunct w:val="0"/>
        <w:bidi w:val="0"/>
        <w:spacing w:before="78" w:line="299" w:lineRule="auto"/>
        <w:ind w:left="2" w:right="81" w:firstLine="488"/>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（3）投标人委托造价咨询单位编制《投标总价》，但未在《投标总价扉页》（即扉—3）“投标人 ”栏目加盖造价咨询人公章的；未提供造价咨询人的营业执照副本彩色扫描件；</w:t>
      </w:r>
    </w:p>
    <w:p w14:paraId="76CD6B2C">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（4）出现两个或两个以上投标总价的（同一个投标总价大、小写不一致的除外）； 投标总价超出</w:t>
      </w:r>
      <w:r>
        <w:rPr>
          <w:rFonts w:hint="eastAsia" w:ascii="宋体" w:hAnsi="宋体" w:eastAsia="宋体" w:cs="宋体"/>
          <w:b/>
          <w:bCs/>
          <w:color w:val="auto"/>
          <w:spacing w:val="0"/>
          <w:sz w:val="24"/>
          <w:szCs w:val="24"/>
          <w:highlight w:val="none"/>
          <w:lang w:val="en-US" w:eastAsia="zh-CN"/>
        </w:rPr>
        <w:t>最高投标限价</w:t>
      </w:r>
      <w:r>
        <w:rPr>
          <w:rFonts w:hint="eastAsia" w:ascii="宋体" w:hAnsi="宋体" w:eastAsia="宋体" w:cs="宋体"/>
          <w:color w:val="auto"/>
          <w:spacing w:val="0"/>
          <w:sz w:val="24"/>
          <w:szCs w:val="24"/>
          <w:highlight w:val="none"/>
        </w:rPr>
        <w:t>的；</w:t>
      </w:r>
      <w:r>
        <w:rPr>
          <w:rFonts w:hint="eastAsia" w:ascii="宋体" w:hAnsi="宋体" w:eastAsia="宋体" w:cs="宋体"/>
          <w:color w:val="auto"/>
          <w:spacing w:val="0"/>
          <w:sz w:val="24"/>
          <w:szCs w:val="24"/>
          <w:highlight w:val="none"/>
          <w:lang w:eastAsia="zh-CN"/>
        </w:rPr>
        <w:t>安全生产措施费</w:t>
      </w:r>
      <w:r>
        <w:rPr>
          <w:rFonts w:hint="eastAsia" w:ascii="宋体" w:hAnsi="宋体" w:eastAsia="宋体" w:cs="宋体"/>
          <w:color w:val="auto"/>
          <w:spacing w:val="0"/>
          <w:sz w:val="24"/>
          <w:szCs w:val="24"/>
          <w:highlight w:val="none"/>
        </w:rPr>
        <w:t>少于规定的；暂列金额、暂估价未按照招标工程量清单统一报价的；投标总价下浮率超过 15%，又未提供相应书面说明和佐证材料或提供的书面说明和佐证材料不能令人信服，被评标委员会认定以低于成本报价竞标的；擅自修改、增减招标工程量清单项目（包括措施项目）的；</w:t>
      </w:r>
    </w:p>
    <w:p w14:paraId="0B0BE37D">
      <w:pPr>
        <w:keepNext w:val="0"/>
        <w:keepLines w:val="0"/>
        <w:pageBreakBefore w:val="0"/>
        <w:wordWrap w:val="0"/>
        <w:overflowPunct/>
        <w:topLinePunct w:val="0"/>
        <w:bidi w:val="0"/>
        <w:spacing w:before="156" w:line="299" w:lineRule="auto"/>
        <w:ind w:right="81" w:firstLine="49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（5）在施工组织设计评审中，评标委员会认定质量、进度保障措施与国家和省市现行有关规范、规定、标准有重大偏差，</w:t>
      </w:r>
      <w:r>
        <w:rPr>
          <w:rFonts w:hint="eastAsia" w:ascii="宋体" w:hAnsi="宋体" w:eastAsia="宋体" w:cs="宋体"/>
          <w:b/>
          <w:bCs/>
          <w:color w:val="auto"/>
          <w:spacing w:val="0"/>
          <w:sz w:val="24"/>
          <w:szCs w:val="24"/>
          <w:highlight w:val="none"/>
        </w:rPr>
        <w:t>且该种过错将导致工程质量、进度管理目标无法实现的</w:t>
      </w:r>
      <w:r>
        <w:rPr>
          <w:rFonts w:hint="eastAsia" w:ascii="宋体" w:hAnsi="宋体" w:eastAsia="宋体" w:cs="宋体"/>
          <w:color w:val="auto"/>
          <w:spacing w:val="0"/>
          <w:sz w:val="24"/>
          <w:szCs w:val="24"/>
          <w:highlight w:val="none"/>
        </w:rPr>
        <w:t>。</w:t>
      </w:r>
    </w:p>
    <w:p w14:paraId="53135D91">
      <w:pPr>
        <w:keepNext w:val="0"/>
        <w:keepLines w:val="0"/>
        <w:pageBreakBefore w:val="0"/>
        <w:wordWrap w:val="0"/>
        <w:overflowPunct/>
        <w:topLinePunct w:val="0"/>
        <w:bidi w:val="0"/>
        <w:spacing w:before="151" w:line="221" w:lineRule="auto"/>
        <w:ind w:left="476"/>
        <w:outlineLvl w:val="2"/>
        <w:rPr>
          <w:rFonts w:hint="eastAsia" w:ascii="宋体" w:hAnsi="宋体" w:eastAsia="宋体" w:cs="宋体"/>
          <w:color w:val="auto"/>
          <w:spacing w:val="0"/>
          <w:sz w:val="24"/>
          <w:szCs w:val="24"/>
          <w:highlight w:val="none"/>
        </w:rPr>
      </w:pPr>
      <w:bookmarkStart w:id="141" w:name="_Toc2756"/>
      <w:r>
        <w:rPr>
          <w:rFonts w:hint="eastAsia" w:ascii="宋体" w:hAnsi="宋体" w:eastAsia="宋体" w:cs="宋体"/>
          <w:b/>
          <w:bCs/>
          <w:color w:val="auto"/>
          <w:spacing w:val="0"/>
          <w:sz w:val="24"/>
          <w:szCs w:val="24"/>
          <w:highlight w:val="none"/>
        </w:rPr>
        <w:t>4 ．其他</w:t>
      </w:r>
      <w:bookmarkEnd w:id="141"/>
    </w:p>
    <w:p w14:paraId="388C163D">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在任何评标环节（或阶段），投标人有下列情形之一的，评标委员会应否决其投标。 被否决的投标人，不进入下一环节（或阶段）。</w:t>
      </w:r>
    </w:p>
    <w:p w14:paraId="57FE70E1">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（1）不按评标委员会要求澄清、说明或补正的；</w:t>
      </w:r>
    </w:p>
    <w:p w14:paraId="4E9FAC45">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（2）有下列情形之一，被评标委员会认定属于串通投标的：</w:t>
      </w:r>
    </w:p>
    <w:p w14:paraId="4C8C22D6">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①不同投标人的投标文件两处以上（含两处）错、漏一致；</w:t>
      </w:r>
    </w:p>
    <w:p w14:paraId="7E60F68C">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②不同投标人的投标总价相近且各分项报价、综合单价分析表内容混乱不能相互对应、乱调乱压或乱抬的，而在询标时没有合理的解释或者不能提供计算依据和报价依据；</w:t>
      </w:r>
    </w:p>
    <w:p w14:paraId="52587867">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③不同投标人的投标各项报价存在异常一致或者呈规律性变化；</w:t>
      </w:r>
    </w:p>
    <w:p w14:paraId="051DC999">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④不同投标人的投标文件由同一单位或者同一个人编制；</w:t>
      </w:r>
    </w:p>
    <w:p w14:paraId="4E41D90F">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⑤不同投标人的投标文件中投标资料（包括电子资料）相互混装或项目班子成员出现同一人；</w:t>
      </w:r>
    </w:p>
    <w:p w14:paraId="6795CA4B">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⑥不同投标人的投标文件由同一电脑编制或同一台附属设备打印，或投标报价用同一个预算编制软件密码锁制作或出自同一电子文档；</w:t>
      </w:r>
    </w:p>
    <w:p w14:paraId="61656D98">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⑦不同投标人的投标保证由同一企业或同一账户资金缴纳；</w:t>
      </w:r>
    </w:p>
    <w:p w14:paraId="73FB50FB">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⑧不同投标人委托同一个人或注册在同一家企业的注册人员或同一家企业为其投标提供投标咨询、商务报价、技术咨询（招标项目本身要求采用专有技术的除外）等服务。</w:t>
      </w:r>
    </w:p>
    <w:p w14:paraId="61E248D4">
      <w:pPr>
        <w:pStyle w:val="27"/>
        <w:keepNext w:val="0"/>
        <w:keepLines w:val="0"/>
        <w:pageBreakBefore w:val="0"/>
        <w:wordWrap w:val="0"/>
        <w:overflowPunct/>
        <w:topLinePunct w:val="0"/>
        <w:bidi w:val="0"/>
        <w:rPr>
          <w:rFonts w:hint="eastAsia"/>
          <w:color w:val="auto"/>
          <w:spacing w:val="0"/>
          <w:highlight w:val="none"/>
        </w:rPr>
      </w:pPr>
    </w:p>
    <w:p w14:paraId="4722FF69">
      <w:pPr>
        <w:keepNext w:val="0"/>
        <w:keepLines w:val="0"/>
        <w:pageBreakBefore w:val="0"/>
        <w:wordWrap w:val="0"/>
        <w:overflowPunct/>
        <w:topLinePunct w:val="0"/>
        <w:bidi w:val="0"/>
        <w:spacing w:line="299" w:lineRule="auto"/>
        <w:rPr>
          <w:rFonts w:hint="eastAsia" w:ascii="宋体" w:hAnsi="宋体" w:eastAsia="宋体" w:cs="宋体"/>
          <w:color w:val="auto"/>
          <w:spacing w:val="0"/>
          <w:sz w:val="24"/>
          <w:szCs w:val="24"/>
          <w:highlight w:val="none"/>
        </w:rPr>
        <w:sectPr>
          <w:headerReference r:id="rId9" w:type="default"/>
          <w:footerReference r:id="rId10" w:type="default"/>
          <w:pgSz w:w="11906" w:h="16839"/>
          <w:pgMar w:top="1134" w:right="1080" w:bottom="1134" w:left="1080" w:header="0" w:footer="1023" w:gutter="0"/>
          <w:pgBorders>
            <w:top w:val="none" w:sz="0" w:space="0"/>
            <w:left w:val="none" w:sz="0" w:space="0"/>
            <w:bottom w:val="none" w:sz="0" w:space="0"/>
            <w:right w:val="none" w:sz="0" w:space="0"/>
          </w:pgBorders>
          <w:pgNumType w:fmt="decimal"/>
          <w:cols w:space="720" w:num="1"/>
        </w:sectPr>
      </w:pPr>
    </w:p>
    <w:p w14:paraId="3EA51ADE">
      <w:pPr>
        <w:keepNext w:val="0"/>
        <w:keepLines w:val="0"/>
        <w:pageBreakBefore w:val="0"/>
        <w:wordWrap w:val="0"/>
        <w:overflowPunct/>
        <w:topLinePunct w:val="0"/>
        <w:bidi w:val="0"/>
        <w:spacing w:before="78" w:line="219" w:lineRule="auto"/>
        <w:ind w:left="3525"/>
        <w:outlineLvl w:val="0"/>
        <w:rPr>
          <w:rFonts w:hint="eastAsia" w:ascii="宋体" w:hAnsi="宋体" w:eastAsia="宋体" w:cs="宋体"/>
          <w:color w:val="auto"/>
          <w:spacing w:val="0"/>
          <w:sz w:val="24"/>
          <w:szCs w:val="24"/>
          <w:highlight w:val="none"/>
        </w:rPr>
      </w:pPr>
      <w:bookmarkStart w:id="142" w:name="bookmark57"/>
      <w:bookmarkEnd w:id="142"/>
      <w:bookmarkStart w:id="143" w:name="_Toc9411"/>
      <w:r>
        <w:rPr>
          <w:rFonts w:hint="eastAsia" w:ascii="宋体" w:hAnsi="宋体" w:eastAsia="宋体" w:cs="宋体"/>
          <w:b/>
          <w:bCs/>
          <w:color w:val="auto"/>
          <w:spacing w:val="0"/>
          <w:sz w:val="24"/>
          <w:szCs w:val="24"/>
          <w:highlight w:val="none"/>
        </w:rPr>
        <w:t>第二章</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rPr>
        <w:t>中标人须知</w:t>
      </w:r>
      <w:bookmarkEnd w:id="143"/>
    </w:p>
    <w:p w14:paraId="61F99879">
      <w:pPr>
        <w:keepNext w:val="0"/>
        <w:keepLines w:val="0"/>
        <w:pageBreakBefore w:val="0"/>
        <w:wordWrap w:val="0"/>
        <w:overflowPunct/>
        <w:topLinePunct w:val="0"/>
        <w:bidi w:val="0"/>
        <w:spacing w:before="78" w:line="219" w:lineRule="auto"/>
        <w:ind w:left="582"/>
        <w:outlineLvl w:val="2"/>
        <w:rPr>
          <w:rFonts w:hint="eastAsia" w:ascii="宋体" w:hAnsi="宋体" w:eastAsia="宋体" w:cs="宋体"/>
          <w:color w:val="auto"/>
          <w:spacing w:val="0"/>
          <w:sz w:val="24"/>
          <w:szCs w:val="24"/>
          <w:highlight w:val="none"/>
        </w:rPr>
      </w:pPr>
      <w:bookmarkStart w:id="144" w:name="_Toc5110"/>
      <w:r>
        <w:rPr>
          <w:rFonts w:hint="eastAsia" w:ascii="宋体" w:hAnsi="宋体" w:eastAsia="宋体" w:cs="宋体"/>
          <w:b/>
          <w:bCs/>
          <w:color w:val="auto"/>
          <w:spacing w:val="0"/>
          <w:sz w:val="24"/>
          <w:szCs w:val="24"/>
          <w:highlight w:val="none"/>
        </w:rPr>
        <w:t>1 ．中标通知书</w:t>
      </w:r>
      <w:bookmarkEnd w:id="144"/>
    </w:p>
    <w:p w14:paraId="13B172F4">
      <w:pPr>
        <w:keepNext w:val="0"/>
        <w:keepLines w:val="0"/>
        <w:pageBreakBefore w:val="0"/>
        <w:wordWrap w:val="0"/>
        <w:overflowPunct/>
        <w:topLinePunct w:val="0"/>
        <w:bidi w:val="0"/>
        <w:spacing w:before="152" w:line="332" w:lineRule="auto"/>
        <w:ind w:left="17" w:firstLine="559"/>
        <w:jc w:val="both"/>
        <w:rPr>
          <w:rFonts w:hint="eastAsia" w:ascii="宋体" w:hAnsi="宋体" w:eastAsia="宋体" w:cs="宋体"/>
          <w:color w:val="auto"/>
          <w:spacing w:val="0"/>
          <w:highlight w:val="none"/>
        </w:rPr>
      </w:pPr>
      <w:r>
        <w:rPr>
          <w:rFonts w:hint="eastAsia" w:ascii="宋体" w:hAnsi="宋体" w:eastAsia="宋体" w:cs="宋体"/>
          <w:color w:val="auto"/>
          <w:spacing w:val="0"/>
          <w:sz w:val="24"/>
          <w:szCs w:val="24"/>
          <w:highlight w:val="none"/>
        </w:rPr>
        <w:t>招标人确定</w:t>
      </w:r>
      <w:r>
        <w:rPr>
          <w:rFonts w:hint="eastAsia" w:ascii="宋体" w:hAnsi="宋体" w:eastAsia="宋体" w:cs="宋体"/>
          <w:color w:val="auto"/>
          <w:spacing w:val="0"/>
          <w:sz w:val="24"/>
          <w:szCs w:val="24"/>
          <w:highlight w:val="none"/>
          <w:lang w:val="en-US" w:eastAsia="zh-CN"/>
        </w:rPr>
        <w:t>定</w:t>
      </w:r>
      <w:r>
        <w:rPr>
          <w:rFonts w:hint="eastAsia" w:ascii="宋体" w:hAnsi="宋体" w:eastAsia="宋体" w:cs="宋体"/>
          <w:color w:val="auto"/>
          <w:spacing w:val="0"/>
          <w:sz w:val="24"/>
          <w:szCs w:val="24"/>
          <w:highlight w:val="none"/>
        </w:rPr>
        <w:t>标人为中标人</w:t>
      </w:r>
      <w:r>
        <w:rPr>
          <w:rFonts w:hint="eastAsia" w:ascii="宋体" w:hAnsi="宋体" w:eastAsia="宋体" w:cs="宋体"/>
          <w:color w:val="auto"/>
          <w:spacing w:val="0"/>
          <w:sz w:val="24"/>
          <w:szCs w:val="24"/>
          <w:highlight w:val="none"/>
          <w:lang w:val="en-US" w:eastAsia="zh-CN"/>
        </w:rPr>
        <w:t>后</w:t>
      </w:r>
      <w:r>
        <w:rPr>
          <w:rFonts w:hint="eastAsia" w:ascii="宋体" w:hAnsi="宋体" w:eastAsia="宋体" w:cs="宋体"/>
          <w:color w:val="auto"/>
          <w:spacing w:val="0"/>
          <w:sz w:val="24"/>
          <w:szCs w:val="24"/>
          <w:highlight w:val="none"/>
        </w:rPr>
        <w:t xml:space="preserve"> 7日内向中标人发出中标通知书，中标人必须按韶关市公共资源交易中心的规定办理相关手续后方可领取。中标通知书对招标人和中标人均具有法律约束力。中标通知书发出后，招标人改变中标结果和中标人放弃中标的，应当承担法律责任。</w:t>
      </w:r>
    </w:p>
    <w:p w14:paraId="3E54FB0F">
      <w:pPr>
        <w:keepNext w:val="0"/>
        <w:keepLines w:val="0"/>
        <w:pageBreakBefore w:val="0"/>
        <w:wordWrap w:val="0"/>
        <w:overflowPunct/>
        <w:topLinePunct w:val="0"/>
        <w:bidi w:val="0"/>
        <w:spacing w:before="78" w:line="221" w:lineRule="auto"/>
        <w:ind w:left="572"/>
        <w:outlineLvl w:val="2"/>
        <w:rPr>
          <w:rFonts w:hint="eastAsia" w:ascii="宋体" w:hAnsi="宋体" w:eastAsia="宋体" w:cs="宋体"/>
          <w:color w:val="auto"/>
          <w:spacing w:val="0"/>
          <w:sz w:val="24"/>
          <w:szCs w:val="24"/>
          <w:highlight w:val="none"/>
        </w:rPr>
      </w:pPr>
      <w:bookmarkStart w:id="145" w:name="_Toc12154"/>
      <w:r>
        <w:rPr>
          <w:rFonts w:hint="eastAsia" w:ascii="宋体" w:hAnsi="宋体" w:eastAsia="宋体" w:cs="宋体"/>
          <w:b/>
          <w:bCs/>
          <w:color w:val="auto"/>
          <w:spacing w:val="0"/>
          <w:sz w:val="24"/>
          <w:szCs w:val="24"/>
          <w:highlight w:val="none"/>
        </w:rPr>
        <w:t>2 ．中结果公示</w:t>
      </w:r>
      <w:bookmarkEnd w:id="145"/>
    </w:p>
    <w:p w14:paraId="4B118EB2">
      <w:pPr>
        <w:keepNext w:val="0"/>
        <w:keepLines w:val="0"/>
        <w:pageBreakBefore w:val="0"/>
        <w:wordWrap w:val="0"/>
        <w:overflowPunct/>
        <w:topLinePunct w:val="0"/>
        <w:bidi w:val="0"/>
        <w:spacing w:before="115" w:line="316" w:lineRule="auto"/>
        <w:ind w:left="2" w:right="203" w:firstLine="595"/>
        <w:jc w:val="both"/>
        <w:rPr>
          <w:rFonts w:hint="eastAsia" w:ascii="宋体" w:hAnsi="宋体" w:eastAsia="宋体" w:cs="宋体"/>
          <w:color w:val="auto"/>
          <w:spacing w:val="0"/>
          <w:highlight w:val="none"/>
        </w:rPr>
      </w:pPr>
      <w:r>
        <w:rPr>
          <w:rFonts w:hint="eastAsia" w:ascii="宋体" w:hAnsi="宋体" w:eastAsia="宋体" w:cs="宋体"/>
          <w:color w:val="auto"/>
          <w:spacing w:val="0"/>
          <w:sz w:val="24"/>
          <w:szCs w:val="24"/>
          <w:highlight w:val="none"/>
        </w:rPr>
        <w:t>中标通知书发出后 15</w:t>
      </w:r>
      <w:r>
        <w:rPr>
          <w:rFonts w:hint="eastAsia" w:ascii="宋体" w:hAnsi="宋体" w:eastAsia="宋体" w:cs="宋体"/>
          <w:color w:val="auto"/>
          <w:spacing w:val="0"/>
          <w:sz w:val="24"/>
          <w:szCs w:val="24"/>
          <w:highlight w:val="none"/>
          <w:lang w:val="en-US" w:eastAsia="zh-CN"/>
        </w:rPr>
        <w:t xml:space="preserve"> </w:t>
      </w:r>
      <w:r>
        <w:rPr>
          <w:rFonts w:hint="eastAsia" w:ascii="宋体" w:hAnsi="宋体" w:eastAsia="宋体" w:cs="宋体"/>
          <w:color w:val="auto"/>
          <w:spacing w:val="0"/>
          <w:sz w:val="24"/>
          <w:szCs w:val="24"/>
          <w:highlight w:val="none"/>
        </w:rPr>
        <w:t>日内，招标人应将中标结果在广东省招标投标监管网（http://zbtb.gd.gov.cn）、全国公共资源交易平台（广东省 ·韶关市）（https://ygp.gdzwfw.gov.cn/ggzy-portal/#/440200/index）进行公示。</w:t>
      </w:r>
    </w:p>
    <w:p w14:paraId="27B71BF3">
      <w:pPr>
        <w:keepNext w:val="0"/>
        <w:keepLines w:val="0"/>
        <w:pageBreakBefore w:val="0"/>
        <w:wordWrap w:val="0"/>
        <w:overflowPunct/>
        <w:topLinePunct w:val="0"/>
        <w:bidi w:val="0"/>
        <w:spacing w:before="79" w:line="221" w:lineRule="auto"/>
        <w:ind w:left="570"/>
        <w:outlineLvl w:val="2"/>
        <w:rPr>
          <w:rFonts w:hint="eastAsia" w:ascii="宋体" w:hAnsi="宋体" w:eastAsia="宋体" w:cs="宋体"/>
          <w:color w:val="auto"/>
          <w:spacing w:val="0"/>
          <w:sz w:val="24"/>
          <w:szCs w:val="24"/>
          <w:highlight w:val="none"/>
        </w:rPr>
      </w:pPr>
      <w:bookmarkStart w:id="146" w:name="_Toc32644"/>
      <w:r>
        <w:rPr>
          <w:rFonts w:hint="eastAsia" w:ascii="宋体" w:hAnsi="宋体" w:eastAsia="宋体" w:cs="宋体"/>
          <w:b/>
          <w:bCs/>
          <w:color w:val="auto"/>
          <w:spacing w:val="0"/>
          <w:sz w:val="24"/>
          <w:szCs w:val="24"/>
          <w:highlight w:val="none"/>
        </w:rPr>
        <w:t>3 ．履约保证</w:t>
      </w:r>
      <w:bookmarkEnd w:id="146"/>
    </w:p>
    <w:p w14:paraId="325F0E82">
      <w:pPr>
        <w:keepNext w:val="0"/>
        <w:keepLines w:val="0"/>
        <w:pageBreakBefore w:val="0"/>
        <w:widowControl/>
        <w:kinsoku w:val="0"/>
        <w:wordWrap w:val="0"/>
        <w:overflowPunct/>
        <w:topLinePunct w:val="0"/>
        <w:autoSpaceDE w:val="0"/>
        <w:autoSpaceDN w:val="0"/>
        <w:bidi w:val="0"/>
        <w:adjustRightInd w:val="0"/>
        <w:snapToGrid w:val="0"/>
        <w:spacing w:before="153" w:line="312" w:lineRule="auto"/>
        <w:ind w:firstLine="482" w:firstLineChars="200"/>
        <w:textAlignment w:val="baseline"/>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3.1  </w:t>
      </w:r>
      <w:r>
        <w:rPr>
          <w:rFonts w:hint="eastAsia" w:ascii="宋体" w:hAnsi="宋体" w:eastAsia="宋体" w:cs="宋体"/>
          <w:color w:val="auto"/>
          <w:spacing w:val="0"/>
          <w:sz w:val="24"/>
          <w:szCs w:val="24"/>
          <w:highlight w:val="none"/>
        </w:rPr>
        <w:t>中标人须在领取中标通知书之日起</w:t>
      </w:r>
      <w:r>
        <w:rPr>
          <w:rFonts w:hint="eastAsia" w:ascii="宋体" w:hAnsi="宋体" w:eastAsia="宋体" w:cs="宋体"/>
          <w:color w:val="auto"/>
          <w:spacing w:val="0"/>
          <w:sz w:val="24"/>
          <w:szCs w:val="24"/>
          <w:highlight w:val="none"/>
          <w:u w:val="single"/>
          <w:lang w:val="en-US" w:eastAsia="zh-CN"/>
        </w:rPr>
        <w:t xml:space="preserve"> 10 </w:t>
      </w:r>
      <w:r>
        <w:rPr>
          <w:rFonts w:hint="eastAsia" w:ascii="宋体" w:hAnsi="宋体" w:eastAsia="宋体" w:cs="宋体"/>
          <w:color w:val="auto"/>
          <w:spacing w:val="0"/>
          <w:sz w:val="24"/>
          <w:szCs w:val="24"/>
          <w:highlight w:val="none"/>
        </w:rPr>
        <w:t>个工作日内、签订合同前向招标人提交金额</w:t>
      </w:r>
      <w:r>
        <w:rPr>
          <w:rFonts w:hint="eastAsia" w:ascii="宋体" w:hAnsi="宋体" w:eastAsia="宋体" w:cs="宋体"/>
          <w:color w:val="auto"/>
          <w:spacing w:val="0"/>
          <w:position w:val="2"/>
          <w:sz w:val="24"/>
          <w:szCs w:val="24"/>
          <w:highlight w:val="none"/>
        </w:rPr>
        <w:t>为中标价</w:t>
      </w:r>
      <w:r>
        <w:rPr>
          <w:rFonts w:hint="eastAsia" w:ascii="宋体" w:hAnsi="宋体" w:eastAsia="宋体" w:cs="宋体"/>
          <w:color w:val="auto"/>
          <w:spacing w:val="0"/>
          <w:position w:val="2"/>
          <w:sz w:val="24"/>
          <w:szCs w:val="24"/>
          <w:highlight w:val="none"/>
          <w:u w:val="single"/>
          <w:lang w:val="en-US" w:eastAsia="zh-CN"/>
        </w:rPr>
        <w:t xml:space="preserve"> 5</w:t>
      </w:r>
      <w:r>
        <w:rPr>
          <w:rFonts w:hint="eastAsia" w:ascii="宋体" w:hAnsi="宋体" w:eastAsia="宋体" w:cs="宋体"/>
          <w:color w:val="auto"/>
          <w:spacing w:val="0"/>
          <w:position w:val="2"/>
          <w:sz w:val="24"/>
          <w:szCs w:val="24"/>
          <w:highlight w:val="none"/>
          <w:u w:val="single"/>
        </w:rPr>
        <w:t xml:space="preserve">%  </w:t>
      </w:r>
      <w:r>
        <w:rPr>
          <w:rFonts w:hint="eastAsia" w:ascii="宋体" w:hAnsi="宋体" w:eastAsia="宋体" w:cs="宋体"/>
          <w:color w:val="auto"/>
          <w:spacing w:val="0"/>
          <w:position w:val="2"/>
          <w:sz w:val="24"/>
          <w:szCs w:val="24"/>
          <w:highlight w:val="none"/>
        </w:rPr>
        <w:t>的履约保证。联合体中标的，由联合体牵头人提交。</w:t>
      </w:r>
    </w:p>
    <w:p w14:paraId="2296705B">
      <w:pPr>
        <w:keepNext w:val="0"/>
        <w:keepLines w:val="0"/>
        <w:pageBreakBefore w:val="0"/>
        <w:wordWrap w:val="0"/>
        <w:overflowPunct/>
        <w:topLinePunct w:val="0"/>
        <w:bidi w:val="0"/>
        <w:spacing w:before="89" w:line="286" w:lineRule="auto"/>
        <w:ind w:left="12" w:right="108" w:firstLine="473"/>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3.2</w:t>
      </w:r>
      <w:r>
        <w:rPr>
          <w:rFonts w:hint="eastAsia" w:ascii="宋体" w:hAnsi="宋体" w:eastAsia="宋体" w:cs="宋体"/>
          <w:b/>
          <w:bCs/>
          <w:color w:val="auto"/>
          <w:spacing w:val="0"/>
          <w:w w:val="101"/>
          <w:sz w:val="24"/>
          <w:szCs w:val="24"/>
          <w:highlight w:val="none"/>
        </w:rPr>
        <w:t xml:space="preserve"> </w:t>
      </w:r>
      <w:r>
        <w:rPr>
          <w:rFonts w:hint="eastAsia" w:ascii="宋体" w:hAnsi="宋体" w:eastAsia="宋体" w:cs="宋体"/>
          <w:color w:val="auto"/>
          <w:spacing w:val="0"/>
          <w:position w:val="2"/>
          <w:sz w:val="24"/>
          <w:szCs w:val="24"/>
          <w:highlight w:val="none"/>
        </w:rPr>
        <w:t>中标人根据《关于统一在市公共资源交易一体化服务平台缴退工程建设项目履约保证金的通知》办理相关手续，履约保证的形式包括履约保证金、履约保证担保、履约保证保险三种，由中标人自主选择</w:t>
      </w:r>
      <w:r>
        <w:rPr>
          <w:rFonts w:hint="eastAsia" w:ascii="宋体" w:hAnsi="宋体" w:eastAsia="宋体" w:cs="宋体"/>
          <w:color w:val="auto"/>
          <w:spacing w:val="0"/>
          <w:sz w:val="24"/>
          <w:szCs w:val="24"/>
          <w:highlight w:val="none"/>
        </w:rPr>
        <w:t>。商业保函、银行保函或保险合同（或保险单）的有效期应当自合同生效之日起至项目通过竣工验收之日后 28 天止。</w:t>
      </w:r>
    </w:p>
    <w:p w14:paraId="64F1537E">
      <w:pPr>
        <w:keepNext w:val="0"/>
        <w:keepLines w:val="0"/>
        <w:pageBreakBefore w:val="0"/>
        <w:wordWrap w:val="0"/>
        <w:overflowPunct/>
        <w:topLinePunct w:val="0"/>
        <w:bidi w:val="0"/>
        <w:spacing w:line="440" w:lineRule="exact"/>
        <w:ind w:firstLine="562"/>
        <w:rPr>
          <w:rFonts w:hint="eastAsia" w:ascii="宋体" w:hAnsi="宋体" w:eastAsia="宋体" w:cs="宋体"/>
          <w:color w:val="auto"/>
          <w:spacing w:val="0"/>
          <w:highlight w:val="none"/>
          <w:lang w:eastAsia="zh-CN"/>
        </w:rPr>
      </w:pP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position w:val="2"/>
          <w:sz w:val="24"/>
          <w:szCs w:val="24"/>
          <w:highlight w:val="none"/>
          <w:lang w:eastAsia="zh-CN"/>
        </w:rPr>
        <w:t>注：中标通知书发出时，招标人发起收缴履约保证金并填写保证金金额、缴交时限和项目工期；由中标人在建设工程交易系统中自主选择一种进行缴交。项目竣工后，由招标人发起退保。）</w:t>
      </w:r>
    </w:p>
    <w:p w14:paraId="674C87E5">
      <w:pPr>
        <w:keepNext w:val="0"/>
        <w:keepLines w:val="0"/>
        <w:pageBreakBefore w:val="0"/>
        <w:wordWrap w:val="0"/>
        <w:overflowPunct/>
        <w:topLinePunct w:val="0"/>
        <w:bidi w:val="0"/>
        <w:spacing w:before="145" w:line="319" w:lineRule="auto"/>
        <w:ind w:left="12" w:right="108" w:firstLine="473"/>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3.3  </w:t>
      </w:r>
      <w:r>
        <w:rPr>
          <w:rFonts w:hint="eastAsia" w:ascii="宋体" w:hAnsi="宋体" w:eastAsia="宋体" w:cs="宋体"/>
          <w:color w:val="auto"/>
          <w:spacing w:val="0"/>
          <w:sz w:val="24"/>
          <w:szCs w:val="24"/>
          <w:highlight w:val="none"/>
        </w:rPr>
        <w:t>中标人在领取中标通知书之日起 10 个工作日内仍未提交履约保证的，招标人发出第一次提醒函；在领取中标通知书之日起 15 个工作日内仍未提交的，招标人发出第二次提醒函；在领取中标通知书之日起 20个工作日内仍未提交的，视其放弃中标。并由招标人通报建设行政管理部门。如采用商业保函、银行保函或保险合同方式缴纳履约保证金，在保函或保险合同到期前一个月，中标人须主动办理续期手续或提交新的商业保函、银行保函或保险合同。</w:t>
      </w:r>
    </w:p>
    <w:p w14:paraId="613B1B96">
      <w:pPr>
        <w:keepNext w:val="0"/>
        <w:keepLines w:val="0"/>
        <w:pageBreakBefore w:val="0"/>
        <w:wordWrap w:val="0"/>
        <w:overflowPunct/>
        <w:topLinePunct w:val="0"/>
        <w:bidi w:val="0"/>
        <w:spacing w:before="152" w:line="299" w:lineRule="auto"/>
        <w:ind w:left="12" w:right="108" w:firstLine="474"/>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3.4  </w:t>
      </w:r>
      <w:r>
        <w:rPr>
          <w:rFonts w:hint="eastAsia" w:ascii="宋体" w:hAnsi="宋体" w:eastAsia="宋体" w:cs="宋体"/>
          <w:color w:val="auto"/>
          <w:spacing w:val="0"/>
          <w:sz w:val="24"/>
          <w:szCs w:val="24"/>
          <w:highlight w:val="none"/>
        </w:rPr>
        <w:t>在工程实施过程中，如果承包人（即招标阶段的中标人，下同）由于自身的资金、技术、质量、非不可抗力等原因给发包人（即招标阶段的招标人，下同）造成经济损失，发包人有权扣划相应金额的履约保证。</w:t>
      </w:r>
    </w:p>
    <w:p w14:paraId="55E72D44">
      <w:pPr>
        <w:keepNext w:val="0"/>
        <w:keepLines w:val="0"/>
        <w:pageBreakBefore w:val="0"/>
        <w:wordWrap w:val="0"/>
        <w:overflowPunct/>
        <w:topLinePunct w:val="0"/>
        <w:bidi w:val="0"/>
        <w:spacing w:before="154" w:line="220" w:lineRule="auto"/>
        <w:ind w:left="486"/>
        <w:rPr>
          <w:rFonts w:hint="eastAsia" w:ascii="宋体" w:hAnsi="宋体" w:eastAsia="宋体" w:cs="宋体"/>
          <w:color w:val="auto"/>
          <w:spacing w:val="0"/>
          <w:highlight w:val="none"/>
        </w:rPr>
      </w:pPr>
      <w:r>
        <w:rPr>
          <w:rFonts w:hint="eastAsia" w:ascii="宋体" w:hAnsi="宋体" w:eastAsia="宋体" w:cs="宋体"/>
          <w:b/>
          <w:bCs/>
          <w:color w:val="auto"/>
          <w:spacing w:val="0"/>
          <w:sz w:val="24"/>
          <w:szCs w:val="24"/>
          <w:highlight w:val="none"/>
        </w:rPr>
        <w:t xml:space="preserve">3.5  </w:t>
      </w:r>
      <w:r>
        <w:rPr>
          <w:rFonts w:hint="eastAsia" w:ascii="宋体" w:hAnsi="宋体" w:eastAsia="宋体" w:cs="宋体"/>
          <w:color w:val="auto"/>
          <w:spacing w:val="0"/>
          <w:sz w:val="24"/>
          <w:szCs w:val="24"/>
          <w:highlight w:val="none"/>
        </w:rPr>
        <w:t>项目通过竣工验收之日后 28 天内，发包人将履约保证退还给承包人。</w:t>
      </w:r>
    </w:p>
    <w:p w14:paraId="32505B57">
      <w:pPr>
        <w:pStyle w:val="6"/>
        <w:keepNext w:val="0"/>
        <w:keepLines w:val="0"/>
        <w:pageBreakBefore w:val="0"/>
        <w:wordWrap w:val="0"/>
        <w:overflowPunct/>
        <w:topLinePunct w:val="0"/>
        <w:bidi w:val="0"/>
        <w:spacing w:line="257" w:lineRule="auto"/>
        <w:rPr>
          <w:rFonts w:hint="eastAsia" w:ascii="宋体" w:hAnsi="宋体" w:eastAsia="宋体" w:cs="宋体"/>
          <w:color w:val="auto"/>
          <w:spacing w:val="0"/>
          <w:highlight w:val="none"/>
        </w:rPr>
      </w:pPr>
    </w:p>
    <w:p w14:paraId="29630D6A">
      <w:pPr>
        <w:keepNext w:val="0"/>
        <w:keepLines w:val="0"/>
        <w:pageBreakBefore w:val="0"/>
        <w:wordWrap w:val="0"/>
        <w:overflowPunct/>
        <w:topLinePunct w:val="0"/>
        <w:bidi w:val="0"/>
        <w:spacing w:before="78" w:line="222" w:lineRule="auto"/>
        <w:ind w:left="488"/>
        <w:outlineLvl w:val="2"/>
        <w:rPr>
          <w:rFonts w:hint="eastAsia" w:ascii="宋体" w:hAnsi="宋体" w:eastAsia="宋体" w:cs="宋体"/>
          <w:color w:val="auto"/>
          <w:spacing w:val="0"/>
          <w:sz w:val="24"/>
          <w:szCs w:val="24"/>
          <w:highlight w:val="none"/>
        </w:rPr>
      </w:pPr>
      <w:bookmarkStart w:id="147" w:name="_Toc19929"/>
      <w:r>
        <w:rPr>
          <w:rFonts w:hint="eastAsia" w:ascii="宋体" w:hAnsi="宋体" w:eastAsia="宋体" w:cs="宋体"/>
          <w:b/>
          <w:bCs/>
          <w:color w:val="auto"/>
          <w:spacing w:val="0"/>
          <w:sz w:val="24"/>
          <w:szCs w:val="24"/>
          <w:highlight w:val="none"/>
        </w:rPr>
        <w:t>4 ．合同订立</w:t>
      </w:r>
      <w:bookmarkEnd w:id="147"/>
    </w:p>
    <w:p w14:paraId="0539E271">
      <w:pPr>
        <w:keepNext w:val="0"/>
        <w:keepLines w:val="0"/>
        <w:pageBreakBefore w:val="0"/>
        <w:widowControl/>
        <w:kinsoku w:val="0"/>
        <w:wordWrap w:val="0"/>
        <w:overflowPunct/>
        <w:topLinePunct w:val="0"/>
        <w:autoSpaceDE w:val="0"/>
        <w:autoSpaceDN w:val="0"/>
        <w:bidi w:val="0"/>
        <w:adjustRightInd w:val="0"/>
        <w:snapToGrid w:val="0"/>
        <w:spacing w:before="150" w:line="300" w:lineRule="auto"/>
        <w:ind w:left="11" w:right="108" w:firstLine="476"/>
        <w:textAlignment w:val="baseline"/>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4.1  </w:t>
      </w:r>
      <w:r>
        <w:rPr>
          <w:rFonts w:hint="eastAsia" w:ascii="宋体" w:hAnsi="宋体" w:eastAsia="宋体" w:cs="宋体"/>
          <w:color w:val="auto"/>
          <w:spacing w:val="0"/>
          <w:sz w:val="24"/>
          <w:szCs w:val="24"/>
          <w:highlight w:val="none"/>
        </w:rPr>
        <w:t>招标人应当自中标通知书发出之日起</w:t>
      </w:r>
      <w:r>
        <w:rPr>
          <w:rFonts w:hint="eastAsia" w:ascii="宋体" w:hAnsi="宋体" w:eastAsia="宋体" w:cs="宋体"/>
          <w:color w:val="auto"/>
          <w:spacing w:val="0"/>
          <w:sz w:val="24"/>
          <w:szCs w:val="24"/>
          <w:highlight w:val="none"/>
          <w:u w:val="single"/>
          <w:lang w:val="en-US" w:eastAsia="zh-CN"/>
        </w:rPr>
        <w:t xml:space="preserve"> 三十 </w:t>
      </w:r>
      <w:r>
        <w:rPr>
          <w:rFonts w:hint="eastAsia" w:ascii="宋体" w:hAnsi="宋体" w:eastAsia="宋体" w:cs="宋体"/>
          <w:color w:val="auto"/>
          <w:spacing w:val="0"/>
          <w:sz w:val="24"/>
          <w:szCs w:val="24"/>
          <w:highlight w:val="none"/>
        </w:rPr>
        <w:t>日内，按照招标文件、中标人的投标文件与中标人订立书面合同。</w:t>
      </w:r>
    </w:p>
    <w:p w14:paraId="22E6FFDB">
      <w:pPr>
        <w:keepNext w:val="0"/>
        <w:keepLines w:val="0"/>
        <w:pageBreakBefore w:val="0"/>
        <w:wordWrap w:val="0"/>
        <w:overflowPunct/>
        <w:topLinePunct w:val="0"/>
        <w:bidi w:val="0"/>
        <w:spacing w:before="156" w:line="219" w:lineRule="auto"/>
        <w:ind w:left="488"/>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4.2  </w:t>
      </w:r>
      <w:r>
        <w:rPr>
          <w:rFonts w:hint="eastAsia" w:ascii="宋体" w:hAnsi="宋体" w:eastAsia="宋体" w:cs="宋体"/>
          <w:color w:val="auto"/>
          <w:spacing w:val="0"/>
          <w:sz w:val="24"/>
          <w:szCs w:val="24"/>
          <w:highlight w:val="none"/>
        </w:rPr>
        <w:t>不正常报价的梳理和确认</w:t>
      </w:r>
    </w:p>
    <w:p w14:paraId="6A38A700">
      <w:pPr>
        <w:keepNext w:val="0"/>
        <w:keepLines w:val="0"/>
        <w:pageBreakBefore w:val="0"/>
        <w:wordWrap w:val="0"/>
        <w:overflowPunct/>
        <w:topLinePunct w:val="0"/>
        <w:bidi w:val="0"/>
        <w:spacing w:before="154" w:line="299" w:lineRule="auto"/>
        <w:ind w:left="14" w:right="64" w:firstLine="473"/>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4.2.1 合同订立期间，在不改变中标人的投标总价的前提下，招标人应对中标人的投标报价进行全面分析和整理，从而发现并提取其中可能存在的算术性错误、错漏项、不平衡报价等不正常报价，并修正其中的算术性错误。</w:t>
      </w:r>
      <w:r>
        <w:rPr>
          <w:rFonts w:hint="eastAsia" w:ascii="宋体" w:hAnsi="宋体" w:eastAsia="宋体" w:cs="宋体"/>
          <w:color w:val="auto"/>
          <w:spacing w:val="0"/>
          <w:sz w:val="24"/>
          <w:szCs w:val="24"/>
          <w:highlight w:val="none"/>
        </w:rPr>
        <w:t>招标人不具备以上能力的，可授权编制本项目</w:t>
      </w:r>
      <w:r>
        <w:rPr>
          <w:rFonts w:hint="eastAsia" w:ascii="宋体" w:hAnsi="宋体" w:eastAsia="宋体" w:cs="宋体"/>
          <w:color w:val="auto"/>
          <w:spacing w:val="0"/>
          <w:sz w:val="24"/>
          <w:szCs w:val="24"/>
          <w:highlight w:val="none"/>
          <w:lang w:val="en-US" w:eastAsia="zh-CN"/>
        </w:rPr>
        <w:t>最高投标限价</w:t>
      </w:r>
      <w:r>
        <w:rPr>
          <w:rFonts w:hint="eastAsia" w:ascii="宋体" w:hAnsi="宋体" w:eastAsia="宋体" w:cs="宋体"/>
          <w:color w:val="auto"/>
          <w:spacing w:val="0"/>
          <w:sz w:val="24"/>
          <w:szCs w:val="24"/>
          <w:highlight w:val="none"/>
        </w:rPr>
        <w:t>的造价咨询单位实施。</w:t>
      </w:r>
    </w:p>
    <w:p w14:paraId="520FFE2E">
      <w:pPr>
        <w:keepNext w:val="0"/>
        <w:keepLines w:val="0"/>
        <w:pageBreakBefore w:val="0"/>
        <w:wordWrap w:val="0"/>
        <w:overflowPunct/>
        <w:topLinePunct w:val="0"/>
        <w:bidi w:val="0"/>
        <w:spacing w:before="121" w:line="309" w:lineRule="auto"/>
        <w:ind w:left="14" w:right="65" w:firstLine="473"/>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4.2.2  </w:t>
      </w:r>
      <w:r>
        <w:rPr>
          <w:rFonts w:hint="eastAsia" w:ascii="宋体" w:hAnsi="宋体" w:eastAsia="宋体" w:cs="宋体"/>
          <w:color w:val="auto"/>
          <w:spacing w:val="0"/>
          <w:sz w:val="24"/>
          <w:szCs w:val="24"/>
          <w:highlight w:val="none"/>
        </w:rPr>
        <w:t>算术性错误的分析和修正。投标报价汇总表中，投标总价与各分项费用之和不一致的，以投标总价为准修正分项费用；投标报价汇总表的各分项费用与对应分项表中的费用不一致的，以投标报价汇总表中的分项费用为准修正对应分项表中的费用；各分项表中总价金额与依据单价计算出的结果不一致的，以总价为准修正单价。</w:t>
      </w:r>
    </w:p>
    <w:p w14:paraId="5258E150">
      <w:pPr>
        <w:keepNext w:val="0"/>
        <w:keepLines w:val="0"/>
        <w:pageBreakBefore w:val="0"/>
        <w:wordWrap w:val="0"/>
        <w:overflowPunct/>
        <w:topLinePunct w:val="0"/>
        <w:bidi w:val="0"/>
        <w:spacing w:before="157" w:line="279" w:lineRule="auto"/>
        <w:ind w:left="12" w:right="66" w:firstLine="47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4.2.3  </w:t>
      </w:r>
      <w:r>
        <w:rPr>
          <w:rFonts w:hint="eastAsia" w:ascii="宋体" w:hAnsi="宋体" w:eastAsia="宋体" w:cs="宋体"/>
          <w:color w:val="auto"/>
          <w:spacing w:val="0"/>
          <w:sz w:val="24"/>
          <w:szCs w:val="24"/>
          <w:highlight w:val="none"/>
        </w:rPr>
        <w:t>错漏项的认定。中标人已标价工程量清单中，任一清单项目未填报价格或价格为零的，视为错漏项。</w:t>
      </w:r>
    </w:p>
    <w:p w14:paraId="420EA984">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u w:val="single"/>
        </w:rPr>
      </w:pPr>
      <w:r>
        <w:rPr>
          <w:rFonts w:hint="eastAsia" w:ascii="宋体" w:hAnsi="宋体" w:eastAsia="宋体" w:cs="宋体"/>
          <w:b/>
          <w:bCs/>
          <w:snapToGrid w:val="0"/>
          <w:color w:val="auto"/>
          <w:kern w:val="0"/>
          <w:sz w:val="24"/>
          <w:szCs w:val="24"/>
          <w:highlight w:val="none"/>
        </w:rPr>
        <w:t>4.2.4</w:t>
      </w:r>
      <w:r>
        <w:rPr>
          <w:rFonts w:hint="eastAsia" w:ascii="宋体" w:hAnsi="宋体" w:eastAsia="宋体" w:cs="宋体"/>
          <w:snapToGrid w:val="0"/>
          <w:color w:val="auto"/>
          <w:kern w:val="0"/>
          <w:sz w:val="24"/>
          <w:szCs w:val="24"/>
          <w:highlight w:val="none"/>
        </w:rPr>
        <w:t xml:space="preserve"> 不平衡报价的认定。经修正算术性错误后的中标人已标价工程量清单中，</w:t>
      </w:r>
      <w:r>
        <w:rPr>
          <w:rFonts w:hint="eastAsia" w:ascii="宋体" w:hAnsi="宋体" w:eastAsia="宋体" w:cs="宋体"/>
          <w:snapToGrid w:val="0"/>
          <w:color w:val="auto"/>
          <w:kern w:val="0"/>
          <w:sz w:val="24"/>
          <w:szCs w:val="24"/>
          <w:highlight w:val="none"/>
          <w:u w:val="single"/>
        </w:rPr>
        <w:t>中标人投标价清单项目填报的综合单价（P0）与招标人招标控制价相应清单项目的综合单价（P1）偏差超过一定幅度时，即当 P0＜P1×（1-L）×(</w:t>
      </w:r>
      <w:r>
        <w:rPr>
          <w:rFonts w:hint="eastAsia" w:ascii="宋体" w:hAnsi="宋体" w:eastAsia="宋体" w:cs="宋体"/>
          <w:snapToGrid w:val="0"/>
          <w:color w:val="auto"/>
          <w:kern w:val="0"/>
          <w:sz w:val="24"/>
          <w:szCs w:val="24"/>
          <w:highlight w:val="none"/>
          <w:u w:val="single"/>
          <w:lang w:eastAsia="zh-CN"/>
        </w:rPr>
        <w:t>1%—15%</w:t>
      </w:r>
      <w:r>
        <w:rPr>
          <w:rFonts w:hint="eastAsia" w:ascii="宋体" w:hAnsi="宋体" w:eastAsia="宋体" w:cs="宋体"/>
          <w:snapToGrid w:val="0"/>
          <w:color w:val="auto"/>
          <w:kern w:val="0"/>
          <w:sz w:val="24"/>
          <w:szCs w:val="24"/>
          <w:highlight w:val="none"/>
          <w:u w:val="single"/>
        </w:rPr>
        <w:t>)或 P0＞P1×（1+15%）时（L 为中标下浮率，按照第三章“拟签订合同的主要条款”第 2.3 条规定计算；以上 P0、P1、L 的定义适用于招标文件）</w:t>
      </w:r>
      <w:r>
        <w:rPr>
          <w:rFonts w:hint="eastAsia" w:ascii="宋体" w:hAnsi="宋体" w:eastAsia="宋体" w:cs="宋体"/>
          <w:snapToGrid w:val="0"/>
          <w:color w:val="auto"/>
          <w:kern w:val="0"/>
          <w:sz w:val="24"/>
          <w:szCs w:val="24"/>
          <w:highlight w:val="none"/>
        </w:rPr>
        <w:t>的清单项目，视为不平衡报价项目。</w:t>
      </w:r>
    </w:p>
    <w:p w14:paraId="79CD9812">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4.2.5</w:t>
      </w:r>
      <w:r>
        <w:rPr>
          <w:rFonts w:hint="eastAsia" w:ascii="宋体" w:hAnsi="宋体" w:eastAsia="宋体" w:cs="宋体"/>
          <w:snapToGrid w:val="0"/>
          <w:color w:val="auto"/>
          <w:kern w:val="0"/>
          <w:sz w:val="24"/>
          <w:szCs w:val="24"/>
          <w:highlight w:val="none"/>
        </w:rPr>
        <w:t xml:space="preserve"> 招标人或其授权的造价咨询单位应就发现的以上所有不正常报价分类整理、汇总，形成《不正常报价清单》，并交中标人复核和确认。经招标人和中标人共同签字、盖章确认的《不正常报价清单》，构成施工合同的组成部分。</w:t>
      </w:r>
    </w:p>
    <w:p w14:paraId="58D7DE98">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4.2.6</w:t>
      </w:r>
      <w:r>
        <w:rPr>
          <w:rFonts w:hint="eastAsia" w:ascii="宋体" w:hAnsi="宋体" w:eastAsia="宋体" w:cs="宋体"/>
          <w:snapToGrid w:val="0"/>
          <w:color w:val="auto"/>
          <w:kern w:val="0"/>
          <w:sz w:val="24"/>
          <w:szCs w:val="24"/>
          <w:highlight w:val="none"/>
        </w:rPr>
        <w:t xml:space="preserve"> </w:t>
      </w:r>
      <w:r>
        <w:rPr>
          <w:rFonts w:hint="eastAsia" w:ascii="宋体" w:hAnsi="宋体" w:eastAsia="宋体" w:cs="宋体"/>
          <w:b/>
          <w:bCs/>
          <w:snapToGrid w:val="0"/>
          <w:color w:val="auto"/>
          <w:kern w:val="0"/>
          <w:sz w:val="24"/>
          <w:szCs w:val="24"/>
          <w:highlight w:val="none"/>
        </w:rPr>
        <w:t>合同履行过程中，被认定为错漏项的清单项目，结算时按照第三章“拟签订合同的主要条款”第2.6条规定处理。</w:t>
      </w:r>
    </w:p>
    <w:p w14:paraId="0DD8519D">
      <w:pPr>
        <w:wordWrap w:val="0"/>
        <w:adjustRightInd w:val="0"/>
        <w:snapToGrid w:val="0"/>
        <w:spacing w:line="360" w:lineRule="auto"/>
        <w:ind w:firstLine="482" w:firstLineChars="200"/>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4.2.7 合同履行过程中，合同约定的调整因素（如工程量偏差、工程变更、项目特征不符、招标工程量清单缺项等）出现时，被认定为不平衡报价的清单项目以及采用被认定为不平衡报价的清单项目的价格作为取价（或参照取价）依据的变更、新增项目，按照第三章“拟签订合同的主要条款”第2.3条的有关规定调整合同价款。</w:t>
      </w:r>
    </w:p>
    <w:p w14:paraId="3EFE1683">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4.3 </w:t>
      </w:r>
      <w:r>
        <w:rPr>
          <w:rFonts w:hint="eastAsia" w:ascii="宋体" w:hAnsi="宋体" w:eastAsia="宋体" w:cs="宋体"/>
          <w:snapToGrid w:val="0"/>
          <w:color w:val="auto"/>
          <w:kern w:val="0"/>
          <w:sz w:val="24"/>
          <w:szCs w:val="24"/>
          <w:highlight w:val="none"/>
        </w:rPr>
        <w:t>本招标项目合同计价方式为：</w:t>
      </w:r>
      <w:r>
        <w:rPr>
          <w:rFonts w:hint="eastAsia" w:ascii="宋体" w:hAnsi="宋体" w:eastAsia="宋体" w:cs="宋体"/>
          <w:snapToGrid w:val="0"/>
          <w:color w:val="auto"/>
          <w:kern w:val="0"/>
          <w:sz w:val="24"/>
          <w:szCs w:val="24"/>
          <w:highlight w:val="none"/>
          <w:u w:val="single"/>
        </w:rPr>
        <w:t xml:space="preserve"> 单价 </w:t>
      </w:r>
      <w:r>
        <w:rPr>
          <w:rFonts w:hint="eastAsia" w:ascii="宋体" w:hAnsi="宋体" w:eastAsia="宋体" w:cs="宋体"/>
          <w:snapToGrid w:val="0"/>
          <w:color w:val="auto"/>
          <w:kern w:val="0"/>
          <w:sz w:val="24"/>
          <w:szCs w:val="24"/>
          <w:highlight w:val="none"/>
        </w:rPr>
        <w:t>合同。</w:t>
      </w:r>
    </w:p>
    <w:p w14:paraId="2ACC9AE6">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4.4</w:t>
      </w:r>
      <w:r>
        <w:rPr>
          <w:rFonts w:hint="eastAsia" w:ascii="宋体" w:hAnsi="宋体" w:eastAsia="宋体" w:cs="宋体"/>
          <w:snapToGrid w:val="0"/>
          <w:color w:val="auto"/>
          <w:kern w:val="0"/>
          <w:sz w:val="24"/>
          <w:szCs w:val="24"/>
          <w:highlight w:val="none"/>
        </w:rPr>
        <w:t xml:space="preserve"> 合同的标的、质量、履行期限条款和合同的价款、单价、比例条款等主要条款，应当与招标文件、中标人的投标文件的内容一致。中标人在签订合同时不得向招标人提出附加条件。</w:t>
      </w:r>
    </w:p>
    <w:p w14:paraId="5FB31F2C">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4.5</w:t>
      </w:r>
      <w:r>
        <w:rPr>
          <w:rFonts w:hint="eastAsia" w:ascii="宋体" w:hAnsi="宋体" w:eastAsia="宋体" w:cs="宋体"/>
          <w:snapToGrid w:val="0"/>
          <w:color w:val="auto"/>
          <w:kern w:val="0"/>
          <w:sz w:val="24"/>
          <w:szCs w:val="24"/>
          <w:highlight w:val="none"/>
        </w:rPr>
        <w:t xml:space="preserve"> 若中标人在领取中标通知书之日起30天内仍未签订合同，招标人发出第一次提醒函；在领取中标通知书之日起40天内仍未签订，招标人发出第二次提醒函；在领取中标通知书之日起45天内仍未签订，视其放弃中标。</w:t>
      </w:r>
    </w:p>
    <w:p w14:paraId="06F8138B">
      <w:pPr>
        <w:wordWrap w:val="0"/>
        <w:adjustRightInd w:val="0"/>
        <w:snapToGrid w:val="0"/>
        <w:spacing w:line="360" w:lineRule="auto"/>
        <w:ind w:firstLine="482" w:firstLineChars="200"/>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4.6</w:t>
      </w:r>
      <w:r>
        <w:rPr>
          <w:rFonts w:hint="eastAsia" w:ascii="宋体" w:hAnsi="宋体" w:eastAsia="宋体" w:cs="宋体"/>
          <w:snapToGrid w:val="0"/>
          <w:color w:val="auto"/>
          <w:kern w:val="0"/>
          <w:sz w:val="24"/>
          <w:szCs w:val="24"/>
          <w:highlight w:val="none"/>
        </w:rPr>
        <w:t xml:space="preserve"> 在书面合同订立之日起2个工作日内，由中标人将合同上传至建设工程交易系统，并发起退还投标保证的申请。韶关市公共资源交易中心在收到申请之日起3个工作日内，将投标保证金（或银行保函）退还给中标人和其他中标候选人。</w:t>
      </w:r>
    </w:p>
    <w:p w14:paraId="6D8EF603">
      <w:pPr>
        <w:wordWrap w:val="0"/>
        <w:adjustRightInd w:val="0"/>
        <w:snapToGrid w:val="0"/>
        <w:spacing w:line="360" w:lineRule="auto"/>
        <w:ind w:firstLine="482" w:firstLineChars="200"/>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5．放弃中标的处理</w:t>
      </w:r>
    </w:p>
    <w:p w14:paraId="4FB0BB9A">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5.1</w:t>
      </w:r>
      <w:r>
        <w:rPr>
          <w:rFonts w:hint="eastAsia" w:ascii="宋体" w:hAnsi="宋体" w:eastAsia="宋体" w:cs="宋体"/>
          <w:snapToGrid w:val="0"/>
          <w:color w:val="auto"/>
          <w:kern w:val="0"/>
          <w:sz w:val="24"/>
          <w:szCs w:val="24"/>
          <w:highlight w:val="none"/>
        </w:rPr>
        <w:t xml:space="preserve"> 中标人</w:t>
      </w:r>
      <w:r>
        <w:rPr>
          <w:rFonts w:hint="eastAsia" w:ascii="宋体" w:hAnsi="宋体" w:eastAsia="宋体" w:cs="宋体"/>
          <w:snapToGrid w:val="0"/>
          <w:color w:val="auto"/>
          <w:sz w:val="24"/>
          <w:szCs w:val="24"/>
          <w:highlight w:val="none"/>
        </w:rPr>
        <w:t>无正当理由放弃中标的，</w:t>
      </w:r>
      <w:r>
        <w:rPr>
          <w:rFonts w:hint="eastAsia" w:ascii="宋体" w:hAnsi="宋体" w:eastAsia="宋体" w:cs="宋体"/>
          <w:snapToGrid w:val="0"/>
          <w:color w:val="auto"/>
          <w:kern w:val="0"/>
          <w:sz w:val="24"/>
          <w:szCs w:val="24"/>
          <w:highlight w:val="none"/>
        </w:rPr>
        <w:t>取消其中标资格，其投标保证不予退还，给招标人造成的损失超过投标保证金额的，弃标人还应当对超过部分予以赔偿。招标人可按照评标委员会提出的中标候选人名单排序依次确定其他中标候选人为中标人，如果招标人认为其他中标候选人的条件明显不利于招标人的，也可以重新招标。</w:t>
      </w:r>
      <w:r>
        <w:rPr>
          <w:rFonts w:hint="eastAsia" w:ascii="宋体" w:hAnsi="宋体" w:eastAsia="宋体" w:cs="宋体"/>
          <w:bCs/>
          <w:snapToGrid w:val="0"/>
          <w:color w:val="auto"/>
          <w:kern w:val="0"/>
          <w:sz w:val="24"/>
          <w:szCs w:val="24"/>
          <w:highlight w:val="none"/>
        </w:rPr>
        <w:t>因此种情况造成招标人重新招标的</w:t>
      </w:r>
      <w:r>
        <w:rPr>
          <w:rFonts w:hint="eastAsia" w:ascii="宋体" w:hAnsi="宋体" w:eastAsia="宋体" w:cs="宋体"/>
          <w:snapToGrid w:val="0"/>
          <w:color w:val="auto"/>
          <w:kern w:val="0"/>
          <w:sz w:val="24"/>
          <w:szCs w:val="24"/>
          <w:highlight w:val="none"/>
        </w:rPr>
        <w:t>，招标人可不接受该弃标人再次投标。同时，招标人应将该弃标人的失信行为向行政监督部门报告。</w:t>
      </w:r>
    </w:p>
    <w:p w14:paraId="37C45FF6">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5.2</w:t>
      </w:r>
      <w:r>
        <w:rPr>
          <w:rFonts w:hint="eastAsia" w:ascii="宋体" w:hAnsi="宋体" w:eastAsia="宋体" w:cs="宋体"/>
          <w:snapToGrid w:val="0"/>
          <w:color w:val="auto"/>
          <w:kern w:val="0"/>
          <w:sz w:val="24"/>
          <w:szCs w:val="24"/>
          <w:highlight w:val="none"/>
        </w:rPr>
        <w:t xml:space="preserve"> 中标人因不可抗力提出不能履行合同的，须在领取中标通知书之日起10天内提供有关证明文件或资料，其投标保证予以退还，招标人可按照评标委员会提出的中标候选人名单排序依次确定其他中标候选人为中标人。如果招标人认为其他中标候选人的条件明显不利于招标人的，也可以重新招标。</w:t>
      </w:r>
    </w:p>
    <w:p w14:paraId="1CDCB9C4">
      <w:pPr>
        <w:wordWrap w:val="0"/>
        <w:adjustRightInd w:val="0"/>
        <w:snapToGrid w:val="0"/>
        <w:spacing w:line="360" w:lineRule="auto"/>
        <w:ind w:firstLine="482" w:firstLineChars="200"/>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6．专业工程分包</w:t>
      </w:r>
    </w:p>
    <w:p w14:paraId="08C997B6">
      <w:pPr>
        <w:wordWrap w:val="0"/>
        <w:adjustRightInd w:val="0"/>
        <w:snapToGrid w:val="0"/>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合同范围内的工程未经发包人同意一律不得分包，一经发现，取消承包人的承包资格，由此引起的一切经济损失和法律责任由承包人自行承担。若有专业工程必须分包的，发包人不另行支付总包服务费；其分包合同由总包人与分包人双方签订，发包人不参与总包人与分包人之间的结算，该部分工程的造价仍按总包人与发包人签订的合同的有关条款进行结算。</w:t>
      </w:r>
    </w:p>
    <w:p w14:paraId="3B33C93F">
      <w:pPr>
        <w:wordWrap w:val="0"/>
        <w:adjustRightInd w:val="0"/>
        <w:snapToGrid w:val="0"/>
        <w:spacing w:line="360" w:lineRule="auto"/>
        <w:ind w:firstLine="482" w:firstLineChars="200"/>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7．工人工资支付专用账户</w:t>
      </w:r>
    </w:p>
    <w:p w14:paraId="759F44A3">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7.1</w:t>
      </w:r>
      <w:r>
        <w:rPr>
          <w:rFonts w:hint="eastAsia" w:ascii="宋体" w:hAnsi="宋体" w:eastAsia="宋体" w:cs="宋体"/>
          <w:snapToGrid w:val="0"/>
          <w:color w:val="auto"/>
          <w:kern w:val="0"/>
          <w:sz w:val="24"/>
          <w:szCs w:val="24"/>
          <w:highlight w:val="none"/>
        </w:rPr>
        <w:t xml:space="preserve"> 发、承包双方订立合同时，应就承包人设立工人工资支付专用账户（以下简称“工资专户”）、工程进度款中工人工资款的比例、工资款拨付的期限等事项作出明确约定。发包人按照合同约定，按月将工程款中的工资款项单独足额拨付到承包人的工资专户，并对承包人工人工资支付情况进行监督，及时协调解决工人工资发放中存在的问题。</w:t>
      </w:r>
    </w:p>
    <w:p w14:paraId="1FA91328">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7.2</w:t>
      </w:r>
      <w:r>
        <w:rPr>
          <w:rFonts w:hint="eastAsia" w:ascii="宋体" w:hAnsi="宋体" w:eastAsia="宋体" w:cs="宋体"/>
          <w:snapToGrid w:val="0"/>
          <w:color w:val="auto"/>
          <w:kern w:val="0"/>
          <w:sz w:val="24"/>
          <w:szCs w:val="24"/>
          <w:highlight w:val="none"/>
        </w:rPr>
        <w:t xml:space="preserve"> 承包人必须在项目开工前，在项目所在地银行设立工资专户，并在作业工人进场前按照相关规定完成实名管理登记及作业工人工资卡开办。承包人应在工资专户开立后2个工作日内，将开户银行及其账号、开户协议等资料提交给发包人。</w:t>
      </w:r>
    </w:p>
    <w:p w14:paraId="6AC5AB80">
      <w:pPr>
        <w:wordWrap w:val="0"/>
        <w:adjustRightInd w:val="0"/>
        <w:snapToGrid w:val="0"/>
        <w:spacing w:line="360" w:lineRule="auto"/>
        <w:ind w:firstLine="482" w:firstLineChars="200"/>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7.3</w:t>
      </w:r>
      <w:r>
        <w:rPr>
          <w:rFonts w:hint="eastAsia" w:ascii="宋体" w:hAnsi="宋体" w:eastAsia="宋体" w:cs="宋体"/>
          <w:snapToGrid w:val="0"/>
          <w:color w:val="auto"/>
          <w:kern w:val="0"/>
          <w:sz w:val="24"/>
          <w:szCs w:val="24"/>
          <w:highlight w:val="none"/>
        </w:rPr>
        <w:t xml:space="preserve"> 施工总承包企业依法将专业工程分包的，应在分包合同中就分包人设立工资专户、工程进度款中工人工资款的比例、工资款拨付的期限等事项作出明确约定。总包人按照分包合同约定，按月将工程款中的工资款项单独足额拨付到分包人的工资专户，并对分包人工人工资支付情况进行监督，及时协调解决工人工资发放中存在的问题。</w:t>
      </w:r>
    </w:p>
    <w:p w14:paraId="7E4259E5">
      <w:pPr>
        <w:wordWrap w:val="0"/>
        <w:adjustRightInd w:val="0"/>
        <w:snapToGrid w:val="0"/>
        <w:spacing w:line="360" w:lineRule="auto"/>
        <w:ind w:firstLine="482" w:firstLineChars="200"/>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val="en-US" w:eastAsia="zh-CN"/>
        </w:rPr>
        <w:t>8</w:t>
      </w:r>
      <w:r>
        <w:rPr>
          <w:rFonts w:hint="eastAsia" w:ascii="宋体" w:hAnsi="宋体" w:eastAsia="宋体" w:cs="宋体"/>
          <w:b/>
          <w:bCs/>
          <w:snapToGrid w:val="0"/>
          <w:color w:val="auto"/>
          <w:kern w:val="0"/>
          <w:sz w:val="24"/>
          <w:szCs w:val="24"/>
          <w:highlight w:val="none"/>
        </w:rPr>
        <w:t>．工期进度</w:t>
      </w:r>
    </w:p>
    <w:p w14:paraId="5EE4C76A">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val="en-US" w:eastAsia="zh-CN"/>
        </w:rPr>
        <w:t>8</w:t>
      </w:r>
      <w:r>
        <w:rPr>
          <w:rFonts w:hint="eastAsia" w:ascii="宋体" w:hAnsi="宋体" w:eastAsia="宋体" w:cs="宋体"/>
          <w:b/>
          <w:bCs/>
          <w:snapToGrid w:val="0"/>
          <w:color w:val="auto"/>
          <w:kern w:val="0"/>
          <w:sz w:val="24"/>
          <w:szCs w:val="24"/>
          <w:highlight w:val="none"/>
        </w:rPr>
        <w:t>.1</w:t>
      </w:r>
      <w:r>
        <w:rPr>
          <w:rFonts w:hint="eastAsia" w:ascii="宋体" w:hAnsi="宋体" w:eastAsia="宋体" w:cs="宋体"/>
          <w:snapToGrid w:val="0"/>
          <w:color w:val="auto"/>
          <w:kern w:val="0"/>
          <w:sz w:val="24"/>
          <w:szCs w:val="24"/>
          <w:highlight w:val="none"/>
        </w:rPr>
        <w:t>本工程施工招标工期为</w:t>
      </w:r>
      <w:r>
        <w:rPr>
          <w:rFonts w:hint="eastAsia" w:ascii="宋体" w:hAnsi="宋体" w:eastAsia="宋体" w:cs="宋体"/>
          <w:snapToGrid w:val="0"/>
          <w:color w:val="auto"/>
          <w:kern w:val="0"/>
          <w:sz w:val="24"/>
          <w:szCs w:val="24"/>
          <w:highlight w:val="none"/>
          <w:u w:val="single"/>
          <w:lang w:val="en-US" w:eastAsia="zh-CN"/>
        </w:rPr>
        <w:t>180</w:t>
      </w:r>
      <w:r>
        <w:rPr>
          <w:rFonts w:hint="eastAsia" w:ascii="宋体" w:hAnsi="宋体" w:eastAsia="宋体" w:cs="宋体"/>
          <w:snapToGrid w:val="0"/>
          <w:color w:val="auto"/>
          <w:kern w:val="0"/>
          <w:sz w:val="24"/>
          <w:szCs w:val="24"/>
          <w:highlight w:val="none"/>
          <w:lang w:val="en-US" w:eastAsia="zh-CN"/>
        </w:rPr>
        <w:t>个</w:t>
      </w:r>
      <w:r>
        <w:rPr>
          <w:rFonts w:hint="eastAsia" w:ascii="宋体" w:hAnsi="宋体" w:eastAsia="宋体" w:cs="宋体"/>
          <w:snapToGrid w:val="0"/>
          <w:color w:val="auto"/>
          <w:kern w:val="0"/>
          <w:sz w:val="24"/>
          <w:szCs w:val="24"/>
          <w:highlight w:val="none"/>
        </w:rPr>
        <w:t>日历天。承包人必须在招标工期内完成</w:t>
      </w:r>
      <w:r>
        <w:rPr>
          <w:rFonts w:hint="eastAsia" w:ascii="宋体" w:hAnsi="宋体" w:eastAsia="宋体" w:cs="宋体"/>
          <w:color w:val="auto"/>
          <w:sz w:val="24"/>
          <w:szCs w:val="24"/>
          <w:highlight w:val="none"/>
        </w:rPr>
        <w:t>招标范围内</w:t>
      </w:r>
      <w:r>
        <w:rPr>
          <w:rFonts w:hint="eastAsia" w:ascii="宋体" w:hAnsi="宋体" w:eastAsia="宋体" w:cs="宋体"/>
          <w:snapToGrid w:val="0"/>
          <w:color w:val="auto"/>
          <w:kern w:val="0"/>
          <w:sz w:val="24"/>
          <w:szCs w:val="24"/>
          <w:highlight w:val="none"/>
        </w:rPr>
        <w:t>的全部内容。</w:t>
      </w:r>
    </w:p>
    <w:p w14:paraId="2447C3CC">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val="en-US" w:eastAsia="zh-CN"/>
        </w:rPr>
        <w:t>8</w:t>
      </w:r>
      <w:r>
        <w:rPr>
          <w:rFonts w:hint="eastAsia" w:ascii="宋体" w:hAnsi="宋体" w:eastAsia="宋体" w:cs="宋体"/>
          <w:b/>
          <w:bCs/>
          <w:snapToGrid w:val="0"/>
          <w:color w:val="auto"/>
          <w:kern w:val="0"/>
          <w:sz w:val="24"/>
          <w:szCs w:val="24"/>
          <w:highlight w:val="none"/>
        </w:rPr>
        <w:t>.2</w:t>
      </w:r>
      <w:r>
        <w:rPr>
          <w:rFonts w:hint="eastAsia" w:ascii="宋体" w:hAnsi="宋体" w:eastAsia="宋体" w:cs="宋体"/>
          <w:snapToGrid w:val="0"/>
          <w:color w:val="auto"/>
          <w:kern w:val="0"/>
          <w:sz w:val="24"/>
          <w:szCs w:val="24"/>
          <w:highlight w:val="none"/>
        </w:rPr>
        <w:t xml:space="preserve"> 施工工期从承包人收到监理单位签发的开工令之日起计，至竣工验收合格之日止。</w:t>
      </w:r>
    </w:p>
    <w:p w14:paraId="52FBD3BD">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val="en-US" w:eastAsia="zh-CN"/>
        </w:rPr>
        <w:t>8</w:t>
      </w:r>
      <w:r>
        <w:rPr>
          <w:rFonts w:hint="eastAsia" w:ascii="宋体" w:hAnsi="宋体" w:eastAsia="宋体" w:cs="宋体"/>
          <w:b/>
          <w:bCs/>
          <w:snapToGrid w:val="0"/>
          <w:color w:val="auto"/>
          <w:kern w:val="0"/>
          <w:sz w:val="24"/>
          <w:szCs w:val="24"/>
          <w:highlight w:val="none"/>
        </w:rPr>
        <w:t>.3</w:t>
      </w:r>
      <w:r>
        <w:rPr>
          <w:rFonts w:hint="eastAsia" w:ascii="宋体" w:hAnsi="宋体" w:eastAsia="宋体" w:cs="宋体"/>
          <w:snapToGrid w:val="0"/>
          <w:color w:val="auto"/>
          <w:kern w:val="0"/>
          <w:sz w:val="24"/>
          <w:szCs w:val="24"/>
          <w:highlight w:val="none"/>
        </w:rPr>
        <w:t>由于承包人原因造成工期延误的，承包人须在逾期第壹天起每天按合同价的</w:t>
      </w:r>
      <w:r>
        <w:rPr>
          <w:rFonts w:hint="eastAsia" w:ascii="宋体" w:hAnsi="宋体" w:eastAsia="宋体" w:cs="宋体"/>
          <w:snapToGrid w:val="0"/>
          <w:color w:val="auto"/>
          <w:kern w:val="0"/>
          <w:sz w:val="24"/>
          <w:szCs w:val="24"/>
          <w:highlight w:val="none"/>
          <w:u w:val="single"/>
        </w:rPr>
        <w:t>1</w:t>
      </w:r>
      <w:r>
        <w:rPr>
          <w:rFonts w:hint="eastAsia" w:ascii="宋体" w:hAnsi="宋体" w:eastAsia="宋体" w:cs="宋体"/>
          <w:snapToGrid w:val="0"/>
          <w:color w:val="auto"/>
          <w:kern w:val="0"/>
          <w:sz w:val="24"/>
          <w:szCs w:val="24"/>
          <w:highlight w:val="none"/>
          <w:u w:val="single"/>
          <w:lang w:val="en-US" w:eastAsia="zh-CN"/>
        </w:rPr>
        <w:t>.5</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向招标人返纳逾期竣工违约金。逾期竣工违约金的最高限额为人民币（大写）：</w:t>
      </w:r>
      <w:r>
        <w:rPr>
          <w:rFonts w:hint="eastAsia" w:ascii="宋体" w:hAnsi="宋体" w:eastAsia="宋体" w:cs="宋体"/>
          <w:snapToGrid w:val="0"/>
          <w:color w:val="auto"/>
          <w:kern w:val="0"/>
          <w:sz w:val="24"/>
          <w:szCs w:val="24"/>
          <w:highlight w:val="none"/>
          <w:u w:val="single"/>
        </w:rPr>
        <w:t xml:space="preserve"> 合同总价5% </w:t>
      </w:r>
      <w:r>
        <w:rPr>
          <w:rFonts w:hint="eastAsia" w:ascii="宋体" w:hAnsi="宋体" w:eastAsia="宋体" w:cs="宋体"/>
          <w:snapToGrid w:val="0"/>
          <w:color w:val="auto"/>
          <w:kern w:val="0"/>
          <w:sz w:val="24"/>
          <w:szCs w:val="24"/>
          <w:highlight w:val="none"/>
        </w:rPr>
        <w:t>。</w:t>
      </w:r>
    </w:p>
    <w:p w14:paraId="5DA285DA">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val="en-US" w:eastAsia="zh-CN"/>
        </w:rPr>
        <w:t>9</w:t>
      </w:r>
      <w:r>
        <w:rPr>
          <w:rFonts w:hint="eastAsia" w:ascii="宋体" w:hAnsi="宋体" w:eastAsia="宋体" w:cs="宋体"/>
          <w:b/>
          <w:bCs/>
          <w:snapToGrid w:val="0"/>
          <w:color w:val="auto"/>
          <w:kern w:val="0"/>
          <w:sz w:val="24"/>
          <w:szCs w:val="24"/>
          <w:highlight w:val="none"/>
        </w:rPr>
        <w:t>．项目管理机构</w:t>
      </w:r>
    </w:p>
    <w:p w14:paraId="27992777">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val="en-US" w:eastAsia="zh-CN"/>
        </w:rPr>
        <w:t>9</w:t>
      </w:r>
      <w:r>
        <w:rPr>
          <w:rFonts w:hint="eastAsia" w:ascii="宋体" w:hAnsi="宋体" w:eastAsia="宋体" w:cs="宋体"/>
          <w:b/>
          <w:bCs/>
          <w:snapToGrid w:val="0"/>
          <w:color w:val="auto"/>
          <w:kern w:val="0"/>
          <w:sz w:val="24"/>
          <w:szCs w:val="24"/>
          <w:highlight w:val="none"/>
        </w:rPr>
        <w:t>.1</w:t>
      </w:r>
      <w:r>
        <w:rPr>
          <w:rFonts w:hint="eastAsia" w:ascii="宋体" w:hAnsi="宋体" w:eastAsia="宋体" w:cs="宋体"/>
          <w:snapToGrid w:val="0"/>
          <w:color w:val="auto"/>
          <w:kern w:val="0"/>
          <w:sz w:val="24"/>
          <w:szCs w:val="24"/>
          <w:highlight w:val="none"/>
        </w:rPr>
        <w:t xml:space="preserve"> 承包人派驻的项目管理班子成员必须为其投标文件确定的人员，否则发包人有权终止合同。</w:t>
      </w:r>
    </w:p>
    <w:p w14:paraId="2C16D07D">
      <w:pPr>
        <w:wordWrap w:val="0"/>
        <w:adjustRightInd w:val="0"/>
        <w:snapToGrid w:val="0"/>
        <w:spacing w:line="360" w:lineRule="auto"/>
        <w:ind w:firstLine="48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val="en-US" w:eastAsia="zh-CN"/>
        </w:rPr>
        <w:t>9</w:t>
      </w:r>
      <w:r>
        <w:rPr>
          <w:rFonts w:hint="eastAsia" w:ascii="宋体" w:hAnsi="宋体" w:eastAsia="宋体" w:cs="宋体"/>
          <w:b/>
          <w:bCs/>
          <w:snapToGrid w:val="0"/>
          <w:color w:val="auto"/>
          <w:kern w:val="0"/>
          <w:sz w:val="24"/>
          <w:szCs w:val="24"/>
          <w:highlight w:val="none"/>
        </w:rPr>
        <w:t>.2</w:t>
      </w:r>
      <w:r>
        <w:rPr>
          <w:rFonts w:hint="eastAsia" w:ascii="宋体" w:hAnsi="宋体" w:eastAsia="宋体" w:cs="宋体"/>
          <w:snapToGrid w:val="0"/>
          <w:color w:val="auto"/>
          <w:kern w:val="0"/>
          <w:sz w:val="24"/>
          <w:szCs w:val="24"/>
          <w:highlight w:val="none"/>
        </w:rPr>
        <w:t xml:space="preserve"> 项目管理班子成员不得擅自变更。其中，项目经理若有《广东省住房和城乡建设厅关于建设工程项目招标中标后监督检查的办法》（粤建市〔2009〕8号，以下简称“《办法》”）第九条所述除外情形之一确需变更的，承包人应填写《建设工程项目管理班子变更情况报告表》（《办法》附件4）并附上相关证明资料，经发包人和建设行政主管部门审核同意方可变更，且更换后的项目经理应与承包人的投标文件所确定的原项目经理的主要条件一致；项目管理班子其他成员若有《办法》第九条所述除外情形之一确需变更的，承包人应填写《建设工程项目管理班子变更情况报告表》并附上相关证明资料，经发包人审核同意方可变更。</w:t>
      </w:r>
    </w:p>
    <w:p w14:paraId="7895483B">
      <w:pPr>
        <w:wordWrap w:val="0"/>
        <w:adjustRightInd w:val="0"/>
        <w:snapToGrid w:val="0"/>
        <w:spacing w:line="360" w:lineRule="auto"/>
        <w:ind w:firstLine="482" w:firstLineChars="200"/>
        <w:rPr>
          <w:rFonts w:hint="eastAsia" w:ascii="宋体" w:hAnsi="宋体" w:eastAsia="宋体" w:cs="宋体"/>
          <w:strike/>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1</w:t>
      </w:r>
      <w:r>
        <w:rPr>
          <w:rFonts w:hint="eastAsia" w:ascii="宋体" w:hAnsi="宋体" w:eastAsia="宋体" w:cs="宋体"/>
          <w:b/>
          <w:snapToGrid w:val="0"/>
          <w:color w:val="auto"/>
          <w:kern w:val="0"/>
          <w:sz w:val="24"/>
          <w:szCs w:val="24"/>
          <w:highlight w:val="none"/>
          <w:lang w:val="en-US" w:eastAsia="zh-CN"/>
        </w:rPr>
        <w:t>0</w:t>
      </w:r>
      <w:r>
        <w:rPr>
          <w:rFonts w:hint="eastAsia" w:ascii="宋体" w:hAnsi="宋体" w:eastAsia="宋体" w:cs="宋体"/>
          <w:b/>
          <w:snapToGrid w:val="0"/>
          <w:color w:val="auto"/>
          <w:kern w:val="0"/>
          <w:sz w:val="24"/>
          <w:szCs w:val="24"/>
          <w:highlight w:val="none"/>
        </w:rPr>
        <w:t>．现场管理</w:t>
      </w:r>
    </w:p>
    <w:p w14:paraId="12F2401C">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w:t>
      </w:r>
      <w:r>
        <w:rPr>
          <w:rFonts w:hint="eastAsia" w:ascii="宋体" w:hAnsi="宋体" w:eastAsia="宋体" w:cs="宋体"/>
          <w:b/>
          <w:bCs/>
          <w:snapToGrid w:val="0"/>
          <w:color w:val="auto"/>
          <w:kern w:val="0"/>
          <w:sz w:val="24"/>
          <w:szCs w:val="24"/>
          <w:highlight w:val="none"/>
          <w:lang w:val="en-US" w:eastAsia="zh-CN"/>
        </w:rPr>
        <w:t>0</w:t>
      </w:r>
      <w:r>
        <w:rPr>
          <w:rFonts w:hint="eastAsia" w:ascii="宋体" w:hAnsi="宋体" w:eastAsia="宋体" w:cs="宋体"/>
          <w:b/>
          <w:bCs/>
          <w:snapToGrid w:val="0"/>
          <w:color w:val="auto"/>
          <w:kern w:val="0"/>
          <w:sz w:val="24"/>
          <w:szCs w:val="24"/>
          <w:highlight w:val="none"/>
        </w:rPr>
        <w:t>.1</w:t>
      </w:r>
      <w:r>
        <w:rPr>
          <w:rFonts w:hint="eastAsia" w:ascii="宋体" w:hAnsi="宋体" w:eastAsia="宋体" w:cs="宋体"/>
          <w:snapToGrid w:val="0"/>
          <w:color w:val="auto"/>
          <w:kern w:val="0"/>
          <w:sz w:val="24"/>
          <w:szCs w:val="24"/>
          <w:highlight w:val="none"/>
        </w:rPr>
        <w:t xml:space="preserve"> 承包人在施工期间应严格遵守国家、广东省、韶关市有关绿色施工、文明施工、</w:t>
      </w:r>
      <w:r>
        <w:rPr>
          <w:rFonts w:hint="eastAsia" w:ascii="宋体" w:hAnsi="宋体" w:eastAsia="宋体" w:cs="宋体"/>
          <w:snapToGrid w:val="0"/>
          <w:color w:val="auto"/>
          <w:kern w:val="0"/>
          <w:sz w:val="24"/>
          <w:szCs w:val="24"/>
          <w:highlight w:val="none"/>
          <w:lang w:eastAsia="zh-CN"/>
        </w:rPr>
        <w:t>噪声</w:t>
      </w:r>
      <w:r>
        <w:rPr>
          <w:rFonts w:hint="eastAsia" w:ascii="宋体" w:hAnsi="宋体" w:eastAsia="宋体" w:cs="宋体"/>
          <w:snapToGrid w:val="0"/>
          <w:color w:val="auto"/>
          <w:kern w:val="0"/>
          <w:sz w:val="24"/>
          <w:szCs w:val="24"/>
          <w:highlight w:val="none"/>
        </w:rPr>
        <w:t>扬尘、消防爆破、环境卫生、渣土清运、治安保卫等方面的规定，并建立相应规章制度和保障措施。否则由此造成的经济损失和法律责任，均由承包人承担。</w:t>
      </w:r>
    </w:p>
    <w:p w14:paraId="4A1C75B8">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w:t>
      </w:r>
      <w:r>
        <w:rPr>
          <w:rFonts w:hint="eastAsia" w:ascii="宋体" w:hAnsi="宋体" w:eastAsia="宋体" w:cs="宋体"/>
          <w:b/>
          <w:bCs/>
          <w:snapToGrid w:val="0"/>
          <w:color w:val="auto"/>
          <w:kern w:val="0"/>
          <w:sz w:val="24"/>
          <w:szCs w:val="24"/>
          <w:highlight w:val="none"/>
          <w:lang w:val="en-US" w:eastAsia="zh-CN"/>
        </w:rPr>
        <w:t>0</w:t>
      </w:r>
      <w:r>
        <w:rPr>
          <w:rFonts w:hint="eastAsia" w:ascii="宋体" w:hAnsi="宋体" w:eastAsia="宋体" w:cs="宋体"/>
          <w:b/>
          <w:bCs/>
          <w:snapToGrid w:val="0"/>
          <w:color w:val="auto"/>
          <w:kern w:val="0"/>
          <w:sz w:val="24"/>
          <w:szCs w:val="24"/>
          <w:highlight w:val="none"/>
        </w:rPr>
        <w:t>.2</w:t>
      </w:r>
      <w:r>
        <w:rPr>
          <w:rFonts w:hint="eastAsia" w:ascii="宋体" w:hAnsi="宋体" w:eastAsia="宋体" w:cs="宋体"/>
          <w:snapToGrid w:val="0"/>
          <w:color w:val="auto"/>
          <w:kern w:val="0"/>
          <w:sz w:val="24"/>
          <w:szCs w:val="24"/>
          <w:highlight w:val="none"/>
        </w:rPr>
        <w:t xml:space="preserve"> 承包人应按安全施工有关规定，采取严格、科学的安全防护措施，确保施工和人员（包括第三者）的安全，</w:t>
      </w:r>
      <w:r>
        <w:rPr>
          <w:rFonts w:hint="eastAsia" w:ascii="宋体" w:hAnsi="宋体" w:eastAsia="宋体" w:cs="宋体"/>
          <w:snapToGrid w:val="0"/>
          <w:color w:val="auto"/>
          <w:kern w:val="0"/>
          <w:sz w:val="24"/>
          <w:szCs w:val="24"/>
          <w:highlight w:val="none"/>
          <w:lang w:eastAsia="zh-CN"/>
        </w:rPr>
        <w:t>承担由自身</w:t>
      </w:r>
      <w:r>
        <w:rPr>
          <w:rFonts w:hint="eastAsia" w:ascii="宋体" w:hAnsi="宋体" w:eastAsia="宋体" w:cs="宋体"/>
          <w:snapToGrid w:val="0"/>
          <w:color w:val="auto"/>
          <w:kern w:val="0"/>
          <w:sz w:val="24"/>
          <w:szCs w:val="24"/>
          <w:highlight w:val="none"/>
        </w:rPr>
        <w:t>安全防护措施不力所造成的安全事故责任和发生的费用。</w:t>
      </w:r>
    </w:p>
    <w:p w14:paraId="6F0847C0">
      <w:pPr>
        <w:wordWrap w:val="0"/>
        <w:adjustRightInd w:val="0"/>
        <w:snapToGrid w:val="0"/>
        <w:spacing w:line="360" w:lineRule="auto"/>
        <w:ind w:firstLine="482" w:firstLineChars="200"/>
        <w:rPr>
          <w:rFonts w:hint="eastAsia" w:ascii="宋体" w:hAnsi="宋体" w:eastAsia="宋体" w:cs="宋体"/>
          <w:b/>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w:t>
      </w:r>
      <w:r>
        <w:rPr>
          <w:rFonts w:hint="eastAsia" w:ascii="宋体" w:hAnsi="宋体" w:eastAsia="宋体" w:cs="宋体"/>
          <w:b/>
          <w:bCs/>
          <w:snapToGrid w:val="0"/>
          <w:color w:val="auto"/>
          <w:kern w:val="0"/>
          <w:sz w:val="24"/>
          <w:szCs w:val="24"/>
          <w:highlight w:val="none"/>
          <w:lang w:val="en-US" w:eastAsia="zh-CN"/>
        </w:rPr>
        <w:t>0</w:t>
      </w:r>
      <w:r>
        <w:rPr>
          <w:rFonts w:hint="eastAsia" w:ascii="宋体" w:hAnsi="宋体" w:eastAsia="宋体" w:cs="宋体"/>
          <w:b/>
          <w:bCs/>
          <w:snapToGrid w:val="0"/>
          <w:color w:val="auto"/>
          <w:kern w:val="0"/>
          <w:sz w:val="24"/>
          <w:szCs w:val="24"/>
          <w:highlight w:val="none"/>
        </w:rPr>
        <w:t>.3</w:t>
      </w:r>
      <w:r>
        <w:rPr>
          <w:rFonts w:hint="eastAsia" w:ascii="宋体" w:hAnsi="宋体" w:eastAsia="宋体" w:cs="宋体"/>
          <w:snapToGrid w:val="0"/>
          <w:color w:val="auto"/>
          <w:kern w:val="0"/>
          <w:sz w:val="24"/>
          <w:szCs w:val="24"/>
          <w:highlight w:val="none"/>
        </w:rPr>
        <w:t xml:space="preserve"> 为保证施工现场的环境卫生，承包人在本招标项目施工过程中，所有的车辆必须按发包人规定的行车路线行驶。</w:t>
      </w:r>
    </w:p>
    <w:p w14:paraId="08AB2356">
      <w:pPr>
        <w:wordWrap w:val="0"/>
        <w:adjustRightInd w:val="0"/>
        <w:snapToGrid w:val="0"/>
        <w:spacing w:line="360" w:lineRule="auto"/>
        <w:ind w:firstLine="482" w:firstLineChars="200"/>
        <w:rPr>
          <w:rFonts w:hint="eastAsia" w:ascii="宋体" w:hAnsi="宋体" w:eastAsia="宋体" w:cs="宋体"/>
          <w:strike/>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1</w:t>
      </w:r>
      <w:r>
        <w:rPr>
          <w:rFonts w:hint="eastAsia" w:ascii="宋体" w:hAnsi="宋体" w:eastAsia="宋体" w:cs="宋体"/>
          <w:b/>
          <w:snapToGrid w:val="0"/>
          <w:color w:val="auto"/>
          <w:kern w:val="0"/>
          <w:sz w:val="24"/>
          <w:szCs w:val="24"/>
          <w:highlight w:val="none"/>
          <w:lang w:val="en-US" w:eastAsia="zh-CN"/>
        </w:rPr>
        <w:t>1</w:t>
      </w:r>
      <w:r>
        <w:rPr>
          <w:rFonts w:hint="eastAsia" w:ascii="宋体" w:hAnsi="宋体" w:eastAsia="宋体" w:cs="宋体"/>
          <w:b/>
          <w:snapToGrid w:val="0"/>
          <w:color w:val="auto"/>
          <w:kern w:val="0"/>
          <w:sz w:val="24"/>
          <w:szCs w:val="24"/>
          <w:highlight w:val="none"/>
        </w:rPr>
        <w:t>．监督实施</w:t>
      </w:r>
    </w:p>
    <w:p w14:paraId="52C65E90">
      <w:pPr>
        <w:wordWrap w:val="0"/>
        <w:adjustRightInd w:val="0"/>
        <w:snapToGrid w:val="0"/>
        <w:spacing w:line="360" w:lineRule="auto"/>
        <w:ind w:firstLine="560"/>
        <w:rPr>
          <w:rFonts w:hint="eastAsia" w:ascii="宋体" w:hAnsi="宋体" w:eastAsia="宋体" w:cs="宋体"/>
          <w:b/>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承包人须服从发包人对工程质量、进度、成本的全方位监督，施工中的年度计划、季度计划、月度计划、施工方案等应报送监理单位审批和发包人备案。施工中的质量保证措施等资料均应及时报送监理单位和发包人备案。</w:t>
      </w:r>
    </w:p>
    <w:p w14:paraId="1AC3B58F">
      <w:pPr>
        <w:wordWrap w:val="0"/>
        <w:adjustRightInd w:val="0"/>
        <w:snapToGrid w:val="0"/>
        <w:spacing w:line="360" w:lineRule="auto"/>
        <w:ind w:firstLine="560"/>
        <w:rPr>
          <w:rFonts w:hint="eastAsia" w:ascii="宋体" w:hAnsi="宋体" w:eastAsia="宋体" w:cs="宋体"/>
          <w:b/>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1</w:t>
      </w:r>
      <w:r>
        <w:rPr>
          <w:rFonts w:hint="eastAsia" w:ascii="宋体" w:hAnsi="宋体" w:eastAsia="宋体" w:cs="宋体"/>
          <w:b/>
          <w:snapToGrid w:val="0"/>
          <w:color w:val="auto"/>
          <w:kern w:val="0"/>
          <w:sz w:val="24"/>
          <w:szCs w:val="24"/>
          <w:highlight w:val="none"/>
          <w:lang w:val="en-US" w:eastAsia="zh-CN"/>
        </w:rPr>
        <w:t>2</w:t>
      </w:r>
      <w:r>
        <w:rPr>
          <w:rFonts w:hint="eastAsia" w:ascii="宋体" w:hAnsi="宋体" w:eastAsia="宋体" w:cs="宋体"/>
          <w:b/>
          <w:snapToGrid w:val="0"/>
          <w:color w:val="auto"/>
          <w:kern w:val="0"/>
          <w:sz w:val="24"/>
          <w:szCs w:val="24"/>
          <w:highlight w:val="none"/>
        </w:rPr>
        <w:t>．主材的采购和使用</w:t>
      </w:r>
    </w:p>
    <w:p w14:paraId="396A14DD">
      <w:pPr>
        <w:wordWrap w:val="0"/>
        <w:adjustRightInd w:val="0"/>
        <w:snapToGrid w:val="0"/>
        <w:spacing w:line="360" w:lineRule="auto"/>
        <w:ind w:firstLine="56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招标人有权拒绝承包人提供的不合格或不符合绿色施工要求的材料，并要求承包人立即进行更换。承包人应按发包人确认后的主要材料的规格、颜色要求采购。如果变更规格或颜色，必须经发包人同意后，报有关审核部门重新核定单价后方可采购，并相应调整合同价款。主要材料必须先提供样板给发包人确定其规格、颜色、等级等，发包人同意后方可使用。</w:t>
      </w:r>
    </w:p>
    <w:p w14:paraId="3896C2FA">
      <w:pPr>
        <w:wordWrap w:val="0"/>
        <w:adjustRightInd w:val="0"/>
        <w:snapToGrid w:val="0"/>
        <w:spacing w:line="360" w:lineRule="auto"/>
        <w:ind w:firstLine="560"/>
        <w:rPr>
          <w:rFonts w:hint="eastAsia" w:ascii="宋体" w:hAnsi="宋体" w:eastAsia="宋体" w:cs="宋体"/>
          <w:bCs/>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1</w:t>
      </w:r>
      <w:r>
        <w:rPr>
          <w:rFonts w:hint="eastAsia" w:ascii="宋体" w:hAnsi="宋体" w:eastAsia="宋体" w:cs="宋体"/>
          <w:b/>
          <w:snapToGrid w:val="0"/>
          <w:color w:val="auto"/>
          <w:kern w:val="0"/>
          <w:sz w:val="24"/>
          <w:szCs w:val="24"/>
          <w:highlight w:val="none"/>
          <w:lang w:val="en-US" w:eastAsia="zh-CN"/>
        </w:rPr>
        <w:t>3</w:t>
      </w:r>
      <w:r>
        <w:rPr>
          <w:rFonts w:hint="eastAsia" w:ascii="宋体" w:hAnsi="宋体" w:eastAsia="宋体" w:cs="宋体"/>
          <w:b/>
          <w:snapToGrid w:val="0"/>
          <w:color w:val="auto"/>
          <w:kern w:val="0"/>
          <w:sz w:val="24"/>
          <w:szCs w:val="24"/>
          <w:highlight w:val="none"/>
        </w:rPr>
        <w:t>．竣工资料移交</w:t>
      </w:r>
    </w:p>
    <w:p w14:paraId="4923C0E2">
      <w:pPr>
        <w:wordWrap w:val="0"/>
        <w:adjustRightInd w:val="0"/>
        <w:snapToGrid w:val="0"/>
        <w:spacing w:line="360" w:lineRule="auto"/>
        <w:ind w:firstLine="560"/>
        <w:rPr>
          <w:rFonts w:hint="eastAsia" w:ascii="宋体" w:hAnsi="宋体" w:eastAsia="宋体" w:cs="宋体"/>
          <w:b/>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工程竣工验收时，</w:t>
      </w:r>
      <w:r>
        <w:rPr>
          <w:rFonts w:hint="eastAsia" w:ascii="宋体" w:hAnsi="宋体" w:eastAsia="宋体" w:cs="宋体"/>
          <w:snapToGrid w:val="0"/>
          <w:color w:val="auto"/>
          <w:kern w:val="0"/>
          <w:sz w:val="24"/>
          <w:szCs w:val="24"/>
          <w:highlight w:val="none"/>
        </w:rPr>
        <w:t>承包</w:t>
      </w:r>
      <w:r>
        <w:rPr>
          <w:rFonts w:hint="eastAsia" w:ascii="宋体" w:hAnsi="宋体" w:eastAsia="宋体" w:cs="宋体"/>
          <w:bCs/>
          <w:snapToGrid w:val="0"/>
          <w:color w:val="auto"/>
          <w:kern w:val="0"/>
          <w:sz w:val="24"/>
          <w:szCs w:val="24"/>
          <w:highlight w:val="none"/>
        </w:rPr>
        <w:t>人应向监理单位和</w:t>
      </w:r>
      <w:r>
        <w:rPr>
          <w:rFonts w:hint="eastAsia" w:ascii="宋体" w:hAnsi="宋体" w:eastAsia="宋体" w:cs="宋体"/>
          <w:snapToGrid w:val="0"/>
          <w:color w:val="auto"/>
          <w:kern w:val="0"/>
          <w:sz w:val="24"/>
          <w:szCs w:val="24"/>
          <w:highlight w:val="none"/>
        </w:rPr>
        <w:t>发包</w:t>
      </w:r>
      <w:r>
        <w:rPr>
          <w:rFonts w:hint="eastAsia" w:ascii="宋体" w:hAnsi="宋体" w:eastAsia="宋体" w:cs="宋体"/>
          <w:bCs/>
          <w:snapToGrid w:val="0"/>
          <w:color w:val="auto"/>
          <w:kern w:val="0"/>
          <w:sz w:val="24"/>
          <w:szCs w:val="24"/>
          <w:highlight w:val="none"/>
        </w:rPr>
        <w:t>人提供符合国家档案部门备案要求的，编制成册的竣工图及有关的技术档案资料（含声像档案）一式</w:t>
      </w:r>
      <w:r>
        <w:rPr>
          <w:rFonts w:hint="eastAsia" w:ascii="宋体" w:hAnsi="宋体" w:eastAsia="宋体" w:cs="宋体"/>
          <w:bCs/>
          <w:snapToGrid w:val="0"/>
          <w:color w:val="auto"/>
          <w:kern w:val="0"/>
          <w:sz w:val="24"/>
          <w:szCs w:val="24"/>
          <w:highlight w:val="none"/>
          <w:u w:val="single"/>
        </w:rPr>
        <w:t>捌</w:t>
      </w:r>
      <w:r>
        <w:rPr>
          <w:rFonts w:hint="eastAsia" w:ascii="宋体" w:hAnsi="宋体" w:eastAsia="宋体" w:cs="宋体"/>
          <w:bCs/>
          <w:snapToGrid w:val="0"/>
          <w:color w:val="auto"/>
          <w:kern w:val="0"/>
          <w:sz w:val="24"/>
          <w:szCs w:val="24"/>
          <w:highlight w:val="none"/>
        </w:rPr>
        <w:t>份，所有档案资料的制作费用由承包人承担。</w:t>
      </w:r>
    </w:p>
    <w:p w14:paraId="13FBDEDE">
      <w:pPr>
        <w:wordWrap w:val="0"/>
        <w:adjustRightInd w:val="0"/>
        <w:snapToGrid w:val="0"/>
        <w:spacing w:line="360" w:lineRule="auto"/>
        <w:ind w:firstLine="560"/>
        <w:rPr>
          <w:rFonts w:hint="eastAsia" w:ascii="宋体" w:hAnsi="宋体" w:eastAsia="宋体" w:cs="宋体"/>
          <w:bCs/>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1</w:t>
      </w:r>
      <w:r>
        <w:rPr>
          <w:rFonts w:hint="eastAsia" w:ascii="宋体" w:hAnsi="宋体" w:eastAsia="宋体" w:cs="宋体"/>
          <w:b/>
          <w:snapToGrid w:val="0"/>
          <w:color w:val="auto"/>
          <w:kern w:val="0"/>
          <w:sz w:val="24"/>
          <w:szCs w:val="24"/>
          <w:highlight w:val="none"/>
          <w:lang w:val="en-US" w:eastAsia="zh-CN"/>
        </w:rPr>
        <w:t>4</w:t>
      </w:r>
      <w:r>
        <w:rPr>
          <w:rFonts w:hint="eastAsia" w:ascii="宋体" w:hAnsi="宋体" w:eastAsia="宋体" w:cs="宋体"/>
          <w:b/>
          <w:snapToGrid w:val="0"/>
          <w:color w:val="auto"/>
          <w:kern w:val="0"/>
          <w:sz w:val="24"/>
          <w:szCs w:val="24"/>
          <w:highlight w:val="none"/>
        </w:rPr>
        <w:t>．质量保证</w:t>
      </w:r>
    </w:p>
    <w:p w14:paraId="2FEAA2A3">
      <w:pPr>
        <w:wordWrap w:val="0"/>
        <w:adjustRightInd w:val="0"/>
        <w:snapToGrid w:val="0"/>
        <w:spacing w:line="360" w:lineRule="auto"/>
        <w:ind w:firstLine="560"/>
        <w:rPr>
          <w:rFonts w:hint="eastAsia" w:ascii="宋体" w:hAnsi="宋体" w:eastAsia="宋体" w:cs="宋体"/>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w:t>
      </w:r>
      <w:r>
        <w:rPr>
          <w:rFonts w:hint="eastAsia" w:ascii="宋体" w:hAnsi="宋体" w:eastAsia="宋体" w:cs="宋体"/>
          <w:b/>
          <w:bCs/>
          <w:snapToGrid w:val="0"/>
          <w:color w:val="auto"/>
          <w:kern w:val="0"/>
          <w:sz w:val="24"/>
          <w:szCs w:val="24"/>
          <w:highlight w:val="none"/>
          <w:lang w:val="en-US" w:eastAsia="zh-CN"/>
        </w:rPr>
        <w:t>4</w:t>
      </w:r>
      <w:r>
        <w:rPr>
          <w:rFonts w:hint="eastAsia" w:ascii="宋体" w:hAnsi="宋体" w:eastAsia="宋体" w:cs="宋体"/>
          <w:b/>
          <w:bCs/>
          <w:snapToGrid w:val="0"/>
          <w:color w:val="auto"/>
          <w:kern w:val="0"/>
          <w:sz w:val="24"/>
          <w:szCs w:val="24"/>
          <w:highlight w:val="none"/>
        </w:rPr>
        <w:t>.1</w:t>
      </w:r>
      <w:r>
        <w:rPr>
          <w:rFonts w:hint="eastAsia" w:ascii="宋体" w:hAnsi="宋体" w:eastAsia="宋体" w:cs="宋体"/>
          <w:bCs/>
          <w:snapToGrid w:val="0"/>
          <w:color w:val="auto"/>
          <w:kern w:val="0"/>
          <w:sz w:val="24"/>
          <w:szCs w:val="24"/>
          <w:highlight w:val="none"/>
        </w:rPr>
        <w:t xml:space="preserve"> </w:t>
      </w:r>
      <w:r>
        <w:rPr>
          <w:rFonts w:hint="eastAsia" w:ascii="宋体" w:hAnsi="宋体" w:eastAsia="宋体" w:cs="宋体"/>
          <w:snapToGrid w:val="0"/>
          <w:color w:val="auto"/>
          <w:kern w:val="0"/>
          <w:sz w:val="24"/>
          <w:szCs w:val="24"/>
          <w:highlight w:val="none"/>
        </w:rPr>
        <w:t>本招标项目</w:t>
      </w:r>
      <w:r>
        <w:rPr>
          <w:rFonts w:hint="eastAsia" w:ascii="宋体" w:hAnsi="宋体" w:eastAsia="宋体" w:cs="宋体"/>
          <w:bCs/>
          <w:snapToGrid w:val="0"/>
          <w:color w:val="auto"/>
          <w:kern w:val="0"/>
          <w:sz w:val="24"/>
          <w:szCs w:val="24"/>
          <w:highlight w:val="none"/>
        </w:rPr>
        <w:t>缺陷责任期为</w:t>
      </w:r>
      <w:r>
        <w:rPr>
          <w:rFonts w:hint="eastAsia" w:ascii="宋体" w:hAnsi="宋体" w:eastAsia="宋体" w:cs="宋体"/>
          <w:bCs/>
          <w:snapToGrid w:val="0"/>
          <w:color w:val="auto"/>
          <w:kern w:val="0"/>
          <w:sz w:val="24"/>
          <w:szCs w:val="24"/>
          <w:highlight w:val="none"/>
          <w:u w:val="single"/>
        </w:rPr>
        <w:t>2</w:t>
      </w:r>
      <w:r>
        <w:rPr>
          <w:rFonts w:hint="eastAsia" w:ascii="宋体" w:hAnsi="宋体" w:eastAsia="宋体" w:cs="宋体"/>
          <w:bCs/>
          <w:snapToGrid w:val="0"/>
          <w:color w:val="auto"/>
          <w:kern w:val="0"/>
          <w:sz w:val="24"/>
          <w:szCs w:val="24"/>
          <w:highlight w:val="none"/>
        </w:rPr>
        <w:t>年（自通过竣工验收之日起计），在此期间预留金额为结算价</w:t>
      </w:r>
      <w:r>
        <w:rPr>
          <w:rFonts w:hint="eastAsia" w:ascii="宋体" w:hAnsi="宋体" w:eastAsia="宋体" w:cs="宋体"/>
          <w:bCs/>
          <w:snapToGrid w:val="0"/>
          <w:color w:val="auto"/>
          <w:kern w:val="0"/>
          <w:sz w:val="24"/>
          <w:szCs w:val="24"/>
          <w:highlight w:val="none"/>
          <w:u w:val="single"/>
        </w:rPr>
        <w:t xml:space="preserve">3% </w:t>
      </w:r>
      <w:r>
        <w:rPr>
          <w:rFonts w:hint="eastAsia" w:ascii="宋体" w:hAnsi="宋体" w:eastAsia="宋体" w:cs="宋体"/>
          <w:bCs/>
          <w:snapToGrid w:val="0"/>
          <w:color w:val="auto"/>
          <w:kern w:val="0"/>
          <w:sz w:val="24"/>
          <w:szCs w:val="24"/>
          <w:highlight w:val="none"/>
        </w:rPr>
        <w:t>的质量保证。</w:t>
      </w:r>
    </w:p>
    <w:p w14:paraId="78200E9B">
      <w:pPr>
        <w:wordWrap w:val="0"/>
        <w:adjustRightInd w:val="0"/>
        <w:snapToGrid w:val="0"/>
        <w:spacing w:line="360" w:lineRule="auto"/>
        <w:ind w:firstLine="560"/>
        <w:rPr>
          <w:rFonts w:hint="eastAsia" w:ascii="宋体" w:hAnsi="宋体" w:eastAsia="宋体" w:cs="宋体"/>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w:t>
      </w:r>
      <w:r>
        <w:rPr>
          <w:rFonts w:hint="eastAsia" w:ascii="宋体" w:hAnsi="宋体" w:eastAsia="宋体" w:cs="宋体"/>
          <w:b/>
          <w:bCs/>
          <w:snapToGrid w:val="0"/>
          <w:color w:val="auto"/>
          <w:kern w:val="0"/>
          <w:sz w:val="24"/>
          <w:szCs w:val="24"/>
          <w:highlight w:val="none"/>
          <w:lang w:val="en-US" w:eastAsia="zh-CN"/>
        </w:rPr>
        <w:t>4</w:t>
      </w:r>
      <w:r>
        <w:rPr>
          <w:rFonts w:hint="eastAsia" w:ascii="宋体" w:hAnsi="宋体" w:eastAsia="宋体" w:cs="宋体"/>
          <w:b/>
          <w:bCs/>
          <w:snapToGrid w:val="0"/>
          <w:color w:val="auto"/>
          <w:kern w:val="0"/>
          <w:sz w:val="24"/>
          <w:szCs w:val="24"/>
          <w:highlight w:val="none"/>
        </w:rPr>
        <w:t>.2</w:t>
      </w:r>
      <w:r>
        <w:rPr>
          <w:rFonts w:hint="eastAsia" w:ascii="宋体" w:hAnsi="宋体" w:eastAsia="宋体" w:cs="宋体"/>
          <w:bCs/>
          <w:snapToGrid w:val="0"/>
          <w:color w:val="auto"/>
          <w:kern w:val="0"/>
          <w:sz w:val="24"/>
          <w:szCs w:val="24"/>
          <w:highlight w:val="none"/>
        </w:rPr>
        <w:t xml:space="preserve"> 质量保证的形式包括质量保证金、质量保证担保、质量保证保险三种，由承包人自主选择。</w:t>
      </w:r>
    </w:p>
    <w:p w14:paraId="2E4422B4">
      <w:pPr>
        <w:wordWrap w:val="0"/>
        <w:adjustRightInd w:val="0"/>
        <w:snapToGrid w:val="0"/>
        <w:spacing w:line="360" w:lineRule="auto"/>
        <w:ind w:firstLine="56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（1）采用质量保证金形式的，在结清审定总造价时一次性扣留相应金额作为质量保证金。</w:t>
      </w:r>
    </w:p>
    <w:p w14:paraId="6921347C">
      <w:pPr>
        <w:wordWrap w:val="0"/>
        <w:adjustRightInd w:val="0"/>
        <w:snapToGrid w:val="0"/>
        <w:spacing w:line="360" w:lineRule="auto"/>
        <w:ind w:firstLine="56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（2）采用质量保证担保或质量保证保险的，承包人应在竣工验收时向发包人提交有效的银行保函或保险合同（或保险单）原件，银行保函或保险合同（或保险单）的有效期不得短于缺陷责任期。</w:t>
      </w:r>
    </w:p>
    <w:p w14:paraId="3B718F59">
      <w:pPr>
        <w:wordWrap w:val="0"/>
        <w:adjustRightInd w:val="0"/>
        <w:snapToGrid w:val="0"/>
        <w:spacing w:line="360" w:lineRule="auto"/>
        <w:ind w:firstLine="560"/>
        <w:rPr>
          <w:rFonts w:hint="eastAsia" w:ascii="宋体" w:hAnsi="宋体" w:eastAsia="宋体" w:cs="宋体"/>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w:t>
      </w:r>
      <w:r>
        <w:rPr>
          <w:rFonts w:hint="eastAsia" w:ascii="宋体" w:hAnsi="宋体" w:eastAsia="宋体" w:cs="宋体"/>
          <w:b/>
          <w:bCs/>
          <w:snapToGrid w:val="0"/>
          <w:color w:val="auto"/>
          <w:kern w:val="0"/>
          <w:sz w:val="24"/>
          <w:szCs w:val="24"/>
          <w:highlight w:val="none"/>
          <w:lang w:val="en-US" w:eastAsia="zh-CN"/>
        </w:rPr>
        <w:t>4</w:t>
      </w:r>
      <w:r>
        <w:rPr>
          <w:rFonts w:hint="eastAsia" w:ascii="宋体" w:hAnsi="宋体" w:eastAsia="宋体" w:cs="宋体"/>
          <w:b/>
          <w:bCs/>
          <w:snapToGrid w:val="0"/>
          <w:color w:val="auto"/>
          <w:kern w:val="0"/>
          <w:sz w:val="24"/>
          <w:szCs w:val="24"/>
          <w:highlight w:val="none"/>
        </w:rPr>
        <w:t>.3</w:t>
      </w:r>
      <w:r>
        <w:rPr>
          <w:rFonts w:hint="eastAsia" w:ascii="宋体" w:hAnsi="宋体" w:eastAsia="宋体" w:cs="宋体"/>
          <w:bCs/>
          <w:snapToGrid w:val="0"/>
          <w:color w:val="auto"/>
          <w:kern w:val="0"/>
          <w:sz w:val="24"/>
          <w:szCs w:val="24"/>
          <w:highlight w:val="none"/>
        </w:rPr>
        <w:t xml:space="preserve"> 缺陷责任期内，由承包人原因造成的缺陷，承包人应负责维修，并承担鉴定及维修费用。如果承包人不维修也不承担费用，发包人可按合同约定从质量保证中扣除，维修费用超出保证金额的，发包人可按合同约定向承包人进行索赔。承包人维修并承担相应费用后，不免除对工程的损失赔偿责任。</w:t>
      </w:r>
    </w:p>
    <w:p w14:paraId="34071E5E">
      <w:pPr>
        <w:wordWrap w:val="0"/>
        <w:adjustRightInd w:val="0"/>
        <w:snapToGrid w:val="0"/>
        <w:spacing w:line="360" w:lineRule="auto"/>
        <w:ind w:firstLine="56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由他人原因造成的缺陷，发包人负责组织维修，承包人不承担费用，且发包人不得从质量保证中扣除费用。</w:t>
      </w:r>
    </w:p>
    <w:p w14:paraId="1732DD4B">
      <w:pPr>
        <w:wordWrap w:val="0"/>
        <w:adjustRightInd w:val="0"/>
        <w:snapToGrid w:val="0"/>
        <w:spacing w:line="360" w:lineRule="auto"/>
        <w:ind w:firstLine="560"/>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w:t>
      </w:r>
      <w:r>
        <w:rPr>
          <w:rFonts w:hint="eastAsia" w:ascii="宋体" w:hAnsi="宋体" w:eastAsia="宋体" w:cs="宋体"/>
          <w:b/>
          <w:bCs/>
          <w:snapToGrid w:val="0"/>
          <w:color w:val="auto"/>
          <w:kern w:val="0"/>
          <w:sz w:val="24"/>
          <w:szCs w:val="24"/>
          <w:highlight w:val="none"/>
          <w:lang w:val="en-US" w:eastAsia="zh-CN"/>
        </w:rPr>
        <w:t>4</w:t>
      </w:r>
      <w:r>
        <w:rPr>
          <w:rFonts w:hint="eastAsia" w:ascii="宋体" w:hAnsi="宋体" w:eastAsia="宋体" w:cs="宋体"/>
          <w:b/>
          <w:bCs/>
          <w:snapToGrid w:val="0"/>
          <w:color w:val="auto"/>
          <w:kern w:val="0"/>
          <w:sz w:val="24"/>
          <w:szCs w:val="24"/>
          <w:highlight w:val="none"/>
        </w:rPr>
        <w:t>.4</w:t>
      </w:r>
      <w:r>
        <w:rPr>
          <w:rFonts w:hint="eastAsia" w:ascii="宋体" w:hAnsi="宋体" w:eastAsia="宋体" w:cs="宋体"/>
          <w:bCs/>
          <w:snapToGrid w:val="0"/>
          <w:color w:val="auto"/>
          <w:kern w:val="0"/>
          <w:sz w:val="24"/>
          <w:szCs w:val="24"/>
          <w:highlight w:val="none"/>
        </w:rPr>
        <w:t xml:space="preserve"> 缺陷责任期内，承包人应认真履行合同约定的责任。缺陷责任期到期后，承包人向发包人申请退还质量保证，发包人应按照《建设工程质量保证金管理办法》有关规定将质量保证退还给承包人。</w:t>
      </w:r>
    </w:p>
    <w:p w14:paraId="100A067F">
      <w:pPr>
        <w:wordWrap w:val="0"/>
        <w:adjustRightInd w:val="0"/>
        <w:snapToGrid w:val="0"/>
        <w:spacing w:line="360" w:lineRule="auto"/>
        <w:ind w:firstLine="560"/>
        <w:rPr>
          <w:rFonts w:hint="eastAsia" w:ascii="宋体" w:hAnsi="宋体" w:eastAsia="宋体" w:cs="宋体"/>
          <w:strike/>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w:t>
      </w:r>
      <w:r>
        <w:rPr>
          <w:rFonts w:hint="eastAsia" w:ascii="宋体" w:hAnsi="宋体" w:eastAsia="宋体" w:cs="宋体"/>
          <w:b/>
          <w:bCs/>
          <w:snapToGrid w:val="0"/>
          <w:color w:val="auto"/>
          <w:kern w:val="0"/>
          <w:sz w:val="24"/>
          <w:szCs w:val="24"/>
          <w:highlight w:val="none"/>
          <w:lang w:val="en-US" w:eastAsia="zh-CN"/>
        </w:rPr>
        <w:t>5</w:t>
      </w:r>
      <w:r>
        <w:rPr>
          <w:rFonts w:hint="eastAsia" w:ascii="宋体" w:hAnsi="宋体" w:eastAsia="宋体" w:cs="宋体"/>
          <w:b/>
          <w:snapToGrid w:val="0"/>
          <w:color w:val="auto"/>
          <w:kern w:val="0"/>
          <w:sz w:val="24"/>
          <w:szCs w:val="24"/>
          <w:highlight w:val="none"/>
        </w:rPr>
        <w:t>．不良行为处理</w:t>
      </w:r>
    </w:p>
    <w:p w14:paraId="6A4CC5D5">
      <w:pPr>
        <w:pStyle w:val="59"/>
        <w:wordWrap w:val="0"/>
        <w:adjustRightInd w:val="0"/>
        <w:snapToGrid w:val="0"/>
        <w:spacing w:line="360" w:lineRule="auto"/>
        <w:ind w:firstLine="480" w:firstLineChars="200"/>
        <w:jc w:val="left"/>
        <w:rPr>
          <w:rFonts w:hint="eastAsia" w:ascii="宋体" w:hAnsi="宋体" w:eastAsia="宋体" w:cs="宋体"/>
          <w:snapToGrid w:val="0"/>
          <w:color w:val="auto"/>
          <w:kern w:val="0"/>
          <w:sz w:val="24"/>
          <w:szCs w:val="24"/>
          <w:highlight w:val="none"/>
        </w:rPr>
      </w:pPr>
      <w:r>
        <w:rPr>
          <w:rStyle w:val="31"/>
          <w:rFonts w:hint="eastAsia" w:ascii="宋体" w:hAnsi="宋体" w:eastAsia="宋体" w:cs="宋体"/>
          <w:color w:val="auto"/>
          <w:kern w:val="0"/>
          <w:sz w:val="24"/>
          <w:szCs w:val="24"/>
          <w:highlight w:val="none"/>
        </w:rPr>
        <w:t>承包人及其有关人员有下列行为之一的，发包人应及时向建设行政主管部门报告</w:t>
      </w:r>
      <w:r>
        <w:rPr>
          <w:rFonts w:hint="eastAsia" w:ascii="宋体" w:hAnsi="宋体" w:eastAsia="宋体" w:cs="宋体"/>
          <w:snapToGrid w:val="0"/>
          <w:color w:val="auto"/>
          <w:kern w:val="0"/>
          <w:sz w:val="24"/>
          <w:szCs w:val="24"/>
          <w:highlight w:val="none"/>
        </w:rPr>
        <w:t>。</w:t>
      </w:r>
    </w:p>
    <w:p w14:paraId="6F818141">
      <w:pPr>
        <w:pStyle w:val="59"/>
        <w:wordWrap w:val="0"/>
        <w:adjustRightInd w:val="0"/>
        <w:snapToGrid w:val="0"/>
        <w:spacing w:line="360" w:lineRule="auto"/>
        <w:ind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（1）转包、违法分包或违反投标承诺分包工程的；</w:t>
      </w:r>
    </w:p>
    <w:p w14:paraId="02E8D580">
      <w:pPr>
        <w:pStyle w:val="59"/>
        <w:wordWrap w:val="0"/>
        <w:adjustRightInd w:val="0"/>
        <w:snapToGrid w:val="0"/>
        <w:spacing w:line="360" w:lineRule="auto"/>
        <w:ind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（2）非原参加投标中标的项目经理负责组织施工或在实施过程中擅自更换项目经理的、项目的其他主要管理人员与中标文件确定的人员不相符的；</w:t>
      </w:r>
    </w:p>
    <w:p w14:paraId="25D7FA12">
      <w:pPr>
        <w:pStyle w:val="59"/>
        <w:wordWrap w:val="0"/>
        <w:adjustRightInd w:val="0"/>
        <w:snapToGrid w:val="0"/>
        <w:spacing w:line="360" w:lineRule="auto"/>
        <w:ind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（3）投标文件确定的大型机械设备没有进入施工现场的；</w:t>
      </w:r>
    </w:p>
    <w:p w14:paraId="523A7841">
      <w:pPr>
        <w:pStyle w:val="59"/>
        <w:wordWrap w:val="0"/>
        <w:adjustRightInd w:val="0"/>
        <w:snapToGrid w:val="0"/>
        <w:spacing w:line="360" w:lineRule="auto"/>
        <w:ind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（4）与建设单位、监理单位串通，签认虚假工程量或工程造价的；</w:t>
      </w:r>
    </w:p>
    <w:p w14:paraId="706E23DD">
      <w:pPr>
        <w:pStyle w:val="59"/>
        <w:wordWrap w:val="0"/>
        <w:adjustRightInd w:val="0"/>
        <w:snapToGrid w:val="0"/>
        <w:spacing w:line="360" w:lineRule="auto"/>
        <w:ind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（5）项目经理施工现场管理不到位的；</w:t>
      </w:r>
    </w:p>
    <w:p w14:paraId="2188A564">
      <w:pPr>
        <w:pStyle w:val="59"/>
        <w:wordWrap w:val="0"/>
        <w:adjustRightInd w:val="0"/>
        <w:snapToGrid w:val="0"/>
        <w:spacing w:line="360" w:lineRule="auto"/>
        <w:ind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（6）项目经理在非本人资格证书注册单位从事工程项目施工管理的；</w:t>
      </w:r>
    </w:p>
    <w:p w14:paraId="0C0C029F">
      <w:pPr>
        <w:pStyle w:val="59"/>
        <w:wordWrap w:val="0"/>
        <w:adjustRightInd w:val="0"/>
        <w:snapToGrid w:val="0"/>
        <w:spacing w:line="360" w:lineRule="auto"/>
        <w:ind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（7）项目经理同时承担超过一项工程项目的；</w:t>
      </w:r>
    </w:p>
    <w:p w14:paraId="7FB87AEF">
      <w:pPr>
        <w:pStyle w:val="59"/>
        <w:wordWrap w:val="0"/>
        <w:adjustRightInd w:val="0"/>
        <w:snapToGrid w:val="0"/>
        <w:spacing w:line="360" w:lineRule="auto"/>
        <w:ind w:firstLine="480" w:firstLineChars="200"/>
        <w:jc w:val="left"/>
        <w:rPr>
          <w:rFonts w:hint="eastAsia" w:ascii="宋体" w:hAnsi="宋体" w:eastAsia="宋体" w:cs="宋体"/>
          <w:b/>
          <w:bCs/>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（8）违反有关法律、法规、规章规定的其它行为。</w:t>
      </w:r>
    </w:p>
    <w:p w14:paraId="7EFE8C10">
      <w:pPr>
        <w:pStyle w:val="59"/>
        <w:wordWrap w:val="0"/>
        <w:adjustRightInd w:val="0"/>
        <w:snapToGrid w:val="0"/>
        <w:spacing w:line="360" w:lineRule="auto"/>
        <w:ind w:firstLine="482" w:firstLineChars="200"/>
        <w:jc w:val="left"/>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w:t>
      </w:r>
      <w:r>
        <w:rPr>
          <w:rFonts w:hint="eastAsia" w:ascii="宋体" w:hAnsi="宋体" w:eastAsia="宋体" w:cs="宋体"/>
          <w:b/>
          <w:bCs/>
          <w:snapToGrid w:val="0"/>
          <w:color w:val="auto"/>
          <w:kern w:val="0"/>
          <w:sz w:val="24"/>
          <w:szCs w:val="24"/>
          <w:highlight w:val="none"/>
          <w:lang w:val="en-US" w:eastAsia="zh-CN"/>
        </w:rPr>
        <w:t>6</w:t>
      </w:r>
      <w:r>
        <w:rPr>
          <w:rFonts w:hint="eastAsia" w:ascii="宋体" w:hAnsi="宋体" w:eastAsia="宋体" w:cs="宋体"/>
          <w:b/>
          <w:snapToGrid w:val="0"/>
          <w:color w:val="auto"/>
          <w:kern w:val="0"/>
          <w:sz w:val="24"/>
          <w:szCs w:val="24"/>
          <w:highlight w:val="none"/>
        </w:rPr>
        <w:t>．</w:t>
      </w:r>
      <w:r>
        <w:rPr>
          <w:rFonts w:hint="eastAsia" w:ascii="宋体" w:hAnsi="宋体" w:eastAsia="宋体" w:cs="宋体"/>
          <w:b/>
          <w:bCs/>
          <w:snapToGrid w:val="0"/>
          <w:color w:val="auto"/>
          <w:kern w:val="0"/>
          <w:sz w:val="24"/>
          <w:szCs w:val="24"/>
          <w:highlight w:val="none"/>
        </w:rPr>
        <w:t>信用评价条款内容</w:t>
      </w:r>
    </w:p>
    <w:p w14:paraId="5C9B2393">
      <w:pPr>
        <w:pStyle w:val="45"/>
        <w:wordWrap w:val="0"/>
        <w:adjustRightInd w:val="0"/>
        <w:snapToGrid w:val="0"/>
        <w:spacing w:line="360" w:lineRule="auto"/>
        <w:ind w:firstLine="56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由招标人决定是否对施工单位的履约情况进行信用评价。若进行信用评价，评价条款由招标人自拟，条款内容可参考人员到位情况、服务配合程度、服务成果质量、项目后期服务及信用评价结果的运用等。</w:t>
      </w:r>
    </w:p>
    <w:p w14:paraId="2A7BF1C0">
      <w:pPr>
        <w:keepNext w:val="0"/>
        <w:keepLines w:val="0"/>
        <w:widowControl/>
        <w:suppressLineNumbers w:val="0"/>
        <w:spacing w:line="360" w:lineRule="auto"/>
        <w:ind w:firstLine="482" w:firstLineChars="200"/>
        <w:jc w:val="left"/>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w:t>
      </w:r>
      <w:r>
        <w:rPr>
          <w:rFonts w:hint="eastAsia" w:ascii="宋体" w:hAnsi="宋体" w:eastAsia="宋体" w:cs="宋体"/>
          <w:b/>
          <w:bCs/>
          <w:snapToGrid w:val="0"/>
          <w:color w:val="auto"/>
          <w:kern w:val="0"/>
          <w:sz w:val="24"/>
          <w:szCs w:val="24"/>
          <w:highlight w:val="none"/>
          <w:lang w:val="en-US" w:eastAsia="zh-CN"/>
        </w:rPr>
        <w:t>7</w:t>
      </w:r>
      <w:r>
        <w:rPr>
          <w:rFonts w:hint="eastAsia" w:ascii="宋体" w:hAnsi="宋体" w:eastAsia="宋体" w:cs="宋体"/>
          <w:b/>
          <w:bCs/>
          <w:snapToGrid w:val="0"/>
          <w:color w:val="auto"/>
          <w:kern w:val="0"/>
          <w:sz w:val="24"/>
          <w:szCs w:val="24"/>
          <w:highlight w:val="none"/>
        </w:rPr>
        <w:t>.</w:t>
      </w:r>
      <w:r>
        <w:rPr>
          <w:rFonts w:hint="eastAsia" w:ascii="宋体" w:hAnsi="宋体" w:eastAsia="宋体" w:cs="宋体"/>
          <w:b/>
          <w:bCs/>
          <w:snapToGrid w:val="0"/>
          <w:color w:val="auto"/>
          <w:kern w:val="0"/>
          <w:sz w:val="24"/>
          <w:szCs w:val="24"/>
          <w:highlight w:val="none"/>
          <w:lang w:val="en-US" w:eastAsia="zh-CN"/>
        </w:rPr>
        <w:t>其他事项</w:t>
      </w:r>
    </w:p>
    <w:p w14:paraId="3C3B1A4C">
      <w:pPr>
        <w:keepNext w:val="0"/>
        <w:keepLines w:val="0"/>
        <w:widowControl/>
        <w:suppressLineNumbers w:val="0"/>
        <w:spacing w:line="360" w:lineRule="auto"/>
        <w:ind w:firstLine="482" w:firstLineChars="200"/>
        <w:jc w:val="left"/>
        <w:rPr>
          <w:rFonts w:hint="eastAsia" w:ascii="宋体" w:hAnsi="宋体" w:eastAsia="宋体" w:cs="宋体"/>
          <w:b/>
          <w:bCs/>
          <w:snapToGrid w:val="0"/>
          <w:color w:val="auto"/>
          <w:kern w:val="0"/>
          <w:sz w:val="24"/>
          <w:szCs w:val="24"/>
          <w:highlight w:val="none"/>
        </w:rPr>
      </w:pPr>
    </w:p>
    <w:p w14:paraId="3D806AC0">
      <w:pPr>
        <w:keepNext w:val="0"/>
        <w:keepLines w:val="0"/>
        <w:widowControl/>
        <w:suppressLineNumbers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b/>
          <w:bCs/>
          <w:color w:val="auto"/>
          <w:kern w:val="0"/>
          <w:sz w:val="24"/>
          <w:szCs w:val="24"/>
          <w:highlight w:val="none"/>
          <w:lang w:val="en-US" w:eastAsia="zh-CN" w:bidi="ar"/>
        </w:rPr>
        <w:t xml:space="preserve">17.1 </w:t>
      </w:r>
      <w:r>
        <w:rPr>
          <w:rFonts w:hint="eastAsia" w:ascii="宋体" w:hAnsi="宋体" w:eastAsia="宋体" w:cs="宋体"/>
          <w:color w:val="auto"/>
          <w:kern w:val="0"/>
          <w:sz w:val="24"/>
          <w:szCs w:val="24"/>
          <w:highlight w:val="none"/>
          <w:lang w:val="en-US" w:eastAsia="zh-CN" w:bidi="ar"/>
        </w:rPr>
        <w:t>危险性较大的分部分项工程安全管理约定。中标人应对建设单位组织的勘察、设计等单位在施工招标文件中列出的危大工程清单进行投标文件回应。对危险性较大的工程必须按《危险性较大的分部分项工程安全管理规定》（中华人民共和国住房和城乡建设部令第 37 号）的规定编制专项施工方案。同时，中标人必须按照《危险性较大的分部分项工程安全管理规定》的规定和经审批的专项施工方案履行安全职责，严格执行国家、地方政府有关施工安全管理方面的法律、法规及规章制度，同时严格执行招标人制订的本项目安全生产管理方面的规章制度、安全检查程序及施工安全管理要求，以及监理人有关安全工作的指令。中标人应根据《危险性较大的分部分项工程安全管理规定》（住房和城乡建设部令第 37 号）、《住房和城乡建设部办公厅关于实施&lt;危险性较大的分部分项工程安全管理规定&gt;有关问题的通知》（建办质〔2018〕31 号）、《广东省住房和城乡建设厅关于房屋市政工程危险性较大的分部分项工程安全管理的实施细则的通知》(粤建规范〔2019〕2 号) 和《广东省安全生产委员会办公室 广东省住房和城乡建设厅关于&lt;严格落实危险性较大的分部分项工程“六不施工”要求的通知&gt;》（粤安办〔2020〕151 号）等有关危险性较大的分部分项工程的法规规定通知，履行建设工程安全生产管理职责。</w:t>
      </w:r>
    </w:p>
    <w:p w14:paraId="365D453E">
      <w:pPr>
        <w:keepNext w:val="0"/>
        <w:keepLines w:val="0"/>
        <w:widowControl/>
        <w:suppressLineNumbers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b/>
          <w:bCs/>
          <w:color w:val="auto"/>
          <w:kern w:val="0"/>
          <w:sz w:val="24"/>
          <w:szCs w:val="24"/>
          <w:highlight w:val="none"/>
          <w:lang w:val="en-US" w:eastAsia="zh-CN" w:bidi="ar"/>
        </w:rPr>
        <w:t xml:space="preserve">17.2 </w:t>
      </w:r>
      <w:r>
        <w:rPr>
          <w:rFonts w:hint="eastAsia" w:ascii="宋体" w:hAnsi="宋体" w:eastAsia="宋体" w:cs="宋体"/>
          <w:color w:val="auto"/>
          <w:kern w:val="0"/>
          <w:sz w:val="24"/>
          <w:szCs w:val="24"/>
          <w:highlight w:val="none"/>
          <w:lang w:val="en-US" w:eastAsia="zh-CN" w:bidi="ar"/>
        </w:rPr>
        <w:t xml:space="preserve">中标人在工程实施过程中，按照国家、省、市的相关规定制定相关的专项安全施工方案（如高支模、基坑支护、沉井等），编制专项施工方案报监理人、招标人审批后方可开展专项工程的施工。 </w:t>
      </w:r>
    </w:p>
    <w:p w14:paraId="7858634C">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t xml:space="preserve">17.3 </w:t>
      </w:r>
      <w:r>
        <w:rPr>
          <w:rFonts w:hint="eastAsia" w:ascii="宋体" w:hAnsi="宋体" w:eastAsia="宋体" w:cs="宋体"/>
          <w:color w:val="auto"/>
          <w:kern w:val="0"/>
          <w:sz w:val="24"/>
          <w:szCs w:val="24"/>
          <w:highlight w:val="none"/>
          <w:lang w:val="en-US" w:eastAsia="zh-CN" w:bidi="ar"/>
        </w:rPr>
        <w:t>中标人须按照《韶关市建筑垃圾管理条例》（2021 年 5 月 1 日起施行），将弃土运至经韶关市政府有关规定核准使用的建筑垃圾消纳场，否则招标人有权要求中标人无条件将弃土从违约弃土点运至经韶关市政府有关规定核准使用的建筑垃圾消纳场并扣除违约金 3 万元人民币/次。中标人对建筑垃圾须按《韶关市建筑垃圾管理条例》（2021 年 5 月 1 日起 施行）的相关规定进行排放和运输，投标人在投标报价时综合考虑在报价内。中标人应在施工现场建立洗车槽和临时排水系统等确保外运车辆（土方运输车辆应符合韶关市相关规定）不带泥上路，投标人在投标报价时综合考虑在报价内，招标人不另行支付该部分费用）。建设单位、施工单位应当在施工工地出入口显著位置公示建筑垃圾处理方案主要信息，包括建设工程垃圾种类、产生量、外运处置去向等信息及各相关单位名称、联系人及联系电话等。</w:t>
      </w:r>
    </w:p>
    <w:p w14:paraId="61C1DCD2">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17.4 工程竣工验收后 15 日内，中标人应按市城建档案馆的要求（质量、数量），将编制成册的施工档案资料（含声像档案和电子档案）提供给招标人、市城建档案馆、市住建管理局、管养单位及监理单位，并承担档案涉及的所有费用（制作标准和相关要求按市城建档案馆的有关规定执行）。中标人提交符合城建档案馆要求的竣工资料经招标人确认签收后，即可办理工程结算手续。</w:t>
      </w:r>
    </w:p>
    <w:p w14:paraId="680D496F">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17.5 根据《韶关市工程建设领域农民工工资保证金管理实施细则》（韶人社规〔2023〕 </w:t>
      </w:r>
    </w:p>
    <w:p w14:paraId="102E9AEF">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2 号）文件规定，中标人应当自工程取得施工许可证（开工报告批复、开工备案）之日起 20 个工作日内按承包合同工程造价 3%的比例（不超过 500 万元）一次性将工人工资保证金存入银行专用存款账户。逾期未交纳的，招标人将扣留与本项目工人工资保证金等额的工程款（工人工资除外），直至中标人按《韶关市工程建设领域农民工工资保证金管理实施细则》相关文件要求缴纳工人工资保证金。在中标人未按要求缴纳工人工资保证金期间，招标人扣留的工程款将作为工人工资保证金的预备资金，招标人有权将该部分资金用于处理该项目工人工资拖欠等情况的问题。如发生中标人拖欠民工工资并且向政府或招标人索要中标人拖欠工资的，招标人有权使用工人工资保证金或在剩余进度款范围内代中标人向民工支付工资，中标人对招标人垫付工资的人员范围和工资数额均不得提出异议。招标人代支的工资除了从当期工程款内直接扣除外,并按招标文件相关约定缴纳违约金。</w:t>
      </w:r>
    </w:p>
    <w:p w14:paraId="0F3148BD">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（一）用人单位应当在工程施工合同签订之日起 30 日内，在建设项目所在地的银行业金融机构设立工人工资支付专用账户,发包人支付工程款时，将按工程款（不含工人工资）和工人工资两部分分开支付，工人工资支付至专用账户。 </w:t>
      </w:r>
    </w:p>
    <w:p w14:paraId="0A986F9A">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（二）用人单位应当在用工之日起 15 日内在专用账户绑定农民工本人具有金融功能的社会保障卡或银行卡实行一人一卡、本人持卡。 </w:t>
      </w:r>
    </w:p>
    <w:p w14:paraId="3D8A0A7F">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（三）用人单位应当指定专人负责建设项目施工现场台账管理，真实、准确记录工人名册、劳务合同、劳动合同、工程进度、工时台账、劳务承包款和工人工资支付等信息，并保存两年以上备查。 </w:t>
      </w:r>
    </w:p>
    <w:p w14:paraId="6E3C7A9B">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四）用人单位应当按照“及时支付，按实结算”的原则，在规定日期前通过银行工人工资支付专用账户将工人工资直接支付到工人的个人银行账户，并建立劳动用工管理台账，并按月将工人工资支付明细表等资料报发包人备案。备案内容包括但不限于以下内容（以相关部门的要求为准）：（1）工资发放表、付款凭证（有总包单位项目负责人签名或盖章确认）；（2）施工许可证（或开工报告）、工程项目总承包、专业分包、劳务分包合同；（3）花名册及身份证复印件；（4）劳动合同；（5）委托书（写明委托代发工资情况）；（6）缴纳保证金的凭证；（7）总包企业或承包企业设立工资专用账户的凭证；（8）维权信息告示牌情况。</w:t>
      </w:r>
    </w:p>
    <w:p w14:paraId="68450335">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用人单位未建立、保存用工管理台账，或者伪造相关台账的，按照《广东省劳动保障监察条例》的规定，由人力资源社会保障部门责令改正，并可处以 2000 元以上 20000 元以下的人民币罚款。 </w:t>
      </w:r>
    </w:p>
    <w:p w14:paraId="2B6DC6EE">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（五）每次申请工程进度款需提供上期工人工资发放明细表、上期工人工资发放公示等材料。</w:t>
      </w:r>
    </w:p>
    <w:p w14:paraId="1EF2CD1F">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（六）中标人应按韶关市住房和城乡建设管理局、韶关市人力资源和社会保障局等职能部门对用工实名制的相关规定,落实工人及相关软硬件设施要求。</w:t>
      </w:r>
    </w:p>
    <w:p w14:paraId="194E4A14">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17.6 中标人在收到中标通知书后须积极配合招标人完成施工许可证的办理。</w:t>
      </w:r>
    </w:p>
    <w:p w14:paraId="66F3D65A">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17.7 中标人中标后须响应招标人组织的廉政履约会议，项目经理、法人代表或其授权委托人须参加会议。</w:t>
      </w:r>
    </w:p>
    <w:p w14:paraId="574CBD79">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17.8 中标人在施工期间应严格遵守国家、省、市有关防火和施工安全以及文明施工、夜间施工、环卫城管等规定，建立规章制度和防护措施。否则，由此造成的经济损失和法律责任，均由中标人负责。中标人应按安全施工的要求，采取严格科学的安全措施，确保施工安全和第三者的安全，承担由自身安全措施不力所造成的事故责任和发生的费用。</w:t>
      </w:r>
    </w:p>
    <w:p w14:paraId="212BF4D1">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17.9 中标人必须做好施工场地地下、地上管线、构筑物和邻近建筑物、构筑物（包括文物保护建筑）、名树名木（如有）的保护工作。 </w:t>
      </w:r>
    </w:p>
    <w:p w14:paraId="15C0EB57">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17.10 中标人需按相关规定要求，设置本工程符合相关要求的永久性标牌及规划公示牌，投标人在投标报价时综合考虑在报价内，招标人不另行支付该部分费用。</w:t>
      </w:r>
    </w:p>
    <w:p w14:paraId="0CF055BC">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17.11 中标人须为招标人、全过程造价咨询单位提供现场办公管理的便利。按工程需要 配置办公室、会议室及办公家具、生活设施，配备满足工作需要的办公设备（电脑、打印机、复印机、传真机、办公用品等）。相关费用由中标人负责，招标人不另行支付。</w:t>
      </w:r>
    </w:p>
    <w:p w14:paraId="40128385">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17.12 中标人负责受施工影响道路的环境卫生、交通组织维护及受损修复，相关费用由中标人负责，招标人不另行支付。</w:t>
      </w:r>
    </w:p>
    <w:p w14:paraId="0F57CEC0">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17.13 本工程施工时中标人的施工视频监控系统必须符合韶关市相关规定，并在投标报价中综合考虑，招标人不另行支付该部分费用。 </w:t>
      </w:r>
    </w:p>
    <w:p w14:paraId="17C92155">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17.14 中标人应已详细了解本项目的前期工作（包括征地拆迁），同时也应勘察施工现场、周围环境、地形、地貌、水文、交通等情况。中标人投标报价应已充分考虑在施工中由于招标人原因造成停工或工期延误等因素所产生的相关费用，招标人不予另计费；中标人不得以不完全了解项目的前期工作（包括征地拆迁）及现场情况为理由，提出因外界因素造成停工或工期延误的额外付款要求；对此类要求，招标人不作任何考虑及答复。非中标人原因，工程不能按期开工，或开工后全部停滞，工期按相关规定予以顺延。停工发生后，若可复工时，中标人应在收到招标人发出的复工通知书后 3 日内开始复工。</w:t>
      </w:r>
    </w:p>
    <w:p w14:paraId="3A5F171A">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17.15 承包人应充分考虑施工对接情况，为本项目的其他参建单位提供工作便利、配合及服务（如水源、电源接口等），并有针对性地组织施工；承包人与为本项目的其他参建单位就协调、配合、服务等不能达成一致的，由监理工程师协调，并遵照监理工程师指令执行；承包人应负责统筹安排本项目范围内的各项工程的协调与配合，确保工程建设有序进行。承包人由此增加的费用应认为已包括在承包人的投标报价之中，发包人不另行支付。</w:t>
      </w:r>
    </w:p>
    <w:p w14:paraId="287AF15B">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17.16 中标人应做好周边设施（含军用光缆、燃气、供电、供水、排水、排污、人行道、路灯、治安监控、交通电警等）的成品保护并及时与周边设施的权属单位协调解决，如因中标人原因导致上述设施发生损坏，中标人无条件按招标人规定的期限内修复，涉及成品保护费、索赔等一切费用全部由中标人自行解决。 </w:t>
      </w:r>
    </w:p>
    <w:p w14:paraId="6FF958EB">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17.17 招标人有权根据本项目建设的实际情况调整建设规模或减少建设内容，如出现因特殊原因取消某子项目的建设，则该子项目未完成的工作内容及费用相应扣减，中标人应在投标报价中综合考虑该因素，中标后不得因此向招标人提出额外的费用补偿或索赔，并且必须按调整后的规模及内容完成工程建设。 </w:t>
      </w:r>
    </w:p>
    <w:p w14:paraId="5CFD4E6A">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17.18 根据市政府办相关批复要求，本项目的供水管道施工完成后，清洗、消毒、检测必须按城市供水部门的要求完成，并由中标人缴纳接驳等相关费用，招标人不另行支付该部分费用。 </w:t>
      </w:r>
    </w:p>
    <w:p w14:paraId="4B5DA04F">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17.19 中标人工程变更的程序和管理按《关于加强市本级政府投资项目财政投资评审监督管理的实施意见》(韶府办发函〔2021〕32 号)意见精神执行，凡不符合本实施意见要求的变更均为无效变更。如项目实施过程中发生了工程变更及工程签证，中标人需根据招标人的《工程变更管理办法》和《工程签证管理办法》完善工程变更签证相关程序。工程变更及工程签证须在发包人确认、会议确定或出具变更图纸后 28 日内，将相关预算报及相关报批表报发包人审批，若超时未申报，视为默认由发包人或委托第三方造价咨询单位出具的预算执行。</w:t>
      </w:r>
    </w:p>
    <w:p w14:paraId="26C5C246">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17.20 垂直运输设备基础及围护等配套设施、现场围挡、临时出入口及临时道路等不形成工程实体的临时设施费用，中标人应在投标报价中综合考虑，中标后不得因此向招标人提出额外的费用补偿或索赔。</w:t>
      </w:r>
    </w:p>
    <w:p w14:paraId="0036B360">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17.21 中标人应按照《建设工程质量管理条例》《建设工程质量检测管理办法》和有关技术标准等规定和要求，进行自检和送检工作。在办理施工许可证前提交项目竣工验收备案所需的工程质量检测报告文件事项清单及送检计划。中标人自检所发生的检测费用由中标人自行负责。中标人委托的自检检测机构不得与建设单位委托的检测机构为同一家、存在隶属关系和其他利害关系。 </w:t>
      </w:r>
    </w:p>
    <w:p w14:paraId="0F4EB28A">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17.22 工程质量保修期按《中华人民共和国建筑法》《建设工程质量管理条例》等相关规定实施。 </w:t>
      </w:r>
    </w:p>
    <w:p w14:paraId="4E414F0B">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17.23 如采用银行保函方式缴纳履约保证金，在保函到期前一个月，中标人须主动办理续期手续或提交新的银行保函；如中标人未及时主动办理续期手续或提交新的银行保函，招标人有权按履约保证金金额扣留进度款（工人工资除外）作为履约保证金，直至中标人提交新的银行保函或达到履约保证金退还条件。 </w:t>
      </w:r>
    </w:p>
    <w:p w14:paraId="3B429A61">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17.24 中标人需在签订合同后 5 个工作日内向招标人免费提交与电子投标文件一致的纸质版投标文件伍份。 </w:t>
      </w:r>
    </w:p>
    <w:p w14:paraId="6C5B306F">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17.25 该项目需要消防验收，中标人需自行委托有资质的第三方消防检测单位进行消防自检并在消防验收时提供该单位检测报告，所需费用由中标人在投标时综合考虑，招标人不再另行增加费用。 </w:t>
      </w:r>
    </w:p>
    <w:p w14:paraId="7425DDE2">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17.26 工程完工后，为了本项目整体竣工验收的需要，中标人必须在招标人的统筹安排下，与为本项目其他工程服务的单位进行协同配合，做好竣工验收的各项工作，交付的工程必须符合各专业工程的相关要求。 </w:t>
      </w:r>
    </w:p>
    <w:p w14:paraId="4E56ED33">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17.27 对中标人违反《关于加强市本级政府投资项目财政投资评审监督管理的实施意见》(韶府办发函〔2021〕32 号)，造成项目投资失控或浪费的，建设行政主管部门将在市场诚信管理、市场准入、资质管理等方面，依法对其进行相应处理，并责成项目招标人按合同约定予以相应处罚。  </w:t>
      </w:r>
    </w:p>
    <w:p w14:paraId="505E65A1">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17.28 中标人如响应招标文件自愿助力百千万工程公益性项目承诺，中标后自愿公益捐建（捐赠或配建）专项用于招标人指定或双方协商一致的、与广东省“百千万工程”相关的公益项目，招标人不支付任何费用。</w:t>
      </w:r>
    </w:p>
    <w:p w14:paraId="32482620">
      <w:pPr>
        <w:pStyle w:val="15"/>
        <w:keepNext w:val="0"/>
        <w:keepLines w:val="0"/>
        <w:pageBreakBefore w:val="0"/>
        <w:wordWrap w:val="0"/>
        <w:overflowPunct/>
        <w:topLinePunct w:val="0"/>
        <w:bidi w:val="0"/>
        <w:rPr>
          <w:rFonts w:hint="eastAsia" w:ascii="宋体" w:hAnsi="宋体" w:eastAsia="宋体" w:cs="宋体"/>
          <w:color w:val="auto"/>
          <w:spacing w:val="0"/>
          <w:highlight w:val="none"/>
        </w:rPr>
      </w:pPr>
    </w:p>
    <w:p w14:paraId="6B7B42B1">
      <w:pPr>
        <w:pStyle w:val="15"/>
        <w:keepNext w:val="0"/>
        <w:keepLines w:val="0"/>
        <w:pageBreakBefore w:val="0"/>
        <w:wordWrap w:val="0"/>
        <w:overflowPunct/>
        <w:topLinePunct w:val="0"/>
        <w:bidi w:val="0"/>
        <w:rPr>
          <w:rFonts w:hint="eastAsia" w:ascii="宋体" w:hAnsi="宋体" w:eastAsia="宋体" w:cs="宋体"/>
          <w:color w:val="auto"/>
          <w:spacing w:val="0"/>
          <w:highlight w:val="none"/>
        </w:rPr>
        <w:sectPr>
          <w:footerReference r:id="rId11"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792AD8DC">
      <w:pPr>
        <w:keepNext w:val="0"/>
        <w:keepLines w:val="0"/>
        <w:pageBreakBefore w:val="0"/>
        <w:wordWrap w:val="0"/>
        <w:overflowPunct/>
        <w:topLinePunct w:val="0"/>
        <w:bidi w:val="0"/>
        <w:spacing w:before="78" w:line="219" w:lineRule="auto"/>
        <w:ind w:left="2923"/>
        <w:outlineLvl w:val="0"/>
        <w:rPr>
          <w:rFonts w:hint="eastAsia" w:ascii="宋体" w:hAnsi="宋体" w:eastAsia="宋体" w:cs="宋体"/>
          <w:color w:val="auto"/>
          <w:spacing w:val="0"/>
          <w:sz w:val="24"/>
          <w:szCs w:val="24"/>
          <w:highlight w:val="none"/>
        </w:rPr>
      </w:pPr>
      <w:bookmarkStart w:id="148" w:name="bookmark86"/>
      <w:bookmarkEnd w:id="148"/>
      <w:bookmarkStart w:id="149" w:name="_Toc29932"/>
      <w:r>
        <w:rPr>
          <w:rFonts w:hint="eastAsia" w:ascii="宋体" w:hAnsi="宋体" w:eastAsia="宋体" w:cs="宋体"/>
          <w:b/>
          <w:bCs/>
          <w:color w:val="auto"/>
          <w:spacing w:val="0"/>
          <w:sz w:val="24"/>
          <w:szCs w:val="24"/>
          <w:highlight w:val="none"/>
        </w:rPr>
        <w:t>第三章</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rPr>
        <w:t>拟签订合同的主要条款</w:t>
      </w:r>
      <w:bookmarkEnd w:id="149"/>
    </w:p>
    <w:p w14:paraId="0E1E7EDD">
      <w:pPr>
        <w:pStyle w:val="6"/>
        <w:keepNext w:val="0"/>
        <w:keepLines w:val="0"/>
        <w:pageBreakBefore w:val="0"/>
        <w:wordWrap w:val="0"/>
        <w:overflowPunct/>
        <w:topLinePunct w:val="0"/>
        <w:bidi w:val="0"/>
        <w:spacing w:line="257" w:lineRule="auto"/>
        <w:rPr>
          <w:rFonts w:hint="eastAsia" w:ascii="宋体" w:hAnsi="宋体" w:eastAsia="宋体" w:cs="宋体"/>
          <w:color w:val="auto"/>
          <w:spacing w:val="0"/>
          <w:highlight w:val="none"/>
        </w:rPr>
      </w:pPr>
    </w:p>
    <w:p w14:paraId="5D34E451">
      <w:pPr>
        <w:pStyle w:val="6"/>
        <w:keepNext w:val="0"/>
        <w:keepLines w:val="0"/>
        <w:pageBreakBefore w:val="0"/>
        <w:wordWrap w:val="0"/>
        <w:overflowPunct/>
        <w:topLinePunct w:val="0"/>
        <w:bidi w:val="0"/>
        <w:spacing w:line="257" w:lineRule="auto"/>
        <w:rPr>
          <w:rFonts w:hint="eastAsia" w:ascii="宋体" w:hAnsi="宋体" w:eastAsia="宋体" w:cs="宋体"/>
          <w:color w:val="auto"/>
          <w:spacing w:val="0"/>
          <w:highlight w:val="none"/>
        </w:rPr>
      </w:pPr>
    </w:p>
    <w:p w14:paraId="4B502DC6">
      <w:pPr>
        <w:pStyle w:val="3"/>
        <w:wordWrap w:val="0"/>
        <w:autoSpaceDE/>
        <w:autoSpaceDN/>
        <w:snapToGrid w:val="0"/>
        <w:spacing w:line="360" w:lineRule="auto"/>
        <w:jc w:val="both"/>
        <w:rPr>
          <w:rFonts w:hint="eastAsia" w:ascii="宋体" w:hAnsi="宋体" w:eastAsia="宋体" w:cs="宋体"/>
          <w:b/>
          <w:snapToGrid w:val="0"/>
          <w:color w:val="auto"/>
          <w:sz w:val="24"/>
          <w:szCs w:val="24"/>
          <w:highlight w:val="none"/>
        </w:rPr>
      </w:pPr>
      <w:bookmarkStart w:id="150" w:name="_Toc31948"/>
      <w:bookmarkStart w:id="151" w:name="_Toc20638"/>
      <w:bookmarkStart w:id="152" w:name="_Toc8493"/>
      <w:bookmarkStart w:id="153" w:name="_Toc16306"/>
      <w:bookmarkStart w:id="154" w:name="_Toc30819"/>
      <w:r>
        <w:rPr>
          <w:rFonts w:hint="eastAsia" w:ascii="宋体" w:hAnsi="宋体" w:eastAsia="宋体" w:cs="宋体"/>
          <w:b/>
          <w:snapToGrid w:val="0"/>
          <w:color w:val="auto"/>
          <w:sz w:val="24"/>
          <w:szCs w:val="24"/>
          <w:highlight w:val="none"/>
        </w:rPr>
        <w:t>1．工程承包方式</w:t>
      </w:r>
      <w:bookmarkEnd w:id="150"/>
      <w:bookmarkEnd w:id="151"/>
      <w:bookmarkEnd w:id="152"/>
      <w:bookmarkEnd w:id="153"/>
      <w:bookmarkEnd w:id="154"/>
    </w:p>
    <w:p w14:paraId="711F3826">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1.1</w:t>
      </w:r>
      <w:r>
        <w:rPr>
          <w:rFonts w:hint="eastAsia" w:ascii="宋体" w:hAnsi="宋体" w:eastAsia="宋体" w:cs="宋体"/>
          <w:snapToGrid w:val="0"/>
          <w:color w:val="auto"/>
          <w:kern w:val="0"/>
          <w:sz w:val="24"/>
          <w:szCs w:val="24"/>
          <w:highlight w:val="none"/>
        </w:rPr>
        <w:t xml:space="preserve"> 承包人以中标价按包工包料、包质量、包安全包文明施工、包工期方式总承包施工，不允许转包和违法分包，如果确需分包须与发包人协商，在得到发包人和监理单位同意后报建设行政主管部门备案。</w:t>
      </w:r>
    </w:p>
    <w:p w14:paraId="49C994CC">
      <w:pPr>
        <w:wordWrap w:val="0"/>
        <w:adjustRightInd w:val="0"/>
        <w:snapToGrid w:val="0"/>
        <w:spacing w:line="360" w:lineRule="auto"/>
        <w:ind w:firstLine="56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1.1.1</w:t>
      </w:r>
      <w:r>
        <w:rPr>
          <w:rFonts w:hint="eastAsia" w:ascii="宋体" w:hAnsi="宋体" w:eastAsia="宋体" w:cs="宋体"/>
          <w:snapToGrid w:val="0"/>
          <w:color w:val="auto"/>
          <w:kern w:val="0"/>
          <w:sz w:val="24"/>
          <w:szCs w:val="24"/>
          <w:highlight w:val="none"/>
        </w:rPr>
        <w:t xml:space="preserve"> 包工包料：材料符合招标文件要求并报验使用；办理用工保险。</w:t>
      </w:r>
    </w:p>
    <w:p w14:paraId="6AFA05C4">
      <w:pPr>
        <w:wordWrap w:val="0"/>
        <w:adjustRightInd w:val="0"/>
        <w:snapToGrid w:val="0"/>
        <w:spacing w:line="360" w:lineRule="auto"/>
        <w:ind w:firstLine="56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1.1.2</w:t>
      </w:r>
      <w:r>
        <w:rPr>
          <w:rFonts w:hint="eastAsia" w:ascii="宋体" w:hAnsi="宋体" w:eastAsia="宋体" w:cs="宋体"/>
          <w:snapToGrid w:val="0"/>
          <w:color w:val="auto"/>
          <w:kern w:val="0"/>
          <w:sz w:val="24"/>
          <w:szCs w:val="24"/>
          <w:highlight w:val="none"/>
        </w:rPr>
        <w:t xml:space="preserve"> 包质量：符合招标文件要求。</w:t>
      </w:r>
    </w:p>
    <w:p w14:paraId="2CFCCD00">
      <w:pPr>
        <w:wordWrap w:val="0"/>
        <w:adjustRightInd w:val="0"/>
        <w:snapToGrid w:val="0"/>
        <w:spacing w:line="360" w:lineRule="auto"/>
        <w:ind w:firstLine="56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1.1.3</w:t>
      </w:r>
      <w:r>
        <w:rPr>
          <w:rFonts w:hint="eastAsia" w:ascii="宋体" w:hAnsi="宋体" w:eastAsia="宋体" w:cs="宋体"/>
          <w:snapToGrid w:val="0"/>
          <w:color w:val="auto"/>
          <w:kern w:val="0"/>
          <w:sz w:val="24"/>
          <w:szCs w:val="24"/>
          <w:highlight w:val="none"/>
        </w:rPr>
        <w:t xml:space="preserve"> 包安全包文明施工：符合招标文件要求。</w:t>
      </w:r>
    </w:p>
    <w:p w14:paraId="32FB0D88">
      <w:pPr>
        <w:wordWrap w:val="0"/>
        <w:adjustRightInd w:val="0"/>
        <w:snapToGrid w:val="0"/>
        <w:spacing w:line="360" w:lineRule="auto"/>
        <w:ind w:firstLine="56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1.1.4 </w:t>
      </w:r>
      <w:r>
        <w:rPr>
          <w:rFonts w:hint="eastAsia" w:ascii="宋体" w:hAnsi="宋体" w:eastAsia="宋体" w:cs="宋体"/>
          <w:snapToGrid w:val="0"/>
          <w:color w:val="auto"/>
          <w:kern w:val="0"/>
          <w:sz w:val="24"/>
          <w:szCs w:val="24"/>
          <w:highlight w:val="none"/>
        </w:rPr>
        <w:t>包工期：本招标项目施工必须在招标工期内完成。</w:t>
      </w:r>
    </w:p>
    <w:p w14:paraId="536ED99D">
      <w:pPr>
        <w:pStyle w:val="3"/>
        <w:wordWrap w:val="0"/>
        <w:autoSpaceDE/>
        <w:autoSpaceDN/>
        <w:snapToGrid w:val="0"/>
        <w:spacing w:line="360" w:lineRule="auto"/>
        <w:jc w:val="both"/>
        <w:rPr>
          <w:rFonts w:hint="eastAsia" w:ascii="宋体" w:hAnsi="宋体" w:eastAsia="宋体" w:cs="宋体"/>
          <w:b/>
          <w:snapToGrid w:val="0"/>
          <w:color w:val="auto"/>
          <w:sz w:val="24"/>
          <w:szCs w:val="24"/>
          <w:highlight w:val="none"/>
        </w:rPr>
      </w:pPr>
      <w:bookmarkStart w:id="155" w:name="_Toc10246"/>
      <w:bookmarkStart w:id="156" w:name="_Toc14656"/>
      <w:bookmarkStart w:id="157" w:name="_Toc5555"/>
      <w:bookmarkStart w:id="158" w:name="_Toc16130"/>
      <w:bookmarkStart w:id="159" w:name="_Toc28909"/>
      <w:bookmarkStart w:id="160" w:name="_Toc4363"/>
      <w:bookmarkStart w:id="161" w:name="_Toc14079373"/>
      <w:r>
        <w:rPr>
          <w:rFonts w:hint="eastAsia" w:ascii="宋体" w:hAnsi="宋体" w:eastAsia="宋体" w:cs="宋体"/>
          <w:b/>
          <w:snapToGrid w:val="0"/>
          <w:color w:val="auto"/>
          <w:sz w:val="24"/>
          <w:szCs w:val="24"/>
          <w:highlight w:val="none"/>
        </w:rPr>
        <w:t>2．工程结算原则</w:t>
      </w:r>
      <w:bookmarkEnd w:id="155"/>
      <w:bookmarkEnd w:id="156"/>
      <w:bookmarkEnd w:id="157"/>
      <w:bookmarkEnd w:id="158"/>
      <w:bookmarkEnd w:id="159"/>
    </w:p>
    <w:p w14:paraId="4923EF71">
      <w:pPr>
        <w:wordWrap w:val="0"/>
        <w:adjustRightInd w:val="0"/>
        <w:snapToGrid w:val="0"/>
        <w:spacing w:line="360" w:lineRule="auto"/>
        <w:ind w:firstLine="48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2.1</w:t>
      </w:r>
      <w:r>
        <w:rPr>
          <w:rFonts w:hint="eastAsia" w:ascii="宋体" w:hAnsi="宋体" w:eastAsia="宋体" w:cs="宋体"/>
          <w:snapToGrid w:val="0"/>
          <w:color w:val="auto"/>
          <w:kern w:val="0"/>
          <w:sz w:val="24"/>
          <w:szCs w:val="24"/>
          <w:highlight w:val="none"/>
        </w:rPr>
        <w:t xml:space="preserve"> 承包人的投标总价为中标价，即为签约合同价。</w:t>
      </w:r>
    </w:p>
    <w:p w14:paraId="2A0A8E4A">
      <w:pPr>
        <w:wordWrap w:val="0"/>
        <w:adjustRightInd w:val="0"/>
        <w:snapToGrid w:val="0"/>
        <w:spacing w:line="360" w:lineRule="auto"/>
        <w:ind w:firstLine="48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2.2</w:t>
      </w:r>
      <w:r>
        <w:rPr>
          <w:rFonts w:hint="eastAsia" w:ascii="宋体" w:hAnsi="宋体" w:eastAsia="宋体" w:cs="宋体"/>
          <w:snapToGrid w:val="0"/>
          <w:color w:val="auto"/>
          <w:kern w:val="0"/>
          <w:sz w:val="24"/>
          <w:szCs w:val="24"/>
          <w:highlight w:val="none"/>
        </w:rPr>
        <w:t xml:space="preserve"> 招标工程量清单标明的工程量是投标人投标报价的共同基础，竣工结算的工程量按</w:t>
      </w:r>
      <w:r>
        <w:rPr>
          <w:rFonts w:hint="eastAsia" w:ascii="宋体" w:hAnsi="宋体" w:eastAsia="宋体" w:cs="宋体"/>
          <w:snapToGrid w:val="0"/>
          <w:color w:val="auto"/>
          <w:kern w:val="0"/>
          <w:sz w:val="24"/>
          <w:szCs w:val="24"/>
          <w:highlight w:val="none"/>
          <w:lang w:eastAsia="zh-CN"/>
        </w:rPr>
        <w:t>《建设工程工程量清单计价标准》（GB/T50500—2024）</w:t>
      </w:r>
      <w:r>
        <w:rPr>
          <w:rFonts w:hint="eastAsia" w:ascii="宋体" w:hAnsi="宋体" w:eastAsia="宋体" w:cs="宋体"/>
          <w:snapToGrid w:val="0"/>
          <w:color w:val="auto"/>
          <w:kern w:val="0"/>
          <w:sz w:val="24"/>
          <w:szCs w:val="24"/>
          <w:highlight w:val="none"/>
        </w:rPr>
        <w:t>对工程计量的规定进行计量，必须以承包人完成合同工程应予计量的工程量确定。施工中进行工程计量，当发现招标工程量清单中出现缺项、工程量偏差、或因工程变更引起工程量增减时，应按承包人在履行合同义务中完成的工程量计算。因承包人原因造成的超出合同工程范围施工或返工的工程量，发包人不予计量。</w:t>
      </w:r>
    </w:p>
    <w:p w14:paraId="6336CA16">
      <w:pPr>
        <w:wordWrap w:val="0"/>
        <w:adjustRightInd w:val="0"/>
        <w:snapToGrid w:val="0"/>
        <w:spacing w:line="360" w:lineRule="auto"/>
        <w:ind w:firstLine="48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w:t>
      </w:r>
      <w:r>
        <w:rPr>
          <w:rFonts w:hint="eastAsia" w:ascii="宋体" w:hAnsi="宋体" w:eastAsia="宋体" w:cs="宋体"/>
          <w:snapToGrid w:val="0"/>
          <w:color w:val="auto"/>
          <w:kern w:val="0"/>
          <w:sz w:val="24"/>
          <w:szCs w:val="24"/>
          <w:highlight w:val="none"/>
        </w:rPr>
        <w:t xml:space="preserve"> 施工合同履行期间，若出现下列情形的，发、承包双方应当按照以下规定调整合同价款：</w:t>
      </w:r>
    </w:p>
    <w:p w14:paraId="655A3D9E">
      <w:pPr>
        <w:wordWrap w:val="0"/>
        <w:adjustRightInd w:val="0"/>
        <w:snapToGrid w:val="0"/>
        <w:spacing w:line="360" w:lineRule="auto"/>
        <w:ind w:firstLine="48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2.3.1</w:t>
      </w:r>
      <w:r>
        <w:rPr>
          <w:rFonts w:hint="eastAsia" w:ascii="宋体" w:hAnsi="宋体" w:eastAsia="宋体" w:cs="宋体"/>
          <w:snapToGrid w:val="0"/>
          <w:color w:val="auto"/>
          <w:kern w:val="0"/>
          <w:sz w:val="24"/>
          <w:szCs w:val="24"/>
          <w:highlight w:val="none"/>
        </w:rPr>
        <w:t xml:space="preserve"> 法律法规变化</w:t>
      </w:r>
    </w:p>
    <w:p w14:paraId="51B26692">
      <w:pPr>
        <w:wordWrap w:val="0"/>
        <w:adjustRightInd w:val="0"/>
        <w:snapToGrid w:val="0"/>
        <w:spacing w:line="360" w:lineRule="auto"/>
        <w:ind w:firstLine="48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2.3.1.1</w:t>
      </w:r>
      <w:r>
        <w:rPr>
          <w:rFonts w:hint="eastAsia" w:ascii="宋体" w:hAnsi="宋体" w:eastAsia="宋体" w:cs="宋体"/>
          <w:snapToGrid w:val="0"/>
          <w:color w:val="auto"/>
          <w:kern w:val="0"/>
          <w:sz w:val="24"/>
          <w:szCs w:val="24"/>
          <w:highlight w:val="none"/>
        </w:rPr>
        <w:t xml:space="preserve"> 基准日之后，因国家法律、法规、规章和政策发生变化引起工程造价增减变化时，发、承包双方应按照省级建设主管部门（或省级行业主管部门）或其授权的工程造价管理机构据此发布的最新规定调整合同价款。</w:t>
      </w:r>
    </w:p>
    <w:p w14:paraId="5489942E">
      <w:pPr>
        <w:wordWrap w:val="0"/>
        <w:adjustRightInd w:val="0"/>
        <w:snapToGrid w:val="0"/>
        <w:spacing w:line="360" w:lineRule="auto"/>
        <w:ind w:firstLine="480"/>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注：本招标文件所称“基准日”，均指投标文件递交截止时间（见第一章第二节“重要事项时间地点一览表”）前28天。</w:t>
      </w:r>
      <w:r>
        <w:rPr>
          <w:rFonts w:hint="eastAsia" w:ascii="宋体" w:hAnsi="宋体" w:eastAsia="宋体" w:cs="宋体"/>
          <w:b/>
          <w:bCs/>
          <w:snapToGrid w:val="0"/>
          <w:color w:val="auto"/>
          <w:kern w:val="0"/>
          <w:sz w:val="24"/>
          <w:szCs w:val="24"/>
          <w:highlight w:val="none"/>
          <w:lang w:val="en-US" w:eastAsia="zh-CN"/>
        </w:rPr>
        <w:t>本项目最高投标限价材料价格计取基期按照2026年2月执行。</w:t>
      </w:r>
    </w:p>
    <w:p w14:paraId="631F9FE7">
      <w:pPr>
        <w:wordWrap w:val="0"/>
        <w:adjustRightInd w:val="0"/>
        <w:snapToGrid w:val="0"/>
        <w:spacing w:line="360" w:lineRule="auto"/>
        <w:ind w:firstLine="48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2.3.1.2</w:t>
      </w:r>
      <w:r>
        <w:rPr>
          <w:rFonts w:hint="eastAsia" w:ascii="宋体" w:hAnsi="宋体" w:eastAsia="宋体" w:cs="宋体"/>
          <w:snapToGrid w:val="0"/>
          <w:color w:val="auto"/>
          <w:kern w:val="0"/>
          <w:sz w:val="24"/>
          <w:szCs w:val="24"/>
          <w:highlight w:val="none"/>
        </w:rPr>
        <w:t xml:space="preserve"> 因承包人原因导致工程延误，本章第</w:t>
      </w:r>
      <w:r>
        <w:rPr>
          <w:rFonts w:hint="eastAsia" w:ascii="宋体" w:hAnsi="宋体" w:eastAsia="宋体" w:cs="宋体"/>
          <w:b/>
          <w:bCs/>
          <w:snapToGrid w:val="0"/>
          <w:color w:val="auto"/>
          <w:kern w:val="0"/>
          <w:sz w:val="24"/>
          <w:szCs w:val="24"/>
          <w:highlight w:val="none"/>
        </w:rPr>
        <w:t>2.3.1.1</w:t>
      </w:r>
      <w:r>
        <w:rPr>
          <w:rFonts w:hint="eastAsia" w:ascii="宋体" w:hAnsi="宋体" w:eastAsia="宋体" w:cs="宋体"/>
          <w:snapToGrid w:val="0"/>
          <w:color w:val="auto"/>
          <w:kern w:val="0"/>
          <w:sz w:val="24"/>
          <w:szCs w:val="24"/>
          <w:highlight w:val="none"/>
        </w:rPr>
        <w:t>子目中的法定机构根据国家法律法规变化发布新规的时间在合同工程原定竣工时间之后的，合同价款调增的不予调整，合同价款调减的予以调整。</w:t>
      </w:r>
    </w:p>
    <w:p w14:paraId="5058E544">
      <w:pPr>
        <w:wordWrap w:val="0"/>
        <w:adjustRightInd w:val="0"/>
        <w:snapToGrid w:val="0"/>
        <w:spacing w:line="360" w:lineRule="auto"/>
        <w:ind w:firstLine="48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2.3.2</w:t>
      </w:r>
      <w:r>
        <w:rPr>
          <w:rFonts w:hint="eastAsia" w:ascii="宋体" w:hAnsi="宋体" w:eastAsia="宋体" w:cs="宋体"/>
          <w:snapToGrid w:val="0"/>
          <w:color w:val="auto"/>
          <w:kern w:val="0"/>
          <w:sz w:val="24"/>
          <w:szCs w:val="24"/>
          <w:highlight w:val="none"/>
        </w:rPr>
        <w:t xml:space="preserve"> 工程量偏差或变化</w:t>
      </w:r>
    </w:p>
    <w:p w14:paraId="5F47113F">
      <w:pPr>
        <w:wordWrap w:val="0"/>
        <w:adjustRightInd w:val="0"/>
        <w:snapToGrid w:val="0"/>
        <w:spacing w:line="360" w:lineRule="auto"/>
        <w:ind w:firstLine="480"/>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b/>
          <w:bCs/>
          <w:snapToGrid w:val="0"/>
          <w:color w:val="auto"/>
          <w:kern w:val="0"/>
          <w:sz w:val="24"/>
          <w:szCs w:val="24"/>
          <w:highlight w:val="none"/>
        </w:rPr>
        <w:t>2.3.2.1</w:t>
      </w:r>
      <w:r>
        <w:rPr>
          <w:rFonts w:hint="eastAsia" w:ascii="宋体" w:hAnsi="宋体" w:eastAsia="宋体" w:cs="宋体"/>
          <w:snapToGrid w:val="0"/>
          <w:color w:val="auto"/>
          <w:kern w:val="0"/>
          <w:sz w:val="24"/>
          <w:szCs w:val="24"/>
          <w:highlight w:val="none"/>
        </w:rPr>
        <w:t xml:space="preserve"> </w:t>
      </w:r>
      <w:r>
        <w:rPr>
          <w:rFonts w:hint="eastAsia" w:ascii="宋体" w:hAnsi="宋体" w:eastAsia="宋体" w:cs="宋体"/>
          <w:snapToGrid w:val="0"/>
          <w:color w:val="auto"/>
          <w:kern w:val="0"/>
          <w:sz w:val="24"/>
          <w:szCs w:val="24"/>
          <w:highlight w:val="none"/>
          <w:lang w:val="en-US" w:eastAsia="zh-CN"/>
        </w:rPr>
        <w:t>合同履行期间，当应予计算的实际工程量与招标工程量清单出现偏差或因其他工程变更引起已标价工程量清单项目的工程数量发生变化时，综合单价应予调整，</w:t>
      </w:r>
      <w:r>
        <w:rPr>
          <w:rFonts w:hint="eastAsia" w:ascii="宋体" w:hAnsi="宋体" w:eastAsia="宋体" w:cs="宋体"/>
          <w:b/>
          <w:bCs/>
          <w:snapToGrid w:val="0"/>
          <w:color w:val="auto"/>
          <w:kern w:val="0"/>
          <w:sz w:val="24"/>
          <w:szCs w:val="24"/>
          <w:highlight w:val="none"/>
          <w:lang w:val="en-US" w:eastAsia="zh-CN"/>
        </w:rPr>
        <w:t>调整后的综合单价为计算结算价的依据，综合单价和工程量计算方式按照以下规定调整：</w:t>
      </w:r>
    </w:p>
    <w:p w14:paraId="1B3DC0DB">
      <w:pPr>
        <w:keepNext w:val="0"/>
        <w:keepLines w:val="0"/>
        <w:widowControl/>
        <w:suppressLineNumbers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（一）属于合理报价的清单项目：①工程量偏差或变化在 15%以内（含 15%）的，按承包人的综合单价不予调整。②工程量偏差或变化超过 15%的，工程量增加超出 15%的部分，其综合单价以该分部分项工程量清单项目承包人投标的综合单价为基价调低 3 %；工程量减少15%以上时，减少后剩余部分的工程量的综合单价以该分部分项工程量清单项目承包人投标的综合单价为基价调高 3 %。</w:t>
      </w:r>
    </w:p>
    <w:p w14:paraId="7C47F8E4">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（二）属于不平衡报价的清单项目：①工程量偏差或变化造成增加的工程量，当 P0＜P1×（1-L）×（1-15%）时，综合单价按照 P1×（1-L）×（1-15%）调整；当 P0＞P1×（1+15%）时，综合单价按照 P1×（1+15%）调整。②工程量偏差或变化造成工程量减少时，减少后剩余部分的工程量的综合单价按承包人的综合单价不予调整。（以上 P0、P1、L 的定义按第二章 中标人须知 4.2.4 不平衡报价的认定条款）</w:t>
      </w:r>
    </w:p>
    <w:p w14:paraId="52F63421">
      <w:pPr>
        <w:wordWrap w:val="0"/>
        <w:adjustRightInd w:val="0"/>
        <w:snapToGrid w:val="0"/>
        <w:spacing w:line="360" w:lineRule="auto"/>
        <w:ind w:firstLine="48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2.3.2.2</w:t>
      </w:r>
      <w:r>
        <w:rPr>
          <w:rFonts w:hint="eastAsia" w:ascii="宋体" w:hAnsi="宋体" w:eastAsia="宋体" w:cs="宋体"/>
          <w:snapToGrid w:val="0"/>
          <w:color w:val="auto"/>
          <w:kern w:val="0"/>
          <w:sz w:val="24"/>
          <w:szCs w:val="24"/>
          <w:highlight w:val="none"/>
        </w:rPr>
        <w:t xml:space="preserve"> 如果工程量出现本章第</w:t>
      </w:r>
      <w:r>
        <w:rPr>
          <w:rFonts w:hint="eastAsia" w:ascii="宋体" w:hAnsi="宋体" w:eastAsia="宋体" w:cs="宋体"/>
          <w:b/>
          <w:bCs/>
          <w:snapToGrid w:val="0"/>
          <w:color w:val="auto"/>
          <w:kern w:val="0"/>
          <w:sz w:val="24"/>
          <w:szCs w:val="24"/>
          <w:highlight w:val="none"/>
        </w:rPr>
        <w:t>2.3.2.1</w:t>
      </w:r>
      <w:r>
        <w:rPr>
          <w:rFonts w:hint="eastAsia" w:ascii="宋体" w:hAnsi="宋体" w:eastAsia="宋体" w:cs="宋体"/>
          <w:snapToGrid w:val="0"/>
          <w:color w:val="auto"/>
          <w:kern w:val="0"/>
          <w:sz w:val="24"/>
          <w:szCs w:val="24"/>
          <w:highlight w:val="none"/>
        </w:rPr>
        <w:t>子目的变化，且该变化引起相关措施项目相应发生变化时，按系数或单一总价方式计价的，工程量增加的措施项目费调增，工程量减少的措施项目费调减。</w:t>
      </w:r>
    </w:p>
    <w:p w14:paraId="593FBC63">
      <w:pPr>
        <w:wordWrap w:val="0"/>
        <w:adjustRightInd w:val="0"/>
        <w:snapToGrid w:val="0"/>
        <w:spacing w:line="360" w:lineRule="auto"/>
        <w:ind w:firstLine="48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2.3.3</w:t>
      </w:r>
      <w:r>
        <w:rPr>
          <w:rFonts w:hint="eastAsia" w:ascii="宋体" w:hAnsi="宋体" w:eastAsia="宋体" w:cs="宋体"/>
          <w:snapToGrid w:val="0"/>
          <w:color w:val="auto"/>
          <w:kern w:val="0"/>
          <w:sz w:val="24"/>
          <w:szCs w:val="24"/>
          <w:highlight w:val="none"/>
        </w:rPr>
        <w:t xml:space="preserve"> 工程变更</w:t>
      </w:r>
    </w:p>
    <w:p w14:paraId="4CFC7F50">
      <w:pPr>
        <w:keepNext w:val="0"/>
        <w:keepLines w:val="0"/>
        <w:widowControl/>
        <w:suppressLineNumbers w:val="0"/>
        <w:spacing w:line="360" w:lineRule="auto"/>
        <w:ind w:firstLine="482" w:firstLineChars="200"/>
        <w:jc w:val="left"/>
        <w:rPr>
          <w:rFonts w:hint="eastAsia" w:ascii="宋体" w:hAnsi="宋体" w:eastAsia="宋体" w:cs="宋体"/>
          <w:color w:val="auto"/>
          <w:sz w:val="24"/>
          <w:szCs w:val="24"/>
          <w:highlight w:val="none"/>
        </w:rPr>
      </w:pPr>
      <w:r>
        <w:rPr>
          <w:rFonts w:hint="eastAsia" w:ascii="宋体" w:hAnsi="宋体" w:eastAsia="宋体" w:cs="宋体"/>
          <w:b/>
          <w:bCs/>
          <w:snapToGrid w:val="0"/>
          <w:color w:val="auto"/>
          <w:kern w:val="0"/>
          <w:sz w:val="24"/>
          <w:szCs w:val="24"/>
          <w:highlight w:val="none"/>
          <w:lang w:val="en-US" w:eastAsia="zh-CN" w:bidi="ar"/>
        </w:rPr>
        <w:t xml:space="preserve">2.3.3.1 </w:t>
      </w:r>
      <w:r>
        <w:rPr>
          <w:rFonts w:hint="eastAsia" w:ascii="宋体" w:hAnsi="宋体" w:eastAsia="宋体" w:cs="宋体"/>
          <w:color w:val="auto"/>
          <w:kern w:val="0"/>
          <w:sz w:val="24"/>
          <w:szCs w:val="24"/>
          <w:highlight w:val="none"/>
          <w:lang w:val="en-US" w:eastAsia="zh-CN" w:bidi="ar"/>
        </w:rPr>
        <w:t xml:space="preserve">合同履行期间，因工程变更引起已标价工程量清单项目发生变化时，在总价不变的情况下，按照以下规定调整： </w:t>
      </w:r>
    </w:p>
    <w:p w14:paraId="07AC7FFC">
      <w:pPr>
        <w:keepNext w:val="0"/>
        <w:keepLines w:val="0"/>
        <w:widowControl/>
        <w:suppressLineNumbers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 xml:space="preserve">（1）已标价工程量清单中有适用于变更工程项目的：①属于合理报价的清单项目，采用承包人的综合单价。②属于不平衡报价的清单项目：当 P0＜P1×（1-L）×（1-15%）时，该类项目的综合单价按照 P1×（1-L）×（1-15%）调整；当 P0＞P1×（1+15%）时，该类项目的综合单价按照 P1×（1+15%）调整。（以上 P0、P1、L 的定义按第二章 中标人须知 4.2.4 不平衡报价的认定条款） </w:t>
      </w:r>
    </w:p>
    <w:p w14:paraId="7EDD423F">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（2）已标价工程量清单中没有适用但有类似于变更工程项目的，可在合理范围内参照类似项目的单价。但如果被参考的类似项目属于不平衡报价的清单项目：当 P0＜P1×（1-L）×（1-15%）时，该类项目的综合单价按照 P1×（1-L）×（1-15%）调整；当 P0＞P1×（1+ 15%）时，该类项目的综合单价按照 P1×（1+15%）调整。（以上 P0、P1、L 的定义按第二章中标人须知 4.2.4 不平衡报价的认定条款） </w:t>
      </w:r>
    </w:p>
    <w:p w14:paraId="4D5B5869">
      <w:pPr>
        <w:keepNext w:val="0"/>
        <w:keepLines w:val="0"/>
        <w:widowControl/>
        <w:suppressLineNumbers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 xml:space="preserve">（3）已标价工程量清单中没有适用也没有类似于变更工程项目的，由承包人根据变更工程资料、计量规则、计价办法、施工当月项目所在地工程造价管理机构发布的价格信息和中标下浮率提出变更工程项目的单价，报发包人确认后调整。中标下浮率的计算公式如下： </w:t>
      </w:r>
    </w:p>
    <w:p w14:paraId="17FE248D">
      <w:pPr>
        <w:keepNext w:val="0"/>
        <w:keepLines w:val="0"/>
        <w:widowControl/>
        <w:suppressLineNumbers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b/>
          <w:bCs/>
          <w:color w:val="auto"/>
          <w:kern w:val="0"/>
          <w:sz w:val="24"/>
          <w:szCs w:val="24"/>
          <w:highlight w:val="none"/>
          <w:lang w:val="en-US" w:eastAsia="zh-CN" w:bidi="ar"/>
        </w:rPr>
        <w:t xml:space="preserve">中标下浮率=【1-(中标价-报价含税安全生产措施费-固定报价)÷(最高投标限价-最高投标限价含税安全生产措施费-固定报价)】×100% </w:t>
      </w:r>
    </w:p>
    <w:p w14:paraId="55E884DB">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4）已标价工程量清单中没有适用也没有类似于变更工程项目，且施工当月项目所在地工程造价管理机构发布的价格信息缺项的，由承包人根据变更工程资料、计量规则、计价办法和通过依次参考清远、肇庆、佛山、广州、东莞等广东省内地区信息价、厂商询价、市场调查等取得有合法依据的市场价格提出变更工程项目的单价，报发包人确认后调整（采用同等四类地区信息价的不下浮，若同等四类城市均没有信息价需采用其他城市信息价、厂商询价或市场调查的则按 80%执行）。 </w:t>
      </w:r>
    </w:p>
    <w:p w14:paraId="4ACF0D7E">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t>2.3.3.2</w:t>
      </w:r>
      <w:r>
        <w:rPr>
          <w:rFonts w:hint="eastAsia" w:ascii="宋体" w:hAnsi="宋体" w:eastAsia="宋体" w:cs="宋体"/>
          <w:color w:val="auto"/>
          <w:kern w:val="0"/>
          <w:sz w:val="24"/>
          <w:szCs w:val="24"/>
          <w:highlight w:val="none"/>
          <w:lang w:val="en-US" w:eastAsia="zh-CN" w:bidi="ar"/>
        </w:rPr>
        <w:t xml:space="preserve"> 工程变更引起施工方案改变并使措施项目发生变化时，承包人提出调整措施项目费的，应事先将拟实施的方案提交发包人确认，并应详细说明与原方案措施项目相比的变化情况。拟实施的方案经发、承包双方确认后执行，并按照本章下列规定调整措施项目费： </w:t>
      </w:r>
    </w:p>
    <w:p w14:paraId="0B31F6C7">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1）由于工程变更引起的措施项目变化，应按发包人批准的承包人专为工程变更拟定的实施方案或实际发生内容，计算其因工程变更而需要增加投入的施工管理人员、增加搭设的临时设施及其他增加的施工措施工程（工作)量。 </w:t>
      </w:r>
    </w:p>
    <w:p w14:paraId="2E71FD28">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2）措施项目费用采用总价包干方式，投标人投标的措施方案被视为是合理可行的，其报价被视为已包含履行合同责任和义务、全面完成招标工程所需发生的全部措施项目费用。中标后措施项目费不因总价合同的暂定数量清单项目价款调整、单价合同的工程量清单缺陷修正而调整，实施过程中不因投标人原因导致的措施方案不合理不可行、措施项目错漏与偏差、工作内容增减、物价波动而调整，结算时仅在非承包人原因导致措施项目实质性变化引起费用增减而相应调整，调整方式按《建设工程工程量清单计价标准》（GB/T50500-2024）执行。 </w:t>
      </w:r>
    </w:p>
    <w:p w14:paraId="0528E348">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（3）采用单价计算的措施项目费，应按照实际发生变化的措施项目，按本章第2.3.3.1 </w:t>
      </w:r>
    </w:p>
    <w:p w14:paraId="1F9FB923">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子目的规定确定单价。 </w:t>
      </w:r>
    </w:p>
    <w:p w14:paraId="3B541C1D">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（4）按总价或系数计算的措施项目费，应按照实际发生变化的措施项目费调整并考虑中标下浮率因素，即调整金额＝按照实际变化调整后的金额×（1-中标下浮率）。 </w:t>
      </w:r>
    </w:p>
    <w:p w14:paraId="54FDBC69">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如果承包人未事先将拟实施的方案提交发包人确认，视为工程变更不引起措施项目费的调整或承包人放弃调整措施项目费的权利。 </w:t>
      </w:r>
    </w:p>
    <w:p w14:paraId="560CBB42">
      <w:pPr>
        <w:keepNext w:val="0"/>
        <w:keepLines w:val="0"/>
        <w:widowControl/>
        <w:suppressLineNumbers w:val="0"/>
        <w:spacing w:line="360" w:lineRule="auto"/>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t xml:space="preserve">2.3.3.3 </w:t>
      </w:r>
      <w:r>
        <w:rPr>
          <w:rFonts w:hint="eastAsia" w:ascii="宋体" w:hAnsi="宋体" w:eastAsia="宋体" w:cs="宋体"/>
          <w:color w:val="auto"/>
          <w:kern w:val="0"/>
          <w:sz w:val="24"/>
          <w:szCs w:val="24"/>
          <w:highlight w:val="none"/>
          <w:lang w:val="en-US" w:eastAsia="zh-CN" w:bidi="ar"/>
        </w:rPr>
        <w:t>招标人有权根据本项目建设的实际情况调整建设规模或变更、减少建设内容，如出现因特殊原因取消某子项目的建设，则该子项目未完成的工作内容及费用相应扣减，中标人应在投标报价中综合考虑该因素，中标后不得因此向招标人提出额外的费用补偿或索赔。</w:t>
      </w:r>
    </w:p>
    <w:p w14:paraId="793FE7BC">
      <w:pPr>
        <w:wordWrap w:val="0"/>
        <w:adjustRightInd w:val="0"/>
        <w:snapToGrid w:val="0"/>
        <w:spacing w:line="360" w:lineRule="auto"/>
        <w:ind w:firstLine="48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2.3.4</w:t>
      </w:r>
      <w:r>
        <w:rPr>
          <w:rFonts w:hint="eastAsia" w:ascii="宋体" w:hAnsi="宋体" w:eastAsia="宋体" w:cs="宋体"/>
          <w:snapToGrid w:val="0"/>
          <w:color w:val="auto"/>
          <w:kern w:val="0"/>
          <w:sz w:val="24"/>
          <w:szCs w:val="24"/>
          <w:highlight w:val="none"/>
        </w:rPr>
        <w:t xml:space="preserve"> 项目特征不符</w:t>
      </w:r>
    </w:p>
    <w:p w14:paraId="144B0C5A">
      <w:pPr>
        <w:wordWrap w:val="0"/>
        <w:adjustRightInd w:val="0"/>
        <w:snapToGrid w:val="0"/>
        <w:spacing w:line="360" w:lineRule="auto"/>
        <w:ind w:firstLine="48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承包人应按照发包人提供的设计图纸实施合同工程，若在合同履行期间出现设计图纸（含设计变更）与招标工程量清单任一项目的特征描述不符，且该变化引起该项目工程造价增减变化的，应按照实际施工的项目特征，并按本章第</w:t>
      </w:r>
      <w:r>
        <w:rPr>
          <w:rFonts w:hint="eastAsia" w:ascii="宋体" w:hAnsi="宋体" w:eastAsia="宋体" w:cs="宋体"/>
          <w:b/>
          <w:bCs/>
          <w:snapToGrid w:val="0"/>
          <w:color w:val="auto"/>
          <w:kern w:val="0"/>
          <w:sz w:val="24"/>
          <w:szCs w:val="24"/>
          <w:highlight w:val="none"/>
        </w:rPr>
        <w:t>2.3.3</w:t>
      </w:r>
      <w:r>
        <w:rPr>
          <w:rFonts w:hint="eastAsia" w:ascii="宋体" w:hAnsi="宋体" w:eastAsia="宋体" w:cs="宋体"/>
          <w:snapToGrid w:val="0"/>
          <w:color w:val="auto"/>
          <w:kern w:val="0"/>
          <w:sz w:val="24"/>
          <w:szCs w:val="24"/>
          <w:highlight w:val="none"/>
        </w:rPr>
        <w:t>目相关条款的规定重新确定相应工程量清单项目的综合单价，并调整合同价款。</w:t>
      </w:r>
    </w:p>
    <w:p w14:paraId="66795786">
      <w:pPr>
        <w:wordWrap w:val="0"/>
        <w:adjustRightInd w:val="0"/>
        <w:snapToGrid w:val="0"/>
        <w:spacing w:line="360" w:lineRule="auto"/>
        <w:ind w:firstLine="480"/>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2.3.5 招标工程量清单缺项</w:t>
      </w:r>
    </w:p>
    <w:p w14:paraId="02C18DF4">
      <w:pPr>
        <w:keepNext w:val="0"/>
        <w:keepLines w:val="0"/>
        <w:widowControl/>
        <w:suppressLineNumbers w:val="0"/>
        <w:wordWrap w:val="0"/>
        <w:adjustRightInd w:val="0"/>
        <w:snapToGrid w:val="0"/>
        <w:spacing w:line="360" w:lineRule="auto"/>
        <w:ind w:firstLine="480"/>
        <w:jc w:val="left"/>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val="en-US" w:eastAsia="zh-CN" w:bidi="ar"/>
        </w:rPr>
        <w:t xml:space="preserve">2.3.5.1 </w:t>
      </w:r>
      <w:r>
        <w:rPr>
          <w:rFonts w:hint="eastAsia" w:ascii="宋体" w:hAnsi="宋体" w:eastAsia="宋体" w:cs="宋体"/>
          <w:b w:val="0"/>
          <w:bCs w:val="0"/>
          <w:snapToGrid w:val="0"/>
          <w:color w:val="auto"/>
          <w:kern w:val="0"/>
          <w:sz w:val="24"/>
          <w:szCs w:val="24"/>
          <w:highlight w:val="none"/>
          <w:lang w:val="en-US" w:eastAsia="zh-CN" w:bidi="ar"/>
        </w:rPr>
        <w:t xml:space="preserve">合同履行期间，由于招标工程量清单中缺项，新增分部分项工程清单项目，应按照本章第 </w:t>
      </w:r>
      <w:r>
        <w:rPr>
          <w:rFonts w:hint="eastAsia" w:ascii="宋体" w:hAnsi="宋体" w:eastAsia="宋体" w:cs="宋体"/>
          <w:b/>
          <w:bCs/>
          <w:snapToGrid w:val="0"/>
          <w:color w:val="auto"/>
          <w:kern w:val="0"/>
          <w:sz w:val="24"/>
          <w:szCs w:val="24"/>
          <w:highlight w:val="none"/>
          <w:lang w:val="en-US" w:eastAsia="zh-CN" w:bidi="ar"/>
        </w:rPr>
        <w:t>2.3.3.1</w:t>
      </w:r>
      <w:r>
        <w:rPr>
          <w:rFonts w:hint="eastAsia" w:ascii="宋体" w:hAnsi="宋体" w:eastAsia="宋体" w:cs="宋体"/>
          <w:b w:val="0"/>
          <w:bCs w:val="0"/>
          <w:snapToGrid w:val="0"/>
          <w:color w:val="auto"/>
          <w:kern w:val="0"/>
          <w:sz w:val="24"/>
          <w:szCs w:val="24"/>
          <w:highlight w:val="none"/>
          <w:lang w:val="en-US" w:eastAsia="zh-CN" w:bidi="ar"/>
        </w:rPr>
        <w:t xml:space="preserve"> 子目的规定确定单价，并调整合同价款。 </w:t>
      </w:r>
    </w:p>
    <w:p w14:paraId="0BAD3280">
      <w:pPr>
        <w:keepNext w:val="0"/>
        <w:keepLines w:val="0"/>
        <w:widowControl/>
        <w:suppressLineNumbers w:val="0"/>
        <w:wordWrap w:val="0"/>
        <w:adjustRightInd w:val="0"/>
        <w:snapToGrid w:val="0"/>
        <w:spacing w:line="360" w:lineRule="auto"/>
        <w:ind w:firstLine="480"/>
        <w:jc w:val="left"/>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val="en-US" w:eastAsia="zh-CN" w:bidi="ar"/>
        </w:rPr>
        <w:t xml:space="preserve">2.3.5.2 </w:t>
      </w:r>
      <w:r>
        <w:rPr>
          <w:rFonts w:hint="eastAsia" w:ascii="宋体" w:hAnsi="宋体" w:eastAsia="宋体" w:cs="宋体"/>
          <w:b w:val="0"/>
          <w:bCs w:val="0"/>
          <w:snapToGrid w:val="0"/>
          <w:color w:val="auto"/>
          <w:kern w:val="0"/>
          <w:sz w:val="24"/>
          <w:szCs w:val="24"/>
          <w:highlight w:val="none"/>
          <w:lang w:val="en-US" w:eastAsia="zh-CN" w:bidi="ar"/>
        </w:rPr>
        <w:t xml:space="preserve">新增分部分项工程清单项目后，引起措施项目发生变化的，应按照本章第 </w:t>
      </w:r>
      <w:r>
        <w:rPr>
          <w:rFonts w:hint="eastAsia" w:ascii="宋体" w:hAnsi="宋体" w:eastAsia="宋体" w:cs="宋体"/>
          <w:b/>
          <w:bCs/>
          <w:snapToGrid w:val="0"/>
          <w:color w:val="auto"/>
          <w:kern w:val="0"/>
          <w:sz w:val="24"/>
          <w:szCs w:val="24"/>
          <w:highlight w:val="none"/>
          <w:lang w:val="en-US" w:eastAsia="zh-CN" w:bidi="ar"/>
        </w:rPr>
        <w:t>2.3.3.2</w:t>
      </w:r>
      <w:r>
        <w:rPr>
          <w:rFonts w:hint="eastAsia" w:ascii="宋体" w:hAnsi="宋体" w:eastAsia="宋体" w:cs="宋体"/>
          <w:b w:val="0"/>
          <w:bCs w:val="0"/>
          <w:snapToGrid w:val="0"/>
          <w:color w:val="auto"/>
          <w:kern w:val="0"/>
          <w:sz w:val="24"/>
          <w:szCs w:val="24"/>
          <w:highlight w:val="none"/>
          <w:lang w:val="en-US" w:eastAsia="zh-CN" w:bidi="ar"/>
        </w:rPr>
        <w:t xml:space="preserve"> 子目的规定，在承包人提交的实施方案被发包人批准后调整合同价款。 </w:t>
      </w:r>
    </w:p>
    <w:p w14:paraId="42DFFAA8">
      <w:pPr>
        <w:keepNext w:val="0"/>
        <w:keepLines w:val="0"/>
        <w:widowControl/>
        <w:suppressLineNumbers w:val="0"/>
        <w:wordWrap w:val="0"/>
        <w:adjustRightInd w:val="0"/>
        <w:snapToGrid w:val="0"/>
        <w:spacing w:line="360" w:lineRule="auto"/>
        <w:ind w:firstLine="480"/>
        <w:jc w:val="left"/>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val="en-US" w:eastAsia="zh-CN" w:bidi="ar"/>
        </w:rPr>
        <w:t xml:space="preserve">2.3.5.3 </w:t>
      </w:r>
      <w:r>
        <w:rPr>
          <w:rFonts w:hint="eastAsia" w:ascii="宋体" w:hAnsi="宋体" w:eastAsia="宋体" w:cs="宋体"/>
          <w:b w:val="0"/>
          <w:bCs w:val="0"/>
          <w:snapToGrid w:val="0"/>
          <w:color w:val="auto"/>
          <w:kern w:val="0"/>
          <w:sz w:val="24"/>
          <w:szCs w:val="24"/>
          <w:highlight w:val="none"/>
          <w:lang w:val="en-US" w:eastAsia="zh-CN" w:bidi="ar"/>
        </w:rPr>
        <w:t>由于清单缺项引起措施项目变化或措施项目缺项的措施项目调整：除安全生产措施项目及以综合单价形式计价、在分部分项工程项目清单中所列属于措施项目的模板等工程及合同约定应予计量的其他措施项目,合同清单的措施项目清单及合同工期均不应予调整。</w:t>
      </w:r>
    </w:p>
    <w:p w14:paraId="1136A114">
      <w:pPr>
        <w:wordWrap w:val="0"/>
        <w:adjustRightInd w:val="0"/>
        <w:snapToGrid w:val="0"/>
        <w:spacing w:line="360" w:lineRule="auto"/>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2.3.6</w:t>
      </w:r>
      <w:r>
        <w:rPr>
          <w:rFonts w:hint="eastAsia" w:ascii="宋体" w:hAnsi="宋体" w:eastAsia="宋体" w:cs="宋体"/>
          <w:bCs/>
          <w:snapToGrid w:val="0"/>
          <w:color w:val="auto"/>
          <w:kern w:val="0"/>
          <w:sz w:val="24"/>
          <w:szCs w:val="24"/>
          <w:highlight w:val="none"/>
        </w:rPr>
        <w:t xml:space="preserve"> 物价变化</w:t>
      </w:r>
    </w:p>
    <w:p w14:paraId="2FF49325">
      <w:pPr>
        <w:wordWrap w:val="0"/>
        <w:adjustRightInd w:val="0"/>
        <w:snapToGrid w:val="0"/>
        <w:spacing w:line="360" w:lineRule="auto"/>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2.3.6.1</w:t>
      </w:r>
      <w:r>
        <w:rPr>
          <w:rFonts w:hint="eastAsia" w:ascii="宋体" w:hAnsi="宋体" w:eastAsia="宋体" w:cs="宋体"/>
          <w:bCs/>
          <w:snapToGrid w:val="0"/>
          <w:color w:val="auto"/>
          <w:kern w:val="0"/>
          <w:sz w:val="24"/>
          <w:szCs w:val="24"/>
          <w:highlight w:val="none"/>
        </w:rPr>
        <w:t xml:space="preserve"> 合同履行期间，项目所在地工程造价管理机构发布的动态人工调整系数发生变化时，如果承包人投标报价中人工费（</w:t>
      </w:r>
      <w:r>
        <w:rPr>
          <w:rFonts w:hint="eastAsia" w:ascii="宋体" w:hAnsi="宋体" w:eastAsia="宋体" w:cs="宋体"/>
          <w:snapToGrid w:val="0"/>
          <w:color w:val="auto"/>
          <w:kern w:val="0"/>
          <w:sz w:val="24"/>
          <w:szCs w:val="24"/>
          <w:highlight w:val="none"/>
        </w:rPr>
        <w:t>以下简称“中标人工费”</w:t>
      </w:r>
      <w:r>
        <w:rPr>
          <w:rFonts w:hint="eastAsia" w:ascii="宋体" w:hAnsi="宋体" w:eastAsia="宋体" w:cs="宋体"/>
          <w:bCs/>
          <w:snapToGrid w:val="0"/>
          <w:color w:val="auto"/>
          <w:kern w:val="0"/>
          <w:sz w:val="24"/>
          <w:szCs w:val="24"/>
          <w:highlight w:val="none"/>
        </w:rPr>
        <w:t>）等于或超过施工当月经动态调整后的定额人工费，该清单项目中标人工费不予调整；如果中标人工费低于施工当月经动态调整后的定额人工费，该清单项目中标人工费可以调整，相关费用按有关规定进行相应调整。结算人工费调整公式为：</w:t>
      </w:r>
    </w:p>
    <w:p w14:paraId="653A9307">
      <w:pPr>
        <w:wordWrap w:val="0"/>
        <w:adjustRightInd w:val="0"/>
        <w:snapToGrid w:val="0"/>
        <w:spacing w:line="360" w:lineRule="auto"/>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结算人工费＝中标人工费×F</w:t>
      </w:r>
      <w:r>
        <w:rPr>
          <w:rFonts w:hint="eastAsia" w:ascii="宋体" w:hAnsi="宋体" w:eastAsia="宋体" w:cs="宋体"/>
          <w:bCs/>
          <w:snapToGrid w:val="0"/>
          <w:color w:val="auto"/>
          <w:kern w:val="0"/>
          <w:sz w:val="24"/>
          <w:szCs w:val="24"/>
          <w:highlight w:val="none"/>
          <w:vertAlign w:val="subscript"/>
        </w:rPr>
        <w:t>1</w:t>
      </w:r>
    </w:p>
    <w:p w14:paraId="782FFBE6">
      <w:pPr>
        <w:wordWrap w:val="0"/>
        <w:adjustRightInd w:val="0"/>
        <w:snapToGrid w:val="0"/>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式中，F</w:t>
      </w:r>
      <w:r>
        <w:rPr>
          <w:rFonts w:hint="eastAsia" w:ascii="宋体" w:hAnsi="宋体" w:eastAsia="宋体" w:cs="宋体"/>
          <w:bCs/>
          <w:snapToGrid w:val="0"/>
          <w:color w:val="auto"/>
          <w:kern w:val="0"/>
          <w:sz w:val="24"/>
          <w:szCs w:val="24"/>
          <w:highlight w:val="none"/>
          <w:vertAlign w:val="subscript"/>
        </w:rPr>
        <w:t>1</w:t>
      </w:r>
      <w:r>
        <w:rPr>
          <w:rFonts w:hint="eastAsia" w:ascii="宋体" w:hAnsi="宋体" w:eastAsia="宋体" w:cs="宋体"/>
          <w:bCs/>
          <w:snapToGrid w:val="0"/>
          <w:color w:val="auto"/>
          <w:kern w:val="0"/>
          <w:sz w:val="24"/>
          <w:szCs w:val="24"/>
          <w:highlight w:val="none"/>
        </w:rPr>
        <w:t>为施工当月项目所在地工程造价管理机构发布的动态人工调整系数。</w:t>
      </w:r>
    </w:p>
    <w:p w14:paraId="2AB92536">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2.3.6.2</w:t>
      </w:r>
      <w:r>
        <w:rPr>
          <w:rFonts w:hint="eastAsia" w:ascii="宋体" w:hAnsi="宋体" w:eastAsia="宋体" w:cs="宋体"/>
          <w:snapToGrid w:val="0"/>
          <w:color w:val="auto"/>
          <w:kern w:val="0"/>
          <w:sz w:val="24"/>
          <w:szCs w:val="24"/>
          <w:highlight w:val="none"/>
        </w:rPr>
        <w:t xml:space="preserve"> 本招标项目约定，材料、工程设备单价涨跌风险幅度值A为</w:t>
      </w:r>
      <w:r>
        <w:rPr>
          <w:rFonts w:hint="eastAsia" w:ascii="宋体" w:hAnsi="宋体" w:eastAsia="宋体" w:cs="宋体"/>
          <w:snapToGrid w:val="0"/>
          <w:color w:val="auto"/>
          <w:kern w:val="0"/>
          <w:sz w:val="24"/>
          <w:szCs w:val="24"/>
          <w:highlight w:val="none"/>
          <w:u w:val="single"/>
        </w:rPr>
        <w:t xml:space="preserve"> 5% </w:t>
      </w:r>
      <w:r>
        <w:rPr>
          <w:rFonts w:hint="eastAsia" w:ascii="宋体" w:hAnsi="宋体" w:eastAsia="宋体" w:cs="宋体"/>
          <w:snapToGrid w:val="0"/>
          <w:color w:val="auto"/>
          <w:kern w:val="0"/>
          <w:sz w:val="24"/>
          <w:szCs w:val="24"/>
          <w:highlight w:val="none"/>
        </w:rPr>
        <w:t>。合同履行期间，当《</w:t>
      </w:r>
      <w:r>
        <w:rPr>
          <w:rFonts w:hint="eastAsia" w:ascii="宋体" w:hAnsi="宋体" w:eastAsia="宋体" w:cs="宋体"/>
          <w:snapToGrid w:val="0"/>
          <w:color w:val="auto"/>
          <w:kern w:val="0"/>
          <w:sz w:val="24"/>
          <w:szCs w:val="24"/>
          <w:highlight w:val="none"/>
          <w:lang w:val="en-US" w:eastAsia="zh-CN"/>
        </w:rPr>
        <w:t>承包人提供可调价主要材料表一</w:t>
      </w:r>
      <w:r>
        <w:rPr>
          <w:rFonts w:hint="eastAsia" w:ascii="宋体" w:hAnsi="宋体" w:eastAsia="宋体" w:cs="宋体"/>
          <w:snapToGrid w:val="0"/>
          <w:color w:val="auto"/>
          <w:kern w:val="0"/>
          <w:sz w:val="24"/>
          <w:szCs w:val="24"/>
          <w:highlight w:val="none"/>
        </w:rPr>
        <w:t>》（详见招标工程量清单）中的材料、工程设备单价涨跌幅度等于或低于A值时，该材料、工程设备单价不予调整；超过A值时，其超过部分可以调整。相关费用按有关规定进行相应调整。</w:t>
      </w:r>
    </w:p>
    <w:p w14:paraId="570FA552">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a</w:t>
      </w:r>
      <w:r>
        <w:rPr>
          <w:rFonts w:hint="eastAsia" w:ascii="宋体" w:hAnsi="宋体" w:eastAsia="宋体" w:cs="宋体"/>
          <w:snapToGrid w:val="0"/>
          <w:color w:val="auto"/>
          <w:kern w:val="0"/>
          <w:sz w:val="24"/>
          <w:szCs w:val="24"/>
          <w:highlight w:val="none"/>
        </w:rPr>
        <w:t>．如果承包人投标报价中材料、工程设备单价（以下简称“中标单价”）低于基准日当月项目所在地工程造价管理机构发布的对应材料、工程设备单价（以下简称“基准单价”），该材料、工程设备的结算单价调整公式为：</w:t>
      </w:r>
    </w:p>
    <w:p w14:paraId="09F9584F">
      <w:pPr>
        <w:wordWrap w:val="0"/>
        <w:adjustRightInd w:val="0"/>
        <w:snapToGrid w:val="0"/>
        <w:spacing w:before="360" w:beforeLines="150" w:after="240" w:afterLines="100"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涨价时，</w:t>
      </w:r>
      <w:r>
        <w:rPr>
          <w:rFonts w:hint="eastAsia" w:ascii="宋体" w:hAnsi="宋体" w:eastAsia="宋体" w:cs="宋体"/>
          <w:snapToGrid w:val="0"/>
          <w:color w:val="auto"/>
          <w:kern w:val="0"/>
          <w:position w:val="-30"/>
          <w:sz w:val="24"/>
          <w:szCs w:val="24"/>
          <w:highlight w:val="none"/>
        </w:rPr>
        <w:object>
          <v:shape id="_x0000_i1025" o:spt="75" type="#_x0000_t75" style="height:33.95pt;width:200.95pt;" o:ole="t" filled="f" stroked="f" coordsize="21600,21600">
            <v:path/>
            <v:fill on="f" focussize="0,0"/>
            <v:stroke on="f"/>
            <v:imagedata r:id="rId31" o:title=""/>
            <o:lock v:ext="edit" grouping="f" rotation="f" text="f" aspectratio="t"/>
            <w10:wrap type="none"/>
            <w10:anchorlock/>
          </v:shape>
          <o:OLEObject Type="Embed" ProgID="Equation.KSEE3" ShapeID="_x0000_i1025" DrawAspect="Content" ObjectID="_1468075725" r:id="rId30">
            <o:LockedField>false</o:LockedField>
          </o:OLEObject>
        </w:object>
      </w:r>
    </w:p>
    <w:p w14:paraId="1E674031">
      <w:pPr>
        <w:wordWrap w:val="0"/>
        <w:adjustRightInd w:val="0"/>
        <w:spacing w:before="360" w:beforeLines="150" w:after="240" w:afterLines="100"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跌价时，</w:t>
      </w:r>
      <w:r>
        <w:rPr>
          <w:rFonts w:hint="eastAsia" w:ascii="宋体" w:hAnsi="宋体" w:eastAsia="宋体" w:cs="宋体"/>
          <w:snapToGrid w:val="0"/>
          <w:color w:val="auto"/>
          <w:kern w:val="0"/>
          <w:position w:val="-30"/>
          <w:sz w:val="24"/>
          <w:szCs w:val="24"/>
          <w:highlight w:val="none"/>
        </w:rPr>
        <w:object>
          <v:shape id="_x0000_i1026" o:spt="75" type="#_x0000_t75" style="height:33.95pt;width:198.95pt;" o:ole="t" filled="f" stroked="f" coordsize="21600,21600">
            <v:path/>
            <v:fill on="f" focussize="0,0"/>
            <v:stroke on="f"/>
            <v:imagedata r:id="rId33" o:title=""/>
            <o:lock v:ext="edit" grouping="f" rotation="f" text="f" aspectratio="t"/>
            <w10:wrap type="none"/>
            <w10:anchorlock/>
          </v:shape>
          <o:OLEObject Type="Embed" ProgID="Equation.KSEE3" ShapeID="_x0000_i1026" DrawAspect="Content" ObjectID="_1468075726" r:id="rId32">
            <o:LockedField>false</o:LockedField>
          </o:OLEObject>
        </w:object>
      </w:r>
    </w:p>
    <w:p w14:paraId="52856F2B">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b</w:t>
      </w:r>
      <w:r>
        <w:rPr>
          <w:rFonts w:hint="eastAsia" w:ascii="宋体" w:hAnsi="宋体" w:eastAsia="宋体" w:cs="宋体"/>
          <w:snapToGrid w:val="0"/>
          <w:color w:val="auto"/>
          <w:kern w:val="0"/>
          <w:sz w:val="24"/>
          <w:szCs w:val="24"/>
          <w:highlight w:val="none"/>
        </w:rPr>
        <w:t>．如果中标单价高于基准单价，该材料、工程设备的结算单价调整公式为：</w:t>
      </w:r>
    </w:p>
    <w:p w14:paraId="22D92E86">
      <w:pPr>
        <w:wordWrap w:val="0"/>
        <w:adjustRightInd w:val="0"/>
        <w:snapToGrid w:val="0"/>
        <w:spacing w:before="360" w:beforeLines="150" w:after="240" w:afterLines="100"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涨价时，</w:t>
      </w:r>
      <w:r>
        <w:rPr>
          <w:rFonts w:hint="eastAsia" w:ascii="宋体" w:hAnsi="宋体" w:eastAsia="宋体" w:cs="宋体"/>
          <w:snapToGrid w:val="0"/>
          <w:color w:val="auto"/>
          <w:kern w:val="0"/>
          <w:position w:val="-30"/>
          <w:sz w:val="24"/>
          <w:szCs w:val="24"/>
          <w:highlight w:val="none"/>
        </w:rPr>
        <w:object>
          <v:shape id="_x0000_i1027" o:spt="75" type="#_x0000_t75" style="height:33.95pt;width:198.95pt;" o:ole="t" filled="f" stroked="f" coordsize="21600,21600">
            <v:path/>
            <v:fill on="f" focussize="0,0"/>
            <v:stroke on="f"/>
            <v:imagedata r:id="rId35" o:title=""/>
            <o:lock v:ext="edit" grouping="f" rotation="f" text="f" aspectratio="t"/>
            <w10:wrap type="none"/>
            <w10:anchorlock/>
          </v:shape>
          <o:OLEObject Type="Embed" ProgID="Equation.KSEE3" ShapeID="_x0000_i1027" DrawAspect="Content" ObjectID="_1468075727" r:id="rId34">
            <o:LockedField>false</o:LockedField>
          </o:OLEObject>
        </w:object>
      </w:r>
    </w:p>
    <w:p w14:paraId="75FE6654">
      <w:pPr>
        <w:wordWrap w:val="0"/>
        <w:adjustRightInd w:val="0"/>
        <w:spacing w:before="360" w:beforeLines="150" w:after="240" w:afterLines="100"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跌价时，</w:t>
      </w:r>
      <w:r>
        <w:rPr>
          <w:rFonts w:hint="eastAsia" w:ascii="宋体" w:hAnsi="宋体" w:eastAsia="宋体" w:cs="宋体"/>
          <w:snapToGrid w:val="0"/>
          <w:color w:val="auto"/>
          <w:kern w:val="0"/>
          <w:position w:val="-30"/>
          <w:sz w:val="24"/>
          <w:szCs w:val="24"/>
          <w:highlight w:val="none"/>
        </w:rPr>
        <w:object>
          <v:shape id="_x0000_i1028" o:spt="75" type="#_x0000_t75" style="height:33.95pt;width:200.95pt;" o:ole="t" filled="f" stroked="f" coordsize="21600,21600">
            <v:path/>
            <v:fill on="f" focussize="0,0"/>
            <v:stroke on="f"/>
            <v:imagedata r:id="rId37" o:title=""/>
            <o:lock v:ext="edit" grouping="f" rotation="f" text="f" aspectratio="t"/>
            <w10:wrap type="none"/>
            <w10:anchorlock/>
          </v:shape>
          <o:OLEObject Type="Embed" ProgID="Equation.KSEE3" ShapeID="_x0000_i1028" DrawAspect="Content" ObjectID="_1468075728" r:id="rId36">
            <o:LockedField>false</o:LockedField>
          </o:OLEObject>
        </w:object>
      </w:r>
    </w:p>
    <w:p w14:paraId="63D4AC02">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c</w:t>
      </w:r>
      <w:r>
        <w:rPr>
          <w:rFonts w:hint="eastAsia" w:ascii="宋体" w:hAnsi="宋体" w:eastAsia="宋体" w:cs="宋体"/>
          <w:snapToGrid w:val="0"/>
          <w:color w:val="auto"/>
          <w:kern w:val="0"/>
          <w:sz w:val="24"/>
          <w:szCs w:val="24"/>
          <w:highlight w:val="none"/>
        </w:rPr>
        <w:t>．如果中标单价等于基准单价，该材料、工程设备的结算单价调整公式为：</w:t>
      </w:r>
    </w:p>
    <w:p w14:paraId="0ED33B6B">
      <w:pPr>
        <w:wordWrap w:val="0"/>
        <w:adjustRightInd w:val="0"/>
        <w:snapToGrid w:val="0"/>
        <w:spacing w:before="360" w:beforeLines="150" w:after="240" w:afterLines="100"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涨价时，</w:t>
      </w:r>
      <w:r>
        <w:rPr>
          <w:rFonts w:hint="eastAsia" w:ascii="宋体" w:hAnsi="宋体" w:eastAsia="宋体" w:cs="宋体"/>
          <w:snapToGrid w:val="0"/>
          <w:color w:val="auto"/>
          <w:kern w:val="0"/>
          <w:position w:val="-30"/>
          <w:sz w:val="24"/>
          <w:szCs w:val="24"/>
          <w:highlight w:val="none"/>
        </w:rPr>
        <w:object>
          <v:shape id="_x0000_i1029" o:spt="75" type="#_x0000_t75" style="height:33.95pt;width:200.95pt;" o:ole="t" filled="f" stroked="f" coordsize="21600,21600">
            <v:path/>
            <v:fill on="f" focussize="0,0"/>
            <v:stroke on="f"/>
            <v:imagedata r:id="rId39" o:title=""/>
            <o:lock v:ext="edit" grouping="f" rotation="f" text="f" aspectratio="t"/>
            <w10:wrap type="none"/>
            <w10:anchorlock/>
          </v:shape>
          <o:OLEObject Type="Embed" ProgID="Equation.KSEE3" ShapeID="_x0000_i1029" DrawAspect="Content" ObjectID="_1468075729" r:id="rId38">
            <o:LockedField>false</o:LockedField>
          </o:OLEObject>
        </w:object>
      </w:r>
    </w:p>
    <w:p w14:paraId="347B3591">
      <w:pPr>
        <w:wordWrap w:val="0"/>
        <w:adjustRightInd w:val="0"/>
        <w:spacing w:before="360" w:beforeLines="150" w:after="240" w:afterLines="100"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跌价时，</w:t>
      </w:r>
      <w:r>
        <w:rPr>
          <w:rFonts w:hint="eastAsia" w:ascii="宋体" w:hAnsi="宋体" w:eastAsia="宋体" w:cs="宋体"/>
          <w:snapToGrid w:val="0"/>
          <w:color w:val="auto"/>
          <w:kern w:val="0"/>
          <w:position w:val="-30"/>
          <w:sz w:val="24"/>
          <w:szCs w:val="24"/>
          <w:highlight w:val="none"/>
        </w:rPr>
        <w:object>
          <v:shape id="_x0000_i1030" o:spt="75" type="#_x0000_t75" style="height:33.95pt;width:200.95pt;" o:ole="t" filled="f" o:preferrelative="t" stroked="f" coordsize="21600,21600">
            <v:path/>
            <v:fill on="f" focussize="0,0"/>
            <v:stroke on="f"/>
            <v:imagedata r:id="rId41" o:title=""/>
            <o:lock v:ext="edit" grouping="f" rotation="f" text="f" aspectratio="t"/>
            <w10:wrap type="none"/>
            <w10:anchorlock/>
          </v:shape>
          <o:OLEObject Type="Embed" ProgID="Equation.KSEE3" ShapeID="_x0000_i1030" DrawAspect="Content" ObjectID="_1468075730" r:id="rId40">
            <o:LockedField>false</o:LockedField>
          </o:OLEObject>
        </w:object>
      </w:r>
    </w:p>
    <w:p w14:paraId="0C63957A">
      <w:pPr>
        <w:wordWrap w:val="0"/>
        <w:adjustRightInd w:val="0"/>
        <w:snapToGrid w:val="0"/>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以上公式中，F1为中标单价；F0为基准单价、指项目所在地工程造价管理机构</w:t>
      </w:r>
      <w:r>
        <w:rPr>
          <w:rFonts w:hint="eastAsia" w:ascii="宋体" w:hAnsi="宋体" w:eastAsia="宋体" w:cs="宋体"/>
          <w:snapToGrid w:val="0"/>
          <w:color w:val="auto"/>
          <w:kern w:val="0"/>
          <w:sz w:val="24"/>
          <w:szCs w:val="24"/>
          <w:highlight w:val="none"/>
          <w:lang w:eastAsia="zh-CN"/>
        </w:rPr>
        <w:t>最高投标限价</w:t>
      </w:r>
      <w:r>
        <w:rPr>
          <w:rFonts w:hint="eastAsia" w:ascii="宋体" w:hAnsi="宋体" w:eastAsia="宋体" w:cs="宋体"/>
          <w:snapToGrid w:val="0"/>
          <w:color w:val="auto"/>
          <w:kern w:val="0"/>
          <w:sz w:val="24"/>
          <w:szCs w:val="24"/>
          <w:highlight w:val="none"/>
        </w:rPr>
        <w:t>审定当月发布的材料、工程设备单价； F2为施工当月项目所在地工程造价管理机构发布的材料、工程设备单价；A为合同约定的材料、工程设备单价涨跌风险幅度值。</w:t>
      </w:r>
    </w:p>
    <w:p w14:paraId="5D37687C">
      <w:pPr>
        <w:wordWrap w:val="0"/>
        <w:adjustRightInd w:val="0"/>
        <w:snapToGrid w:val="0"/>
        <w:spacing w:line="360" w:lineRule="auto"/>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2.3.6.3</w:t>
      </w:r>
      <w:r>
        <w:rPr>
          <w:rFonts w:hint="eastAsia" w:ascii="宋体" w:hAnsi="宋体" w:eastAsia="宋体" w:cs="宋体"/>
          <w:snapToGrid w:val="0"/>
          <w:color w:val="auto"/>
          <w:kern w:val="0"/>
          <w:sz w:val="24"/>
          <w:szCs w:val="24"/>
          <w:highlight w:val="none"/>
        </w:rPr>
        <w:t xml:space="preserve"> 合同履行期间，当《</w:t>
      </w:r>
      <w:r>
        <w:rPr>
          <w:rFonts w:hint="default" w:ascii="宋体" w:hAnsi="宋体" w:eastAsia="宋体" w:cs="宋体"/>
          <w:snapToGrid w:val="0"/>
          <w:color w:val="auto"/>
          <w:kern w:val="0"/>
          <w:sz w:val="24"/>
          <w:szCs w:val="24"/>
          <w:highlight w:val="none"/>
        </w:rPr>
        <w:t>承包人提供可调价主要材料表一</w:t>
      </w:r>
      <w:r>
        <w:rPr>
          <w:rFonts w:hint="eastAsia" w:ascii="宋体" w:hAnsi="宋体" w:eastAsia="宋体" w:cs="宋体"/>
          <w:snapToGrid w:val="0"/>
          <w:color w:val="auto"/>
          <w:kern w:val="0"/>
          <w:sz w:val="24"/>
          <w:szCs w:val="24"/>
          <w:highlight w:val="none"/>
        </w:rPr>
        <w:t>》中的材料、工程设备单价发生变化时，由发包人按照实际变化调整，并列入合同价款。（</w:t>
      </w:r>
      <w:r>
        <w:rPr>
          <w:rFonts w:hint="eastAsia" w:ascii="宋体" w:hAnsi="宋体" w:eastAsia="宋体" w:cs="宋体"/>
          <w:snapToGrid w:val="0"/>
          <w:color w:val="auto"/>
          <w:kern w:val="0"/>
          <w:sz w:val="24"/>
          <w:szCs w:val="24"/>
          <w:highlight w:val="none"/>
          <w:lang w:eastAsia="zh-CN"/>
        </w:rPr>
        <w:t>本项目招标人不提供发包材料</w:t>
      </w:r>
      <w:r>
        <w:rPr>
          <w:rFonts w:hint="eastAsia" w:ascii="宋体" w:hAnsi="宋体" w:eastAsia="宋体" w:cs="宋体"/>
          <w:snapToGrid w:val="0"/>
          <w:color w:val="auto"/>
          <w:kern w:val="0"/>
          <w:sz w:val="24"/>
          <w:szCs w:val="24"/>
          <w:highlight w:val="none"/>
        </w:rPr>
        <w:t>）</w:t>
      </w:r>
    </w:p>
    <w:p w14:paraId="47A280C3">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2.3.6.4</w:t>
      </w:r>
      <w:r>
        <w:rPr>
          <w:rFonts w:hint="eastAsia" w:ascii="宋体" w:hAnsi="宋体" w:eastAsia="宋体" w:cs="宋体"/>
          <w:snapToGrid w:val="0"/>
          <w:color w:val="auto"/>
          <w:kern w:val="0"/>
          <w:sz w:val="24"/>
          <w:szCs w:val="24"/>
          <w:highlight w:val="none"/>
        </w:rPr>
        <w:t xml:space="preserve"> 本招标项目约定，施工机具台班单价涨跌风险幅度值B为</w:t>
      </w:r>
      <w:r>
        <w:rPr>
          <w:rFonts w:hint="eastAsia" w:ascii="宋体" w:hAnsi="宋体" w:eastAsia="宋体" w:cs="宋体"/>
          <w:snapToGrid w:val="0"/>
          <w:color w:val="auto"/>
          <w:kern w:val="0"/>
          <w:sz w:val="24"/>
          <w:szCs w:val="24"/>
          <w:highlight w:val="none"/>
          <w:u w:val="single"/>
        </w:rPr>
        <w:t xml:space="preserve"> 10% </w:t>
      </w:r>
      <w:r>
        <w:rPr>
          <w:rFonts w:hint="eastAsia" w:ascii="宋体" w:hAnsi="宋体" w:eastAsia="宋体" w:cs="宋体"/>
          <w:snapToGrid w:val="0"/>
          <w:color w:val="auto"/>
          <w:kern w:val="0"/>
          <w:sz w:val="24"/>
          <w:szCs w:val="24"/>
          <w:highlight w:val="none"/>
        </w:rPr>
        <w:t>。合同履行期间，当施工机具台班单价涨跌幅度等于或低于B值时，该施工机具台班单价不予调整；超过B值时，其超过部分可以调整。相关费用按有关规定进行相应调整。</w:t>
      </w:r>
    </w:p>
    <w:p w14:paraId="2824E8E4">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a</w:t>
      </w:r>
      <w:r>
        <w:rPr>
          <w:rFonts w:hint="eastAsia" w:ascii="宋体" w:hAnsi="宋体" w:eastAsia="宋体" w:cs="宋体"/>
          <w:snapToGrid w:val="0"/>
          <w:color w:val="auto"/>
          <w:kern w:val="0"/>
          <w:sz w:val="24"/>
          <w:szCs w:val="24"/>
          <w:highlight w:val="none"/>
        </w:rPr>
        <w:t>．如果承包人投标报价中施工机具台班单价（以下简称“中标单价”）低于基准日当月项目所在地工程造价管理机构发布的对应施工机具台班单价（以下简称“基准单价”），该施工机具台班的结算单价调整公式为：</w:t>
      </w:r>
    </w:p>
    <w:p w14:paraId="373166BF">
      <w:pPr>
        <w:wordWrap w:val="0"/>
        <w:adjustRightInd w:val="0"/>
        <w:snapToGrid w:val="0"/>
        <w:spacing w:before="360" w:beforeLines="150" w:after="240" w:afterLines="100"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涨价时，</w:t>
      </w:r>
      <w:r>
        <w:rPr>
          <w:rFonts w:hint="eastAsia" w:ascii="宋体" w:hAnsi="宋体" w:eastAsia="宋体" w:cs="宋体"/>
          <w:snapToGrid w:val="0"/>
          <w:color w:val="auto"/>
          <w:kern w:val="0"/>
          <w:position w:val="-30"/>
          <w:sz w:val="24"/>
          <w:szCs w:val="24"/>
          <w:highlight w:val="none"/>
        </w:rPr>
        <w:object>
          <v:shape id="_x0000_i1031" o:spt="75" type="#_x0000_t75" style="height:33.95pt;width:200.95pt;" o:ole="t" filled="f" o:preferrelative="t" stroked="f" coordsize="21600,21600">
            <v:path/>
            <v:fill on="f" focussize="0,0"/>
            <v:stroke on="f"/>
            <v:imagedata r:id="rId43" o:title=""/>
            <o:lock v:ext="edit" grouping="f" rotation="f" text="f" aspectratio="t"/>
            <w10:wrap type="none"/>
            <w10:anchorlock/>
          </v:shape>
          <o:OLEObject Type="Embed" ProgID="Equation.KSEE3" ShapeID="_x0000_i1031" DrawAspect="Content" ObjectID="_1468075731" r:id="rId42">
            <o:LockedField>false</o:LockedField>
          </o:OLEObject>
        </w:object>
      </w:r>
    </w:p>
    <w:p w14:paraId="74526444">
      <w:pPr>
        <w:wordWrap w:val="0"/>
        <w:adjustRightInd w:val="0"/>
        <w:spacing w:before="360" w:beforeLines="150" w:after="240" w:afterLines="100"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跌价时，</w:t>
      </w:r>
      <w:r>
        <w:rPr>
          <w:rFonts w:hint="eastAsia" w:ascii="宋体" w:hAnsi="宋体" w:eastAsia="宋体" w:cs="宋体"/>
          <w:snapToGrid w:val="0"/>
          <w:color w:val="auto"/>
          <w:kern w:val="0"/>
          <w:position w:val="-30"/>
          <w:sz w:val="24"/>
          <w:szCs w:val="24"/>
          <w:highlight w:val="none"/>
        </w:rPr>
        <w:object>
          <v:shape id="_x0000_i1032" o:spt="75" type="#_x0000_t75" style="height:33.95pt;width:198pt;" o:ole="t" filled="f" o:preferrelative="t" stroked="f" coordsize="21600,21600">
            <v:path/>
            <v:fill on="f" focussize="0,0"/>
            <v:stroke on="f"/>
            <v:imagedata r:id="rId45" o:title=""/>
            <o:lock v:ext="edit" grouping="f" rotation="f" text="f" aspectratio="t"/>
            <w10:wrap type="none"/>
            <w10:anchorlock/>
          </v:shape>
          <o:OLEObject Type="Embed" ProgID="Equation.KSEE3" ShapeID="_x0000_i1032" DrawAspect="Content" ObjectID="_1468075732" r:id="rId44">
            <o:LockedField>false</o:LockedField>
          </o:OLEObject>
        </w:object>
      </w:r>
    </w:p>
    <w:p w14:paraId="222B7187">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b</w:t>
      </w:r>
      <w:r>
        <w:rPr>
          <w:rFonts w:hint="eastAsia" w:ascii="宋体" w:hAnsi="宋体" w:eastAsia="宋体" w:cs="宋体"/>
          <w:snapToGrid w:val="0"/>
          <w:color w:val="auto"/>
          <w:kern w:val="0"/>
          <w:sz w:val="24"/>
          <w:szCs w:val="24"/>
          <w:highlight w:val="none"/>
        </w:rPr>
        <w:t>．如果中标单价高于基准单价，该施工机具台班的结算单价调整公式为：</w:t>
      </w:r>
    </w:p>
    <w:p w14:paraId="12575AA3">
      <w:pPr>
        <w:wordWrap w:val="0"/>
        <w:adjustRightInd w:val="0"/>
        <w:snapToGrid w:val="0"/>
        <w:spacing w:before="360" w:beforeLines="150" w:after="240" w:afterLines="100"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涨价时，</w:t>
      </w:r>
      <w:r>
        <w:rPr>
          <w:rFonts w:hint="eastAsia" w:ascii="宋体" w:hAnsi="宋体" w:eastAsia="宋体" w:cs="宋体"/>
          <w:snapToGrid w:val="0"/>
          <w:color w:val="auto"/>
          <w:kern w:val="0"/>
          <w:position w:val="-30"/>
          <w:sz w:val="24"/>
          <w:szCs w:val="24"/>
          <w:highlight w:val="none"/>
        </w:rPr>
        <w:object>
          <v:shape id="_x0000_i1033" o:spt="75" type="#_x0000_t75" style="height:33.95pt;width:198pt;" o:ole="t" filled="f" o:preferrelative="t" stroked="f" coordsize="21600,21600">
            <v:path/>
            <v:fill on="f" focussize="0,0"/>
            <v:stroke on="f"/>
            <v:imagedata r:id="rId47" o:title=""/>
            <o:lock v:ext="edit" grouping="f" rotation="f" text="f" aspectratio="t"/>
            <w10:wrap type="none"/>
            <w10:anchorlock/>
          </v:shape>
          <o:OLEObject Type="Embed" ProgID="Equation.KSEE3" ShapeID="_x0000_i1033" DrawAspect="Content" ObjectID="_1468075733" r:id="rId46">
            <o:LockedField>false</o:LockedField>
          </o:OLEObject>
        </w:object>
      </w:r>
    </w:p>
    <w:p w14:paraId="48E182BD">
      <w:pPr>
        <w:wordWrap w:val="0"/>
        <w:adjustRightInd w:val="0"/>
        <w:spacing w:before="360" w:beforeLines="150" w:after="240" w:afterLines="100"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跌价时，</w:t>
      </w:r>
      <w:r>
        <w:rPr>
          <w:rFonts w:hint="eastAsia" w:ascii="宋体" w:hAnsi="宋体" w:eastAsia="宋体" w:cs="宋体"/>
          <w:snapToGrid w:val="0"/>
          <w:color w:val="auto"/>
          <w:kern w:val="0"/>
          <w:position w:val="-30"/>
          <w:sz w:val="24"/>
          <w:szCs w:val="24"/>
          <w:highlight w:val="none"/>
        </w:rPr>
        <w:object>
          <v:shape id="_x0000_i1034" o:spt="75" type="#_x0000_t75" style="height:33.95pt;width:200.95pt;" o:ole="t" filled="f" o:preferrelative="t" stroked="f" coordsize="21600,21600">
            <v:path/>
            <v:fill on="f" focussize="0,0"/>
            <v:stroke on="f"/>
            <v:imagedata r:id="rId49" o:title=""/>
            <o:lock v:ext="edit" grouping="f" rotation="f" text="f" aspectratio="t"/>
            <w10:wrap type="none"/>
            <w10:anchorlock/>
          </v:shape>
          <o:OLEObject Type="Embed" ProgID="Equation.KSEE3" ShapeID="_x0000_i1034" DrawAspect="Content" ObjectID="_1468075734" r:id="rId48">
            <o:LockedField>false</o:LockedField>
          </o:OLEObject>
        </w:object>
      </w:r>
    </w:p>
    <w:p w14:paraId="1D9CD448">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c</w:t>
      </w:r>
      <w:r>
        <w:rPr>
          <w:rFonts w:hint="eastAsia" w:ascii="宋体" w:hAnsi="宋体" w:eastAsia="宋体" w:cs="宋体"/>
          <w:snapToGrid w:val="0"/>
          <w:color w:val="auto"/>
          <w:kern w:val="0"/>
          <w:sz w:val="24"/>
          <w:szCs w:val="24"/>
          <w:highlight w:val="none"/>
        </w:rPr>
        <w:t>．如果中标单价等于基准单价，该施工机具台班的结算单价调整公式为：</w:t>
      </w:r>
    </w:p>
    <w:p w14:paraId="71EB6C64">
      <w:pPr>
        <w:wordWrap w:val="0"/>
        <w:adjustRightInd w:val="0"/>
        <w:snapToGrid w:val="0"/>
        <w:spacing w:before="360" w:beforeLines="150" w:after="240" w:afterLines="100"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涨价时，</w:t>
      </w:r>
      <w:r>
        <w:rPr>
          <w:rFonts w:hint="eastAsia" w:ascii="宋体" w:hAnsi="宋体" w:eastAsia="宋体" w:cs="宋体"/>
          <w:snapToGrid w:val="0"/>
          <w:color w:val="auto"/>
          <w:kern w:val="0"/>
          <w:position w:val="-30"/>
          <w:sz w:val="24"/>
          <w:szCs w:val="24"/>
          <w:highlight w:val="none"/>
        </w:rPr>
        <w:object>
          <v:shape id="_x0000_i1035" o:spt="75" type="#_x0000_t75" style="height:33.95pt;width:200.95pt;" o:ole="t" filled="f" o:preferrelative="t" stroked="f" coordsize="21600,21600">
            <v:path/>
            <v:fill on="f" focussize="0,0"/>
            <v:stroke on="f"/>
            <v:imagedata r:id="rId51" o:title=""/>
            <o:lock v:ext="edit" grouping="f" rotation="f" text="f" aspectratio="t"/>
            <w10:wrap type="none"/>
            <w10:anchorlock/>
          </v:shape>
          <o:OLEObject Type="Embed" ProgID="Equation.KSEE3" ShapeID="_x0000_i1035" DrawAspect="Content" ObjectID="_1468075735" r:id="rId50">
            <o:LockedField>false</o:LockedField>
          </o:OLEObject>
        </w:object>
      </w:r>
    </w:p>
    <w:p w14:paraId="70D394C4">
      <w:pPr>
        <w:wordWrap w:val="0"/>
        <w:adjustRightInd w:val="0"/>
        <w:spacing w:before="360" w:beforeLines="150" w:after="240" w:afterLines="100"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跌价时，</w:t>
      </w:r>
      <w:r>
        <w:rPr>
          <w:rFonts w:hint="eastAsia" w:ascii="宋体" w:hAnsi="宋体" w:eastAsia="宋体" w:cs="宋体"/>
          <w:snapToGrid w:val="0"/>
          <w:color w:val="auto"/>
          <w:kern w:val="0"/>
          <w:position w:val="-30"/>
          <w:sz w:val="24"/>
          <w:szCs w:val="24"/>
          <w:highlight w:val="none"/>
        </w:rPr>
        <w:object>
          <v:shape id="_x0000_i1036" o:spt="75" type="#_x0000_t75" style="height:33.95pt;width:200.95pt;" o:ole="t" filled="f" o:preferrelative="t" stroked="f" coordsize="21600,21600">
            <v:path/>
            <v:fill on="f" focussize="0,0"/>
            <v:stroke on="f"/>
            <v:imagedata r:id="rId53" o:title=""/>
            <o:lock v:ext="edit" grouping="f" rotation="f" text="f" aspectratio="t"/>
            <w10:wrap type="none"/>
            <w10:anchorlock/>
          </v:shape>
          <o:OLEObject Type="Embed" ProgID="Equation.KSEE3" ShapeID="_x0000_i1036" DrawAspect="Content" ObjectID="_1468075736" r:id="rId52">
            <o:LockedField>false</o:LockedField>
          </o:OLEObject>
        </w:object>
      </w:r>
    </w:p>
    <w:p w14:paraId="7CF9684D">
      <w:pPr>
        <w:wordWrap w:val="0"/>
        <w:adjustRightInd w:val="0"/>
        <w:snapToGrid w:val="0"/>
        <w:spacing w:line="360" w:lineRule="auto"/>
        <w:ind w:firstLine="480" w:firstLineChars="200"/>
        <w:rPr>
          <w:rFonts w:hint="default" w:ascii="宋体" w:hAnsi="宋体" w:eastAsia="宋体" w:cs="宋体"/>
          <w:snapToGrid w:val="0"/>
          <w:color w:val="auto"/>
          <w:kern w:val="0"/>
          <w:sz w:val="24"/>
          <w:szCs w:val="24"/>
          <w:highlight w:val="none"/>
          <w:lang w:val="en-US" w:eastAsia="zh-CN"/>
        </w:rPr>
      </w:pPr>
      <w:r>
        <w:rPr>
          <w:rFonts w:hint="default" w:ascii="宋体" w:hAnsi="宋体" w:eastAsia="宋体" w:cs="宋体"/>
          <w:snapToGrid w:val="0"/>
          <w:color w:val="auto"/>
          <w:kern w:val="0"/>
          <w:sz w:val="24"/>
          <w:szCs w:val="24"/>
          <w:highlight w:val="none"/>
          <w:lang w:val="en-US" w:eastAsia="zh-CN"/>
        </w:rPr>
        <w:t>以上公式中，F1为中标单价；F0为基准单价；F2为施工当月项目所在地工程造价管理机构发布的施工机具台班单价；B为合同约定的施工机具台班单价涨跌风险幅度值。</w:t>
      </w:r>
    </w:p>
    <w:p w14:paraId="0ABBFF82">
      <w:pPr>
        <w:wordWrap w:val="0"/>
        <w:adjustRightInd w:val="0"/>
        <w:snapToGrid w:val="0"/>
        <w:spacing w:line="360" w:lineRule="auto"/>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2.3.7</w:t>
      </w:r>
      <w:r>
        <w:rPr>
          <w:rFonts w:hint="eastAsia" w:ascii="宋体" w:hAnsi="宋体" w:eastAsia="宋体" w:cs="宋体"/>
          <w:bCs/>
          <w:snapToGrid w:val="0"/>
          <w:color w:val="auto"/>
          <w:kern w:val="0"/>
          <w:sz w:val="24"/>
          <w:szCs w:val="24"/>
          <w:highlight w:val="none"/>
        </w:rPr>
        <w:t xml:space="preserve"> 暂估价和暂列金额</w:t>
      </w:r>
    </w:p>
    <w:p w14:paraId="117B7332">
      <w:pPr>
        <w:keepNext w:val="0"/>
        <w:keepLines w:val="0"/>
        <w:widowControl/>
        <w:suppressLineNumbers w:val="0"/>
        <w:spacing w:line="360" w:lineRule="auto"/>
        <w:ind w:firstLine="482" w:firstLineChars="200"/>
        <w:jc w:val="left"/>
        <w:rPr>
          <w:rFonts w:hint="eastAsia" w:ascii="宋体" w:hAnsi="宋体" w:eastAsia="宋体" w:cs="宋体"/>
          <w:color w:val="auto"/>
          <w:sz w:val="24"/>
          <w:szCs w:val="24"/>
          <w:highlight w:val="none"/>
        </w:rPr>
      </w:pPr>
      <w:r>
        <w:rPr>
          <w:rFonts w:hint="eastAsia" w:ascii="宋体" w:hAnsi="宋体" w:eastAsia="宋体" w:cs="宋体"/>
          <w:b/>
          <w:bCs/>
          <w:color w:val="auto"/>
          <w:kern w:val="0"/>
          <w:sz w:val="24"/>
          <w:szCs w:val="24"/>
          <w:highlight w:val="none"/>
          <w:lang w:val="en-US" w:eastAsia="zh-CN" w:bidi="ar"/>
        </w:rPr>
        <w:t xml:space="preserve">2.3.7.1 </w:t>
      </w:r>
      <w:r>
        <w:rPr>
          <w:rFonts w:hint="eastAsia" w:ascii="宋体" w:hAnsi="宋体" w:eastAsia="宋体" w:cs="宋体"/>
          <w:color w:val="auto"/>
          <w:kern w:val="0"/>
          <w:sz w:val="24"/>
          <w:szCs w:val="24"/>
          <w:highlight w:val="none"/>
          <w:lang w:val="en-US" w:eastAsia="zh-CN" w:bidi="ar"/>
        </w:rPr>
        <w:t xml:space="preserve">暂估价项目按第一章第三节“投标人须知正文”第 </w:t>
      </w:r>
      <w:r>
        <w:rPr>
          <w:rFonts w:hint="eastAsia" w:ascii="宋体" w:hAnsi="宋体" w:eastAsia="宋体" w:cs="宋体"/>
          <w:b/>
          <w:bCs/>
          <w:color w:val="auto"/>
          <w:kern w:val="0"/>
          <w:sz w:val="24"/>
          <w:szCs w:val="24"/>
          <w:highlight w:val="none"/>
          <w:lang w:val="en-US" w:eastAsia="zh-CN" w:bidi="ar"/>
        </w:rPr>
        <w:t xml:space="preserve">8.5 </w:t>
      </w:r>
      <w:r>
        <w:rPr>
          <w:rFonts w:hint="eastAsia" w:ascii="宋体" w:hAnsi="宋体" w:eastAsia="宋体" w:cs="宋体"/>
          <w:color w:val="auto"/>
          <w:kern w:val="0"/>
          <w:sz w:val="24"/>
          <w:szCs w:val="24"/>
          <w:highlight w:val="none"/>
          <w:lang w:val="en-US" w:eastAsia="zh-CN" w:bidi="ar"/>
        </w:rPr>
        <w:t xml:space="preserve">条的规定确定专业工程承包人（或材料供应商、工程设备供应商）后，将专业工程合同价款（或材料单价、工程设备单价）取代相应暂估价，并调整合同价款。 </w:t>
      </w:r>
    </w:p>
    <w:p w14:paraId="3AAD40F0">
      <w:pPr>
        <w:keepNext w:val="0"/>
        <w:keepLines w:val="0"/>
        <w:widowControl/>
        <w:suppressLineNumbers w:val="0"/>
        <w:spacing w:line="360" w:lineRule="auto"/>
        <w:jc w:val="left"/>
        <w:rPr>
          <w:rFonts w:hint="default" w:ascii="宋体" w:hAnsi="宋体" w:eastAsia="宋体" w:cs="宋体"/>
          <w:b/>
          <w:bCs/>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结算时暂估价（若有）中所列的材料（设备）数量按实际发生数量计算；承包人须提供材料（设备）的发票及购销合同，并提供详细的图纸、工程量计算式、施工图片、现场记录、转账记录等佐证作为结算依据，以实际采购单价为结算价，但不得高于本次招标工程量清单中的材料（设备）单价。 </w:t>
      </w:r>
    </w:p>
    <w:p w14:paraId="337E8A6B">
      <w:pPr>
        <w:keepNext w:val="0"/>
        <w:keepLines w:val="0"/>
        <w:widowControl/>
        <w:suppressLineNumbers w:val="0"/>
        <w:spacing w:line="360" w:lineRule="auto"/>
        <w:ind w:firstLine="723" w:firstLineChars="300"/>
        <w:jc w:val="left"/>
        <w:rPr>
          <w:rFonts w:hint="eastAsia" w:ascii="宋体" w:hAnsi="宋体" w:eastAsia="宋体" w:cs="宋体"/>
          <w:color w:val="auto"/>
          <w:sz w:val="24"/>
          <w:szCs w:val="24"/>
          <w:highlight w:val="none"/>
        </w:rPr>
      </w:pPr>
      <w:r>
        <w:rPr>
          <w:rFonts w:hint="eastAsia" w:ascii="宋体" w:hAnsi="宋体" w:eastAsia="宋体" w:cs="宋体"/>
          <w:b/>
          <w:bCs/>
          <w:color w:val="auto"/>
          <w:kern w:val="0"/>
          <w:sz w:val="24"/>
          <w:szCs w:val="24"/>
          <w:highlight w:val="none"/>
          <w:lang w:val="en-US" w:eastAsia="zh-CN" w:bidi="ar"/>
        </w:rPr>
        <w:t xml:space="preserve">2.3.7.2 </w:t>
      </w:r>
      <w:r>
        <w:rPr>
          <w:rFonts w:hint="eastAsia" w:ascii="宋体" w:hAnsi="宋体" w:eastAsia="宋体" w:cs="宋体"/>
          <w:color w:val="auto"/>
          <w:kern w:val="0"/>
          <w:sz w:val="24"/>
          <w:szCs w:val="24"/>
          <w:highlight w:val="none"/>
          <w:lang w:val="en-US" w:eastAsia="zh-CN" w:bidi="ar"/>
        </w:rPr>
        <w:t xml:space="preserve">暂列金额由发包人掌握和使用。暂列金额项目若有发生，按第一章第三节“投标人须知正文”第 </w:t>
      </w:r>
      <w:r>
        <w:rPr>
          <w:rFonts w:hint="eastAsia" w:ascii="宋体" w:hAnsi="宋体" w:eastAsia="宋体" w:cs="宋体"/>
          <w:b/>
          <w:bCs/>
          <w:color w:val="auto"/>
          <w:kern w:val="0"/>
          <w:sz w:val="24"/>
          <w:szCs w:val="24"/>
          <w:highlight w:val="none"/>
          <w:lang w:val="en-US" w:eastAsia="zh-CN" w:bidi="ar"/>
        </w:rPr>
        <w:t xml:space="preserve">8.6 </w:t>
      </w:r>
      <w:r>
        <w:rPr>
          <w:rFonts w:hint="eastAsia" w:ascii="宋体" w:hAnsi="宋体" w:eastAsia="宋体" w:cs="宋体"/>
          <w:color w:val="auto"/>
          <w:kern w:val="0"/>
          <w:sz w:val="24"/>
          <w:szCs w:val="24"/>
          <w:highlight w:val="none"/>
          <w:lang w:val="en-US" w:eastAsia="zh-CN" w:bidi="ar"/>
        </w:rPr>
        <w:t xml:space="preserve">条的规定确定材料供应商（或工程设备供应商、服务供应商）后，材料（或工程设备、服务）的合同价款从暂列金额中支付。暂列金额扣除已发生的暂列金额项目合同价款、已发生的合同约定调整因素出现时的调整价款、已发生的索赔以及现场签证确认等的费用后，余额（若有）归发包人所有。暂列金额用于以下情形：（1）施工合同签订时尚未确定或者不可预见的所需材料、设备、服务的采购，施工中可能发生的工程变更、合同约定调整因素出现时的工程价款调整以及发生的索赔、现场签证确认等的费用。（2）国家政策性人工价差调整。（3）当合同履行期间， </w:t>
      </w:r>
    </w:p>
    <w:p w14:paraId="4C595B2C">
      <w:pPr>
        <w:keepNext w:val="0"/>
        <w:keepLines w:val="0"/>
        <w:widowControl/>
        <w:suppressLineNumbers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因人工、材料、工程设备、机械台班价格波动影响合同价款时，引起工程所在地工程造价管理机构发布的价格信息中材料、工程设备价格（仅限于钢筋、商品砼、水泥、砂、石、商品砂浆、电缆）变化超过 5%或施工机械使用费变化超过 10%时，发包人或承包人材料价格可调整 5%以外的部分、施工机械使用费可调整 10%以外的部分。（4）征拆后地表以下构筑物清运费用，预算未包含相关费用，结算时根据实际工程量在暂列金额中计算。（5）前期土方工程中的垃圾消纳处理费（若有）结算时提供签证、发票等作为依据。（6）施工合同签订时尚未确定或者不可预见的所需材料、设备、服务的采购。结算时按实际发生根据本章“3．工程付款办法”有关条款进行结算。</w:t>
      </w:r>
    </w:p>
    <w:p w14:paraId="0ED08D9A">
      <w:pPr>
        <w:keepNext w:val="0"/>
        <w:keepLines w:val="0"/>
        <w:widowControl/>
        <w:suppressLineNumbers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b/>
          <w:bCs/>
          <w:color w:val="auto"/>
          <w:kern w:val="0"/>
          <w:sz w:val="24"/>
          <w:szCs w:val="24"/>
          <w:highlight w:val="none"/>
          <w:lang w:val="en-US" w:eastAsia="zh-CN" w:bidi="ar"/>
        </w:rPr>
        <w:t xml:space="preserve">2.3.8 </w:t>
      </w:r>
      <w:r>
        <w:rPr>
          <w:rFonts w:hint="eastAsia" w:ascii="宋体" w:hAnsi="宋体" w:eastAsia="宋体" w:cs="宋体"/>
          <w:color w:val="auto"/>
          <w:kern w:val="0"/>
          <w:sz w:val="24"/>
          <w:szCs w:val="24"/>
          <w:highlight w:val="none"/>
          <w:lang w:val="en-US" w:eastAsia="zh-CN" w:bidi="ar"/>
        </w:rPr>
        <w:t xml:space="preserve">预算包干费按相关规定计算，本招标项目的预算包干费内容包括： </w:t>
      </w:r>
    </w:p>
    <w:p w14:paraId="59F3FE47">
      <w:pPr>
        <w:keepNext w:val="0"/>
        <w:keepLines w:val="0"/>
        <w:widowControl/>
        <w:suppressLineNumbers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（1）土建与装饰装修工程预算包干费按分部分项的人工费与施工机具费之和的 7%计算，施工雨水、污水的排除；因地形影响造成的场内料具二次运输；20 米高以下的工程用水加压措施；施工材料堆放场地的整理；机电安装后的补洞(槽)工料费；工程成品保护费；施工中的临时停水停电；基础埋深 2 米以内挖土方的塌方；日间照明施工增加费(不包括地下室和特殊工程)；完工清场后的垃圾外运等。</w:t>
      </w:r>
    </w:p>
    <w:p w14:paraId="3C4BCF1A">
      <w:pPr>
        <w:keepNext w:val="0"/>
        <w:keepLines w:val="0"/>
        <w:widowControl/>
        <w:suppressLineNumbers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 xml:space="preserve">（2）市政工程预算包干费按分部分项的人工费与施工机具费之和的 6%计算，预算包干包括：施工雨(污)水的排除、因地形影响造成的场内料具二次运输、施工材料堆放场地的整理、施工中的临时停水停电、基础埋深 2m 以内挖土方的塌方、日间照明施工增加费(不包括地下室和特殊工程)、完工清场后的垃圾外运、地上(地下)设施，建筑物的临时保护设施费和二次加工基地设施费、雨季施工增加费、己完工程及设备保护等，包干的内容不再依据方案或签证计算费用。 </w:t>
      </w:r>
    </w:p>
    <w:p w14:paraId="78DE2D48">
      <w:pPr>
        <w:keepNext w:val="0"/>
        <w:keepLines w:val="0"/>
        <w:widowControl/>
        <w:suppressLineNumbers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 xml:space="preserve">（3）园林绿化工程预算包干费按分部分项的人工费与施工机具费之和的 6%计算，预算包干内容包括：施工雨(污)水的排除；场内料具二次运输；树穴内的泥浆清除；工程用水加压措施；施工材料堆放场地的整理；工程成品的保护；施工中的临时停水停电；日间施工照明增加费；完工后的场地清理。 </w:t>
      </w:r>
    </w:p>
    <w:p w14:paraId="47FD413F">
      <w:pPr>
        <w:keepNext w:val="0"/>
        <w:keepLines w:val="0"/>
        <w:widowControl/>
        <w:suppressLineNumbers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（4）安装工程预算包干费按分部分项的人工费与施工机具费之和的 10%计算，预算包干内容包括：施工雨(污)水的排除、因地形影响造成的场内料具二次运输、20m 高以下的工程用水加压措施、施工材料堆放场地的整理、机电安装后的补洞(槽)工料费、工程成品保护费、施工中的临时停水停电、基础埋深 2m 以内挖土方的塌方、日间照明施工增加费(不包括地下室和特殊工程)、完工清场后的垃圾外运等。对于以上预算包干内容，承包人不得提出额外付款或延长工期等要求。对此类要求，发包人不作任何考虑及答复。</w:t>
      </w:r>
    </w:p>
    <w:p w14:paraId="7EC1D5E0">
      <w:pPr>
        <w:wordWrap w:val="0"/>
        <w:adjustRightInd w:val="0"/>
        <w:snapToGrid w:val="0"/>
        <w:spacing w:line="360" w:lineRule="auto"/>
        <w:ind w:firstLine="602" w:firstLineChars="250"/>
        <w:rPr>
          <w:rFonts w:hint="eastAsia" w:ascii="宋体" w:hAnsi="宋体" w:eastAsia="宋体" w:cs="宋体"/>
          <w:bCs/>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2.3.9</w:t>
      </w:r>
      <w:r>
        <w:rPr>
          <w:rFonts w:hint="eastAsia" w:ascii="宋体" w:hAnsi="宋体" w:eastAsia="宋体" w:cs="宋体"/>
          <w:bCs/>
          <w:snapToGrid w:val="0"/>
          <w:color w:val="auto"/>
          <w:kern w:val="0"/>
          <w:sz w:val="24"/>
          <w:szCs w:val="24"/>
          <w:highlight w:val="none"/>
        </w:rPr>
        <w:t xml:space="preserve"> 其余事项（如不可抗力、索赔、现场签证等）的调整原则按照</w:t>
      </w:r>
      <w:r>
        <w:rPr>
          <w:rFonts w:hint="eastAsia" w:ascii="宋体" w:hAnsi="宋体" w:eastAsia="宋体" w:cs="宋体"/>
          <w:bCs/>
          <w:snapToGrid w:val="0"/>
          <w:color w:val="auto"/>
          <w:kern w:val="0"/>
          <w:sz w:val="24"/>
          <w:szCs w:val="24"/>
          <w:highlight w:val="none"/>
          <w:lang w:eastAsia="zh-CN"/>
        </w:rPr>
        <w:t>《建设工程工程量清单计价标准》（GB/T50500—2024）</w:t>
      </w:r>
      <w:r>
        <w:rPr>
          <w:rFonts w:hint="eastAsia" w:ascii="宋体" w:hAnsi="宋体" w:eastAsia="宋体" w:cs="宋体"/>
          <w:bCs/>
          <w:snapToGrid w:val="0"/>
          <w:color w:val="auto"/>
          <w:kern w:val="0"/>
          <w:sz w:val="24"/>
          <w:szCs w:val="24"/>
          <w:highlight w:val="none"/>
        </w:rPr>
        <w:t>有关规定执行。</w:t>
      </w:r>
    </w:p>
    <w:p w14:paraId="47CDC0DE">
      <w:pPr>
        <w:wordWrap w:val="0"/>
        <w:adjustRightInd w:val="0"/>
        <w:snapToGrid w:val="0"/>
        <w:spacing w:line="360" w:lineRule="auto"/>
        <w:ind w:firstLine="602" w:firstLineChars="250"/>
        <w:rPr>
          <w:rFonts w:hint="eastAsia" w:ascii="宋体" w:hAnsi="宋体" w:eastAsia="宋体" w:cs="宋体"/>
          <w:b/>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2.4</w:t>
      </w:r>
      <w:r>
        <w:rPr>
          <w:rFonts w:hint="eastAsia" w:ascii="宋体" w:hAnsi="宋体" w:eastAsia="宋体" w:cs="宋体"/>
          <w:snapToGrid w:val="0"/>
          <w:color w:val="auto"/>
          <w:kern w:val="0"/>
          <w:sz w:val="24"/>
          <w:szCs w:val="24"/>
          <w:highlight w:val="none"/>
        </w:rPr>
        <w:t xml:space="preserve"> 凡将引起合同价款调增的事项，承包人必须于拟实施14天前，将详细的报价书（含拟实施项目名称、变更部位、理由、预计造价等）报监理单位审核和发包人批准后方可实施。</w:t>
      </w:r>
    </w:p>
    <w:p w14:paraId="188451DA">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2.5</w:t>
      </w:r>
      <w:r>
        <w:rPr>
          <w:rFonts w:hint="eastAsia" w:ascii="宋体" w:hAnsi="宋体" w:eastAsia="宋体" w:cs="宋体"/>
          <w:snapToGrid w:val="0"/>
          <w:color w:val="auto"/>
          <w:kern w:val="0"/>
          <w:sz w:val="24"/>
          <w:szCs w:val="24"/>
          <w:highlight w:val="none"/>
        </w:rPr>
        <w:t xml:space="preserve"> 承包人不得以不完全了解现场情况为理由，提出额外付款或延长工期等要求。对此类要求，发包人不作任何考虑及答复。</w:t>
      </w:r>
    </w:p>
    <w:p w14:paraId="7EB8DBEF">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2.6</w:t>
      </w:r>
      <w:r>
        <w:rPr>
          <w:rFonts w:hint="eastAsia" w:ascii="宋体" w:hAnsi="宋体" w:eastAsia="宋体" w:cs="宋体"/>
          <w:snapToGrid w:val="0"/>
          <w:color w:val="auto"/>
          <w:kern w:val="0"/>
          <w:sz w:val="24"/>
          <w:szCs w:val="24"/>
          <w:highlight w:val="none"/>
        </w:rPr>
        <w:t xml:space="preserve"> 承包人已标价工程量清单中漏报、错报或少报的清单项目，其价格均视为已经包含在其它清单项目中，竣工结算时不得重新组价和调整。</w:t>
      </w:r>
    </w:p>
    <w:p w14:paraId="28F0A8CA">
      <w:pPr>
        <w:wordWrap w:val="0"/>
        <w:adjustRightInd w:val="0"/>
        <w:snapToGrid w:val="0"/>
        <w:spacing w:line="360" w:lineRule="auto"/>
        <w:ind w:firstLine="48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2.7</w:t>
      </w:r>
      <w:r>
        <w:rPr>
          <w:rFonts w:hint="eastAsia" w:ascii="宋体" w:hAnsi="宋体" w:eastAsia="宋体" w:cs="宋体"/>
          <w:snapToGrid w:val="0"/>
          <w:color w:val="auto"/>
          <w:kern w:val="0"/>
          <w:sz w:val="24"/>
          <w:szCs w:val="24"/>
          <w:highlight w:val="none"/>
        </w:rPr>
        <w:t xml:space="preserve"> 项目完工后，发、承包双方和受其委托具备相应资质的工程造价咨询单位必须按照</w:t>
      </w:r>
      <w:r>
        <w:rPr>
          <w:rFonts w:hint="eastAsia" w:ascii="宋体" w:hAnsi="宋体" w:eastAsia="宋体" w:cs="宋体"/>
          <w:snapToGrid w:val="0"/>
          <w:color w:val="auto"/>
          <w:kern w:val="0"/>
          <w:sz w:val="24"/>
          <w:szCs w:val="24"/>
          <w:highlight w:val="none"/>
          <w:lang w:eastAsia="zh-CN"/>
        </w:rPr>
        <w:t>《建设工程工程量清单计价标准》（GB/T50500—2024）</w:t>
      </w:r>
      <w:r>
        <w:rPr>
          <w:rFonts w:hint="eastAsia" w:ascii="宋体" w:hAnsi="宋体" w:eastAsia="宋体" w:cs="宋体"/>
          <w:snapToGrid w:val="0"/>
          <w:color w:val="auto"/>
          <w:kern w:val="0"/>
          <w:sz w:val="24"/>
          <w:szCs w:val="24"/>
          <w:highlight w:val="none"/>
        </w:rPr>
        <w:t>和国家、省、市的有关规定办理竣工结算。</w:t>
      </w:r>
    </w:p>
    <w:p w14:paraId="116B81CE">
      <w:pPr>
        <w:wordWrap w:val="0"/>
        <w:adjustRightInd w:val="0"/>
        <w:snapToGrid w:val="0"/>
        <w:spacing w:line="360" w:lineRule="auto"/>
        <w:ind w:firstLine="56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2.8</w:t>
      </w:r>
      <w:r>
        <w:rPr>
          <w:rFonts w:hint="eastAsia" w:ascii="宋体" w:hAnsi="宋体" w:eastAsia="宋体" w:cs="宋体"/>
          <w:snapToGrid w:val="0"/>
          <w:color w:val="auto"/>
          <w:kern w:val="0"/>
          <w:sz w:val="24"/>
          <w:szCs w:val="24"/>
          <w:highlight w:val="none"/>
        </w:rPr>
        <w:t xml:space="preserve"> 承包人已标价工程量清单中没有的材料（或工程设备），承包人在使用前必须将材料（或工程设备）样板、材料合格证明（或产品合格证书）、材料（或工程设备）检验报告提交给监理单位和发包人审核。发包人审定并确定价格后，承包人方可采购和使用。如果在交货验收和使用过程中发现货不对板，监理单位和发包人有权拒用，并要求承包人立即进行更换。更换后的材料（或工程设备）应再次进行检查和检验。由此增加的费用和（或）工期延误由承包人承担。</w:t>
      </w:r>
    </w:p>
    <w:p w14:paraId="383164F0">
      <w:pPr>
        <w:pStyle w:val="6"/>
        <w:spacing w:before="155" w:line="360" w:lineRule="auto"/>
        <w:ind w:left="1" w:right="80" w:firstLine="473"/>
        <w:rPr>
          <w:rFonts w:hint="eastAsia" w:ascii="宋体" w:hAnsi="宋体" w:eastAsia="宋体" w:cs="宋体"/>
          <w:color w:val="auto"/>
          <w:spacing w:val="-1"/>
          <w:sz w:val="24"/>
          <w:szCs w:val="24"/>
          <w:highlight w:val="none"/>
          <w:u w:val="single"/>
        </w:rPr>
      </w:pPr>
      <w:r>
        <w:rPr>
          <w:rFonts w:hint="eastAsia" w:ascii="宋体" w:hAnsi="宋体" w:eastAsia="宋体" w:cs="宋体"/>
          <w:b/>
          <w:bCs/>
          <w:snapToGrid w:val="0"/>
          <w:color w:val="auto"/>
          <w:kern w:val="0"/>
          <w:sz w:val="24"/>
          <w:szCs w:val="24"/>
          <w:highlight w:val="none"/>
        </w:rPr>
        <w:t xml:space="preserve">2.9 </w:t>
      </w:r>
      <w:r>
        <w:rPr>
          <w:rFonts w:hint="eastAsia" w:ascii="宋体" w:hAnsi="宋体" w:eastAsia="宋体" w:cs="宋体"/>
          <w:snapToGrid w:val="0"/>
          <w:color w:val="auto"/>
          <w:kern w:val="0"/>
          <w:sz w:val="24"/>
          <w:szCs w:val="24"/>
          <w:highlight w:val="none"/>
        </w:rPr>
        <w:t>暂估价的结算原则：</w:t>
      </w:r>
      <w:r>
        <w:rPr>
          <w:rFonts w:hint="eastAsia" w:ascii="宋体" w:hAnsi="宋体" w:eastAsia="宋体" w:cs="宋体"/>
          <w:color w:val="auto"/>
          <w:spacing w:val="-1"/>
          <w:sz w:val="24"/>
          <w:szCs w:val="24"/>
          <w:highlight w:val="none"/>
          <w:u w:val="single"/>
        </w:rPr>
        <w:t>暂列金额</w:t>
      </w:r>
      <w:r>
        <w:rPr>
          <w:rFonts w:hint="eastAsia" w:ascii="宋体" w:hAnsi="宋体" w:eastAsia="宋体" w:cs="宋体"/>
          <w:color w:val="auto"/>
          <w:spacing w:val="-1"/>
          <w:sz w:val="24"/>
          <w:szCs w:val="24"/>
          <w:highlight w:val="none"/>
          <w:u w:val="single"/>
          <w:lang w:val="en-US" w:eastAsia="zh-CN"/>
        </w:rPr>
        <w:t>的计算方式</w:t>
      </w:r>
      <w:r>
        <w:rPr>
          <w:rFonts w:hint="eastAsia" w:ascii="宋体" w:hAnsi="宋体" w:eastAsia="宋体" w:cs="宋体"/>
          <w:color w:val="auto"/>
          <w:spacing w:val="-1"/>
          <w:sz w:val="24"/>
          <w:szCs w:val="24"/>
          <w:highlight w:val="none"/>
          <w:u w:val="single"/>
        </w:rPr>
        <w:t>按实际发生在结算审核完成后支付</w:t>
      </w:r>
      <w:r>
        <w:rPr>
          <w:rFonts w:hint="eastAsia" w:ascii="宋体" w:hAnsi="宋体" w:eastAsia="宋体" w:cs="宋体"/>
          <w:color w:val="auto"/>
          <w:spacing w:val="-1"/>
          <w:sz w:val="24"/>
          <w:szCs w:val="24"/>
          <w:highlight w:val="none"/>
          <w:u w:val="single"/>
          <w:lang w:eastAsia="zh-CN"/>
        </w:rPr>
        <w:t>，</w:t>
      </w:r>
      <w:r>
        <w:rPr>
          <w:rFonts w:hint="eastAsia" w:ascii="宋体" w:hAnsi="宋体" w:eastAsia="宋体" w:cs="宋体"/>
          <w:color w:val="auto"/>
          <w:spacing w:val="-1"/>
          <w:sz w:val="24"/>
          <w:szCs w:val="24"/>
          <w:highlight w:val="none"/>
          <w:u w:val="single"/>
          <w:lang w:val="en-US" w:eastAsia="zh-CN"/>
        </w:rPr>
        <w:t>原则上不得超过分部分项合计*10%</w:t>
      </w:r>
      <w:r>
        <w:rPr>
          <w:rFonts w:hint="eastAsia" w:ascii="宋体" w:hAnsi="宋体" w:eastAsia="宋体" w:cs="宋体"/>
          <w:color w:val="auto"/>
          <w:spacing w:val="-1"/>
          <w:sz w:val="24"/>
          <w:szCs w:val="24"/>
          <w:highlight w:val="none"/>
          <w:u w:val="single"/>
        </w:rPr>
        <w:t>。</w:t>
      </w:r>
    </w:p>
    <w:p w14:paraId="395CB6F8">
      <w:pPr>
        <w:wordWrap w:val="0"/>
        <w:adjustRightInd w:val="0"/>
        <w:snapToGrid w:val="0"/>
        <w:spacing w:line="360" w:lineRule="auto"/>
        <w:ind w:firstLine="560"/>
        <w:rPr>
          <w:rFonts w:hint="eastAsia" w:ascii="宋体" w:hAnsi="宋体" w:eastAsia="宋体" w:cs="宋体"/>
          <w:b/>
          <w:bCs/>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本工程暂估价为招标人在工程量清单中提供的用于支付必然发生但暂时不能确定价格的材料、工程设备的单价以及专业工程的金额。材料暂估价结算时提供购买发票、转账凭证、合同等佐证依据，其结算原则按本章“2.工程结算原则”有关条款进行结算。各部分暂估价的结算价不得超过暂估价。</w:t>
      </w:r>
    </w:p>
    <w:p w14:paraId="3E2897AC">
      <w:pPr>
        <w:wordWrap w:val="0"/>
        <w:adjustRightInd w:val="0"/>
        <w:snapToGrid w:val="0"/>
        <w:spacing w:line="360" w:lineRule="auto"/>
        <w:ind w:firstLine="560"/>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2.10 </w:t>
      </w:r>
      <w:r>
        <w:rPr>
          <w:rFonts w:hint="eastAsia" w:ascii="宋体" w:hAnsi="宋体" w:eastAsia="宋体" w:cs="宋体"/>
          <w:snapToGrid w:val="0"/>
          <w:color w:val="auto"/>
          <w:kern w:val="0"/>
          <w:sz w:val="24"/>
          <w:szCs w:val="24"/>
          <w:highlight w:val="none"/>
        </w:rPr>
        <w:t>暂列金额的结算原则：暂列金额由发包人掌握使用，工程合同履行期间，由于发包人的要求（注：必须要有发包人的书面通知）导致发生设计变更或合同约定调整因素出现时的工程价款调整以及发生的索赔、现场签证等，其工程量按实调整，其造价调整按本章“2工程结算原则”有关条款进行调整。暂列金额如有余额归发包人。</w:t>
      </w:r>
    </w:p>
    <w:p w14:paraId="16980409">
      <w:pPr>
        <w:wordWrap w:val="0"/>
        <w:adjustRightInd w:val="0"/>
        <w:snapToGrid w:val="0"/>
        <w:spacing w:line="360" w:lineRule="auto"/>
        <w:ind w:firstLine="560"/>
        <w:rPr>
          <w:rFonts w:hint="eastAsia" w:ascii="宋体" w:hAnsi="宋体" w:eastAsia="宋体" w:cs="宋体"/>
          <w:snapToGrid w:val="0"/>
          <w:color w:val="auto"/>
          <w:kern w:val="0"/>
          <w:sz w:val="24"/>
          <w:szCs w:val="24"/>
          <w:highlight w:val="none"/>
        </w:rPr>
      </w:pPr>
      <w:bookmarkStart w:id="162" w:name="_Toc8343"/>
      <w:r>
        <w:rPr>
          <w:rFonts w:hint="eastAsia" w:ascii="宋体" w:hAnsi="宋体" w:eastAsia="宋体" w:cs="宋体"/>
          <w:b/>
          <w:bCs/>
          <w:snapToGrid w:val="0"/>
          <w:color w:val="auto"/>
          <w:kern w:val="0"/>
          <w:sz w:val="24"/>
          <w:szCs w:val="24"/>
          <w:highlight w:val="none"/>
        </w:rPr>
        <w:t>2.11</w:t>
      </w:r>
      <w:r>
        <w:rPr>
          <w:rFonts w:hint="eastAsia" w:ascii="宋体" w:hAnsi="宋体" w:eastAsia="宋体" w:cs="宋体"/>
          <w:snapToGrid w:val="0"/>
          <w:color w:val="auto"/>
          <w:kern w:val="0"/>
          <w:sz w:val="24"/>
          <w:szCs w:val="24"/>
          <w:highlight w:val="none"/>
        </w:rPr>
        <w:t>结算总价在</w:t>
      </w:r>
      <w:r>
        <w:rPr>
          <w:rFonts w:hint="eastAsia" w:ascii="宋体" w:hAnsi="宋体" w:eastAsia="宋体" w:cs="宋体"/>
          <w:snapToGrid w:val="0"/>
          <w:color w:val="auto"/>
          <w:kern w:val="0"/>
          <w:sz w:val="24"/>
          <w:szCs w:val="24"/>
          <w:highlight w:val="none"/>
          <w:lang w:eastAsia="zh-CN"/>
        </w:rPr>
        <w:t>最高投标限价</w:t>
      </w:r>
      <w:r>
        <w:rPr>
          <w:rFonts w:hint="eastAsia" w:ascii="宋体" w:hAnsi="宋体" w:eastAsia="宋体" w:cs="宋体"/>
          <w:snapToGrid w:val="0"/>
          <w:color w:val="auto"/>
          <w:kern w:val="0"/>
          <w:sz w:val="24"/>
          <w:szCs w:val="24"/>
          <w:highlight w:val="none"/>
        </w:rPr>
        <w:t>范围内按实结算，结算总价不得超过本次招标的</w:t>
      </w:r>
      <w:r>
        <w:rPr>
          <w:rFonts w:hint="eastAsia" w:ascii="宋体" w:hAnsi="宋体" w:eastAsia="宋体" w:cs="宋体"/>
          <w:snapToGrid w:val="0"/>
          <w:color w:val="auto"/>
          <w:kern w:val="0"/>
          <w:sz w:val="24"/>
          <w:szCs w:val="24"/>
          <w:highlight w:val="none"/>
          <w:lang w:eastAsia="zh-CN"/>
        </w:rPr>
        <w:t>最高投标限价</w:t>
      </w:r>
      <w:r>
        <w:rPr>
          <w:rFonts w:hint="eastAsia" w:ascii="宋体" w:hAnsi="宋体" w:eastAsia="宋体" w:cs="宋体"/>
          <w:snapToGrid w:val="0"/>
          <w:color w:val="auto"/>
          <w:kern w:val="0"/>
          <w:sz w:val="24"/>
          <w:szCs w:val="24"/>
          <w:highlight w:val="none"/>
        </w:rPr>
        <w:t>。项目实施过程中涉及工程造价控制、计量、价差调整等事项，最终以</w:t>
      </w:r>
      <w:r>
        <w:rPr>
          <w:rFonts w:hint="eastAsia" w:ascii="宋体" w:hAnsi="宋体" w:eastAsia="宋体" w:cs="宋体"/>
          <w:snapToGrid w:val="0"/>
          <w:color w:val="auto"/>
          <w:kern w:val="0"/>
          <w:sz w:val="24"/>
          <w:szCs w:val="24"/>
          <w:highlight w:val="none"/>
          <w:lang w:val="en-US" w:eastAsia="zh-CN"/>
        </w:rPr>
        <w:t>新丰县</w:t>
      </w:r>
      <w:r>
        <w:rPr>
          <w:rFonts w:hint="eastAsia" w:ascii="宋体" w:hAnsi="宋体" w:eastAsia="宋体" w:cs="宋体"/>
          <w:snapToGrid w:val="0"/>
          <w:color w:val="auto"/>
          <w:kern w:val="0"/>
          <w:sz w:val="24"/>
          <w:szCs w:val="24"/>
          <w:highlight w:val="none"/>
        </w:rPr>
        <w:t>财政投资评审中心的审核意见为准。</w:t>
      </w:r>
      <w:bookmarkEnd w:id="162"/>
    </w:p>
    <w:p w14:paraId="05B4E73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2.12 计日工结算原则</w:t>
      </w:r>
    </w:p>
    <w:p w14:paraId="75D2442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val="0"/>
          <w:bCs/>
          <w:snapToGrid w:val="0"/>
          <w:color w:val="auto"/>
          <w:kern w:val="0"/>
          <w:sz w:val="24"/>
          <w:szCs w:val="24"/>
          <w:highlight w:val="none"/>
          <w:lang w:val="en-US" w:eastAsia="zh-CN"/>
        </w:rPr>
        <w:t>本项目</w:t>
      </w:r>
      <w:r>
        <w:rPr>
          <w:rFonts w:hint="eastAsia" w:ascii="宋体" w:hAnsi="宋体" w:eastAsia="宋体" w:cs="宋体"/>
          <w:b w:val="0"/>
          <w:bCs/>
          <w:snapToGrid w:val="0"/>
          <w:color w:val="auto"/>
          <w:kern w:val="0"/>
          <w:sz w:val="24"/>
          <w:szCs w:val="24"/>
          <w:highlight w:val="none"/>
          <w:lang w:val="en-US" w:eastAsia="zh-CN"/>
        </w:rPr>
        <w:t>无计日工。</w:t>
      </w:r>
    </w:p>
    <w:p w14:paraId="56BEB19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default"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2.12.</w:t>
      </w:r>
      <w:r>
        <w:rPr>
          <w:rFonts w:hint="default" w:ascii="宋体" w:hAnsi="宋体" w:eastAsia="宋体" w:cs="宋体"/>
          <w:b w:val="0"/>
          <w:bCs/>
          <w:snapToGrid w:val="0"/>
          <w:color w:val="auto"/>
          <w:kern w:val="0"/>
          <w:sz w:val="24"/>
          <w:szCs w:val="24"/>
          <w:highlight w:val="none"/>
          <w:lang w:val="en-US" w:eastAsia="zh-CN"/>
        </w:rPr>
        <w:t>1</w:t>
      </w:r>
      <w:r>
        <w:rPr>
          <w:rFonts w:hint="eastAsia" w:ascii="宋体" w:hAnsi="宋体" w:eastAsia="宋体" w:cs="宋体"/>
          <w:b w:val="0"/>
          <w:bCs/>
          <w:snapToGrid w:val="0"/>
          <w:color w:val="auto"/>
          <w:kern w:val="0"/>
          <w:sz w:val="24"/>
          <w:szCs w:val="24"/>
          <w:highlight w:val="none"/>
          <w:lang w:val="en-US" w:eastAsia="zh-CN"/>
        </w:rPr>
        <w:t xml:space="preserve"> </w:t>
      </w:r>
      <w:r>
        <w:rPr>
          <w:rFonts w:hint="default" w:ascii="宋体" w:hAnsi="宋体" w:eastAsia="宋体" w:cs="宋体"/>
          <w:b w:val="0"/>
          <w:bCs/>
          <w:snapToGrid w:val="0"/>
          <w:color w:val="auto"/>
          <w:kern w:val="0"/>
          <w:sz w:val="24"/>
          <w:szCs w:val="24"/>
          <w:highlight w:val="none"/>
          <w:lang w:val="en-US" w:eastAsia="zh-CN"/>
        </w:rPr>
        <w:t>计日工适用条件</w:t>
      </w:r>
    </w:p>
    <w:p w14:paraId="30F4A85F">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val="0"/>
          <w:bCs/>
          <w:snapToGrid w:val="0"/>
          <w:color w:val="auto"/>
          <w:kern w:val="0"/>
          <w:sz w:val="24"/>
          <w:szCs w:val="24"/>
          <w:highlight w:val="none"/>
          <w:lang w:val="en-US" w:eastAsia="zh-CN"/>
        </w:rPr>
        <w:t>除合同另有约定外，仅在发生合同范围外的零星工作、应急处理、发包人或监理人书面指令的临时用工、用料、用机，且无法按工程量清单子目计价时，方可采用计日工计价。</w:t>
      </w:r>
    </w:p>
    <w:p w14:paraId="6FBD3400">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val="0"/>
          <w:bCs/>
          <w:snapToGrid w:val="0"/>
          <w:color w:val="auto"/>
          <w:kern w:val="0"/>
          <w:sz w:val="24"/>
          <w:szCs w:val="24"/>
          <w:highlight w:val="none"/>
          <w:lang w:val="en-US" w:eastAsia="zh-CN"/>
        </w:rPr>
        <w:t>未经发包人或监理人书面指令实施的工作，一律不按计日工结算。</w:t>
      </w:r>
    </w:p>
    <w:p w14:paraId="698B543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default"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2.12.</w:t>
      </w:r>
      <w:r>
        <w:rPr>
          <w:rFonts w:hint="default" w:ascii="宋体" w:hAnsi="宋体" w:eastAsia="宋体" w:cs="宋体"/>
          <w:b w:val="0"/>
          <w:bCs/>
          <w:snapToGrid w:val="0"/>
          <w:color w:val="auto"/>
          <w:kern w:val="0"/>
          <w:sz w:val="24"/>
          <w:szCs w:val="24"/>
          <w:highlight w:val="none"/>
          <w:lang w:val="en-US" w:eastAsia="zh-CN"/>
        </w:rPr>
        <w:t>2.计日工单价确定</w:t>
      </w:r>
    </w:p>
    <w:p w14:paraId="60F94F3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val="0"/>
          <w:bCs/>
          <w:snapToGrid w:val="0"/>
          <w:color w:val="auto"/>
          <w:kern w:val="0"/>
          <w:sz w:val="24"/>
          <w:szCs w:val="24"/>
          <w:highlight w:val="none"/>
          <w:lang w:val="en-US" w:eastAsia="zh-CN"/>
        </w:rPr>
        <w:t>（1）计日工单价以投标文件已标价工程量清单中的计日工单价为准，单价为综合单价，包含人工费、材料费、施工机具使用费、管理费、利润、风险费用等全部费用，除增值税外不再另行计取其他费用。</w:t>
      </w:r>
    </w:p>
    <w:p w14:paraId="40C2B92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val="0"/>
          <w:bCs/>
          <w:snapToGrid w:val="0"/>
          <w:color w:val="auto"/>
          <w:kern w:val="0"/>
          <w:sz w:val="24"/>
          <w:szCs w:val="24"/>
          <w:highlight w:val="none"/>
          <w:lang w:val="en-US" w:eastAsia="zh-CN"/>
        </w:rPr>
        <w:t>（2）清单中无对应计日工单价的，由承包人根据市场价格水平提出报价，经发包人审核确认后执行；协商不一致的，按合同变更估价原则处理。</w:t>
      </w:r>
    </w:p>
    <w:p w14:paraId="6937356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val="0"/>
          <w:bCs/>
          <w:snapToGrid w:val="0"/>
          <w:color w:val="auto"/>
          <w:kern w:val="0"/>
          <w:sz w:val="24"/>
          <w:szCs w:val="24"/>
          <w:highlight w:val="none"/>
          <w:lang w:val="en-US" w:eastAsia="zh-CN"/>
        </w:rPr>
        <w:t>（3）除合同约定的价格调整情形外，计日工单价不作调整。</w:t>
      </w:r>
    </w:p>
    <w:p w14:paraId="7D92895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default"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 xml:space="preserve">2.12.3 </w:t>
      </w:r>
      <w:r>
        <w:rPr>
          <w:rFonts w:hint="default" w:ascii="宋体" w:hAnsi="宋体" w:eastAsia="宋体" w:cs="宋体"/>
          <w:b w:val="0"/>
          <w:bCs/>
          <w:snapToGrid w:val="0"/>
          <w:color w:val="auto"/>
          <w:kern w:val="0"/>
          <w:sz w:val="24"/>
          <w:szCs w:val="24"/>
          <w:highlight w:val="none"/>
          <w:lang w:val="en-US" w:eastAsia="zh-CN"/>
        </w:rPr>
        <w:t>现场计量与签证</w:t>
      </w:r>
    </w:p>
    <w:p w14:paraId="7B0CE70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val="0"/>
          <w:bCs/>
          <w:snapToGrid w:val="0"/>
          <w:color w:val="auto"/>
          <w:kern w:val="0"/>
          <w:sz w:val="24"/>
          <w:szCs w:val="24"/>
          <w:highlight w:val="none"/>
          <w:lang w:val="en-US" w:eastAsia="zh-CN"/>
        </w:rPr>
        <w:t>（1）承包人应逐日记录计日工的人工工种及工日数、材料名称及消耗量、机械型号及台班数量，同步留存现场影像、领料、派工等资料。</w:t>
      </w:r>
    </w:p>
    <w:p w14:paraId="79A9922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val="0"/>
          <w:bCs/>
          <w:snapToGrid w:val="0"/>
          <w:color w:val="auto"/>
          <w:kern w:val="0"/>
          <w:sz w:val="24"/>
          <w:szCs w:val="24"/>
          <w:highlight w:val="none"/>
          <w:lang w:val="en-US" w:eastAsia="zh-CN"/>
        </w:rPr>
        <w:t>（2）承包人应在每项计日工工作完成后24 小时内提交现场签证资料，经监理人核实、发包人确认后作为结算依据。</w:t>
      </w:r>
    </w:p>
    <w:p w14:paraId="04DAD8C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val="0"/>
          <w:bCs/>
          <w:snapToGrid w:val="0"/>
          <w:color w:val="auto"/>
          <w:kern w:val="0"/>
          <w:sz w:val="24"/>
          <w:szCs w:val="24"/>
          <w:highlight w:val="none"/>
          <w:lang w:val="en-US" w:eastAsia="zh-CN"/>
        </w:rPr>
        <w:t>（3）发包人、监理人逾期未审核且未提出异议的，视为认可承包人报送的计量数量；资料不全、逾期未报的，发包人有权不予计量。</w:t>
      </w:r>
    </w:p>
    <w:p w14:paraId="03BAD9C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default"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2.12.</w:t>
      </w:r>
      <w:r>
        <w:rPr>
          <w:rFonts w:hint="default" w:ascii="宋体" w:hAnsi="宋体" w:eastAsia="宋体" w:cs="宋体"/>
          <w:b w:val="0"/>
          <w:bCs/>
          <w:snapToGrid w:val="0"/>
          <w:color w:val="auto"/>
          <w:kern w:val="0"/>
          <w:sz w:val="24"/>
          <w:szCs w:val="24"/>
          <w:highlight w:val="none"/>
          <w:lang w:val="en-US" w:eastAsia="zh-CN"/>
        </w:rPr>
        <w:t>4 结算与支付</w:t>
      </w:r>
    </w:p>
    <w:p w14:paraId="4D00AC3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val="0"/>
          <w:bCs/>
          <w:snapToGrid w:val="0"/>
          <w:color w:val="auto"/>
          <w:kern w:val="0"/>
          <w:sz w:val="24"/>
          <w:szCs w:val="24"/>
          <w:highlight w:val="none"/>
          <w:lang w:val="en-US" w:eastAsia="zh-CN"/>
        </w:rPr>
        <w:t>（1）计日工结算价款 = ∑（确认人工工日数量 × 人工单价）+ ∑（确认材料数量 × 材料单价）+ ∑（确认机械台班数量 × 机械台班单价）</w:t>
      </w:r>
    </w:p>
    <w:p w14:paraId="465C554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val="0"/>
          <w:bCs/>
          <w:snapToGrid w:val="0"/>
          <w:color w:val="auto"/>
          <w:kern w:val="0"/>
          <w:sz w:val="24"/>
          <w:szCs w:val="24"/>
          <w:highlight w:val="none"/>
          <w:lang w:val="en-US" w:eastAsia="zh-CN"/>
        </w:rPr>
        <w:t>（2）增值税按国家现行税率另行计算，并入相应工程价款支付。</w:t>
      </w:r>
    </w:p>
    <w:p w14:paraId="5A2E937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val="0"/>
          <w:bCs/>
          <w:snapToGrid w:val="0"/>
          <w:color w:val="auto"/>
          <w:kern w:val="0"/>
          <w:sz w:val="24"/>
          <w:szCs w:val="24"/>
          <w:highlight w:val="none"/>
          <w:lang w:val="en-US" w:eastAsia="zh-CN"/>
        </w:rPr>
        <w:t>（3）经确认的当期计日工费用，随工程进度款同期支付；竣工结算时，按全部有效签证文件汇总计入竣工结算总价。</w:t>
      </w:r>
    </w:p>
    <w:p w14:paraId="2CF1927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default"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2.12.5</w:t>
      </w:r>
      <w:r>
        <w:rPr>
          <w:rFonts w:hint="default" w:ascii="宋体" w:hAnsi="宋体" w:eastAsia="宋体" w:cs="宋体"/>
          <w:b w:val="0"/>
          <w:bCs/>
          <w:snapToGrid w:val="0"/>
          <w:color w:val="auto"/>
          <w:kern w:val="0"/>
          <w:sz w:val="24"/>
          <w:szCs w:val="24"/>
          <w:highlight w:val="none"/>
          <w:lang w:val="en-US" w:eastAsia="zh-CN"/>
        </w:rPr>
        <w:t xml:space="preserve"> 其他约定</w:t>
      </w:r>
    </w:p>
    <w:p w14:paraId="61D9F02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val="0"/>
          <w:bCs/>
          <w:snapToGrid w:val="0"/>
          <w:color w:val="auto"/>
          <w:kern w:val="0"/>
          <w:sz w:val="24"/>
          <w:szCs w:val="24"/>
          <w:highlight w:val="none"/>
          <w:lang w:val="en-US" w:eastAsia="zh-CN"/>
        </w:rPr>
        <w:t>（1）超出指令范围、擅自施工、重复计量及无有效签证的计日工工作量，发包人不予计量和支付。</w:t>
      </w:r>
    </w:p>
    <w:p w14:paraId="5FCE523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宋体"/>
          <w:b w:val="0"/>
          <w:bCs/>
          <w:snapToGrid w:val="0"/>
          <w:color w:val="auto"/>
          <w:kern w:val="0"/>
          <w:sz w:val="24"/>
          <w:szCs w:val="24"/>
          <w:highlight w:val="none"/>
        </w:rPr>
      </w:pPr>
      <w:r>
        <w:rPr>
          <w:rFonts w:hint="default" w:ascii="宋体" w:hAnsi="宋体" w:eastAsia="宋体" w:cs="宋体"/>
          <w:b w:val="0"/>
          <w:bCs/>
          <w:snapToGrid w:val="0"/>
          <w:color w:val="auto"/>
          <w:kern w:val="0"/>
          <w:sz w:val="24"/>
          <w:szCs w:val="24"/>
          <w:highlight w:val="none"/>
          <w:lang w:val="en-US" w:eastAsia="zh-CN"/>
        </w:rPr>
        <w:t>（2）计日工相关计量、计价争议，按本合同争议解决条款执行。</w:t>
      </w:r>
    </w:p>
    <w:p w14:paraId="3683F068">
      <w:pPr>
        <w:pStyle w:val="3"/>
        <w:wordWrap w:val="0"/>
        <w:autoSpaceDE/>
        <w:autoSpaceDN/>
        <w:snapToGrid w:val="0"/>
        <w:spacing w:before="120" w:beforeLines="50" w:line="360" w:lineRule="auto"/>
        <w:jc w:val="both"/>
        <w:rPr>
          <w:rFonts w:hint="eastAsia" w:ascii="宋体" w:hAnsi="宋体" w:eastAsia="宋体" w:cs="宋体"/>
          <w:b/>
          <w:snapToGrid w:val="0"/>
          <w:color w:val="auto"/>
          <w:sz w:val="24"/>
          <w:szCs w:val="24"/>
          <w:highlight w:val="none"/>
        </w:rPr>
      </w:pPr>
      <w:bookmarkStart w:id="163" w:name="_Toc11883"/>
      <w:bookmarkStart w:id="164" w:name="_Toc231"/>
      <w:bookmarkStart w:id="165" w:name="_Toc10161"/>
      <w:bookmarkStart w:id="166" w:name="_Toc6483"/>
      <w:r>
        <w:rPr>
          <w:rFonts w:hint="eastAsia" w:ascii="宋体" w:hAnsi="宋体" w:eastAsia="宋体" w:cs="宋体"/>
          <w:b/>
          <w:snapToGrid w:val="0"/>
          <w:color w:val="auto"/>
          <w:sz w:val="24"/>
          <w:szCs w:val="24"/>
          <w:highlight w:val="none"/>
        </w:rPr>
        <w:t>3．工程付款办法</w:t>
      </w:r>
      <w:bookmarkEnd w:id="163"/>
      <w:bookmarkEnd w:id="164"/>
      <w:bookmarkEnd w:id="165"/>
      <w:bookmarkEnd w:id="166"/>
    </w:p>
    <w:p w14:paraId="1D1DACFB">
      <w:pPr>
        <w:wordWrap w:val="0"/>
        <w:adjustRightInd w:val="0"/>
        <w:snapToGrid w:val="0"/>
        <w:spacing w:line="360" w:lineRule="auto"/>
        <w:ind w:firstLine="560"/>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lang w:bidi="ar"/>
        </w:rPr>
        <w:t>3.1</w:t>
      </w:r>
      <w:r>
        <w:rPr>
          <w:rFonts w:hint="eastAsia" w:ascii="宋体" w:hAnsi="宋体" w:eastAsia="宋体" w:cs="宋体"/>
          <w:color w:val="auto"/>
          <w:kern w:val="0"/>
          <w:sz w:val="24"/>
          <w:szCs w:val="24"/>
          <w:highlight w:val="none"/>
          <w:lang w:bidi="ar"/>
        </w:rPr>
        <w:t xml:space="preserve"> 本招标项目</w:t>
      </w:r>
      <w:r>
        <w:rPr>
          <w:rFonts w:hint="eastAsia" w:ascii="宋体" w:hAnsi="宋体" w:eastAsia="宋体" w:cs="宋体"/>
          <w:color w:val="auto"/>
          <w:kern w:val="0"/>
          <w:sz w:val="24"/>
          <w:szCs w:val="24"/>
          <w:highlight w:val="none"/>
          <w:u w:val="single"/>
          <w:lang w:bidi="ar"/>
        </w:rPr>
        <w:t xml:space="preserve"> 支付 </w:t>
      </w:r>
      <w:r>
        <w:rPr>
          <w:rFonts w:hint="eastAsia" w:ascii="宋体" w:hAnsi="宋体" w:eastAsia="宋体" w:cs="宋体"/>
          <w:color w:val="auto"/>
          <w:kern w:val="0"/>
          <w:sz w:val="24"/>
          <w:szCs w:val="24"/>
          <w:highlight w:val="none"/>
          <w:lang w:bidi="ar"/>
        </w:rPr>
        <w:t>施工预付款。</w:t>
      </w:r>
    </w:p>
    <w:p w14:paraId="6D7E8FE5">
      <w:pPr>
        <w:wordWrap w:val="0"/>
        <w:adjustRightInd w:val="0"/>
        <w:snapToGrid w:val="0"/>
        <w:spacing w:line="360" w:lineRule="auto"/>
        <w:ind w:firstLine="482" w:firstLineChars="200"/>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lang w:bidi="ar"/>
        </w:rPr>
        <w:t>3.2</w:t>
      </w:r>
      <w:r>
        <w:rPr>
          <w:rFonts w:hint="eastAsia" w:ascii="宋体" w:hAnsi="宋体" w:eastAsia="宋体" w:cs="宋体"/>
          <w:color w:val="auto"/>
          <w:kern w:val="0"/>
          <w:sz w:val="24"/>
          <w:szCs w:val="24"/>
          <w:highlight w:val="none"/>
          <w:lang w:bidi="ar"/>
        </w:rPr>
        <w:t xml:space="preserve"> 施工预付款必须专用于合同工程，并按以下原则支付和抵扣：</w:t>
      </w:r>
    </w:p>
    <w:p w14:paraId="179C2EA2">
      <w:pPr>
        <w:wordWrap w:val="0"/>
        <w:adjustRightInd w:val="0"/>
        <w:snapToGrid w:val="0"/>
        <w:spacing w:line="360" w:lineRule="auto"/>
        <w:ind w:firstLine="482" w:firstLineChars="200"/>
        <w:rPr>
          <w:rFonts w:ascii="Times New Roman"/>
          <w:snapToGrid w:val="0"/>
          <w:color w:val="auto"/>
          <w:kern w:val="0"/>
          <w:highlight w:val="none"/>
        </w:rPr>
      </w:pPr>
      <w:r>
        <w:rPr>
          <w:rFonts w:hint="eastAsia" w:ascii="宋体" w:hAnsi="宋体" w:eastAsia="宋体" w:cs="宋体"/>
          <w:b/>
          <w:bCs/>
          <w:color w:val="auto"/>
          <w:kern w:val="0"/>
          <w:sz w:val="24"/>
          <w:szCs w:val="24"/>
          <w:highlight w:val="none"/>
          <w:lang w:bidi="ar"/>
        </w:rPr>
        <w:t>3.2.1</w:t>
      </w:r>
      <w:r>
        <w:rPr>
          <w:rFonts w:hint="eastAsia" w:ascii="宋体" w:hAnsi="宋体" w:eastAsia="宋体" w:cs="宋体"/>
          <w:color w:val="auto"/>
          <w:kern w:val="0"/>
          <w:sz w:val="24"/>
          <w:szCs w:val="24"/>
          <w:highlight w:val="none"/>
          <w:lang w:bidi="ar"/>
        </w:rPr>
        <w:t xml:space="preserve"> 施工预付款支付比例为：按施工合同价</w:t>
      </w:r>
      <w:r>
        <w:rPr>
          <w:rFonts w:hint="eastAsia" w:ascii="宋体" w:hAnsi="宋体" w:eastAsia="宋体" w:cs="宋体"/>
          <w:color w:val="auto"/>
          <w:kern w:val="0"/>
          <w:sz w:val="24"/>
          <w:szCs w:val="24"/>
          <w:highlight w:val="none"/>
          <w:lang w:eastAsia="zh-CN" w:bidi="ar"/>
        </w:rPr>
        <w:t>（暂列金</w:t>
      </w:r>
      <w:r>
        <w:rPr>
          <w:rFonts w:hint="eastAsia" w:ascii="宋体" w:hAnsi="宋体" w:eastAsia="宋体" w:cs="宋体"/>
          <w:color w:val="auto"/>
          <w:kern w:val="0"/>
          <w:sz w:val="24"/>
          <w:szCs w:val="24"/>
          <w:highlight w:val="none"/>
          <w:lang w:val="en-US" w:eastAsia="zh-CN" w:bidi="ar"/>
        </w:rPr>
        <w:t>额、专业工程暂估价、安全生产措施费除外）</w:t>
      </w:r>
      <w:r>
        <w:rPr>
          <w:rFonts w:hint="eastAsia" w:ascii="宋体" w:hAnsi="宋体" w:eastAsia="宋体" w:cs="宋体"/>
          <w:color w:val="auto"/>
          <w:kern w:val="0"/>
          <w:sz w:val="24"/>
          <w:szCs w:val="24"/>
          <w:highlight w:val="none"/>
          <w:lang w:bidi="ar"/>
        </w:rPr>
        <w:t>的</w:t>
      </w:r>
      <w:r>
        <w:rPr>
          <w:rFonts w:hint="eastAsia" w:ascii="宋体" w:hAnsi="宋体" w:eastAsia="宋体" w:cs="宋体"/>
          <w:color w:val="auto"/>
          <w:kern w:val="0"/>
          <w:sz w:val="24"/>
          <w:szCs w:val="24"/>
          <w:highlight w:val="none"/>
          <w:u w:val="single"/>
          <w:lang w:bidi="ar"/>
        </w:rPr>
        <w:t xml:space="preserve"> </w:t>
      </w:r>
      <w:r>
        <w:rPr>
          <w:rFonts w:hint="eastAsia" w:ascii="宋体" w:hAnsi="宋体" w:eastAsia="宋体" w:cs="宋体"/>
          <w:color w:val="auto"/>
          <w:kern w:val="0"/>
          <w:sz w:val="24"/>
          <w:szCs w:val="24"/>
          <w:highlight w:val="none"/>
          <w:u w:val="single"/>
          <w:lang w:val="en-US" w:eastAsia="zh-CN" w:bidi="ar"/>
        </w:rPr>
        <w:t>3</w:t>
      </w:r>
      <w:r>
        <w:rPr>
          <w:rFonts w:hint="eastAsia" w:ascii="宋体" w:hAnsi="宋体" w:eastAsia="宋体" w:cs="宋体"/>
          <w:color w:val="auto"/>
          <w:kern w:val="0"/>
          <w:sz w:val="24"/>
          <w:szCs w:val="24"/>
          <w:highlight w:val="none"/>
          <w:u w:val="single"/>
          <w:lang w:bidi="ar"/>
        </w:rPr>
        <w:t xml:space="preserve">0% </w:t>
      </w:r>
      <w:r>
        <w:rPr>
          <w:rFonts w:hint="eastAsia" w:ascii="宋体" w:hAnsi="宋体" w:eastAsia="宋体" w:cs="宋体"/>
          <w:color w:val="auto"/>
          <w:kern w:val="0"/>
          <w:sz w:val="24"/>
          <w:szCs w:val="24"/>
          <w:highlight w:val="none"/>
          <w:lang w:bidi="ar"/>
        </w:rPr>
        <w:t>支付</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val="en-US" w:eastAsia="zh-CN" w:bidi="ar"/>
        </w:rPr>
        <w:t>施工预付款中包含工人工资预付款，其中工人工资预付款比例为施工预付款的20%。</w:t>
      </w:r>
    </w:p>
    <w:p w14:paraId="6B7B62E7">
      <w:pPr>
        <w:wordWrap w:val="0"/>
        <w:adjustRightInd w:val="0"/>
        <w:snapToGrid w:val="0"/>
        <w:spacing w:line="360" w:lineRule="auto"/>
        <w:ind w:firstLine="480" w:firstLineChars="200"/>
        <w:rPr>
          <w:rFonts w:hint="default" w:ascii="宋体" w:hAnsi="宋体" w:eastAsia="宋体" w:cs="宋体"/>
          <w:color w:val="auto"/>
          <w:kern w:val="0"/>
          <w:sz w:val="24"/>
          <w:szCs w:val="24"/>
          <w:highlight w:val="none"/>
          <w:lang w:val="en-US" w:eastAsia="zh-CN" w:bidi="ar"/>
        </w:rPr>
      </w:pPr>
    </w:p>
    <w:p w14:paraId="56B193D2">
      <w:pPr>
        <w:wordWrap w:val="0"/>
        <w:adjustRightInd w:val="0"/>
        <w:snapToGrid w:val="0"/>
        <w:spacing w:line="360" w:lineRule="auto"/>
        <w:ind w:firstLine="482" w:firstLineChars="200"/>
        <w:rPr>
          <w:rFonts w:hint="eastAsia" w:ascii="宋体" w:hAnsi="宋体" w:eastAsia="宋体" w:cs="宋体"/>
          <w:color w:val="auto"/>
          <w:kern w:val="0"/>
          <w:sz w:val="24"/>
          <w:szCs w:val="24"/>
          <w:highlight w:val="none"/>
          <w:lang w:bidi="ar"/>
        </w:rPr>
      </w:pPr>
      <w:r>
        <w:rPr>
          <w:rFonts w:hint="eastAsia" w:ascii="宋体" w:hAnsi="宋体" w:eastAsia="宋体" w:cs="宋体"/>
          <w:b/>
          <w:bCs/>
          <w:color w:val="auto"/>
          <w:kern w:val="0"/>
          <w:sz w:val="24"/>
          <w:szCs w:val="24"/>
          <w:highlight w:val="none"/>
          <w:lang w:bidi="ar"/>
        </w:rPr>
        <w:t>3.2.2</w:t>
      </w:r>
      <w:r>
        <w:rPr>
          <w:rFonts w:hint="eastAsia" w:ascii="宋体" w:hAnsi="宋体" w:eastAsia="宋体" w:cs="宋体"/>
          <w:color w:val="auto"/>
          <w:kern w:val="0"/>
          <w:sz w:val="24"/>
          <w:szCs w:val="24"/>
          <w:highlight w:val="none"/>
          <w:lang w:bidi="ar"/>
        </w:rPr>
        <w:t xml:space="preserve"> 本招标项目</w:t>
      </w:r>
      <w:r>
        <w:rPr>
          <w:rFonts w:hint="eastAsia" w:ascii="宋体" w:hAnsi="宋体" w:eastAsia="宋体" w:cs="宋体"/>
          <w:color w:val="auto"/>
          <w:kern w:val="0"/>
          <w:sz w:val="24"/>
          <w:szCs w:val="24"/>
          <w:highlight w:val="none"/>
          <w:u w:val="single"/>
          <w:lang w:bidi="ar"/>
        </w:rPr>
        <w:t xml:space="preserve"> </w:t>
      </w:r>
      <w:r>
        <w:rPr>
          <w:rFonts w:hint="eastAsia" w:ascii="宋体" w:hAnsi="宋体" w:eastAsia="宋体" w:cs="宋体"/>
          <w:color w:val="auto"/>
          <w:kern w:val="0"/>
          <w:sz w:val="24"/>
          <w:szCs w:val="24"/>
          <w:highlight w:val="none"/>
          <w:u w:val="single"/>
          <w:lang w:val="en-US" w:eastAsia="zh-CN" w:bidi="ar"/>
        </w:rPr>
        <w:t>不</w:t>
      </w:r>
      <w:r>
        <w:rPr>
          <w:rFonts w:hint="eastAsia" w:ascii="宋体" w:hAnsi="宋体" w:eastAsia="宋体" w:cs="宋体"/>
          <w:color w:val="auto"/>
          <w:kern w:val="0"/>
          <w:sz w:val="24"/>
          <w:szCs w:val="24"/>
          <w:highlight w:val="none"/>
          <w:u w:val="single"/>
          <w:lang w:bidi="ar"/>
        </w:rPr>
        <w:t xml:space="preserve">要求 </w:t>
      </w:r>
      <w:r>
        <w:rPr>
          <w:rFonts w:hint="eastAsia" w:ascii="宋体" w:hAnsi="宋体" w:eastAsia="宋体" w:cs="宋体"/>
          <w:color w:val="auto"/>
          <w:kern w:val="0"/>
          <w:sz w:val="24"/>
          <w:szCs w:val="24"/>
          <w:highlight w:val="none"/>
          <w:lang w:bidi="ar"/>
        </w:rPr>
        <w:t>承包人提供与预付款等额的预付款保函。</w:t>
      </w:r>
    </w:p>
    <w:p w14:paraId="1F4B09A2">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color w:val="auto"/>
          <w:kern w:val="0"/>
          <w:sz w:val="24"/>
          <w:szCs w:val="24"/>
          <w:highlight w:val="none"/>
          <w:lang w:bidi="ar"/>
        </w:rPr>
        <w:t>3.2.3</w:t>
      </w:r>
      <w:r>
        <w:rPr>
          <w:rFonts w:hint="eastAsia" w:ascii="宋体" w:hAnsi="宋体" w:eastAsia="宋体" w:cs="宋体"/>
          <w:color w:val="auto"/>
          <w:kern w:val="0"/>
          <w:sz w:val="24"/>
          <w:szCs w:val="24"/>
          <w:highlight w:val="none"/>
          <w:lang w:bidi="ar"/>
        </w:rPr>
        <w:t xml:space="preserve"> </w:t>
      </w:r>
      <w:r>
        <w:rPr>
          <w:rFonts w:hint="eastAsia" w:ascii="宋体" w:hAnsi="宋体" w:eastAsia="宋体" w:cs="宋体"/>
          <w:snapToGrid w:val="0"/>
          <w:color w:val="auto"/>
          <w:kern w:val="0"/>
          <w:sz w:val="24"/>
          <w:szCs w:val="24"/>
          <w:highlight w:val="none"/>
        </w:rPr>
        <w:t>承包人应在签订合同后，</w:t>
      </w:r>
      <w:r>
        <w:rPr>
          <w:rFonts w:hint="eastAsia" w:ascii="宋体" w:hAnsi="宋体" w:eastAsia="宋体" w:cs="宋体"/>
          <w:b/>
          <w:snapToGrid w:val="0"/>
          <w:color w:val="auto"/>
          <w:sz w:val="24"/>
          <w:szCs w:val="24"/>
          <w:highlight w:val="none"/>
        </w:rPr>
        <w:t>在提供符合要求的预付款保函或预付款保险及</w:t>
      </w:r>
      <w:r>
        <w:rPr>
          <w:rFonts w:hint="eastAsia" w:ascii="宋体" w:hAnsi="宋体" w:eastAsia="宋体" w:cs="宋体"/>
          <w:snapToGrid w:val="0"/>
          <w:color w:val="auto"/>
          <w:kern w:val="0"/>
          <w:sz w:val="24"/>
          <w:szCs w:val="24"/>
          <w:highlight w:val="none"/>
        </w:rPr>
        <w:t>在具备施工条件的前提下，向发包人提交预付款支付申请。发包人应对在收到支付申请的7天内进行核实后向承包人发出预付款支付证书，并在签发支付证书后的7天内向承包人支付预付款。凡未签订合同或不具备施工条件的工程，发包人不得预付工程款。</w:t>
      </w:r>
    </w:p>
    <w:p w14:paraId="231B4EA8">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color w:val="auto"/>
          <w:kern w:val="0"/>
          <w:sz w:val="24"/>
          <w:szCs w:val="24"/>
          <w:highlight w:val="none"/>
          <w:lang w:bidi="ar"/>
        </w:rPr>
        <w:t>3.2.4</w:t>
      </w:r>
      <w:r>
        <w:rPr>
          <w:rFonts w:hint="eastAsia" w:ascii="宋体" w:hAnsi="宋体" w:eastAsia="宋体" w:cs="宋体"/>
          <w:color w:val="auto"/>
          <w:kern w:val="0"/>
          <w:sz w:val="24"/>
          <w:szCs w:val="24"/>
          <w:highlight w:val="none"/>
          <w:lang w:bidi="ar"/>
        </w:rPr>
        <w:t xml:space="preserve"> </w:t>
      </w:r>
      <w:r>
        <w:rPr>
          <w:rFonts w:hint="eastAsia" w:ascii="宋体" w:hAnsi="宋体" w:eastAsia="宋体" w:cs="宋体"/>
          <w:snapToGrid w:val="0"/>
          <w:color w:val="auto"/>
          <w:kern w:val="0"/>
          <w:sz w:val="24"/>
          <w:szCs w:val="24"/>
          <w:highlight w:val="none"/>
        </w:rPr>
        <w:t xml:space="preserve"> 发包人没有按时支付预付款的，承包人可催告发包人支付；发包人</w:t>
      </w:r>
      <w:r>
        <w:rPr>
          <w:rFonts w:hint="eastAsia" w:ascii="宋体" w:hAnsi="宋体" w:eastAsia="宋体" w:cs="宋体"/>
          <w:snapToGrid w:val="0"/>
          <w:color w:val="auto"/>
          <w:kern w:val="0"/>
          <w:sz w:val="24"/>
          <w:szCs w:val="24"/>
          <w:highlight w:val="none"/>
          <w:lang w:eastAsia="zh-CN"/>
        </w:rPr>
        <w:t>应配合做好支付工作，但承包人不得以此为理由暂停施工</w:t>
      </w:r>
      <w:r>
        <w:rPr>
          <w:rFonts w:hint="eastAsia" w:ascii="宋体" w:hAnsi="宋体" w:eastAsia="宋体" w:cs="宋体"/>
          <w:snapToGrid w:val="0"/>
          <w:color w:val="auto"/>
          <w:kern w:val="0"/>
          <w:sz w:val="24"/>
          <w:szCs w:val="24"/>
          <w:highlight w:val="none"/>
        </w:rPr>
        <w:t>。</w:t>
      </w:r>
    </w:p>
    <w:p w14:paraId="126E3220">
      <w:pPr>
        <w:wordWrap w:val="0"/>
        <w:adjustRightInd w:val="0"/>
        <w:snapToGrid w:val="0"/>
        <w:spacing w:line="360" w:lineRule="auto"/>
        <w:ind w:firstLine="482" w:firstLineChars="200"/>
        <w:rPr>
          <w:rFonts w:hint="eastAsia" w:ascii="宋体" w:hAnsi="宋体" w:eastAsia="宋体" w:cs="宋体"/>
          <w:color w:val="auto"/>
          <w:sz w:val="24"/>
          <w:szCs w:val="24"/>
          <w:highlight w:val="none"/>
        </w:rPr>
      </w:pPr>
      <w:r>
        <w:rPr>
          <w:rFonts w:hint="eastAsia" w:ascii="宋体" w:hAnsi="宋体" w:eastAsia="宋体" w:cs="宋体"/>
          <w:b/>
          <w:bCs/>
          <w:color w:val="auto"/>
          <w:kern w:val="0"/>
          <w:sz w:val="24"/>
          <w:szCs w:val="24"/>
          <w:highlight w:val="none"/>
          <w:lang w:bidi="ar"/>
        </w:rPr>
        <w:t>3.2.5</w:t>
      </w:r>
      <w:r>
        <w:rPr>
          <w:rFonts w:hint="eastAsia" w:ascii="宋体" w:hAnsi="宋体" w:eastAsia="宋体" w:cs="宋体"/>
          <w:color w:val="auto"/>
          <w:kern w:val="0"/>
          <w:sz w:val="24"/>
          <w:szCs w:val="24"/>
          <w:highlight w:val="none"/>
          <w:lang w:bidi="ar"/>
        </w:rPr>
        <w:t xml:space="preserve"> 预付款</w:t>
      </w:r>
      <w:r>
        <w:rPr>
          <w:rFonts w:hint="eastAsia" w:ascii="宋体" w:hAnsi="宋体" w:eastAsia="宋体" w:cs="宋体"/>
          <w:color w:val="auto"/>
          <w:kern w:val="0"/>
          <w:sz w:val="24"/>
          <w:szCs w:val="24"/>
          <w:highlight w:val="none"/>
          <w:u w:val="single"/>
          <w:lang w:eastAsia="zh-CN" w:bidi="ar"/>
        </w:rPr>
        <w:t>应按当期工程进度的</w:t>
      </w:r>
      <w:r>
        <w:rPr>
          <w:rFonts w:hint="eastAsia" w:ascii="宋体" w:hAnsi="宋体" w:eastAsia="宋体" w:cs="宋体"/>
          <w:color w:val="auto"/>
          <w:kern w:val="0"/>
          <w:sz w:val="24"/>
          <w:szCs w:val="24"/>
          <w:highlight w:val="none"/>
          <w:u w:val="single"/>
          <w:lang w:val="en-US" w:eastAsia="zh-CN" w:bidi="ar"/>
        </w:rPr>
        <w:t>50%进行同等比例</w:t>
      </w:r>
      <w:r>
        <w:rPr>
          <w:rFonts w:hint="eastAsia" w:ascii="宋体" w:hAnsi="宋体" w:eastAsia="宋体" w:cs="宋体"/>
          <w:color w:val="auto"/>
          <w:kern w:val="0"/>
          <w:sz w:val="24"/>
          <w:szCs w:val="24"/>
          <w:highlight w:val="none"/>
          <w:u w:val="single"/>
          <w:lang w:eastAsia="zh-CN" w:bidi="ar"/>
        </w:rPr>
        <w:t>扣回</w:t>
      </w:r>
      <w:r>
        <w:rPr>
          <w:rFonts w:hint="eastAsia" w:ascii="宋体" w:hAnsi="宋体" w:eastAsia="宋体" w:cs="宋体"/>
          <w:color w:val="auto"/>
          <w:kern w:val="0"/>
          <w:sz w:val="24"/>
          <w:szCs w:val="24"/>
          <w:highlight w:val="none"/>
          <w:lang w:val="en-US" w:eastAsia="zh-CN" w:bidi="ar"/>
        </w:rPr>
        <w:t>，直到扣回的金额达到合同约定的预付款金额为止</w:t>
      </w:r>
      <w:r>
        <w:rPr>
          <w:rFonts w:hint="eastAsia" w:ascii="宋体" w:hAnsi="宋体" w:eastAsia="宋体" w:cs="宋体"/>
          <w:snapToGrid w:val="0"/>
          <w:color w:val="auto"/>
          <w:kern w:val="0"/>
          <w:sz w:val="24"/>
          <w:szCs w:val="24"/>
          <w:highlight w:val="none"/>
        </w:rPr>
        <w:t>。</w:t>
      </w:r>
    </w:p>
    <w:p w14:paraId="7F54BCEE">
      <w:pPr>
        <w:wordWrap w:val="0"/>
        <w:adjustRightInd w:val="0"/>
        <w:snapToGrid w:val="0"/>
        <w:spacing w:line="360" w:lineRule="auto"/>
        <w:ind w:firstLine="482" w:firstLineChars="200"/>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lang w:bidi="ar"/>
        </w:rPr>
        <w:t>3.3</w:t>
      </w:r>
      <w:r>
        <w:rPr>
          <w:rFonts w:hint="eastAsia" w:ascii="宋体" w:hAnsi="宋体" w:eastAsia="宋体" w:cs="宋体"/>
          <w:color w:val="auto"/>
          <w:kern w:val="0"/>
          <w:sz w:val="24"/>
          <w:szCs w:val="24"/>
          <w:highlight w:val="none"/>
          <w:lang w:bidi="ar"/>
        </w:rPr>
        <w:t xml:space="preserve"> 施工过程</w:t>
      </w:r>
      <w:r>
        <w:rPr>
          <w:rFonts w:hint="eastAsia" w:ascii="宋体" w:hAnsi="宋体" w:eastAsia="宋体" w:cs="宋体"/>
          <w:color w:val="auto"/>
          <w:kern w:val="0"/>
          <w:sz w:val="24"/>
          <w:szCs w:val="24"/>
          <w:highlight w:val="none"/>
          <w:lang w:val="en-US" w:eastAsia="zh-CN" w:bidi="ar"/>
        </w:rPr>
        <w:t>按月</w:t>
      </w:r>
      <w:r>
        <w:rPr>
          <w:rFonts w:hint="eastAsia" w:ascii="宋体" w:hAnsi="宋体" w:eastAsia="宋体" w:cs="宋体"/>
          <w:color w:val="auto"/>
          <w:kern w:val="0"/>
          <w:sz w:val="24"/>
          <w:szCs w:val="24"/>
          <w:highlight w:val="none"/>
          <w:lang w:bidi="ar"/>
        </w:rPr>
        <w:t>支付工程进度款：承包人按</w:t>
      </w:r>
      <w:r>
        <w:rPr>
          <w:rFonts w:hint="eastAsia" w:ascii="宋体" w:hAnsi="宋体" w:eastAsia="宋体" w:cs="宋体"/>
          <w:color w:val="auto"/>
          <w:kern w:val="0"/>
          <w:sz w:val="24"/>
          <w:szCs w:val="24"/>
          <w:highlight w:val="none"/>
          <w:lang w:val="en-US" w:eastAsia="zh-CN" w:bidi="ar"/>
        </w:rPr>
        <w:t>每月</w:t>
      </w:r>
      <w:r>
        <w:rPr>
          <w:rFonts w:hint="eastAsia" w:ascii="宋体" w:hAnsi="宋体" w:eastAsia="宋体" w:cs="宋体"/>
          <w:color w:val="auto"/>
          <w:kern w:val="0"/>
          <w:sz w:val="24"/>
          <w:szCs w:val="24"/>
          <w:highlight w:val="none"/>
          <w:lang w:bidi="ar"/>
        </w:rPr>
        <w:t>实际完成工程量（含变更及增加工程）申报，承包人必须将《已完成工程量报表》和《工程付款申请书》报监理单位。经监理单位审核、发包人审定后的工程进度款（指已经按照合同约定，扣除该支付期内因承包人违约而应扣除的管理费），</w:t>
      </w:r>
      <w:r>
        <w:rPr>
          <w:rFonts w:hint="eastAsia" w:ascii="宋体" w:hAnsi="宋体" w:eastAsia="宋体" w:cs="宋体"/>
          <w:color w:val="auto"/>
          <w:kern w:val="0"/>
          <w:sz w:val="24"/>
          <w:szCs w:val="24"/>
          <w:highlight w:val="none"/>
          <w:lang w:eastAsia="zh-CN" w:bidi="ar"/>
        </w:rPr>
        <w:t>提交给发包人申请支付，累计支付金额不超过合同总价的</w:t>
      </w:r>
      <w:r>
        <w:rPr>
          <w:rFonts w:hint="eastAsia" w:ascii="宋体" w:hAnsi="宋体" w:eastAsia="宋体" w:cs="宋体"/>
          <w:color w:val="auto"/>
          <w:kern w:val="0"/>
          <w:sz w:val="24"/>
          <w:szCs w:val="24"/>
          <w:highlight w:val="none"/>
          <w:lang w:val="en-US" w:eastAsia="zh-CN" w:bidi="ar"/>
        </w:rPr>
        <w:t>80%</w:t>
      </w:r>
      <w:r>
        <w:rPr>
          <w:rFonts w:hint="eastAsia" w:ascii="宋体" w:hAnsi="宋体" w:eastAsia="宋体" w:cs="宋体"/>
          <w:color w:val="auto"/>
          <w:kern w:val="0"/>
          <w:sz w:val="24"/>
          <w:szCs w:val="24"/>
          <w:highlight w:val="none"/>
          <w:lang w:bidi="ar"/>
        </w:rPr>
        <w:t>。</w:t>
      </w:r>
    </w:p>
    <w:p w14:paraId="3E54A574">
      <w:pPr>
        <w:wordWrap w:val="0"/>
        <w:adjustRightInd w:val="0"/>
        <w:snapToGrid w:val="0"/>
        <w:spacing w:line="360" w:lineRule="auto"/>
        <w:ind w:firstLine="482" w:firstLineChars="200"/>
        <w:rPr>
          <w:rFonts w:hint="eastAsia" w:ascii="宋体" w:hAnsi="宋体" w:eastAsia="宋体" w:cs="宋体"/>
          <w:color w:val="auto"/>
          <w:kern w:val="0"/>
          <w:sz w:val="24"/>
          <w:szCs w:val="24"/>
          <w:highlight w:val="none"/>
          <w:lang w:bidi="ar"/>
        </w:rPr>
      </w:pPr>
      <w:r>
        <w:rPr>
          <w:rFonts w:hint="eastAsia" w:ascii="宋体" w:hAnsi="宋体" w:eastAsia="宋体" w:cs="宋体"/>
          <w:b/>
          <w:bCs/>
          <w:color w:val="auto"/>
          <w:kern w:val="0"/>
          <w:sz w:val="24"/>
          <w:szCs w:val="24"/>
          <w:highlight w:val="none"/>
          <w:lang w:bidi="ar"/>
        </w:rPr>
        <w:t>3.4</w:t>
      </w:r>
      <w:r>
        <w:rPr>
          <w:rFonts w:hint="eastAsia" w:ascii="宋体" w:hAnsi="宋体" w:eastAsia="宋体" w:cs="宋体"/>
          <w:color w:val="auto"/>
          <w:kern w:val="0"/>
          <w:sz w:val="24"/>
          <w:szCs w:val="24"/>
          <w:highlight w:val="none"/>
          <w:lang w:bidi="ar"/>
        </w:rPr>
        <w:t xml:space="preserve"> 工程进度款按工程实际完成工程量</w:t>
      </w:r>
      <w:r>
        <w:rPr>
          <w:rFonts w:hint="eastAsia" w:ascii="宋体" w:hAnsi="宋体" w:eastAsia="宋体" w:cs="宋体"/>
          <w:color w:val="auto"/>
          <w:kern w:val="0"/>
          <w:sz w:val="24"/>
          <w:szCs w:val="24"/>
          <w:highlight w:val="none"/>
          <w:lang w:eastAsia="zh-CN" w:bidi="ar"/>
        </w:rPr>
        <w:t>并经第三方造价咨询单位审核后进行</w:t>
      </w:r>
      <w:r>
        <w:rPr>
          <w:rFonts w:hint="eastAsia" w:ascii="宋体" w:hAnsi="宋体" w:eastAsia="宋体" w:cs="宋体"/>
          <w:color w:val="auto"/>
          <w:kern w:val="0"/>
          <w:sz w:val="24"/>
          <w:szCs w:val="24"/>
          <w:highlight w:val="none"/>
          <w:lang w:bidi="ar"/>
        </w:rPr>
        <w:t>支付</w:t>
      </w:r>
      <w:r>
        <w:rPr>
          <w:rFonts w:hint="eastAsia" w:ascii="宋体" w:hAnsi="宋体" w:eastAsia="宋体" w:cs="宋体"/>
          <w:snapToGrid w:val="0"/>
          <w:color w:val="auto"/>
          <w:kern w:val="0"/>
          <w:sz w:val="24"/>
          <w:szCs w:val="24"/>
          <w:highlight w:val="none"/>
        </w:rPr>
        <w:t>，</w:t>
      </w:r>
      <w:r>
        <w:rPr>
          <w:rFonts w:hint="default" w:ascii="宋体" w:hAnsi="宋体" w:eastAsia="宋体" w:cs="宋体"/>
          <w:color w:val="auto"/>
          <w:kern w:val="0"/>
          <w:sz w:val="24"/>
          <w:szCs w:val="24"/>
          <w:highlight w:val="none"/>
          <w:lang w:val="en-US" w:eastAsia="zh-CN" w:bidi="ar"/>
        </w:rPr>
        <w:t>每月的工程进度款按应付金额的 80%支付,工程进度款中的作业工人工资款项暂为该月工程进度款的 30%，具体工人工资拨付金额以该月实际审核确认的为准，由发包人将该月审核确认后的作业工人工资款项单独足额拨付到承包人的工资专户</w:t>
      </w:r>
      <w:r>
        <w:rPr>
          <w:rFonts w:hint="eastAsia" w:ascii="宋体" w:hAnsi="宋体" w:eastAsia="宋体" w:cs="宋体"/>
          <w:color w:val="auto"/>
          <w:kern w:val="0"/>
          <w:sz w:val="24"/>
          <w:szCs w:val="24"/>
          <w:highlight w:val="none"/>
          <w:lang w:bidi="ar"/>
        </w:rPr>
        <w:t>。</w:t>
      </w:r>
    </w:p>
    <w:p w14:paraId="1E28A925">
      <w:pPr>
        <w:wordWrap w:val="0"/>
        <w:adjustRightInd w:val="0"/>
        <w:snapToGrid w:val="0"/>
        <w:spacing w:line="360" w:lineRule="auto"/>
        <w:ind w:firstLine="482" w:firstLineChars="200"/>
        <w:rPr>
          <w:rFonts w:hint="eastAsia" w:ascii="宋体" w:hAnsi="宋体" w:eastAsia="宋体" w:cs="宋体"/>
          <w:color w:val="auto"/>
          <w:kern w:val="0"/>
          <w:sz w:val="24"/>
          <w:szCs w:val="24"/>
          <w:highlight w:val="none"/>
          <w:lang w:bidi="ar"/>
        </w:rPr>
      </w:pPr>
      <w:r>
        <w:rPr>
          <w:rFonts w:hint="eastAsia" w:ascii="宋体" w:hAnsi="宋体" w:eastAsia="宋体" w:cs="宋体"/>
          <w:b/>
          <w:bCs/>
          <w:color w:val="auto"/>
          <w:kern w:val="0"/>
          <w:sz w:val="24"/>
          <w:szCs w:val="24"/>
          <w:highlight w:val="none"/>
          <w:lang w:bidi="ar"/>
        </w:rPr>
        <w:t>3.5</w:t>
      </w:r>
      <w:r>
        <w:rPr>
          <w:rFonts w:hint="eastAsia" w:ascii="宋体" w:hAnsi="宋体" w:eastAsia="宋体" w:cs="宋体"/>
          <w:color w:val="auto"/>
          <w:kern w:val="0"/>
          <w:sz w:val="24"/>
          <w:szCs w:val="24"/>
          <w:highlight w:val="none"/>
          <w:lang w:bidi="ar"/>
        </w:rPr>
        <w:t xml:space="preserve"> </w:t>
      </w:r>
      <w:r>
        <w:rPr>
          <w:rFonts w:hint="eastAsia" w:ascii="宋体" w:hAnsi="宋体" w:eastAsia="宋体" w:cs="宋体"/>
          <w:color w:val="auto"/>
          <w:kern w:val="0"/>
          <w:sz w:val="24"/>
          <w:szCs w:val="24"/>
          <w:highlight w:val="none"/>
          <w:lang w:val="en-US" w:eastAsia="zh-CN" w:bidi="ar"/>
        </w:rPr>
        <w:t>施工预付款中包含安全生产措施费预付款。措施项目费中的“安全生产措施费”拨付按照《建设工程工程量清单计价标准》（GB/T50500—2024）执行，参照《关于印发&lt;广东省建设厅建筑工程安全防护、文明施工措施费用管理办法&gt;的通知》支付。承包人应在签订合同后，在项目开工、开通建设工程安措费专用账户、购买安全生产责任保险的前提下向发包人提交安全生产措施费申请，项目预付安全生产措施费总额的 50%，其余部分应按照提前安排的原则进行分解，并与工程进度款同期支付。发承包双方在计算应付工程进度款时，不应扣回预付款安全生产措施费，在工程结算时一次性扣回。安全生产措施费必须专款专用，并由发包人单独拨付到承包人的建设工程安全生产措施费专用账户。</w:t>
      </w:r>
    </w:p>
    <w:p w14:paraId="6B87459A">
      <w:pPr>
        <w:wordWrap w:val="0"/>
        <w:adjustRightInd w:val="0"/>
        <w:snapToGrid w:val="0"/>
        <w:spacing w:line="360" w:lineRule="auto"/>
        <w:ind w:firstLine="482" w:firstLineChars="200"/>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lang w:bidi="ar"/>
        </w:rPr>
        <w:t>3.6</w:t>
      </w:r>
      <w:r>
        <w:rPr>
          <w:rFonts w:hint="eastAsia" w:ascii="宋体" w:hAnsi="宋体" w:eastAsia="宋体" w:cs="宋体"/>
          <w:color w:val="auto"/>
          <w:kern w:val="0"/>
          <w:sz w:val="24"/>
          <w:szCs w:val="24"/>
          <w:highlight w:val="none"/>
          <w:lang w:bidi="ar"/>
        </w:rPr>
        <w:t xml:space="preserve"> 变更工程造价必须经监理单位核实，并经发包人核定后方可支付。</w:t>
      </w:r>
    </w:p>
    <w:p w14:paraId="122874B8">
      <w:pPr>
        <w:wordWrap w:val="0"/>
        <w:adjustRightInd w:val="0"/>
        <w:snapToGrid w:val="0"/>
        <w:spacing w:line="360" w:lineRule="auto"/>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color w:val="auto"/>
          <w:kern w:val="0"/>
          <w:sz w:val="24"/>
          <w:szCs w:val="24"/>
          <w:highlight w:val="none"/>
          <w:lang w:bidi="ar"/>
        </w:rPr>
        <w:t>3.7</w:t>
      </w:r>
      <w:r>
        <w:rPr>
          <w:rFonts w:hint="eastAsia" w:ascii="宋体" w:hAnsi="宋体" w:eastAsia="宋体" w:cs="宋体"/>
          <w:color w:val="auto"/>
          <w:kern w:val="0"/>
          <w:sz w:val="24"/>
          <w:szCs w:val="24"/>
          <w:highlight w:val="none"/>
          <w:lang w:bidi="ar"/>
        </w:rPr>
        <w:t xml:space="preserve"> </w:t>
      </w:r>
      <w:r>
        <w:rPr>
          <w:rFonts w:hint="eastAsia" w:ascii="宋体" w:hAnsi="宋体" w:eastAsia="宋体" w:cs="宋体"/>
          <w:b w:val="0"/>
          <w:bCs w:val="0"/>
          <w:caps w:val="0"/>
          <w:smallCaps w:val="0"/>
          <w:snapToGrid w:val="0"/>
          <w:color w:val="auto"/>
          <w:spacing w:val="0"/>
          <w:kern w:val="0"/>
          <w:sz w:val="24"/>
          <w:szCs w:val="24"/>
          <w:highlight w:val="none"/>
          <w:lang w:eastAsia="zh-CN"/>
        </w:rPr>
        <w:t>竣工验收合格后</w:t>
      </w:r>
      <w:r>
        <w:rPr>
          <w:rFonts w:hint="eastAsia" w:ascii="宋体" w:hAnsi="宋体" w:eastAsia="宋体" w:cs="宋体"/>
          <w:b w:val="0"/>
          <w:bCs w:val="0"/>
          <w:caps w:val="0"/>
          <w:smallCaps w:val="0"/>
          <w:snapToGrid w:val="0"/>
          <w:color w:val="auto"/>
          <w:spacing w:val="0"/>
          <w:kern w:val="0"/>
          <w:sz w:val="24"/>
          <w:szCs w:val="24"/>
          <w:highlight w:val="none"/>
          <w:lang w:val="en-US" w:eastAsia="zh-CN"/>
        </w:rPr>
        <w:t>，</w:t>
      </w:r>
      <w:r>
        <w:rPr>
          <w:rFonts w:hint="eastAsia" w:ascii="宋体" w:hAnsi="宋体" w:eastAsia="宋体" w:cs="宋体"/>
          <w:b w:val="0"/>
          <w:bCs w:val="0"/>
          <w:caps w:val="0"/>
          <w:smallCaps w:val="0"/>
          <w:snapToGrid w:val="0"/>
          <w:color w:val="auto"/>
          <w:spacing w:val="0"/>
          <w:kern w:val="0"/>
          <w:sz w:val="24"/>
          <w:szCs w:val="24"/>
          <w:highlight w:val="none"/>
        </w:rPr>
        <w:t>支付</w:t>
      </w:r>
      <w:r>
        <w:rPr>
          <w:rFonts w:hint="eastAsia" w:ascii="宋体" w:hAnsi="宋体" w:eastAsia="宋体" w:cs="宋体"/>
          <w:b w:val="0"/>
          <w:bCs w:val="0"/>
          <w:caps w:val="0"/>
          <w:smallCaps w:val="0"/>
          <w:snapToGrid w:val="0"/>
          <w:color w:val="auto"/>
          <w:spacing w:val="0"/>
          <w:kern w:val="0"/>
          <w:sz w:val="24"/>
          <w:szCs w:val="24"/>
          <w:highlight w:val="none"/>
          <w:lang w:eastAsia="zh-CN"/>
        </w:rPr>
        <w:t>至合同价款的</w:t>
      </w:r>
      <w:r>
        <w:rPr>
          <w:rFonts w:hint="eastAsia" w:ascii="宋体" w:hAnsi="宋体" w:eastAsia="宋体" w:cs="宋体"/>
          <w:b w:val="0"/>
          <w:bCs w:val="0"/>
          <w:caps w:val="0"/>
          <w:smallCaps w:val="0"/>
          <w:snapToGrid w:val="0"/>
          <w:color w:val="auto"/>
          <w:spacing w:val="0"/>
          <w:kern w:val="0"/>
          <w:sz w:val="24"/>
          <w:szCs w:val="24"/>
          <w:highlight w:val="none"/>
          <w:lang w:val="en-US" w:eastAsia="zh-CN"/>
        </w:rPr>
        <w:t>90</w:t>
      </w:r>
      <w:r>
        <w:rPr>
          <w:rFonts w:hint="eastAsia" w:ascii="宋体" w:hAnsi="宋体" w:eastAsia="宋体" w:cs="宋体"/>
          <w:b w:val="0"/>
          <w:bCs w:val="0"/>
          <w:caps w:val="0"/>
          <w:smallCaps w:val="0"/>
          <w:snapToGrid w:val="0"/>
          <w:color w:val="auto"/>
          <w:spacing w:val="0"/>
          <w:kern w:val="0"/>
          <w:sz w:val="24"/>
          <w:szCs w:val="24"/>
          <w:highlight w:val="none"/>
        </w:rPr>
        <w:t>%</w:t>
      </w:r>
      <w:r>
        <w:rPr>
          <w:rFonts w:hint="eastAsia" w:ascii="宋体" w:hAnsi="宋体" w:eastAsia="宋体" w:cs="宋体"/>
          <w:b w:val="0"/>
          <w:bCs w:val="0"/>
          <w:caps w:val="0"/>
          <w:smallCaps w:val="0"/>
          <w:snapToGrid w:val="0"/>
          <w:color w:val="auto"/>
          <w:spacing w:val="0"/>
          <w:kern w:val="0"/>
          <w:sz w:val="24"/>
          <w:szCs w:val="24"/>
          <w:highlight w:val="none"/>
          <w:lang w:eastAsia="zh-CN"/>
        </w:rPr>
        <w:t>（不计息）；</w:t>
      </w:r>
      <w:r>
        <w:rPr>
          <w:rFonts w:hint="eastAsia" w:ascii="宋体" w:hAnsi="宋体" w:eastAsia="宋体" w:cs="宋体"/>
          <w:b w:val="0"/>
          <w:bCs w:val="0"/>
          <w:caps w:val="0"/>
          <w:smallCaps w:val="0"/>
          <w:snapToGrid w:val="0"/>
          <w:color w:val="auto"/>
          <w:spacing w:val="0"/>
          <w:kern w:val="0"/>
          <w:sz w:val="24"/>
          <w:szCs w:val="24"/>
          <w:highlight w:val="none"/>
        </w:rPr>
        <w:t>结算审核完成后，于次月支付</w:t>
      </w:r>
      <w:r>
        <w:rPr>
          <w:rFonts w:hint="eastAsia" w:ascii="宋体" w:hAnsi="宋体" w:eastAsia="宋体" w:cs="宋体"/>
          <w:b w:val="0"/>
          <w:bCs w:val="0"/>
          <w:caps w:val="0"/>
          <w:smallCaps w:val="0"/>
          <w:snapToGrid w:val="0"/>
          <w:color w:val="auto"/>
          <w:spacing w:val="0"/>
          <w:kern w:val="0"/>
          <w:sz w:val="24"/>
          <w:szCs w:val="24"/>
          <w:highlight w:val="none"/>
          <w:lang w:eastAsia="zh-CN"/>
        </w:rPr>
        <w:t>至合同价格</w:t>
      </w:r>
      <w:r>
        <w:rPr>
          <w:rFonts w:hint="eastAsia" w:ascii="宋体" w:hAnsi="宋体" w:eastAsia="宋体" w:cs="宋体"/>
          <w:b w:val="0"/>
          <w:bCs w:val="0"/>
          <w:caps w:val="0"/>
          <w:smallCaps w:val="0"/>
          <w:snapToGrid w:val="0"/>
          <w:color w:val="auto"/>
          <w:spacing w:val="0"/>
          <w:kern w:val="0"/>
          <w:sz w:val="24"/>
          <w:szCs w:val="24"/>
          <w:highlight w:val="none"/>
        </w:rPr>
        <w:t>的97%</w:t>
      </w:r>
      <w:r>
        <w:rPr>
          <w:rFonts w:hint="eastAsia" w:ascii="宋体" w:hAnsi="宋体" w:eastAsia="宋体" w:cs="宋体"/>
          <w:b w:val="0"/>
          <w:bCs w:val="0"/>
          <w:caps w:val="0"/>
          <w:smallCaps w:val="0"/>
          <w:snapToGrid w:val="0"/>
          <w:color w:val="auto"/>
          <w:spacing w:val="0"/>
          <w:kern w:val="0"/>
          <w:sz w:val="24"/>
          <w:szCs w:val="24"/>
          <w:highlight w:val="none"/>
          <w:lang w:eastAsia="zh-CN"/>
        </w:rPr>
        <w:t>（支付时间以当地财政实际支出时间为准），</w:t>
      </w:r>
      <w:r>
        <w:rPr>
          <w:rFonts w:hint="eastAsia" w:ascii="宋体" w:hAnsi="宋体" w:eastAsia="宋体" w:cs="宋体"/>
          <w:b w:val="0"/>
          <w:bCs w:val="0"/>
          <w:caps w:val="0"/>
          <w:smallCaps w:val="0"/>
          <w:snapToGrid w:val="0"/>
          <w:color w:val="auto"/>
          <w:spacing w:val="0"/>
          <w:kern w:val="0"/>
          <w:sz w:val="24"/>
          <w:szCs w:val="24"/>
          <w:highlight w:val="none"/>
        </w:rPr>
        <w:t>剩余3%</w:t>
      </w:r>
      <w:r>
        <w:rPr>
          <w:rFonts w:hint="eastAsia" w:ascii="宋体" w:hAnsi="宋体" w:eastAsia="宋体" w:cs="宋体"/>
          <w:b w:val="0"/>
          <w:bCs w:val="0"/>
          <w:caps w:val="0"/>
          <w:smallCaps w:val="0"/>
          <w:snapToGrid w:val="0"/>
          <w:color w:val="auto"/>
          <w:spacing w:val="0"/>
          <w:kern w:val="0"/>
          <w:sz w:val="24"/>
          <w:szCs w:val="24"/>
          <w:highlight w:val="none"/>
          <w:lang w:eastAsia="zh-CN"/>
        </w:rPr>
        <w:t>转</w:t>
      </w:r>
      <w:r>
        <w:rPr>
          <w:rFonts w:hint="eastAsia" w:ascii="宋体" w:hAnsi="宋体" w:eastAsia="宋体" w:cs="宋体"/>
          <w:b w:val="0"/>
          <w:bCs w:val="0"/>
          <w:caps w:val="0"/>
          <w:smallCaps w:val="0"/>
          <w:snapToGrid w:val="0"/>
          <w:color w:val="auto"/>
          <w:spacing w:val="0"/>
          <w:kern w:val="0"/>
          <w:sz w:val="24"/>
          <w:szCs w:val="24"/>
          <w:highlight w:val="none"/>
        </w:rPr>
        <w:t>为质量保证金</w:t>
      </w:r>
      <w:r>
        <w:rPr>
          <w:rFonts w:hint="eastAsia" w:ascii="宋体" w:hAnsi="宋体" w:eastAsia="宋体" w:cs="宋体"/>
          <w:b w:val="0"/>
          <w:bCs w:val="0"/>
          <w:caps w:val="0"/>
          <w:smallCaps w:val="0"/>
          <w:snapToGrid w:val="0"/>
          <w:color w:val="auto"/>
          <w:spacing w:val="0"/>
          <w:kern w:val="0"/>
          <w:sz w:val="24"/>
          <w:szCs w:val="24"/>
          <w:highlight w:val="none"/>
          <w:lang w:eastAsia="zh-CN"/>
        </w:rPr>
        <w:t>；承包人提交了等额</w:t>
      </w:r>
      <w:r>
        <w:rPr>
          <w:rFonts w:hint="eastAsia" w:ascii="宋体" w:hAnsi="宋体" w:eastAsia="宋体" w:cs="宋体"/>
          <w:b w:val="0"/>
          <w:bCs w:val="0"/>
          <w:caps w:val="0"/>
          <w:smallCaps w:val="0"/>
          <w:snapToGrid w:val="0"/>
          <w:color w:val="auto"/>
          <w:spacing w:val="0"/>
          <w:kern w:val="0"/>
          <w:sz w:val="24"/>
          <w:szCs w:val="24"/>
          <w:highlight w:val="none"/>
          <w:lang w:val="en-US" w:eastAsia="zh-CN"/>
        </w:rPr>
        <w:t>质量保证担保或质量保证保险的，于次月一次性结清合同价格</w:t>
      </w:r>
      <w:r>
        <w:rPr>
          <w:rFonts w:hint="eastAsia" w:ascii="宋体" w:hAnsi="宋体" w:eastAsia="宋体" w:cs="宋体"/>
          <w:bCs/>
          <w:snapToGrid w:val="0"/>
          <w:color w:val="auto"/>
          <w:kern w:val="0"/>
          <w:sz w:val="24"/>
          <w:szCs w:val="24"/>
          <w:highlight w:val="none"/>
        </w:rPr>
        <w:t>。</w:t>
      </w:r>
    </w:p>
    <w:p w14:paraId="321C2E2D">
      <w:pPr>
        <w:wordWrap w:val="0"/>
        <w:adjustRightInd w:val="0"/>
        <w:snapToGrid w:val="0"/>
        <w:spacing w:line="360" w:lineRule="auto"/>
        <w:ind w:firstLine="482" w:firstLineChars="200"/>
        <w:rPr>
          <w:rFonts w:hint="eastAsia" w:ascii="宋体" w:hAnsi="宋体" w:eastAsia="宋体" w:cs="宋体"/>
          <w:color w:val="auto"/>
          <w:kern w:val="0"/>
          <w:sz w:val="24"/>
          <w:szCs w:val="24"/>
          <w:highlight w:val="none"/>
        </w:rPr>
      </w:pPr>
      <w:r>
        <w:rPr>
          <w:rFonts w:hint="eastAsia" w:ascii="宋体" w:hAnsi="宋体" w:eastAsia="宋体" w:cs="宋体"/>
          <w:b/>
          <w:color w:val="auto"/>
          <w:kern w:val="0"/>
          <w:sz w:val="24"/>
          <w:szCs w:val="24"/>
          <w:highlight w:val="none"/>
          <w:lang w:bidi="ar"/>
        </w:rPr>
        <w:t>3.8</w:t>
      </w:r>
      <w:r>
        <w:rPr>
          <w:rFonts w:hint="eastAsia" w:ascii="宋体" w:hAnsi="宋体" w:eastAsia="宋体" w:cs="宋体"/>
          <w:bCs/>
          <w:color w:val="auto"/>
          <w:kern w:val="0"/>
          <w:sz w:val="24"/>
          <w:szCs w:val="24"/>
          <w:highlight w:val="none"/>
          <w:lang w:bidi="ar"/>
        </w:rPr>
        <w:t xml:space="preserve"> 本招标项目缺陷责任期为</w:t>
      </w:r>
      <w:r>
        <w:rPr>
          <w:rFonts w:hint="eastAsia" w:ascii="宋体" w:hAnsi="宋体" w:eastAsia="宋体" w:cs="宋体"/>
          <w:bCs/>
          <w:color w:val="auto"/>
          <w:kern w:val="0"/>
          <w:sz w:val="24"/>
          <w:szCs w:val="24"/>
          <w:highlight w:val="none"/>
          <w:u w:val="single"/>
          <w:lang w:val="en-US" w:eastAsia="zh-CN" w:bidi="ar"/>
        </w:rPr>
        <w:t>2</w:t>
      </w:r>
      <w:r>
        <w:rPr>
          <w:rFonts w:hint="eastAsia" w:ascii="宋体" w:hAnsi="宋体" w:eastAsia="宋体" w:cs="宋体"/>
          <w:bCs/>
          <w:color w:val="auto"/>
          <w:kern w:val="0"/>
          <w:sz w:val="24"/>
          <w:szCs w:val="24"/>
          <w:highlight w:val="none"/>
          <w:lang w:bidi="ar"/>
        </w:rPr>
        <w:t>年（自通过竣工验收之日起计）。</w:t>
      </w:r>
      <w:r>
        <w:rPr>
          <w:rFonts w:hint="eastAsia" w:ascii="宋体" w:hAnsi="宋体" w:eastAsia="宋体" w:cs="宋体"/>
          <w:color w:val="auto"/>
          <w:kern w:val="0"/>
          <w:sz w:val="24"/>
          <w:szCs w:val="24"/>
          <w:highlight w:val="none"/>
          <w:lang w:bidi="ar"/>
        </w:rPr>
        <w:t>缺陷责任期到期后，承包人向发包人申请退还质量保证。发包人收到退还申请后，于14天内会同承包人进行核实。经双方核实且均无异议后，发包人在核实之日起</w:t>
      </w:r>
      <w:r>
        <w:rPr>
          <w:rFonts w:hint="eastAsia" w:ascii="宋体" w:hAnsi="宋体" w:eastAsia="宋体" w:cs="宋体"/>
          <w:color w:val="auto"/>
          <w:kern w:val="0"/>
          <w:sz w:val="24"/>
          <w:szCs w:val="24"/>
          <w:highlight w:val="none"/>
          <w:u w:val="single"/>
          <w:lang w:bidi="ar"/>
        </w:rPr>
        <w:t xml:space="preserve"> 14 </w:t>
      </w:r>
      <w:r>
        <w:rPr>
          <w:rFonts w:hint="eastAsia" w:ascii="宋体" w:hAnsi="宋体" w:eastAsia="宋体" w:cs="宋体"/>
          <w:color w:val="auto"/>
          <w:kern w:val="0"/>
          <w:sz w:val="24"/>
          <w:szCs w:val="24"/>
          <w:highlight w:val="none"/>
          <w:lang w:bidi="ar"/>
        </w:rPr>
        <w:t>天内将应返保证金（或银行保函）退还承包人。</w:t>
      </w:r>
    </w:p>
    <w:p w14:paraId="68A69D0E">
      <w:pPr>
        <w:pStyle w:val="6"/>
        <w:spacing w:before="155" w:line="360" w:lineRule="auto"/>
        <w:ind w:left="1" w:right="80" w:firstLine="473"/>
        <w:rPr>
          <w:rFonts w:hint="eastAsia" w:ascii="宋体" w:hAnsi="宋体" w:eastAsia="宋体" w:cs="宋体"/>
          <w:color w:val="auto"/>
          <w:spacing w:val="-1"/>
          <w:sz w:val="24"/>
          <w:szCs w:val="24"/>
          <w:highlight w:val="none"/>
          <w:u w:val="single"/>
        </w:rPr>
      </w:pPr>
      <w:r>
        <w:rPr>
          <w:rFonts w:hint="eastAsia" w:ascii="宋体" w:hAnsi="宋体" w:eastAsia="宋体" w:cs="宋体"/>
          <w:b/>
          <w:bCs/>
          <w:color w:val="auto"/>
          <w:sz w:val="24"/>
          <w:szCs w:val="24"/>
          <w:highlight w:val="none"/>
          <w:lang w:bidi="ar"/>
        </w:rPr>
        <w:t>3.9</w:t>
      </w:r>
      <w:r>
        <w:rPr>
          <w:rFonts w:hint="eastAsia" w:ascii="宋体" w:hAnsi="宋体" w:eastAsia="宋体" w:cs="宋体"/>
          <w:color w:val="auto"/>
          <w:sz w:val="24"/>
          <w:szCs w:val="24"/>
          <w:highlight w:val="none"/>
          <w:lang w:bidi="ar"/>
        </w:rPr>
        <w:t xml:space="preserve"> </w:t>
      </w:r>
      <w:r>
        <w:rPr>
          <w:rFonts w:hint="eastAsia" w:ascii="宋体" w:hAnsi="宋体" w:eastAsia="宋体" w:cs="宋体"/>
          <w:color w:val="auto"/>
          <w:spacing w:val="-1"/>
          <w:sz w:val="24"/>
          <w:szCs w:val="24"/>
          <w:highlight w:val="none"/>
        </w:rPr>
        <w:t>暂列金额</w:t>
      </w:r>
      <w:r>
        <w:rPr>
          <w:rFonts w:hint="eastAsia" w:ascii="宋体" w:hAnsi="宋体" w:eastAsia="宋体" w:cs="宋体"/>
          <w:color w:val="auto"/>
          <w:spacing w:val="-1"/>
          <w:sz w:val="24"/>
          <w:szCs w:val="24"/>
          <w:highlight w:val="none"/>
          <w:lang w:val="en-US" w:eastAsia="zh-CN"/>
        </w:rPr>
        <w:t>计算方式与</w:t>
      </w:r>
      <w:r>
        <w:rPr>
          <w:rFonts w:hint="eastAsia" w:ascii="宋体" w:hAnsi="宋体" w:eastAsia="宋体" w:cs="宋体"/>
          <w:color w:val="auto"/>
          <w:spacing w:val="-1"/>
          <w:sz w:val="24"/>
          <w:szCs w:val="24"/>
          <w:highlight w:val="none"/>
        </w:rPr>
        <w:t>结算方式：</w:t>
      </w:r>
      <w:r>
        <w:rPr>
          <w:rFonts w:hint="eastAsia" w:ascii="宋体" w:hAnsi="宋体" w:eastAsia="宋体" w:cs="宋体"/>
          <w:color w:val="auto"/>
          <w:spacing w:val="-1"/>
          <w:sz w:val="24"/>
          <w:szCs w:val="24"/>
          <w:highlight w:val="none"/>
          <w:lang w:val="en-US" w:eastAsia="zh-CN"/>
        </w:rPr>
        <w:t>暂列金的计算方式</w:t>
      </w:r>
      <w:r>
        <w:rPr>
          <w:rFonts w:hint="eastAsia" w:ascii="宋体" w:hAnsi="宋体" w:eastAsia="宋体" w:cs="宋体"/>
          <w:color w:val="auto"/>
          <w:spacing w:val="-1"/>
          <w:sz w:val="24"/>
          <w:szCs w:val="24"/>
          <w:highlight w:val="none"/>
          <w:u w:val="single"/>
          <w:lang w:val="en-US" w:eastAsia="zh-CN"/>
        </w:rPr>
        <w:t>按分部分项合计*10%计算，</w:t>
      </w:r>
      <w:r>
        <w:rPr>
          <w:rFonts w:hint="eastAsia" w:ascii="宋体" w:hAnsi="宋体" w:eastAsia="宋体" w:cs="宋体"/>
          <w:color w:val="auto"/>
          <w:spacing w:val="-1"/>
          <w:sz w:val="24"/>
          <w:szCs w:val="24"/>
          <w:highlight w:val="none"/>
          <w:u w:val="single"/>
        </w:rPr>
        <w:t>暂列金额</w:t>
      </w:r>
      <w:r>
        <w:rPr>
          <w:rFonts w:hint="eastAsia" w:ascii="宋体" w:hAnsi="宋体" w:eastAsia="宋体" w:cs="宋体"/>
          <w:color w:val="auto"/>
          <w:spacing w:val="-1"/>
          <w:sz w:val="24"/>
          <w:szCs w:val="24"/>
          <w:highlight w:val="none"/>
          <w:u w:val="single"/>
          <w:lang w:val="en-US" w:eastAsia="zh-CN"/>
        </w:rPr>
        <w:t>的计算方式</w:t>
      </w:r>
      <w:r>
        <w:rPr>
          <w:rFonts w:hint="eastAsia" w:ascii="宋体" w:hAnsi="宋体" w:eastAsia="宋体" w:cs="宋体"/>
          <w:color w:val="auto"/>
          <w:spacing w:val="-1"/>
          <w:sz w:val="24"/>
          <w:szCs w:val="24"/>
          <w:highlight w:val="none"/>
          <w:u w:val="single"/>
        </w:rPr>
        <w:t>按实际发生在结算审核完成后支付。</w:t>
      </w:r>
    </w:p>
    <w:p w14:paraId="60EA73C1">
      <w:pPr>
        <w:wordWrap w:val="0"/>
        <w:autoSpaceDE w:val="0"/>
        <w:adjustRightInd w:val="0"/>
        <w:snapToGrid w:val="0"/>
        <w:spacing w:line="360" w:lineRule="auto"/>
        <w:ind w:firstLine="482" w:firstLineChars="200"/>
        <w:rPr>
          <w:rFonts w:hint="eastAsia" w:ascii="宋体" w:hAnsi="宋体" w:eastAsia="宋体" w:cs="宋体"/>
          <w:color w:val="auto"/>
          <w:kern w:val="0"/>
          <w:sz w:val="24"/>
          <w:szCs w:val="24"/>
          <w:highlight w:val="none"/>
          <w:lang w:bidi="ar"/>
        </w:rPr>
      </w:pPr>
      <w:r>
        <w:rPr>
          <w:rFonts w:hint="eastAsia" w:ascii="宋体" w:hAnsi="宋体" w:eastAsia="宋体" w:cs="宋体"/>
          <w:b/>
          <w:bCs/>
          <w:color w:val="auto"/>
          <w:kern w:val="0"/>
          <w:sz w:val="24"/>
          <w:szCs w:val="24"/>
          <w:highlight w:val="none"/>
          <w:lang w:bidi="ar"/>
        </w:rPr>
        <w:t>3.10</w:t>
      </w:r>
      <w:r>
        <w:rPr>
          <w:rFonts w:hint="eastAsia" w:ascii="宋体" w:hAnsi="宋体" w:eastAsia="宋体" w:cs="宋体"/>
          <w:color w:val="auto"/>
          <w:kern w:val="0"/>
          <w:sz w:val="24"/>
          <w:szCs w:val="24"/>
          <w:highlight w:val="none"/>
          <w:lang w:bidi="ar"/>
        </w:rPr>
        <w:t xml:space="preserve"> 暂列金额支付方式：</w:t>
      </w:r>
      <w:r>
        <w:rPr>
          <w:rFonts w:hint="eastAsia" w:ascii="宋体" w:hAnsi="宋体" w:eastAsia="宋体" w:cs="宋体"/>
          <w:color w:val="auto"/>
          <w:kern w:val="0"/>
          <w:sz w:val="24"/>
          <w:szCs w:val="24"/>
          <w:highlight w:val="none"/>
          <w:u w:val="single"/>
          <w:lang w:bidi="ar"/>
        </w:rPr>
        <w:t>承包人需根据发包人发布的《工程变更管理办法》和《工程签证管理办法》完善工程变更签证相关程序后，与每个月的工程进度款一并报送；若承包人原因未按上述办法在规定时间内完善工程变更签证相关程序的，当月工程进度款暂停拨付。在暂列金额的范围内，最终经发包人确认后支付至该部分实际完成工程量的90％，其余部分待结算完成审核后支付至97%，剩余3%为工程质量保修金</w:t>
      </w:r>
      <w:r>
        <w:rPr>
          <w:rFonts w:hint="eastAsia" w:ascii="宋体" w:hAnsi="宋体" w:eastAsia="宋体" w:cs="宋体"/>
          <w:color w:val="auto"/>
          <w:kern w:val="0"/>
          <w:sz w:val="24"/>
          <w:szCs w:val="24"/>
          <w:highlight w:val="none"/>
          <w:lang w:bidi="ar"/>
        </w:rPr>
        <w:t>。</w:t>
      </w:r>
    </w:p>
    <w:p w14:paraId="444A71C4">
      <w:pPr>
        <w:spacing w:line="360" w:lineRule="auto"/>
        <w:ind w:firstLine="482" w:firstLineChars="20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lang w:val="en-US" w:eastAsia="zh-CN"/>
        </w:rPr>
        <w:t>3.11</w:t>
      </w:r>
      <w:r>
        <w:rPr>
          <w:rFonts w:hint="eastAsia" w:ascii="宋体" w:hAnsi="宋体" w:eastAsia="宋体" w:cs="宋体"/>
          <w:color w:val="auto"/>
          <w:sz w:val="24"/>
          <w:szCs w:val="24"/>
          <w:highlight w:val="none"/>
          <w:lang w:val="en-US" w:eastAsia="zh-CN"/>
        </w:rPr>
        <w:t xml:space="preserve"> 材料暂估价、专业工程暂估价支付方式：材料暂估价、专业工程暂估价与每个月的工程进度款一并报送，但需要列明详细项目内容，该部分材料暂估价、专业工程暂估价按该部分实际完成工程价款的 85%支付，剩余部分待最终结算完成审核后支付至 97%，剩余 3% 为工程质量保修金。 </w:t>
      </w:r>
    </w:p>
    <w:p w14:paraId="6AABF35E">
      <w:pPr>
        <w:spacing w:line="360" w:lineRule="auto"/>
        <w:ind w:firstLine="482" w:firstLineChars="20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lang w:val="en-US" w:eastAsia="zh-CN"/>
        </w:rPr>
        <w:t>3.12</w:t>
      </w:r>
      <w:r>
        <w:rPr>
          <w:rFonts w:hint="eastAsia" w:ascii="宋体" w:hAnsi="宋体" w:eastAsia="宋体" w:cs="宋体"/>
          <w:color w:val="auto"/>
          <w:sz w:val="24"/>
          <w:szCs w:val="24"/>
          <w:highlight w:val="none"/>
          <w:lang w:val="en-US" w:eastAsia="zh-CN"/>
        </w:rPr>
        <w:t xml:space="preserve"> 承包人和分包人根据《韶关市财政局韶关市发展和改革局关于开展我市政府投资项目资金穿透式监管试点工作的通知》签订《政府投资项目资金穿透式监管协议》（附件 3、附件 4）并进行工程相关款项支付。</w:t>
      </w:r>
    </w:p>
    <w:p w14:paraId="6BC27DCE">
      <w:pPr>
        <w:wordWrap w:val="0"/>
        <w:adjustRightInd w:val="0"/>
        <w:snapToGrid w:val="0"/>
        <w:spacing w:line="360" w:lineRule="auto"/>
        <w:ind w:firstLine="482" w:firstLineChars="200"/>
        <w:rPr>
          <w:rFonts w:hint="eastAsia" w:ascii="宋体" w:hAnsi="宋体" w:eastAsia="宋体" w:cs="宋体"/>
          <w:b/>
          <w:snapToGrid w:val="0"/>
          <w:color w:val="auto"/>
          <w:sz w:val="24"/>
          <w:szCs w:val="24"/>
          <w:highlight w:val="none"/>
        </w:rPr>
      </w:pPr>
      <w:r>
        <w:rPr>
          <w:rFonts w:hint="eastAsia" w:ascii="宋体" w:hAnsi="宋体" w:eastAsia="宋体" w:cs="宋体"/>
          <w:b/>
          <w:snapToGrid w:val="0"/>
          <w:color w:val="auto"/>
          <w:sz w:val="24"/>
          <w:szCs w:val="24"/>
          <w:highlight w:val="none"/>
        </w:rPr>
        <w:t>4．专用合同条款</w:t>
      </w:r>
      <w:bookmarkEnd w:id="160"/>
      <w:bookmarkEnd w:id="161"/>
      <w:r>
        <w:rPr>
          <w:rFonts w:hint="eastAsia" w:ascii="宋体" w:hAnsi="宋体" w:eastAsia="宋体" w:cs="宋体"/>
          <w:snapToGrid w:val="0"/>
          <w:color w:val="auto"/>
          <w:kern w:val="0"/>
          <w:sz w:val="24"/>
          <w:szCs w:val="24"/>
          <w:highlight w:val="none"/>
        </w:rPr>
        <w:t>（由招标人自行补充）</w:t>
      </w:r>
    </w:p>
    <w:p w14:paraId="528B7BD1">
      <w:pPr>
        <w:spacing w:before="240" w:beforeLines="100" w:line="360" w:lineRule="auto"/>
        <w:ind w:firstLine="480" w:firstLineChars="200"/>
        <w:rPr>
          <w:rFonts w:hint="eastAsia" w:ascii="宋体" w:hAnsi="宋体" w:eastAsia="宋体" w:cs="宋体"/>
          <w:bCs/>
          <w:snapToGrid w:val="0"/>
          <w:color w:val="auto"/>
          <w:sz w:val="24"/>
          <w:szCs w:val="24"/>
          <w:highlight w:val="none"/>
        </w:rPr>
      </w:pPr>
      <w:r>
        <w:rPr>
          <w:rFonts w:hint="eastAsia" w:ascii="宋体" w:hAnsi="宋体" w:eastAsia="宋体" w:cs="宋体"/>
          <w:bCs/>
          <w:snapToGrid w:val="0"/>
          <w:color w:val="auto"/>
          <w:sz w:val="24"/>
          <w:szCs w:val="24"/>
          <w:highlight w:val="none"/>
        </w:rPr>
        <w:t xml:space="preserve"> 4.1承包人必须依照各相关规定做好工人工资支付保证金、工人工资支付专用账户、用工实名制管理工作。</w:t>
      </w:r>
    </w:p>
    <w:p w14:paraId="3BC423AC">
      <w:pPr>
        <w:spacing w:before="240" w:beforeLines="100" w:line="360" w:lineRule="auto"/>
        <w:ind w:firstLine="480" w:firstLineChars="200"/>
        <w:rPr>
          <w:rFonts w:hint="eastAsia" w:ascii="宋体" w:hAnsi="宋体" w:eastAsia="宋体" w:cs="宋体"/>
          <w:bCs/>
          <w:snapToGrid w:val="0"/>
          <w:color w:val="auto"/>
          <w:sz w:val="24"/>
          <w:szCs w:val="24"/>
          <w:highlight w:val="none"/>
        </w:rPr>
      </w:pPr>
      <w:r>
        <w:rPr>
          <w:rFonts w:hint="eastAsia" w:ascii="宋体" w:hAnsi="宋体" w:eastAsia="宋体" w:cs="宋体"/>
          <w:bCs/>
          <w:snapToGrid w:val="0"/>
          <w:color w:val="auto"/>
          <w:sz w:val="24"/>
          <w:szCs w:val="24"/>
          <w:highlight w:val="none"/>
        </w:rPr>
        <w:t>（1）施工预付款中已包括施工合同价的5%专用于承包人办理工人工资支付保证金，承包人必须于合同签订后5个工作日内办理完成保证金缴交或免缴手续。</w:t>
      </w:r>
    </w:p>
    <w:p w14:paraId="5ABFD42F">
      <w:pPr>
        <w:spacing w:before="240" w:beforeLines="100" w:line="360" w:lineRule="auto"/>
        <w:ind w:firstLine="480" w:firstLineChars="200"/>
        <w:rPr>
          <w:rFonts w:hint="eastAsia" w:ascii="宋体" w:hAnsi="宋体" w:eastAsia="宋体" w:cs="宋体"/>
          <w:bCs/>
          <w:snapToGrid w:val="0"/>
          <w:color w:val="auto"/>
          <w:sz w:val="24"/>
          <w:szCs w:val="24"/>
          <w:highlight w:val="none"/>
        </w:rPr>
      </w:pPr>
      <w:r>
        <w:rPr>
          <w:rFonts w:hint="eastAsia" w:ascii="宋体" w:hAnsi="宋体" w:eastAsia="宋体" w:cs="宋体"/>
          <w:bCs/>
          <w:snapToGrid w:val="0"/>
          <w:color w:val="auto"/>
          <w:sz w:val="24"/>
          <w:szCs w:val="24"/>
          <w:highlight w:val="none"/>
        </w:rPr>
        <w:t>（2）承包人已依照相关规定开立工人工资支付专用账户，发包人支付工程进度款时，其中</w:t>
      </w:r>
      <w:r>
        <w:rPr>
          <w:rFonts w:hint="eastAsia" w:ascii="宋体" w:hAnsi="宋体" w:eastAsia="宋体" w:cs="宋体"/>
          <w:bCs/>
          <w:snapToGrid w:val="0"/>
          <w:color w:val="auto"/>
          <w:sz w:val="24"/>
          <w:szCs w:val="24"/>
          <w:highlight w:val="none"/>
          <w:lang w:val="en-US" w:eastAsia="zh-CN"/>
        </w:rPr>
        <w:t>70</w:t>
      </w:r>
      <w:r>
        <w:rPr>
          <w:rFonts w:hint="eastAsia" w:ascii="宋体" w:hAnsi="宋体" w:eastAsia="宋体" w:cs="宋体"/>
          <w:bCs/>
          <w:snapToGrid w:val="0"/>
          <w:color w:val="auto"/>
          <w:sz w:val="24"/>
          <w:szCs w:val="24"/>
          <w:highlight w:val="none"/>
        </w:rPr>
        <w:t>%支付进入本合同协议书载明的承包人账户、其中</w:t>
      </w:r>
      <w:r>
        <w:rPr>
          <w:rFonts w:hint="eastAsia" w:ascii="宋体" w:hAnsi="宋体" w:eastAsia="宋体" w:cs="宋体"/>
          <w:bCs/>
          <w:snapToGrid w:val="0"/>
          <w:color w:val="auto"/>
          <w:sz w:val="24"/>
          <w:szCs w:val="24"/>
          <w:highlight w:val="none"/>
          <w:lang w:val="en-US" w:eastAsia="zh-CN"/>
        </w:rPr>
        <w:t>30</w:t>
      </w:r>
      <w:r>
        <w:rPr>
          <w:rFonts w:hint="eastAsia" w:ascii="宋体" w:hAnsi="宋体" w:eastAsia="宋体" w:cs="宋体"/>
          <w:bCs/>
          <w:snapToGrid w:val="0"/>
          <w:color w:val="auto"/>
          <w:sz w:val="24"/>
          <w:szCs w:val="24"/>
          <w:highlight w:val="none"/>
        </w:rPr>
        <w:t>%支付进入本款载明的工人工资支付专用账户。承包人必须与所有聘用人员签订劳动合同，并按劳动合同约定每月足额通过专用账户发放工资，并按月将工资发放资料提交一份给发包人。</w:t>
      </w:r>
    </w:p>
    <w:p w14:paraId="24A50D7C">
      <w:pPr>
        <w:spacing w:before="240" w:beforeLines="100" w:line="360" w:lineRule="auto"/>
        <w:ind w:firstLine="480" w:firstLineChars="200"/>
        <w:rPr>
          <w:rFonts w:hint="eastAsia" w:ascii="宋体" w:hAnsi="宋体" w:eastAsia="宋体" w:cs="宋体"/>
          <w:bCs/>
          <w:snapToGrid w:val="0"/>
          <w:color w:val="auto"/>
          <w:sz w:val="24"/>
          <w:szCs w:val="24"/>
          <w:highlight w:val="none"/>
        </w:rPr>
      </w:pPr>
      <w:r>
        <w:rPr>
          <w:rFonts w:hint="eastAsia" w:ascii="宋体" w:hAnsi="宋体" w:eastAsia="宋体" w:cs="宋体"/>
          <w:bCs/>
          <w:snapToGrid w:val="0"/>
          <w:color w:val="auto"/>
          <w:sz w:val="24"/>
          <w:szCs w:val="24"/>
          <w:highlight w:val="none"/>
        </w:rPr>
        <w:t>（3）承包人应在开工前编制用工实名管理专项方案以及费用使用计划，经监理单位审批后，作为施工合同的组成部分，并依照相关规定做好用工实名信息化化管理。</w:t>
      </w:r>
    </w:p>
    <w:p w14:paraId="66081226">
      <w:pPr>
        <w:spacing w:before="240" w:beforeLines="100" w:line="360" w:lineRule="auto"/>
        <w:ind w:firstLine="480" w:firstLineChars="200"/>
        <w:rPr>
          <w:rFonts w:hint="eastAsia" w:ascii="宋体" w:hAnsi="宋体" w:eastAsia="宋体" w:cs="宋体"/>
          <w:bCs/>
          <w:snapToGrid w:val="0"/>
          <w:color w:val="auto"/>
          <w:sz w:val="24"/>
          <w:szCs w:val="24"/>
          <w:highlight w:val="none"/>
        </w:rPr>
      </w:pPr>
      <w:r>
        <w:rPr>
          <w:rFonts w:hint="eastAsia" w:ascii="宋体" w:hAnsi="宋体" w:eastAsia="宋体" w:cs="宋体"/>
          <w:bCs/>
          <w:snapToGrid w:val="0"/>
          <w:color w:val="auto"/>
          <w:sz w:val="24"/>
          <w:szCs w:val="24"/>
          <w:highlight w:val="none"/>
        </w:rPr>
        <w:t>4.2承包人除办理用工保险外还须根据</w:t>
      </w:r>
      <w:r>
        <w:rPr>
          <w:rFonts w:hint="eastAsia" w:ascii="宋体" w:hAnsi="宋体" w:eastAsia="宋体" w:cs="宋体"/>
          <w:bCs/>
          <w:snapToGrid w:val="0"/>
          <w:color w:val="auto"/>
          <w:sz w:val="24"/>
          <w:szCs w:val="24"/>
          <w:highlight w:val="none"/>
          <w:lang w:val="en-US" w:eastAsia="zh-CN"/>
        </w:rPr>
        <w:t>韶关市浈江区住房和城乡建设局</w:t>
      </w:r>
      <w:r>
        <w:rPr>
          <w:rFonts w:hint="eastAsia" w:ascii="宋体" w:hAnsi="宋体" w:eastAsia="宋体" w:cs="宋体"/>
          <w:bCs/>
          <w:snapToGrid w:val="0"/>
          <w:color w:val="auto"/>
          <w:sz w:val="24"/>
          <w:szCs w:val="24"/>
          <w:highlight w:val="none"/>
        </w:rPr>
        <w:t>《关于贯彻落实房屋建筑和市政基础设施施工领域安全生产责任保险工作的通知》（2022年1月17日）相关要求落实安全生产责任保险。</w:t>
      </w:r>
    </w:p>
    <w:p w14:paraId="33F25F78">
      <w:pPr>
        <w:pStyle w:val="27"/>
        <w:numPr>
          <w:ilvl w:val="0"/>
          <w:numId w:val="1"/>
        </w:numPr>
        <w:spacing w:line="360" w:lineRule="auto"/>
        <w:ind w:firstLine="482"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最终以合同签订为准，其他合同条款由招标人与中标人自行协商约定。</w:t>
      </w:r>
    </w:p>
    <w:p w14:paraId="5ADE9049">
      <w:pPr>
        <w:keepNext w:val="0"/>
        <w:keepLines w:val="0"/>
        <w:pageBreakBefore w:val="0"/>
        <w:wordWrap w:val="0"/>
        <w:overflowPunct/>
        <w:topLinePunct w:val="0"/>
        <w:bidi w:val="0"/>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rPr>
        <w:br w:type="page"/>
      </w:r>
    </w:p>
    <w:p w14:paraId="2ED0FC5B">
      <w:pPr>
        <w:keepNext w:val="0"/>
        <w:keepLines w:val="0"/>
        <w:pageBreakBefore w:val="0"/>
        <w:wordWrap w:val="0"/>
        <w:overflowPunct/>
        <w:topLinePunct w:val="0"/>
        <w:bidi w:val="0"/>
        <w:spacing w:before="78" w:line="219" w:lineRule="auto"/>
        <w:ind w:left="3273"/>
        <w:outlineLvl w:val="0"/>
        <w:rPr>
          <w:rFonts w:hint="eastAsia" w:ascii="宋体" w:hAnsi="宋体" w:eastAsia="宋体" w:cs="宋体"/>
          <w:color w:val="auto"/>
          <w:spacing w:val="0"/>
          <w:highlight w:val="none"/>
        </w:rPr>
      </w:pPr>
      <w:bookmarkStart w:id="167" w:name="_Toc22943"/>
      <w:r>
        <w:rPr>
          <w:rFonts w:hint="eastAsia" w:ascii="宋体" w:hAnsi="宋体" w:eastAsia="宋体" w:cs="宋体"/>
          <w:b/>
          <w:bCs/>
          <w:color w:val="auto"/>
          <w:spacing w:val="0"/>
          <w:sz w:val="24"/>
          <w:szCs w:val="24"/>
          <w:highlight w:val="none"/>
        </w:rPr>
        <w:t>第四章</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rPr>
        <w:t>技术要求</w:t>
      </w:r>
      <w:bookmarkEnd w:id="167"/>
    </w:p>
    <w:p w14:paraId="2E177119">
      <w:pPr>
        <w:pStyle w:val="6"/>
        <w:keepNext w:val="0"/>
        <w:keepLines w:val="0"/>
        <w:pageBreakBefore w:val="0"/>
        <w:wordWrap w:val="0"/>
        <w:overflowPunct/>
        <w:topLinePunct w:val="0"/>
        <w:bidi w:val="0"/>
        <w:spacing w:line="257" w:lineRule="auto"/>
        <w:rPr>
          <w:rFonts w:hint="eastAsia" w:ascii="宋体" w:hAnsi="宋体" w:eastAsia="宋体" w:cs="宋体"/>
          <w:color w:val="auto"/>
          <w:spacing w:val="0"/>
          <w:highlight w:val="none"/>
        </w:rPr>
      </w:pPr>
    </w:p>
    <w:p w14:paraId="0A2107F6">
      <w:pPr>
        <w:keepNext w:val="0"/>
        <w:keepLines w:val="0"/>
        <w:pageBreakBefore w:val="0"/>
        <w:wordWrap w:val="0"/>
        <w:overflowPunct/>
        <w:topLinePunct w:val="0"/>
        <w:bidi w:val="0"/>
        <w:spacing w:before="78" w:line="221" w:lineRule="auto"/>
        <w:ind w:left="125"/>
        <w:outlineLvl w:val="2"/>
        <w:rPr>
          <w:rFonts w:hint="eastAsia" w:ascii="宋体" w:hAnsi="宋体" w:eastAsia="宋体" w:cs="宋体"/>
          <w:color w:val="auto"/>
          <w:spacing w:val="0"/>
          <w:sz w:val="24"/>
          <w:szCs w:val="24"/>
          <w:highlight w:val="none"/>
        </w:rPr>
      </w:pPr>
      <w:bookmarkStart w:id="168" w:name="_Toc10155"/>
      <w:bookmarkStart w:id="169" w:name="_Toc10988"/>
      <w:r>
        <w:rPr>
          <w:rFonts w:hint="eastAsia" w:ascii="宋体" w:hAnsi="宋体" w:eastAsia="宋体" w:cs="宋体"/>
          <w:b/>
          <w:bCs/>
          <w:color w:val="auto"/>
          <w:spacing w:val="0"/>
          <w:sz w:val="24"/>
          <w:szCs w:val="24"/>
          <w:highlight w:val="none"/>
        </w:rPr>
        <w:t>1 ．房屋建筑工程建设项目</w:t>
      </w:r>
      <w:bookmarkEnd w:id="168"/>
      <w:bookmarkEnd w:id="169"/>
    </w:p>
    <w:p w14:paraId="604BF4F5">
      <w:pPr>
        <w:keepNext w:val="0"/>
        <w:keepLines w:val="0"/>
        <w:pageBreakBefore w:val="0"/>
        <w:wordWrap w:val="0"/>
        <w:overflowPunct/>
        <w:topLinePunct w:val="0"/>
        <w:bidi w:val="0"/>
        <w:spacing w:before="152" w:line="220" w:lineRule="auto"/>
        <w:ind w:left="12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房屋建筑工程建设项目必须执行的现行技术规范，包括且不限于：</w:t>
      </w:r>
    </w:p>
    <w:p w14:paraId="3E9BA02C">
      <w:pPr>
        <w:keepNext w:val="0"/>
        <w:keepLines w:val="0"/>
        <w:pageBreakBefore w:val="0"/>
        <w:wordWrap w:val="0"/>
        <w:overflowPunct/>
        <w:topLinePunct w:val="0"/>
        <w:bidi w:val="0"/>
        <w:spacing w:before="155" w:line="220" w:lineRule="auto"/>
        <w:ind w:left="13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（1）《建筑工程施工质量验收统一标准》；</w:t>
      </w:r>
    </w:p>
    <w:p w14:paraId="0A4C0094">
      <w:pPr>
        <w:keepNext w:val="0"/>
        <w:keepLines w:val="0"/>
        <w:pageBreakBefore w:val="0"/>
        <w:wordWrap w:val="0"/>
        <w:overflowPunct/>
        <w:topLinePunct w:val="0"/>
        <w:bidi w:val="0"/>
        <w:spacing w:before="153" w:line="220" w:lineRule="auto"/>
        <w:ind w:left="13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（2）《建筑地基基础工程施工质量验收规范》；</w:t>
      </w:r>
    </w:p>
    <w:p w14:paraId="16F96656">
      <w:pPr>
        <w:keepNext w:val="0"/>
        <w:keepLines w:val="0"/>
        <w:pageBreakBefore w:val="0"/>
        <w:wordWrap w:val="0"/>
        <w:overflowPunct/>
        <w:topLinePunct w:val="0"/>
        <w:bidi w:val="0"/>
        <w:spacing w:before="153" w:line="220" w:lineRule="auto"/>
        <w:ind w:left="13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（3）《砌体工程施工质量验收规范》；</w:t>
      </w:r>
    </w:p>
    <w:p w14:paraId="607577F4">
      <w:pPr>
        <w:keepNext w:val="0"/>
        <w:keepLines w:val="0"/>
        <w:pageBreakBefore w:val="0"/>
        <w:wordWrap w:val="0"/>
        <w:overflowPunct/>
        <w:topLinePunct w:val="0"/>
        <w:bidi w:val="0"/>
        <w:spacing w:before="155" w:line="220" w:lineRule="auto"/>
        <w:ind w:left="13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（4）《混凝土结构工程施工质量验收规范》；</w:t>
      </w:r>
    </w:p>
    <w:p w14:paraId="28E4510C">
      <w:pPr>
        <w:keepNext w:val="0"/>
        <w:keepLines w:val="0"/>
        <w:pageBreakBefore w:val="0"/>
        <w:wordWrap w:val="0"/>
        <w:overflowPunct/>
        <w:topLinePunct w:val="0"/>
        <w:bidi w:val="0"/>
        <w:spacing w:before="153" w:line="220" w:lineRule="auto"/>
        <w:ind w:left="13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（5）《屋面工程质量验收规范》；</w:t>
      </w:r>
    </w:p>
    <w:p w14:paraId="5CDED13D">
      <w:pPr>
        <w:keepNext w:val="0"/>
        <w:keepLines w:val="0"/>
        <w:pageBreakBefore w:val="0"/>
        <w:wordWrap w:val="0"/>
        <w:overflowPunct/>
        <w:topLinePunct w:val="0"/>
        <w:bidi w:val="0"/>
        <w:spacing w:before="153" w:line="220" w:lineRule="auto"/>
        <w:ind w:left="13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（6）《地下防水工程质量验收规范》；</w:t>
      </w:r>
    </w:p>
    <w:p w14:paraId="123BE39A">
      <w:pPr>
        <w:keepNext w:val="0"/>
        <w:keepLines w:val="0"/>
        <w:pageBreakBefore w:val="0"/>
        <w:wordWrap w:val="0"/>
        <w:overflowPunct/>
        <w:topLinePunct w:val="0"/>
        <w:bidi w:val="0"/>
        <w:spacing w:before="156" w:line="220" w:lineRule="auto"/>
        <w:ind w:left="13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（7）《建筑地面工程施工质量验收规范》；</w:t>
      </w:r>
    </w:p>
    <w:p w14:paraId="348E0704">
      <w:pPr>
        <w:keepNext w:val="0"/>
        <w:keepLines w:val="0"/>
        <w:pageBreakBefore w:val="0"/>
        <w:wordWrap w:val="0"/>
        <w:overflowPunct/>
        <w:topLinePunct w:val="0"/>
        <w:bidi w:val="0"/>
        <w:spacing w:before="153" w:line="220" w:lineRule="auto"/>
        <w:ind w:left="13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（8）《建筑装饰装修工程施工质量验收规范》；</w:t>
      </w:r>
    </w:p>
    <w:p w14:paraId="30B110E1">
      <w:pPr>
        <w:keepNext w:val="0"/>
        <w:keepLines w:val="0"/>
        <w:pageBreakBefore w:val="0"/>
        <w:wordWrap w:val="0"/>
        <w:overflowPunct/>
        <w:topLinePunct w:val="0"/>
        <w:bidi w:val="0"/>
        <w:spacing w:before="153" w:line="219" w:lineRule="auto"/>
        <w:ind w:left="13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（9）《建筑给排水及采暖工程施工质量验收规范》；</w:t>
      </w:r>
    </w:p>
    <w:p w14:paraId="143F3D42">
      <w:pPr>
        <w:keepNext w:val="0"/>
        <w:keepLines w:val="0"/>
        <w:pageBreakBefore w:val="0"/>
        <w:wordWrap w:val="0"/>
        <w:overflowPunct/>
        <w:topLinePunct w:val="0"/>
        <w:bidi w:val="0"/>
        <w:spacing w:before="153" w:line="219" w:lineRule="auto"/>
        <w:ind w:left="13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（10）《建筑电气工程施工质量验收规范》；</w:t>
      </w:r>
    </w:p>
    <w:p w14:paraId="25459413">
      <w:pPr>
        <w:keepNext w:val="0"/>
        <w:keepLines w:val="0"/>
        <w:pageBreakBefore w:val="0"/>
        <w:wordWrap w:val="0"/>
        <w:overflowPunct/>
        <w:topLinePunct w:val="0"/>
        <w:bidi w:val="0"/>
        <w:spacing w:before="153" w:line="219" w:lineRule="auto"/>
        <w:ind w:left="13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（11）《住建部绿色建筑评价标准》；</w:t>
      </w:r>
    </w:p>
    <w:p w14:paraId="4FAF15CA">
      <w:pPr>
        <w:keepNext w:val="0"/>
        <w:keepLines w:val="0"/>
        <w:pageBreakBefore w:val="0"/>
        <w:wordWrap w:val="0"/>
        <w:overflowPunct/>
        <w:topLinePunct w:val="0"/>
        <w:bidi w:val="0"/>
        <w:spacing w:before="153" w:line="219" w:lineRule="auto"/>
        <w:ind w:left="13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（12）《建筑节能与可再生能源利用通用规范》（GB55015-2021）；</w:t>
      </w:r>
    </w:p>
    <w:p w14:paraId="0901475A">
      <w:pPr>
        <w:keepNext w:val="0"/>
        <w:keepLines w:val="0"/>
        <w:pageBreakBefore w:val="0"/>
        <w:wordWrap w:val="0"/>
        <w:overflowPunct/>
        <w:topLinePunct w:val="0"/>
        <w:bidi w:val="0"/>
        <w:spacing w:before="153" w:line="219" w:lineRule="auto"/>
        <w:ind w:left="13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（13）《建筑环境通用规范》；</w:t>
      </w:r>
    </w:p>
    <w:p w14:paraId="7F5B5C16">
      <w:pPr>
        <w:keepNext w:val="0"/>
        <w:keepLines w:val="0"/>
        <w:pageBreakBefore w:val="0"/>
        <w:wordWrap w:val="0"/>
        <w:overflowPunct/>
        <w:topLinePunct w:val="0"/>
        <w:bidi w:val="0"/>
        <w:spacing w:before="153" w:line="219" w:lineRule="auto"/>
        <w:ind w:left="130"/>
        <w:rPr>
          <w:rFonts w:hint="eastAsia" w:ascii="宋体" w:hAnsi="宋体" w:eastAsia="宋体" w:cs="宋体"/>
          <w:color w:val="auto"/>
          <w:spacing w:val="0"/>
          <w:sz w:val="24"/>
          <w:szCs w:val="24"/>
          <w:highlight w:val="none"/>
        </w:rPr>
      </w:pPr>
      <w:bookmarkStart w:id="170" w:name="_Toc12084"/>
      <w:bookmarkStart w:id="171" w:name="_Toc16294"/>
      <w:r>
        <w:rPr>
          <w:rFonts w:hint="eastAsia" w:ascii="宋体" w:hAnsi="宋体" w:eastAsia="宋体" w:cs="宋体"/>
          <w:color w:val="auto"/>
          <w:spacing w:val="0"/>
          <w:sz w:val="24"/>
          <w:szCs w:val="24"/>
          <w:highlight w:val="none"/>
        </w:rPr>
        <w:t>（14）《建筑与市政工程无障碍通用规范》 GB 55019-2021；</w:t>
      </w:r>
      <w:bookmarkEnd w:id="170"/>
      <w:bookmarkEnd w:id="171"/>
    </w:p>
    <w:p w14:paraId="6AF74032">
      <w:pPr>
        <w:keepNext w:val="0"/>
        <w:keepLines w:val="0"/>
        <w:pageBreakBefore w:val="0"/>
        <w:wordWrap w:val="0"/>
        <w:overflowPunct/>
        <w:topLinePunct w:val="0"/>
        <w:bidi w:val="0"/>
        <w:spacing w:before="153" w:line="219" w:lineRule="auto"/>
        <w:ind w:left="130"/>
        <w:rPr>
          <w:rFonts w:hint="eastAsia" w:ascii="宋体" w:hAnsi="宋体" w:eastAsia="宋体" w:cs="宋体"/>
          <w:color w:val="auto"/>
          <w:spacing w:val="0"/>
          <w:sz w:val="24"/>
          <w:szCs w:val="24"/>
          <w:highlight w:val="none"/>
        </w:rPr>
      </w:pPr>
      <w:bookmarkStart w:id="172" w:name="_Toc15158"/>
      <w:bookmarkStart w:id="173" w:name="_Toc1177"/>
      <w:r>
        <w:rPr>
          <w:rFonts w:hint="eastAsia" w:ascii="宋体" w:hAnsi="宋体" w:eastAsia="宋体" w:cs="宋体"/>
          <w:color w:val="auto"/>
          <w:spacing w:val="0"/>
          <w:sz w:val="24"/>
          <w:szCs w:val="24"/>
          <w:highlight w:val="none"/>
        </w:rPr>
        <w:t>（15）《建筑防火通用规范》GB 55037-2022;</w:t>
      </w:r>
      <w:bookmarkEnd w:id="172"/>
      <w:bookmarkEnd w:id="173"/>
    </w:p>
    <w:p w14:paraId="195EAFBA">
      <w:pPr>
        <w:keepNext w:val="0"/>
        <w:keepLines w:val="0"/>
        <w:pageBreakBefore w:val="0"/>
        <w:wordWrap w:val="0"/>
        <w:overflowPunct/>
        <w:topLinePunct w:val="0"/>
        <w:bidi w:val="0"/>
        <w:spacing w:before="153" w:line="219" w:lineRule="auto"/>
        <w:ind w:left="130"/>
        <w:rPr>
          <w:rFonts w:hint="eastAsia" w:ascii="宋体" w:hAnsi="宋体" w:eastAsia="宋体" w:cs="宋体"/>
          <w:color w:val="auto"/>
          <w:spacing w:val="0"/>
          <w:sz w:val="24"/>
          <w:szCs w:val="24"/>
          <w:highlight w:val="none"/>
        </w:rPr>
      </w:pPr>
      <w:bookmarkStart w:id="174" w:name="_Toc24233"/>
      <w:bookmarkStart w:id="175" w:name="_Toc2461"/>
      <w:r>
        <w:rPr>
          <w:rFonts w:hint="eastAsia" w:ascii="宋体" w:hAnsi="宋体" w:eastAsia="宋体" w:cs="宋体"/>
          <w:color w:val="auto"/>
          <w:spacing w:val="0"/>
          <w:sz w:val="24"/>
          <w:szCs w:val="24"/>
          <w:highlight w:val="none"/>
        </w:rPr>
        <w:t>（16）《建筑与市政工程抗震通用规范》GB55002-20</w:t>
      </w:r>
      <w:r>
        <w:rPr>
          <w:rFonts w:hint="eastAsia" w:ascii="宋体" w:hAnsi="宋体" w:eastAsia="宋体" w:cs="宋体"/>
          <w:color w:val="auto"/>
          <w:spacing w:val="0"/>
          <w:sz w:val="24"/>
          <w:szCs w:val="24"/>
          <w:highlight w:val="none"/>
          <w:lang w:val="en-US" w:eastAsia="zh-CN"/>
        </w:rPr>
        <w:t>2</w:t>
      </w:r>
      <w:r>
        <w:rPr>
          <w:rFonts w:hint="eastAsia" w:ascii="宋体" w:hAnsi="宋体" w:eastAsia="宋体" w:cs="宋体"/>
          <w:color w:val="auto"/>
          <w:spacing w:val="0"/>
          <w:sz w:val="24"/>
          <w:szCs w:val="24"/>
          <w:highlight w:val="none"/>
        </w:rPr>
        <w:t>1;</w:t>
      </w:r>
      <w:bookmarkEnd w:id="174"/>
      <w:bookmarkEnd w:id="175"/>
    </w:p>
    <w:p w14:paraId="0A0302C5">
      <w:pPr>
        <w:keepNext w:val="0"/>
        <w:keepLines w:val="0"/>
        <w:pageBreakBefore w:val="0"/>
        <w:wordWrap w:val="0"/>
        <w:overflowPunct/>
        <w:topLinePunct w:val="0"/>
        <w:bidi w:val="0"/>
        <w:spacing w:before="153" w:line="219" w:lineRule="auto"/>
        <w:ind w:left="130"/>
        <w:rPr>
          <w:rFonts w:hint="eastAsia" w:ascii="宋体" w:hAnsi="宋体" w:eastAsia="宋体" w:cs="宋体"/>
          <w:color w:val="auto"/>
          <w:spacing w:val="0"/>
          <w:sz w:val="24"/>
          <w:szCs w:val="24"/>
          <w:highlight w:val="none"/>
        </w:rPr>
      </w:pPr>
      <w:bookmarkStart w:id="176" w:name="_Toc8109"/>
      <w:bookmarkStart w:id="177" w:name="_Toc5777"/>
      <w:r>
        <w:rPr>
          <w:rFonts w:hint="eastAsia" w:ascii="宋体" w:hAnsi="宋体" w:eastAsia="宋体" w:cs="宋体"/>
          <w:color w:val="auto"/>
          <w:spacing w:val="0"/>
          <w:sz w:val="24"/>
          <w:szCs w:val="24"/>
          <w:highlight w:val="none"/>
        </w:rPr>
        <w:t>（17）《建筑与市政地基基础通用规范》GB55003-20</w:t>
      </w:r>
      <w:r>
        <w:rPr>
          <w:rFonts w:hint="eastAsia" w:ascii="宋体" w:hAnsi="宋体" w:eastAsia="宋体" w:cs="宋体"/>
          <w:color w:val="auto"/>
          <w:spacing w:val="0"/>
          <w:sz w:val="24"/>
          <w:szCs w:val="24"/>
          <w:highlight w:val="none"/>
          <w:lang w:val="en-US" w:eastAsia="zh-CN"/>
        </w:rPr>
        <w:t>2</w:t>
      </w:r>
      <w:r>
        <w:rPr>
          <w:rFonts w:hint="eastAsia" w:ascii="宋体" w:hAnsi="宋体" w:eastAsia="宋体" w:cs="宋体"/>
          <w:color w:val="auto"/>
          <w:spacing w:val="0"/>
          <w:sz w:val="24"/>
          <w:szCs w:val="24"/>
          <w:highlight w:val="none"/>
        </w:rPr>
        <w:t>1;</w:t>
      </w:r>
      <w:bookmarkEnd w:id="176"/>
      <w:bookmarkEnd w:id="177"/>
    </w:p>
    <w:p w14:paraId="44F224FB">
      <w:pPr>
        <w:keepNext w:val="0"/>
        <w:keepLines w:val="0"/>
        <w:pageBreakBefore w:val="0"/>
        <w:wordWrap w:val="0"/>
        <w:overflowPunct/>
        <w:topLinePunct w:val="0"/>
        <w:bidi w:val="0"/>
        <w:spacing w:before="153" w:line="219" w:lineRule="auto"/>
        <w:ind w:left="13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（18）《广东省住房和城乡建设厅绿色施工导则》；</w:t>
      </w:r>
    </w:p>
    <w:p w14:paraId="45897608">
      <w:pPr>
        <w:keepNext w:val="0"/>
        <w:keepLines w:val="0"/>
        <w:pageBreakBefore w:val="0"/>
        <w:wordWrap w:val="0"/>
        <w:overflowPunct/>
        <w:topLinePunct w:val="0"/>
        <w:bidi w:val="0"/>
        <w:spacing w:before="153" w:line="219" w:lineRule="auto"/>
        <w:ind w:left="13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（19）《广东省建筑工程绿色施工评价标准》；</w:t>
      </w:r>
    </w:p>
    <w:p w14:paraId="5646AB6E">
      <w:pPr>
        <w:keepNext w:val="0"/>
        <w:keepLines w:val="0"/>
        <w:pageBreakBefore w:val="0"/>
        <w:wordWrap w:val="0"/>
        <w:overflowPunct/>
        <w:topLinePunct w:val="0"/>
        <w:bidi w:val="0"/>
        <w:spacing w:before="153" w:line="219" w:lineRule="auto"/>
        <w:ind w:left="13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（20）《广东省建筑节能与绿色建筑工程施工质量验收规范》</w:t>
      </w:r>
    </w:p>
    <w:p w14:paraId="7EB8A061">
      <w:pPr>
        <w:keepNext w:val="0"/>
        <w:keepLines w:val="0"/>
        <w:pageBreakBefore w:val="0"/>
        <w:wordWrap w:val="0"/>
        <w:overflowPunct/>
        <w:topLinePunct w:val="0"/>
        <w:bidi w:val="0"/>
        <w:spacing w:before="153" w:line="219" w:lineRule="auto"/>
        <w:ind w:left="13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（21）其他现行国家、广东省关于房建工程的施工及验收规范、定额、规程、标准。</w:t>
      </w:r>
    </w:p>
    <w:p w14:paraId="75A80DB9">
      <w:pPr>
        <w:pStyle w:val="6"/>
        <w:keepNext w:val="0"/>
        <w:keepLines w:val="0"/>
        <w:pageBreakBefore w:val="0"/>
        <w:wordWrap w:val="0"/>
        <w:overflowPunct/>
        <w:topLinePunct w:val="0"/>
        <w:bidi w:val="0"/>
        <w:spacing w:line="257" w:lineRule="auto"/>
        <w:rPr>
          <w:rFonts w:hint="eastAsia" w:ascii="宋体" w:hAnsi="宋体" w:eastAsia="宋体" w:cs="宋体"/>
          <w:color w:val="auto"/>
          <w:spacing w:val="0"/>
          <w:highlight w:val="none"/>
        </w:rPr>
      </w:pPr>
    </w:p>
    <w:p w14:paraId="33E07DD5">
      <w:pPr>
        <w:keepNext w:val="0"/>
        <w:keepLines w:val="0"/>
        <w:pageBreakBefore w:val="0"/>
        <w:wordWrap w:val="0"/>
        <w:overflowPunct/>
        <w:topLinePunct w:val="0"/>
        <w:bidi w:val="0"/>
        <w:spacing w:before="78" w:line="220" w:lineRule="auto"/>
        <w:ind w:left="115"/>
        <w:outlineLvl w:val="2"/>
        <w:rPr>
          <w:rFonts w:hint="eastAsia" w:ascii="宋体" w:hAnsi="宋体" w:eastAsia="宋体" w:cs="宋体"/>
          <w:color w:val="auto"/>
          <w:spacing w:val="0"/>
          <w:sz w:val="24"/>
          <w:szCs w:val="24"/>
          <w:highlight w:val="none"/>
        </w:rPr>
      </w:pPr>
      <w:bookmarkStart w:id="178" w:name="_Toc15652"/>
      <w:bookmarkStart w:id="179" w:name="_Toc1126"/>
      <w:r>
        <w:rPr>
          <w:rFonts w:hint="eastAsia" w:ascii="宋体" w:hAnsi="宋体" w:eastAsia="宋体" w:cs="宋体"/>
          <w:b/>
          <w:bCs/>
          <w:color w:val="auto"/>
          <w:spacing w:val="0"/>
          <w:sz w:val="24"/>
          <w:szCs w:val="24"/>
          <w:highlight w:val="none"/>
        </w:rPr>
        <w:t>2 ．市政基础设施工程建设项目</w:t>
      </w:r>
      <w:bookmarkEnd w:id="178"/>
      <w:bookmarkEnd w:id="179"/>
    </w:p>
    <w:p w14:paraId="3DE73504">
      <w:pPr>
        <w:keepNext w:val="0"/>
        <w:keepLines w:val="0"/>
        <w:pageBreakBefore w:val="0"/>
        <w:wordWrap w:val="0"/>
        <w:overflowPunct/>
        <w:topLinePunct w:val="0"/>
        <w:bidi w:val="0"/>
        <w:spacing w:before="154" w:line="220" w:lineRule="auto"/>
        <w:ind w:left="12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市政基础设施工程建设项目必须执行的现行技术规范，包括且不限于：</w:t>
      </w:r>
    </w:p>
    <w:p w14:paraId="42606D5F">
      <w:pPr>
        <w:keepNext w:val="0"/>
        <w:keepLines w:val="0"/>
        <w:pageBreakBefore w:val="0"/>
        <w:wordWrap w:val="0"/>
        <w:overflowPunct/>
        <w:topLinePunct w:val="0"/>
        <w:bidi w:val="0"/>
        <w:spacing w:before="155" w:line="220" w:lineRule="auto"/>
        <w:ind w:left="13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（1）《公路路基施工技术规范》；</w:t>
      </w:r>
    </w:p>
    <w:p w14:paraId="358E9FEC">
      <w:pPr>
        <w:keepNext w:val="0"/>
        <w:keepLines w:val="0"/>
        <w:pageBreakBefore w:val="0"/>
        <w:wordWrap w:val="0"/>
        <w:overflowPunct/>
        <w:topLinePunct w:val="0"/>
        <w:bidi w:val="0"/>
        <w:spacing w:before="153" w:line="220" w:lineRule="auto"/>
        <w:ind w:left="13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（2）《市政道路工程质量检验评定标准》；</w:t>
      </w:r>
    </w:p>
    <w:p w14:paraId="0C7E4E6B">
      <w:pPr>
        <w:keepNext w:val="0"/>
        <w:keepLines w:val="0"/>
        <w:pageBreakBefore w:val="0"/>
        <w:wordWrap w:val="0"/>
        <w:overflowPunct/>
        <w:topLinePunct w:val="0"/>
        <w:bidi w:val="0"/>
        <w:spacing w:before="154" w:line="220" w:lineRule="auto"/>
        <w:ind w:left="13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（3）《市政排水管渠工程质量检验评定标准》；</w:t>
      </w:r>
    </w:p>
    <w:p w14:paraId="786F133E">
      <w:pPr>
        <w:keepNext w:val="0"/>
        <w:keepLines w:val="0"/>
        <w:pageBreakBefore w:val="0"/>
        <w:widowControl w:val="0"/>
        <w:kinsoku w:val="0"/>
        <w:wordWrap w:val="0"/>
        <w:overflowPunct/>
        <w:topLinePunct w:val="0"/>
        <w:autoSpaceDE w:val="0"/>
        <w:autoSpaceDN w:val="0"/>
        <w:bidi w:val="0"/>
        <w:adjustRightInd w:val="0"/>
        <w:snapToGrid w:val="0"/>
        <w:spacing w:before="155" w:line="220" w:lineRule="auto"/>
        <w:ind w:left="13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（4）《给水排水管道工程施工及验收规范》；</w:t>
      </w:r>
    </w:p>
    <w:p w14:paraId="00DC0798">
      <w:pPr>
        <w:keepNext w:val="0"/>
        <w:keepLines w:val="0"/>
        <w:pageBreakBefore w:val="0"/>
        <w:widowControl w:val="0"/>
        <w:kinsoku w:val="0"/>
        <w:wordWrap w:val="0"/>
        <w:overflowPunct/>
        <w:topLinePunct w:val="0"/>
        <w:autoSpaceDE w:val="0"/>
        <w:autoSpaceDN w:val="0"/>
        <w:bidi w:val="0"/>
        <w:adjustRightInd w:val="0"/>
        <w:snapToGrid w:val="0"/>
        <w:spacing w:before="78" w:line="220" w:lineRule="auto"/>
        <w:ind w:left="216" w:leftChars="103" w:firstLine="0" w:firstLineChars="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（5）《城市道路路基工程施工及验收规范》；</w:t>
      </w:r>
    </w:p>
    <w:p w14:paraId="2C842671">
      <w:pPr>
        <w:keepNext w:val="0"/>
        <w:keepLines w:val="0"/>
        <w:pageBreakBefore w:val="0"/>
        <w:widowControl w:val="0"/>
        <w:kinsoku w:val="0"/>
        <w:wordWrap w:val="0"/>
        <w:overflowPunct/>
        <w:topLinePunct w:val="0"/>
        <w:autoSpaceDE w:val="0"/>
        <w:autoSpaceDN w:val="0"/>
        <w:bidi w:val="0"/>
        <w:adjustRightInd w:val="0"/>
        <w:snapToGrid w:val="0"/>
        <w:spacing w:before="155" w:line="220" w:lineRule="auto"/>
        <w:ind w:left="216" w:leftChars="103" w:firstLine="0" w:firstLineChars="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（6）《水泥砼路面施工及验收规范》；</w:t>
      </w:r>
    </w:p>
    <w:p w14:paraId="04F501A9">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（7）《公路水泥砼路面施工技术规范》；</w:t>
      </w:r>
    </w:p>
    <w:p w14:paraId="728F5ACC">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（8）《埋地硬聚氯乙烯排水管道工程技术规程》；</w:t>
      </w:r>
    </w:p>
    <w:p w14:paraId="670DECA7">
      <w:pPr>
        <w:keepNext w:val="0"/>
        <w:keepLines w:val="0"/>
        <w:pageBreakBefore w:val="0"/>
        <w:widowControl w:val="0"/>
        <w:kinsoku w:val="0"/>
        <w:wordWrap w:val="0"/>
        <w:overflowPunct/>
        <w:topLinePunct w:val="0"/>
        <w:autoSpaceDE w:val="0"/>
        <w:autoSpaceDN w:val="0"/>
        <w:bidi w:val="0"/>
        <w:adjustRightInd w:val="0"/>
        <w:snapToGrid w:val="0"/>
        <w:spacing w:before="122" w:line="219" w:lineRule="auto"/>
        <w:ind w:left="216" w:leftChars="103" w:firstLine="0" w:firstLineChars="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（9）《沥青路面施工及验收规范》；</w:t>
      </w:r>
    </w:p>
    <w:p w14:paraId="4F5FA7A8">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（10）《广东省市政工程施工质量技术资料统一用表》。</w:t>
      </w:r>
    </w:p>
    <w:p w14:paraId="048FF474">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0"/>
          <w:sz w:val="24"/>
          <w:szCs w:val="24"/>
          <w:highlight w:val="none"/>
        </w:rPr>
      </w:pPr>
      <w:bookmarkStart w:id="180" w:name="_Toc30781"/>
      <w:bookmarkStart w:id="181" w:name="_Toc8494"/>
      <w:r>
        <w:rPr>
          <w:rFonts w:hint="eastAsia" w:ascii="宋体" w:hAnsi="宋体" w:eastAsia="宋体" w:cs="宋体"/>
          <w:color w:val="auto"/>
          <w:spacing w:val="0"/>
          <w:sz w:val="24"/>
          <w:szCs w:val="24"/>
          <w:highlight w:val="none"/>
        </w:rPr>
        <w:t>（11）《建筑与市政工程无障碍通用规范》 GB 55019-2021；</w:t>
      </w:r>
      <w:bookmarkEnd w:id="180"/>
      <w:bookmarkEnd w:id="181"/>
    </w:p>
    <w:p w14:paraId="05C24E1A">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0"/>
          <w:sz w:val="24"/>
          <w:szCs w:val="24"/>
          <w:highlight w:val="none"/>
        </w:rPr>
      </w:pPr>
      <w:bookmarkStart w:id="182" w:name="_Toc31143"/>
      <w:bookmarkStart w:id="183" w:name="_Toc17383"/>
      <w:r>
        <w:rPr>
          <w:rFonts w:hint="eastAsia" w:ascii="宋体" w:hAnsi="宋体" w:eastAsia="宋体" w:cs="宋体"/>
          <w:color w:val="auto"/>
          <w:spacing w:val="0"/>
          <w:sz w:val="24"/>
          <w:szCs w:val="24"/>
          <w:highlight w:val="none"/>
        </w:rPr>
        <w:t>（12）《建筑防火通用规范》GB 55037-2022;</w:t>
      </w:r>
      <w:bookmarkEnd w:id="182"/>
      <w:bookmarkEnd w:id="183"/>
    </w:p>
    <w:p w14:paraId="0C83CD68">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0"/>
          <w:sz w:val="24"/>
          <w:szCs w:val="24"/>
          <w:highlight w:val="none"/>
        </w:rPr>
      </w:pPr>
      <w:bookmarkStart w:id="184" w:name="_Toc32476"/>
      <w:bookmarkStart w:id="185" w:name="_Toc954"/>
      <w:r>
        <w:rPr>
          <w:rFonts w:hint="eastAsia" w:ascii="宋体" w:hAnsi="宋体" w:eastAsia="宋体" w:cs="宋体"/>
          <w:color w:val="auto"/>
          <w:spacing w:val="0"/>
          <w:sz w:val="24"/>
          <w:szCs w:val="24"/>
          <w:highlight w:val="none"/>
        </w:rPr>
        <w:t>（13）《建筑与市政工程抗震通用规范》GB55002-20</w:t>
      </w:r>
      <w:r>
        <w:rPr>
          <w:rFonts w:hint="eastAsia" w:ascii="宋体" w:hAnsi="宋体" w:eastAsia="宋体" w:cs="宋体"/>
          <w:color w:val="auto"/>
          <w:spacing w:val="0"/>
          <w:sz w:val="24"/>
          <w:szCs w:val="24"/>
          <w:highlight w:val="none"/>
          <w:lang w:val="en-US" w:eastAsia="zh-CN"/>
        </w:rPr>
        <w:t>2</w:t>
      </w:r>
      <w:r>
        <w:rPr>
          <w:rFonts w:hint="eastAsia" w:ascii="宋体" w:hAnsi="宋体" w:eastAsia="宋体" w:cs="宋体"/>
          <w:color w:val="auto"/>
          <w:spacing w:val="0"/>
          <w:sz w:val="24"/>
          <w:szCs w:val="24"/>
          <w:highlight w:val="none"/>
        </w:rPr>
        <w:t>1;</w:t>
      </w:r>
      <w:bookmarkEnd w:id="184"/>
      <w:bookmarkEnd w:id="185"/>
    </w:p>
    <w:p w14:paraId="5E470D0D">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0"/>
          <w:sz w:val="24"/>
          <w:szCs w:val="24"/>
          <w:highlight w:val="none"/>
        </w:rPr>
      </w:pPr>
      <w:bookmarkStart w:id="186" w:name="_Toc27898"/>
      <w:bookmarkStart w:id="187" w:name="_Toc7185"/>
      <w:r>
        <w:rPr>
          <w:rFonts w:hint="eastAsia" w:ascii="宋体" w:hAnsi="宋体" w:eastAsia="宋体" w:cs="宋体"/>
          <w:color w:val="auto"/>
          <w:spacing w:val="0"/>
          <w:sz w:val="24"/>
          <w:szCs w:val="24"/>
          <w:highlight w:val="none"/>
        </w:rPr>
        <w:t>（14）《建筑与市政地基基础通用规范》GB55003-20</w:t>
      </w:r>
      <w:r>
        <w:rPr>
          <w:rFonts w:hint="eastAsia" w:ascii="宋体" w:hAnsi="宋体" w:eastAsia="宋体" w:cs="宋体"/>
          <w:color w:val="auto"/>
          <w:spacing w:val="0"/>
          <w:sz w:val="24"/>
          <w:szCs w:val="24"/>
          <w:highlight w:val="none"/>
          <w:lang w:val="en-US" w:eastAsia="zh-CN"/>
        </w:rPr>
        <w:t>2</w:t>
      </w:r>
      <w:r>
        <w:rPr>
          <w:rFonts w:hint="eastAsia" w:ascii="宋体" w:hAnsi="宋体" w:eastAsia="宋体" w:cs="宋体"/>
          <w:color w:val="auto"/>
          <w:spacing w:val="0"/>
          <w:sz w:val="24"/>
          <w:szCs w:val="24"/>
          <w:highlight w:val="none"/>
        </w:rPr>
        <w:t>1;</w:t>
      </w:r>
      <w:bookmarkEnd w:id="186"/>
      <w:bookmarkEnd w:id="187"/>
    </w:p>
    <w:p w14:paraId="4239B53F">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0"/>
          <w:sz w:val="24"/>
          <w:szCs w:val="24"/>
          <w:highlight w:val="none"/>
        </w:rPr>
      </w:pPr>
      <w:bookmarkStart w:id="188" w:name="_Toc17281"/>
      <w:bookmarkStart w:id="189" w:name="_Toc29669"/>
      <w:r>
        <w:rPr>
          <w:rFonts w:hint="eastAsia" w:ascii="宋体" w:hAnsi="宋体" w:eastAsia="宋体" w:cs="宋体"/>
          <w:color w:val="auto"/>
          <w:spacing w:val="0"/>
          <w:sz w:val="24"/>
          <w:szCs w:val="24"/>
          <w:highlight w:val="none"/>
        </w:rPr>
        <w:t>（15）《城市道路照明设计标准》（CJJ45-2015）；</w:t>
      </w:r>
      <w:bookmarkEnd w:id="188"/>
      <w:bookmarkEnd w:id="189"/>
    </w:p>
    <w:p w14:paraId="10626407">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0"/>
          <w:sz w:val="24"/>
          <w:szCs w:val="24"/>
          <w:highlight w:val="none"/>
        </w:rPr>
      </w:pPr>
      <w:bookmarkStart w:id="190" w:name="_Toc31812"/>
      <w:bookmarkStart w:id="191" w:name="_Toc9161"/>
      <w:r>
        <w:rPr>
          <w:rFonts w:hint="eastAsia" w:ascii="宋体" w:hAnsi="宋体" w:eastAsia="宋体" w:cs="宋体"/>
          <w:color w:val="auto"/>
          <w:spacing w:val="0"/>
          <w:sz w:val="24"/>
          <w:szCs w:val="24"/>
          <w:highlight w:val="none"/>
        </w:rPr>
        <w:t>（16）《低压配电设计规范》（GB50054-2011）；</w:t>
      </w:r>
      <w:bookmarkEnd w:id="190"/>
      <w:bookmarkEnd w:id="191"/>
    </w:p>
    <w:p w14:paraId="783AB7B8">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0"/>
          <w:sz w:val="24"/>
          <w:szCs w:val="24"/>
          <w:highlight w:val="none"/>
        </w:rPr>
      </w:pPr>
      <w:bookmarkStart w:id="192" w:name="_Toc18255"/>
      <w:bookmarkStart w:id="193" w:name="_Toc6405"/>
      <w:r>
        <w:rPr>
          <w:rFonts w:hint="eastAsia" w:ascii="宋体" w:hAnsi="宋体" w:eastAsia="宋体" w:cs="宋体"/>
          <w:color w:val="auto"/>
          <w:spacing w:val="0"/>
          <w:sz w:val="24"/>
          <w:szCs w:val="24"/>
          <w:highlight w:val="none"/>
        </w:rPr>
        <w:t>（17）《城市道路照明工程施工及验收规程》（CJJ89-2012）；</w:t>
      </w:r>
      <w:bookmarkEnd w:id="192"/>
      <w:bookmarkEnd w:id="193"/>
    </w:p>
    <w:p w14:paraId="7734BFB5">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（18）《LED 道路照明工程技术规范》（DB44/T 1898-2016）；</w:t>
      </w:r>
    </w:p>
    <w:p w14:paraId="47C8E7FC">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（19）《灯具第 1 部分：一般要求与试验》（GB7000.1-2015）；</w:t>
      </w:r>
    </w:p>
    <w:p w14:paraId="398E10D5">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（20）《电缆工程电缆设计标准》（GB50217-2018）；</w:t>
      </w:r>
    </w:p>
    <w:p w14:paraId="4383C570">
      <w:pPr>
        <w:keepNext w:val="0"/>
        <w:keepLines w:val="0"/>
        <w:pageBreakBefore w:val="0"/>
        <w:widowControl w:val="0"/>
        <w:kinsoku w:val="0"/>
        <w:wordWrap w:val="0"/>
        <w:overflowPunct/>
        <w:topLinePunct w:val="0"/>
        <w:autoSpaceDE w:val="0"/>
        <w:autoSpaceDN w:val="0"/>
        <w:bidi w:val="0"/>
        <w:adjustRightInd w:val="0"/>
        <w:snapToGrid w:val="0"/>
        <w:spacing w:before="146" w:line="220" w:lineRule="auto"/>
        <w:ind w:left="216" w:leftChars="103" w:firstLine="0" w:firstLineChars="0"/>
        <w:jc w:val="both"/>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（21）其他现行国家、广东省关于市政工程的技术及验收规范、定额、规程、标准。</w:t>
      </w:r>
    </w:p>
    <w:p w14:paraId="42697A65">
      <w:pPr>
        <w:pStyle w:val="6"/>
        <w:keepNext w:val="0"/>
        <w:keepLines w:val="0"/>
        <w:pageBreakBefore w:val="0"/>
        <w:widowControl w:val="0"/>
        <w:kinsoku w:val="0"/>
        <w:wordWrap w:val="0"/>
        <w:overflowPunct/>
        <w:topLinePunct w:val="0"/>
        <w:autoSpaceDE w:val="0"/>
        <w:autoSpaceDN w:val="0"/>
        <w:bidi w:val="0"/>
        <w:adjustRightInd w:val="0"/>
        <w:snapToGrid w:val="0"/>
        <w:spacing w:line="255" w:lineRule="auto"/>
        <w:textAlignment w:val="baseline"/>
        <w:rPr>
          <w:rFonts w:hint="eastAsia" w:ascii="宋体" w:hAnsi="宋体" w:eastAsia="宋体" w:cs="宋体"/>
          <w:color w:val="auto"/>
          <w:spacing w:val="0"/>
          <w:highlight w:val="none"/>
        </w:rPr>
      </w:pPr>
    </w:p>
    <w:p w14:paraId="2EBD30E7">
      <w:pPr>
        <w:pStyle w:val="6"/>
        <w:keepNext w:val="0"/>
        <w:keepLines w:val="0"/>
        <w:pageBreakBefore w:val="0"/>
        <w:widowControl w:val="0"/>
        <w:kinsoku w:val="0"/>
        <w:wordWrap w:val="0"/>
        <w:overflowPunct/>
        <w:topLinePunct w:val="0"/>
        <w:autoSpaceDE w:val="0"/>
        <w:autoSpaceDN w:val="0"/>
        <w:bidi w:val="0"/>
        <w:adjustRightInd w:val="0"/>
        <w:snapToGrid w:val="0"/>
        <w:spacing w:line="255" w:lineRule="auto"/>
        <w:textAlignment w:val="baseline"/>
        <w:rPr>
          <w:rFonts w:hint="eastAsia" w:ascii="宋体" w:hAnsi="宋体" w:eastAsia="宋体" w:cs="宋体"/>
          <w:color w:val="auto"/>
          <w:spacing w:val="0"/>
          <w:highlight w:val="none"/>
        </w:rPr>
      </w:pPr>
    </w:p>
    <w:p w14:paraId="578150EA">
      <w:pPr>
        <w:keepNext w:val="0"/>
        <w:keepLines w:val="0"/>
        <w:pageBreakBefore w:val="0"/>
        <w:widowControl w:val="0"/>
        <w:kinsoku w:val="0"/>
        <w:wordWrap w:val="0"/>
        <w:overflowPunct/>
        <w:topLinePunct w:val="0"/>
        <w:autoSpaceDE w:val="0"/>
        <w:autoSpaceDN w:val="0"/>
        <w:bidi w:val="0"/>
        <w:adjustRightInd w:val="0"/>
        <w:snapToGrid w:val="0"/>
        <w:spacing w:before="78" w:line="222" w:lineRule="auto"/>
        <w:ind w:left="556"/>
        <w:textAlignment w:val="baseline"/>
        <w:outlineLvl w:val="2"/>
        <w:rPr>
          <w:rFonts w:hint="eastAsia" w:ascii="宋体" w:hAnsi="宋体" w:eastAsia="宋体" w:cs="宋体"/>
          <w:color w:val="auto"/>
          <w:spacing w:val="0"/>
          <w:sz w:val="24"/>
          <w:szCs w:val="24"/>
          <w:highlight w:val="none"/>
        </w:rPr>
      </w:pPr>
      <w:bookmarkStart w:id="194" w:name="_Toc9200"/>
      <w:bookmarkStart w:id="195" w:name="_Toc17417"/>
      <w:r>
        <w:rPr>
          <w:rFonts w:hint="eastAsia" w:ascii="宋体" w:hAnsi="宋体" w:eastAsia="宋体" w:cs="宋体"/>
          <w:b/>
          <w:bCs/>
          <w:color w:val="auto"/>
          <w:spacing w:val="0"/>
          <w:sz w:val="24"/>
          <w:szCs w:val="24"/>
          <w:highlight w:val="none"/>
        </w:rPr>
        <w:t>3 ．备查要求</w:t>
      </w:r>
      <w:bookmarkEnd w:id="194"/>
      <w:bookmarkEnd w:id="195"/>
    </w:p>
    <w:p w14:paraId="1DC9A841">
      <w:pPr>
        <w:keepNext w:val="0"/>
        <w:keepLines w:val="0"/>
        <w:pageBreakBefore w:val="0"/>
        <w:widowControl w:val="0"/>
        <w:kinsoku w:val="0"/>
        <w:wordWrap w:val="0"/>
        <w:overflowPunct/>
        <w:topLinePunct w:val="0"/>
        <w:autoSpaceDE w:val="0"/>
        <w:autoSpaceDN w:val="0"/>
        <w:bidi w:val="0"/>
        <w:adjustRightInd w:val="0"/>
        <w:snapToGrid w:val="0"/>
        <w:spacing w:before="155" w:line="324" w:lineRule="auto"/>
        <w:ind w:right="81" w:firstLine="561"/>
        <w:jc w:val="both"/>
        <w:textAlignment w:val="baseline"/>
        <w:rPr>
          <w:rFonts w:hint="eastAsia"/>
          <w:color w:val="auto"/>
          <w:spacing w:val="0"/>
          <w:highlight w:val="none"/>
        </w:rPr>
        <w:sectPr>
          <w:footerReference r:id="rId12"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r>
        <w:rPr>
          <w:rFonts w:hint="eastAsia" w:ascii="宋体" w:hAnsi="宋体" w:eastAsia="宋体" w:cs="宋体"/>
          <w:color w:val="auto"/>
          <w:spacing w:val="0"/>
          <w:sz w:val="24"/>
          <w:szCs w:val="24"/>
          <w:highlight w:val="none"/>
        </w:rPr>
        <w:t>承包人必须在施工现场准备至少一套上述规范，发包人和监理单位可随时检查承 包人的上述规范，并监督承包人按规范要求执行。</w:t>
      </w:r>
    </w:p>
    <w:p w14:paraId="0BE481F0">
      <w:pPr>
        <w:keepNext w:val="0"/>
        <w:keepLines w:val="0"/>
        <w:pageBreakBefore w:val="0"/>
        <w:wordWrap w:val="0"/>
        <w:overflowPunct/>
        <w:topLinePunct w:val="0"/>
        <w:bidi w:val="0"/>
        <w:spacing w:before="78" w:line="219" w:lineRule="auto"/>
        <w:jc w:val="center"/>
        <w:outlineLvl w:val="0"/>
        <w:rPr>
          <w:rFonts w:hint="eastAsia" w:ascii="宋体" w:hAnsi="宋体" w:eastAsia="宋体" w:cs="宋体"/>
          <w:color w:val="auto"/>
          <w:spacing w:val="0"/>
          <w:sz w:val="24"/>
          <w:szCs w:val="24"/>
          <w:highlight w:val="none"/>
        </w:rPr>
      </w:pPr>
      <w:bookmarkStart w:id="196" w:name="bookmark100"/>
      <w:bookmarkEnd w:id="196"/>
      <w:bookmarkStart w:id="197" w:name="bookmark146"/>
      <w:bookmarkEnd w:id="197"/>
      <w:bookmarkStart w:id="198" w:name="_Toc17497"/>
      <w:r>
        <w:rPr>
          <w:rFonts w:hint="eastAsia" w:ascii="宋体" w:hAnsi="宋体" w:eastAsia="宋体" w:cs="宋体"/>
          <w:b/>
          <w:bCs/>
          <w:color w:val="auto"/>
          <w:spacing w:val="0"/>
          <w:sz w:val="24"/>
          <w:szCs w:val="24"/>
          <w:highlight w:val="none"/>
        </w:rPr>
        <w:t>第五章</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rPr>
        <w:t>图纸和招标工程量清单</w:t>
      </w:r>
      <w:bookmarkEnd w:id="198"/>
    </w:p>
    <w:p w14:paraId="453555F9">
      <w:pPr>
        <w:pStyle w:val="6"/>
        <w:keepNext w:val="0"/>
        <w:keepLines w:val="0"/>
        <w:pageBreakBefore w:val="0"/>
        <w:wordWrap w:val="0"/>
        <w:overflowPunct/>
        <w:topLinePunct w:val="0"/>
        <w:bidi w:val="0"/>
        <w:spacing w:line="283" w:lineRule="auto"/>
        <w:rPr>
          <w:rFonts w:hint="eastAsia" w:ascii="宋体" w:hAnsi="宋体" w:eastAsia="宋体" w:cs="宋体"/>
          <w:color w:val="auto"/>
          <w:spacing w:val="0"/>
          <w:highlight w:val="none"/>
        </w:rPr>
      </w:pPr>
    </w:p>
    <w:p w14:paraId="1D27659C">
      <w:pPr>
        <w:pStyle w:val="6"/>
        <w:keepNext w:val="0"/>
        <w:keepLines w:val="0"/>
        <w:pageBreakBefore w:val="0"/>
        <w:wordWrap w:val="0"/>
        <w:overflowPunct/>
        <w:topLinePunct w:val="0"/>
        <w:bidi w:val="0"/>
        <w:spacing w:line="284" w:lineRule="auto"/>
        <w:rPr>
          <w:rFonts w:hint="eastAsia" w:ascii="宋体" w:hAnsi="宋体" w:eastAsia="宋体" w:cs="宋体"/>
          <w:color w:val="auto"/>
          <w:spacing w:val="0"/>
          <w:highlight w:val="none"/>
        </w:rPr>
      </w:pPr>
    </w:p>
    <w:p w14:paraId="55640BBD">
      <w:pPr>
        <w:keepNext w:val="0"/>
        <w:keepLines w:val="0"/>
        <w:pageBreakBefore w:val="0"/>
        <w:wordWrap w:val="0"/>
        <w:overflowPunct/>
        <w:topLinePunct w:val="0"/>
        <w:bidi w:val="0"/>
        <w:spacing w:before="78" w:line="219" w:lineRule="auto"/>
        <w:ind w:left="1064"/>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 xml:space="preserve">□有，另附复印件         </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有，自行网上下载(浏览)           □无</w:t>
      </w:r>
    </w:p>
    <w:p w14:paraId="3A39C7D4">
      <w:pPr>
        <w:pStyle w:val="6"/>
        <w:keepNext w:val="0"/>
        <w:keepLines w:val="0"/>
        <w:pageBreakBefore w:val="0"/>
        <w:wordWrap w:val="0"/>
        <w:overflowPunct/>
        <w:topLinePunct w:val="0"/>
        <w:bidi w:val="0"/>
        <w:spacing w:line="265" w:lineRule="auto"/>
        <w:rPr>
          <w:rFonts w:hint="eastAsia" w:ascii="宋体" w:hAnsi="宋体" w:eastAsia="宋体" w:cs="宋体"/>
          <w:color w:val="auto"/>
          <w:spacing w:val="0"/>
          <w:highlight w:val="none"/>
        </w:rPr>
      </w:pPr>
    </w:p>
    <w:p w14:paraId="3F51A59E">
      <w:pPr>
        <w:keepNext w:val="0"/>
        <w:keepLines w:val="0"/>
        <w:pageBreakBefore w:val="0"/>
        <w:wordWrap w:val="0"/>
        <w:overflowPunct/>
        <w:topLinePunct w:val="0"/>
        <w:bidi w:val="0"/>
        <w:spacing w:before="151" w:line="222" w:lineRule="auto"/>
        <w:ind w:left="715"/>
        <w:outlineLvl w:val="2"/>
        <w:rPr>
          <w:rFonts w:hint="eastAsia" w:ascii="宋体" w:hAnsi="宋体" w:eastAsia="宋体" w:cs="宋体"/>
          <w:color w:val="auto"/>
          <w:spacing w:val="0"/>
          <w:sz w:val="24"/>
          <w:szCs w:val="24"/>
          <w:highlight w:val="none"/>
        </w:rPr>
      </w:pPr>
      <w:bookmarkStart w:id="199" w:name="_Toc24446"/>
      <w:bookmarkStart w:id="200" w:name="_Toc23405"/>
      <w:r>
        <w:rPr>
          <w:rFonts w:hint="eastAsia" w:ascii="宋体" w:hAnsi="宋体" w:eastAsia="宋体" w:cs="宋体"/>
          <w:b/>
          <w:bCs/>
          <w:color w:val="auto"/>
          <w:spacing w:val="0"/>
          <w:sz w:val="24"/>
          <w:szCs w:val="24"/>
          <w:highlight w:val="none"/>
        </w:rPr>
        <w:t>1 ．图纸</w:t>
      </w:r>
      <w:bookmarkEnd w:id="199"/>
      <w:bookmarkEnd w:id="200"/>
    </w:p>
    <w:p w14:paraId="40DA907D">
      <w:pPr>
        <w:keepNext w:val="0"/>
        <w:keepLines w:val="0"/>
        <w:pageBreakBefore w:val="0"/>
        <w:wordWrap w:val="0"/>
        <w:overflowPunct/>
        <w:topLinePunct w:val="0"/>
        <w:bidi w:val="0"/>
        <w:spacing w:before="150" w:line="330" w:lineRule="auto"/>
        <w:ind w:left="230" w:firstLine="48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本招标文件随文另附施工图（电子文件）一套。</w:t>
      </w:r>
    </w:p>
    <w:p w14:paraId="35B786E2">
      <w:pPr>
        <w:pStyle w:val="6"/>
        <w:keepNext w:val="0"/>
        <w:keepLines w:val="0"/>
        <w:pageBreakBefore w:val="0"/>
        <w:wordWrap w:val="0"/>
        <w:overflowPunct/>
        <w:topLinePunct w:val="0"/>
        <w:bidi w:val="0"/>
        <w:spacing w:line="253" w:lineRule="auto"/>
        <w:rPr>
          <w:rFonts w:hint="eastAsia" w:ascii="宋体" w:hAnsi="宋体" w:eastAsia="宋体" w:cs="宋体"/>
          <w:color w:val="auto"/>
          <w:spacing w:val="0"/>
          <w:highlight w:val="none"/>
        </w:rPr>
      </w:pPr>
    </w:p>
    <w:p w14:paraId="729AA511">
      <w:pPr>
        <w:keepNext w:val="0"/>
        <w:keepLines w:val="0"/>
        <w:pageBreakBefore w:val="0"/>
        <w:wordWrap w:val="0"/>
        <w:overflowPunct/>
        <w:topLinePunct w:val="0"/>
        <w:bidi w:val="0"/>
        <w:spacing w:before="79" w:line="221" w:lineRule="auto"/>
        <w:ind w:left="705"/>
        <w:outlineLvl w:val="2"/>
        <w:rPr>
          <w:rFonts w:hint="eastAsia" w:ascii="宋体" w:hAnsi="宋体" w:eastAsia="宋体" w:cs="宋体"/>
          <w:color w:val="auto"/>
          <w:spacing w:val="0"/>
          <w:sz w:val="24"/>
          <w:szCs w:val="24"/>
          <w:highlight w:val="none"/>
        </w:rPr>
      </w:pPr>
      <w:bookmarkStart w:id="201" w:name="_Toc3353"/>
      <w:bookmarkStart w:id="202" w:name="_Toc9064"/>
      <w:r>
        <w:rPr>
          <w:rFonts w:hint="eastAsia" w:ascii="宋体" w:hAnsi="宋体" w:eastAsia="宋体" w:cs="宋体"/>
          <w:b/>
          <w:bCs/>
          <w:color w:val="auto"/>
          <w:spacing w:val="0"/>
          <w:sz w:val="24"/>
          <w:szCs w:val="24"/>
          <w:highlight w:val="none"/>
        </w:rPr>
        <w:t>2 ．招标工程量清单</w:t>
      </w:r>
      <w:bookmarkEnd w:id="201"/>
      <w:bookmarkEnd w:id="202"/>
    </w:p>
    <w:p w14:paraId="4E31568C">
      <w:pPr>
        <w:keepNext w:val="0"/>
        <w:keepLines w:val="0"/>
        <w:pageBreakBefore w:val="0"/>
        <w:wordWrap w:val="0"/>
        <w:overflowPunct/>
        <w:topLinePunct w:val="0"/>
        <w:bidi w:val="0"/>
        <w:spacing w:before="117" w:line="312" w:lineRule="auto"/>
        <w:ind w:left="231" w:firstLine="474"/>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2.1  </w:t>
      </w:r>
      <w:r>
        <w:rPr>
          <w:rFonts w:hint="eastAsia" w:ascii="宋体" w:hAnsi="宋体" w:eastAsia="宋体" w:cs="宋体"/>
          <w:color w:val="auto"/>
          <w:spacing w:val="0"/>
          <w:sz w:val="24"/>
          <w:szCs w:val="24"/>
          <w:highlight w:val="none"/>
        </w:rPr>
        <w:t>本招标文件随文另附</w:t>
      </w:r>
      <w:bookmarkStart w:id="203" w:name="OLE_LINK33"/>
      <w:r>
        <w:rPr>
          <w:rFonts w:hint="eastAsia" w:ascii="宋体" w:hAnsi="宋体" w:eastAsia="宋体" w:cs="宋体"/>
          <w:color w:val="auto"/>
          <w:spacing w:val="0"/>
          <w:sz w:val="24"/>
          <w:szCs w:val="24"/>
          <w:highlight w:val="none"/>
          <w:u w:val="single"/>
        </w:rPr>
        <w:t>招标工程量清单  EXCEL 版</w:t>
      </w:r>
      <w:bookmarkEnd w:id="203"/>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rPr>
        <w:t>电子文件一套。</w:t>
      </w:r>
    </w:p>
    <w:p w14:paraId="05C52F1A">
      <w:pPr>
        <w:keepNext w:val="0"/>
        <w:keepLines w:val="0"/>
        <w:pageBreakBefore w:val="0"/>
        <w:wordWrap w:val="0"/>
        <w:overflowPunct/>
        <w:topLinePunct w:val="0"/>
        <w:bidi w:val="0"/>
        <w:spacing w:before="78" w:line="219" w:lineRule="auto"/>
        <w:ind w:left="478" w:firstLine="241" w:firstLineChars="100"/>
        <w:rPr>
          <w:rFonts w:hint="eastAsia" w:ascii="宋体" w:hAnsi="宋体" w:eastAsia="宋体" w:cs="宋体"/>
          <w:color w:val="auto"/>
          <w:spacing w:val="0"/>
          <w:sz w:val="24"/>
          <w:szCs w:val="24"/>
          <w:highlight w:val="none"/>
        </w:rPr>
      </w:pPr>
      <w:bookmarkStart w:id="204" w:name="bookmark147"/>
      <w:bookmarkEnd w:id="204"/>
      <w:r>
        <w:rPr>
          <w:rFonts w:hint="eastAsia" w:ascii="宋体" w:hAnsi="宋体" w:eastAsia="宋体" w:cs="宋体"/>
          <w:b/>
          <w:bCs/>
          <w:color w:val="auto"/>
          <w:spacing w:val="0"/>
          <w:sz w:val="24"/>
          <w:szCs w:val="24"/>
          <w:highlight w:val="none"/>
        </w:rPr>
        <w:t xml:space="preserve">2.2  </w:t>
      </w:r>
      <w:r>
        <w:rPr>
          <w:rFonts w:hint="eastAsia" w:ascii="宋体" w:hAnsi="宋体" w:eastAsia="宋体" w:cs="宋体"/>
          <w:color w:val="auto"/>
          <w:spacing w:val="0"/>
          <w:sz w:val="24"/>
          <w:szCs w:val="24"/>
          <w:highlight w:val="none"/>
        </w:rPr>
        <w:t>本工程按照以下依据编制</w:t>
      </w:r>
      <w:r>
        <w:rPr>
          <w:rFonts w:hint="eastAsia" w:ascii="宋体" w:hAnsi="宋体" w:eastAsia="宋体" w:cs="宋体"/>
          <w:color w:val="auto"/>
          <w:spacing w:val="0"/>
          <w:sz w:val="24"/>
          <w:szCs w:val="24"/>
          <w:highlight w:val="none"/>
          <w:u w:val="single"/>
        </w:rPr>
        <w:t>招标工程量清单</w:t>
      </w:r>
      <w:r>
        <w:rPr>
          <w:rFonts w:hint="eastAsia" w:ascii="宋体" w:hAnsi="宋体" w:eastAsia="宋体" w:cs="宋体"/>
          <w:color w:val="auto"/>
          <w:spacing w:val="0"/>
          <w:sz w:val="24"/>
          <w:szCs w:val="24"/>
          <w:highlight w:val="none"/>
        </w:rPr>
        <w:t>：</w:t>
      </w:r>
    </w:p>
    <w:p w14:paraId="71944C9D">
      <w:pPr>
        <w:keepNext w:val="0"/>
        <w:keepLines w:val="0"/>
        <w:pageBreakBefore w:val="0"/>
        <w:wordWrap w:val="0"/>
        <w:overflowPunct/>
        <w:topLinePunct w:val="0"/>
        <w:bidi w:val="0"/>
        <w:spacing w:before="123" w:line="219" w:lineRule="auto"/>
        <w:ind w:left="493"/>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w:t>
      </w:r>
      <w:r>
        <w:rPr>
          <w:rFonts w:hint="eastAsia" w:ascii="宋体" w:hAnsi="宋体" w:eastAsia="宋体" w:cs="宋体"/>
          <w:color w:val="auto"/>
          <w:spacing w:val="0"/>
          <w:sz w:val="24"/>
          <w:szCs w:val="24"/>
          <w:highlight w:val="none"/>
          <w:lang w:eastAsia="zh-CN"/>
        </w:rPr>
        <w:t>建设工程工程量清单计价标准</w:t>
      </w:r>
      <w:r>
        <w:rPr>
          <w:rFonts w:hint="eastAsia" w:ascii="宋体" w:hAnsi="宋体" w:eastAsia="宋体" w:cs="宋体"/>
          <w:color w:val="auto"/>
          <w:spacing w:val="0"/>
          <w:sz w:val="24"/>
          <w:szCs w:val="24"/>
          <w:highlight w:val="none"/>
        </w:rPr>
        <w:t>》（</w:t>
      </w:r>
      <w:r>
        <w:rPr>
          <w:rFonts w:hint="eastAsia" w:ascii="宋体" w:hAnsi="宋体" w:eastAsia="宋体" w:cs="宋体"/>
          <w:color w:val="auto"/>
          <w:spacing w:val="0"/>
          <w:sz w:val="24"/>
          <w:szCs w:val="24"/>
          <w:highlight w:val="none"/>
          <w:lang w:eastAsia="zh-CN"/>
        </w:rPr>
        <w:t>GB/T50500-2024</w:t>
      </w:r>
      <w:r>
        <w:rPr>
          <w:rFonts w:hint="eastAsia" w:ascii="宋体" w:hAnsi="宋体" w:eastAsia="宋体" w:cs="宋体"/>
          <w:color w:val="auto"/>
          <w:spacing w:val="0"/>
          <w:sz w:val="24"/>
          <w:szCs w:val="24"/>
          <w:highlight w:val="none"/>
        </w:rPr>
        <w:t>）；</w:t>
      </w:r>
    </w:p>
    <w:p w14:paraId="213B85D4">
      <w:pPr>
        <w:keepNext w:val="0"/>
        <w:keepLines w:val="0"/>
        <w:pageBreakBefore w:val="0"/>
        <w:wordWrap w:val="0"/>
        <w:overflowPunct/>
        <w:topLinePunct w:val="0"/>
        <w:bidi w:val="0"/>
        <w:spacing w:before="115" w:line="299" w:lineRule="auto"/>
        <w:ind w:firstLine="493"/>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投标人应对招标人提供的工程量清单进行认真细致的复核。这种复核包括对招标人提供的工程量清单中的子目编码、子目名称、子目特征描述、计量单位、工程量的准确性以及可能存在的任何书写、打印错误进行检查和复核，特别是对“分部分项工程量清单与计价表”中每个工作子目的工程量进行重新计算和校核。如果投标人</w:t>
      </w:r>
      <w:r>
        <w:rPr>
          <w:rFonts w:hint="eastAsia" w:ascii="宋体" w:hAnsi="宋体" w:eastAsia="宋体" w:cs="宋体"/>
          <w:color w:val="auto"/>
          <w:spacing w:val="0"/>
          <w:sz w:val="24"/>
          <w:szCs w:val="24"/>
          <w:highlight w:val="none"/>
          <w:lang w:eastAsia="zh-CN"/>
        </w:rPr>
        <w:t>经过检查和复核</w:t>
      </w:r>
      <w:r>
        <w:rPr>
          <w:rFonts w:hint="eastAsia" w:ascii="宋体" w:hAnsi="宋体" w:eastAsia="宋体" w:cs="宋体"/>
          <w:color w:val="auto"/>
          <w:spacing w:val="0"/>
          <w:sz w:val="24"/>
          <w:szCs w:val="24"/>
          <w:highlight w:val="none"/>
        </w:rPr>
        <w:t>认为招标人提供的工程量清单存在差异，则投标人应将此类差异的详细情况连同按“投标须知 ”规定提交的要求招标人澄清的其他问题一起提交给招标人，招标人将根据实际情况决定是否颁发</w:t>
      </w:r>
      <w:r>
        <w:rPr>
          <w:rFonts w:hint="eastAsia" w:ascii="宋体" w:hAnsi="宋体" w:eastAsia="宋体" w:cs="宋体"/>
          <w:color w:val="auto"/>
          <w:spacing w:val="0"/>
          <w:sz w:val="24"/>
          <w:szCs w:val="24"/>
          <w:highlight w:val="none"/>
          <w:u w:val="single"/>
        </w:rPr>
        <w:t>工程量清单</w:t>
      </w:r>
      <w:r>
        <w:rPr>
          <w:rFonts w:hint="eastAsia" w:ascii="宋体" w:hAnsi="宋体" w:eastAsia="宋体" w:cs="宋体"/>
          <w:color w:val="auto"/>
          <w:spacing w:val="0"/>
          <w:sz w:val="24"/>
          <w:szCs w:val="24"/>
          <w:highlight w:val="none"/>
        </w:rPr>
        <w:t>、</w:t>
      </w:r>
      <w:r>
        <w:rPr>
          <w:rFonts w:hint="eastAsia" w:ascii="宋体" w:hAnsi="宋体" w:eastAsia="宋体" w:cs="宋体"/>
          <w:color w:val="auto"/>
          <w:spacing w:val="0"/>
          <w:sz w:val="24"/>
          <w:szCs w:val="24"/>
          <w:highlight w:val="none"/>
          <w:lang w:val="en-US" w:eastAsia="zh-CN"/>
        </w:rPr>
        <w:t>最高投标限价</w:t>
      </w:r>
      <w:r>
        <w:rPr>
          <w:rFonts w:hint="eastAsia" w:ascii="宋体" w:hAnsi="宋体" w:eastAsia="宋体" w:cs="宋体"/>
          <w:color w:val="auto"/>
          <w:spacing w:val="0"/>
          <w:sz w:val="24"/>
          <w:szCs w:val="24"/>
          <w:highlight w:val="none"/>
        </w:rPr>
        <w:t>的补充和(或)修改文件。</w:t>
      </w:r>
    </w:p>
    <w:p w14:paraId="5A04671B">
      <w:pPr>
        <w:keepNext w:val="0"/>
        <w:keepLines w:val="0"/>
        <w:pageBreakBefore w:val="0"/>
        <w:wordWrap w:val="0"/>
        <w:overflowPunct/>
        <w:topLinePunct w:val="0"/>
        <w:bidi w:val="0"/>
        <w:spacing w:before="79" w:line="263" w:lineRule="auto"/>
        <w:ind w:left="2" w:right="2" w:firstLine="488"/>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（3）本招标工程量清单措施项目中的</w:t>
      </w:r>
      <w:r>
        <w:rPr>
          <w:rFonts w:hint="eastAsia" w:ascii="宋体" w:hAnsi="宋体" w:eastAsia="宋体" w:cs="宋体"/>
          <w:b/>
          <w:bCs/>
          <w:color w:val="auto"/>
          <w:spacing w:val="0"/>
          <w:sz w:val="24"/>
          <w:szCs w:val="24"/>
          <w:highlight w:val="none"/>
        </w:rPr>
        <w:t>暂列金额、暂估价</w:t>
      </w:r>
      <w:r>
        <w:rPr>
          <w:rFonts w:hint="eastAsia" w:ascii="宋体" w:hAnsi="宋体" w:eastAsia="宋体" w:cs="宋体"/>
          <w:color w:val="auto"/>
          <w:spacing w:val="0"/>
          <w:sz w:val="24"/>
          <w:szCs w:val="24"/>
          <w:highlight w:val="none"/>
        </w:rPr>
        <w:t>不得作为竞争性费用，投标报价必须按本招标工程量清单规定的金额填报。</w:t>
      </w:r>
    </w:p>
    <w:p w14:paraId="13773908">
      <w:pPr>
        <w:keepNext w:val="0"/>
        <w:keepLines w:val="0"/>
        <w:pageBreakBefore w:val="0"/>
        <w:wordWrap w:val="0"/>
        <w:overflowPunct/>
        <w:topLinePunct w:val="0"/>
        <w:bidi w:val="0"/>
        <w:spacing w:before="118" w:line="265" w:lineRule="auto"/>
        <w:ind w:left="7" w:right="4" w:firstLine="483"/>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（4）投标报价使用的表格格式须按照《</w:t>
      </w:r>
      <w:r>
        <w:rPr>
          <w:rFonts w:hint="eastAsia" w:ascii="宋体" w:hAnsi="宋体" w:eastAsia="宋体" w:cs="宋体"/>
          <w:color w:val="auto"/>
          <w:spacing w:val="0"/>
          <w:sz w:val="24"/>
          <w:szCs w:val="24"/>
          <w:highlight w:val="none"/>
          <w:lang w:eastAsia="zh-CN"/>
        </w:rPr>
        <w:t>建设工程工程量清单计价标准</w:t>
      </w:r>
      <w:r>
        <w:rPr>
          <w:rFonts w:hint="eastAsia" w:ascii="宋体" w:hAnsi="宋体" w:eastAsia="宋体" w:cs="宋体"/>
          <w:color w:val="auto"/>
          <w:spacing w:val="0"/>
          <w:sz w:val="24"/>
          <w:szCs w:val="24"/>
          <w:highlight w:val="none"/>
        </w:rPr>
        <w:t>》（</w:t>
      </w:r>
      <w:r>
        <w:rPr>
          <w:rFonts w:hint="eastAsia" w:ascii="宋体" w:hAnsi="宋体" w:eastAsia="宋体" w:cs="宋体"/>
          <w:color w:val="auto"/>
          <w:spacing w:val="0"/>
          <w:sz w:val="24"/>
          <w:szCs w:val="24"/>
          <w:highlight w:val="none"/>
          <w:lang w:eastAsia="zh-CN"/>
        </w:rPr>
        <w:t>GB/T50500-2024</w:t>
      </w:r>
      <w:r>
        <w:rPr>
          <w:rFonts w:hint="eastAsia" w:ascii="宋体" w:hAnsi="宋体" w:eastAsia="宋体" w:cs="宋体"/>
          <w:color w:val="auto"/>
          <w:spacing w:val="0"/>
          <w:sz w:val="24"/>
          <w:szCs w:val="24"/>
          <w:highlight w:val="none"/>
        </w:rPr>
        <w:t>）。</w:t>
      </w:r>
    </w:p>
    <w:p w14:paraId="5F3FC0BC">
      <w:pPr>
        <w:keepNext w:val="0"/>
        <w:keepLines w:val="0"/>
        <w:pageBreakBefore w:val="0"/>
        <w:wordWrap w:val="0"/>
        <w:overflowPunct/>
        <w:topLinePunct w:val="0"/>
        <w:bidi w:val="0"/>
        <w:spacing w:before="107" w:line="286" w:lineRule="auto"/>
        <w:ind w:right="4" w:firstLine="492"/>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广东省建设工程计价依据（2018）》。具体包括：《广东省房屋建筑与装饰工程综合定额（2018）》《广东省市政工程综合定额（2018）》《广东省通用安装工程综合定额（2018）》《广东省园林绿化工程综合定额（2018）》《广东省建设工程施工机具台班费用编制规则（2018）》等；</w:t>
      </w:r>
    </w:p>
    <w:p w14:paraId="613E5FBB">
      <w:pPr>
        <w:keepNext w:val="0"/>
        <w:keepLines w:val="0"/>
        <w:pageBreakBefore w:val="0"/>
        <w:wordWrap w:val="0"/>
        <w:overflowPunct/>
        <w:topLinePunct w:val="0"/>
        <w:bidi w:val="0"/>
        <w:spacing w:before="146" w:line="221" w:lineRule="auto"/>
        <w:ind w:left="493"/>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（6）施工图及相关资料；</w:t>
      </w:r>
    </w:p>
    <w:p w14:paraId="07C2DAEB">
      <w:pPr>
        <w:keepNext w:val="0"/>
        <w:keepLines w:val="0"/>
        <w:pageBreakBefore w:val="0"/>
        <w:wordWrap w:val="0"/>
        <w:overflowPunct/>
        <w:topLinePunct w:val="0"/>
        <w:bidi w:val="0"/>
        <w:spacing w:before="153" w:line="220" w:lineRule="auto"/>
        <w:ind w:left="493"/>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（7）招标文件；</w:t>
      </w:r>
    </w:p>
    <w:p w14:paraId="6D808840">
      <w:pPr>
        <w:keepNext w:val="0"/>
        <w:keepLines w:val="0"/>
        <w:pageBreakBefore w:val="0"/>
        <w:wordWrap w:val="0"/>
        <w:overflowPunct/>
        <w:topLinePunct w:val="0"/>
        <w:bidi w:val="0"/>
        <w:spacing w:before="155" w:line="220" w:lineRule="auto"/>
        <w:ind w:left="493"/>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（8）施工现场情况、地勘水文资料、工程特点及常规施工方案；</w:t>
      </w:r>
    </w:p>
    <w:p w14:paraId="274987A1">
      <w:pPr>
        <w:keepNext w:val="0"/>
        <w:keepLines w:val="0"/>
        <w:pageBreakBefore w:val="0"/>
        <w:wordWrap w:val="0"/>
        <w:overflowPunct/>
        <w:topLinePunct w:val="0"/>
        <w:bidi w:val="0"/>
        <w:spacing w:before="153" w:line="219" w:lineRule="auto"/>
        <w:ind w:left="493"/>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（9）与建设工程有关的标准、规范、技术资料、材料设备信息价或市场价格等。</w:t>
      </w:r>
    </w:p>
    <w:p w14:paraId="07498C1B">
      <w:pPr>
        <w:pStyle w:val="27"/>
        <w:rPr>
          <w:rFonts w:hint="eastAsia"/>
          <w:color w:val="auto"/>
          <w:highlight w:val="none"/>
        </w:rPr>
      </w:pPr>
    </w:p>
    <w:p w14:paraId="27A35531">
      <w:pPr>
        <w:keepNext w:val="0"/>
        <w:keepLines w:val="0"/>
        <w:pageBreakBefore w:val="0"/>
        <w:wordWrap w:val="0"/>
        <w:overflowPunct/>
        <w:topLinePunct w:val="0"/>
        <w:bidi w:val="0"/>
        <w:spacing w:line="219" w:lineRule="auto"/>
        <w:rPr>
          <w:rFonts w:hint="eastAsia" w:ascii="宋体" w:hAnsi="宋体" w:eastAsia="宋体" w:cs="宋体"/>
          <w:color w:val="auto"/>
          <w:spacing w:val="0"/>
          <w:sz w:val="24"/>
          <w:szCs w:val="24"/>
          <w:highlight w:val="none"/>
        </w:rPr>
        <w:sectPr>
          <w:footerReference r:id="rId13"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7662ADF2">
      <w:pPr>
        <w:pStyle w:val="6"/>
        <w:keepNext w:val="0"/>
        <w:keepLines w:val="0"/>
        <w:pageBreakBefore w:val="0"/>
        <w:wordWrap w:val="0"/>
        <w:overflowPunct/>
        <w:topLinePunct w:val="0"/>
        <w:bidi w:val="0"/>
        <w:spacing w:line="304" w:lineRule="auto"/>
        <w:rPr>
          <w:rFonts w:hint="eastAsia" w:ascii="宋体" w:hAnsi="宋体" w:eastAsia="宋体" w:cs="宋体"/>
          <w:color w:val="auto"/>
          <w:spacing w:val="0"/>
          <w:highlight w:val="none"/>
        </w:rPr>
      </w:pPr>
    </w:p>
    <w:p w14:paraId="34C8765D">
      <w:pPr>
        <w:keepNext w:val="0"/>
        <w:keepLines w:val="0"/>
        <w:pageBreakBefore w:val="0"/>
        <w:wordWrap w:val="0"/>
        <w:overflowPunct/>
        <w:topLinePunct w:val="0"/>
        <w:bidi w:val="0"/>
        <w:spacing w:before="78" w:line="219" w:lineRule="auto"/>
        <w:ind w:left="3357"/>
        <w:outlineLvl w:val="0"/>
        <w:rPr>
          <w:rFonts w:hint="eastAsia" w:ascii="宋体" w:hAnsi="宋体" w:eastAsia="宋体" w:cs="宋体"/>
          <w:color w:val="auto"/>
          <w:spacing w:val="0"/>
          <w:sz w:val="24"/>
          <w:szCs w:val="24"/>
          <w:highlight w:val="none"/>
        </w:rPr>
      </w:pPr>
      <w:bookmarkStart w:id="205" w:name="_Toc5775"/>
      <w:r>
        <w:rPr>
          <w:rFonts w:hint="eastAsia" w:ascii="宋体" w:hAnsi="宋体" w:eastAsia="宋体" w:cs="宋体"/>
          <w:b/>
          <w:bCs/>
          <w:color w:val="auto"/>
          <w:spacing w:val="0"/>
          <w:sz w:val="24"/>
          <w:szCs w:val="24"/>
          <w:highlight w:val="none"/>
        </w:rPr>
        <w:t>第六章</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rPr>
        <w:t>投标文件格式</w:t>
      </w:r>
      <w:bookmarkEnd w:id="205"/>
    </w:p>
    <w:p w14:paraId="40B2E285">
      <w:pPr>
        <w:pStyle w:val="6"/>
        <w:keepNext w:val="0"/>
        <w:keepLines w:val="0"/>
        <w:pageBreakBefore w:val="0"/>
        <w:wordWrap w:val="0"/>
        <w:overflowPunct/>
        <w:topLinePunct w:val="0"/>
        <w:bidi w:val="0"/>
        <w:spacing w:line="302" w:lineRule="auto"/>
        <w:jc w:val="right"/>
        <w:rPr>
          <w:rFonts w:hint="eastAsia" w:ascii="宋体" w:hAnsi="宋体" w:eastAsia="宋体" w:cs="宋体"/>
          <w:color w:val="auto"/>
          <w:spacing w:val="0"/>
          <w:highlight w:val="none"/>
        </w:rPr>
      </w:pPr>
    </w:p>
    <w:p w14:paraId="67F86ACD">
      <w:pPr>
        <w:keepNext w:val="0"/>
        <w:keepLines w:val="0"/>
        <w:pageBreakBefore w:val="0"/>
        <w:wordWrap w:val="0"/>
        <w:overflowPunct/>
        <w:topLinePunct w:val="0"/>
        <w:bidi w:val="0"/>
        <w:spacing w:before="78" w:line="220" w:lineRule="auto"/>
        <w:outlineLvl w:val="2"/>
        <w:rPr>
          <w:rFonts w:hint="eastAsia" w:ascii="宋体" w:hAnsi="宋体" w:eastAsia="宋体" w:cs="宋体"/>
          <w:color w:val="auto"/>
          <w:spacing w:val="0"/>
          <w:sz w:val="24"/>
          <w:szCs w:val="24"/>
          <w:highlight w:val="none"/>
        </w:rPr>
      </w:pPr>
      <w:bookmarkStart w:id="206" w:name="_Toc21804"/>
      <w:r>
        <w:rPr>
          <w:rFonts w:hint="eastAsia" w:ascii="宋体" w:hAnsi="宋体" w:eastAsia="宋体" w:cs="宋体"/>
          <w:b/>
          <w:bCs/>
          <w:color w:val="auto"/>
          <w:spacing w:val="0"/>
          <w:sz w:val="24"/>
          <w:szCs w:val="24"/>
          <w:highlight w:val="none"/>
        </w:rPr>
        <w:t>格式一</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rPr>
        <w:t>封面</w:t>
      </w:r>
      <w:bookmarkEnd w:id="206"/>
    </w:p>
    <w:p w14:paraId="3B70F76A">
      <w:pPr>
        <w:pStyle w:val="6"/>
        <w:keepNext w:val="0"/>
        <w:keepLines w:val="0"/>
        <w:pageBreakBefore w:val="0"/>
        <w:wordWrap w:val="0"/>
        <w:overflowPunct/>
        <w:topLinePunct w:val="0"/>
        <w:bidi w:val="0"/>
        <w:spacing w:line="258" w:lineRule="auto"/>
        <w:rPr>
          <w:rFonts w:hint="eastAsia" w:ascii="宋体" w:hAnsi="宋体" w:eastAsia="宋体" w:cs="宋体"/>
          <w:color w:val="auto"/>
          <w:spacing w:val="0"/>
          <w:highlight w:val="none"/>
        </w:rPr>
      </w:pPr>
    </w:p>
    <w:p w14:paraId="5201AB38">
      <w:pPr>
        <w:pStyle w:val="6"/>
        <w:keepNext w:val="0"/>
        <w:keepLines w:val="0"/>
        <w:pageBreakBefore w:val="0"/>
        <w:wordWrap w:val="0"/>
        <w:overflowPunct/>
        <w:topLinePunct w:val="0"/>
        <w:bidi w:val="0"/>
        <w:spacing w:line="259" w:lineRule="auto"/>
        <w:rPr>
          <w:rFonts w:hint="eastAsia" w:ascii="宋体" w:hAnsi="宋体" w:eastAsia="宋体" w:cs="宋体"/>
          <w:color w:val="auto"/>
          <w:spacing w:val="0"/>
          <w:highlight w:val="none"/>
        </w:rPr>
      </w:pPr>
    </w:p>
    <w:p w14:paraId="37847966">
      <w:pPr>
        <w:pStyle w:val="6"/>
        <w:keepNext w:val="0"/>
        <w:keepLines w:val="0"/>
        <w:pageBreakBefore w:val="0"/>
        <w:wordWrap w:val="0"/>
        <w:overflowPunct/>
        <w:topLinePunct w:val="0"/>
        <w:bidi w:val="0"/>
        <w:spacing w:line="259" w:lineRule="auto"/>
        <w:rPr>
          <w:rFonts w:hint="eastAsia" w:ascii="宋体" w:hAnsi="宋体" w:eastAsia="宋体" w:cs="宋体"/>
          <w:color w:val="auto"/>
          <w:spacing w:val="0"/>
          <w:highlight w:val="none"/>
        </w:rPr>
      </w:pPr>
    </w:p>
    <w:p w14:paraId="03836C3E">
      <w:pPr>
        <w:keepNext w:val="0"/>
        <w:keepLines w:val="0"/>
        <w:pageBreakBefore w:val="0"/>
        <w:wordWrap w:val="0"/>
        <w:overflowPunct/>
        <w:topLinePunct w:val="0"/>
        <w:bidi w:val="0"/>
        <w:spacing w:before="153" w:line="225" w:lineRule="auto"/>
        <w:ind w:left="-1" w:leftChars="0" w:firstLine="0" w:firstLineChars="0"/>
        <w:jc w:val="center"/>
        <w:rPr>
          <w:rFonts w:hint="eastAsia" w:ascii="宋体" w:hAnsi="宋体" w:eastAsia="宋体" w:cs="宋体"/>
          <w:color w:val="auto"/>
          <w:spacing w:val="0"/>
          <w:sz w:val="47"/>
          <w:szCs w:val="47"/>
          <w:highlight w:val="none"/>
        </w:rPr>
      </w:pPr>
      <w:r>
        <w:rPr>
          <w:rFonts w:hint="eastAsia" w:ascii="宋体" w:hAnsi="宋体" w:eastAsia="宋体" w:cs="宋体"/>
          <w:b/>
          <w:bCs/>
          <w:color w:val="auto"/>
          <w:spacing w:val="0"/>
          <w:sz w:val="47"/>
          <w:szCs w:val="47"/>
          <w:highlight w:val="none"/>
          <w:u w:val="single"/>
          <w:lang w:val="en-US" w:eastAsia="zh-CN"/>
        </w:rPr>
        <w:t xml:space="preserve">    </w:t>
      </w:r>
      <w:r>
        <w:rPr>
          <w:rFonts w:hint="eastAsia" w:ascii="宋体" w:hAnsi="宋体" w:eastAsia="宋体" w:cs="宋体"/>
          <w:b/>
          <w:bCs/>
          <w:color w:val="auto"/>
          <w:spacing w:val="0"/>
          <w:sz w:val="47"/>
          <w:szCs w:val="47"/>
          <w:highlight w:val="none"/>
          <w:u w:val="single"/>
        </w:rPr>
        <w:t>（项目名称）</w:t>
      </w:r>
      <w:r>
        <w:rPr>
          <w:rFonts w:hint="eastAsia" w:ascii="宋体" w:hAnsi="宋体" w:eastAsia="宋体" w:cs="宋体"/>
          <w:b/>
          <w:bCs/>
          <w:color w:val="auto"/>
          <w:spacing w:val="0"/>
          <w:sz w:val="47"/>
          <w:szCs w:val="47"/>
          <w:highlight w:val="none"/>
          <w:u w:val="none"/>
          <w:lang w:val="en-US" w:eastAsia="zh-CN"/>
        </w:rPr>
        <w:t>施工</w:t>
      </w:r>
      <w:r>
        <w:rPr>
          <w:rFonts w:hint="eastAsia" w:ascii="宋体" w:hAnsi="宋体" w:eastAsia="宋体" w:cs="宋体"/>
          <w:b/>
          <w:bCs/>
          <w:color w:val="auto"/>
          <w:spacing w:val="0"/>
          <w:sz w:val="47"/>
          <w:szCs w:val="47"/>
          <w:highlight w:val="none"/>
        </w:rPr>
        <w:t>招标</w:t>
      </w:r>
    </w:p>
    <w:p w14:paraId="2567F91B">
      <w:pPr>
        <w:pStyle w:val="6"/>
        <w:keepNext w:val="0"/>
        <w:keepLines w:val="0"/>
        <w:pageBreakBefore w:val="0"/>
        <w:wordWrap w:val="0"/>
        <w:overflowPunct/>
        <w:topLinePunct w:val="0"/>
        <w:bidi w:val="0"/>
        <w:spacing w:line="247" w:lineRule="auto"/>
        <w:rPr>
          <w:rFonts w:hint="eastAsia" w:ascii="宋体" w:hAnsi="宋体" w:eastAsia="宋体" w:cs="宋体"/>
          <w:color w:val="auto"/>
          <w:spacing w:val="0"/>
          <w:highlight w:val="none"/>
        </w:rPr>
      </w:pPr>
    </w:p>
    <w:p w14:paraId="14129D54">
      <w:pPr>
        <w:pStyle w:val="6"/>
        <w:keepNext w:val="0"/>
        <w:keepLines w:val="0"/>
        <w:pageBreakBefore w:val="0"/>
        <w:wordWrap w:val="0"/>
        <w:overflowPunct/>
        <w:topLinePunct w:val="0"/>
        <w:bidi w:val="0"/>
        <w:spacing w:line="247" w:lineRule="auto"/>
        <w:rPr>
          <w:rFonts w:hint="eastAsia" w:ascii="宋体" w:hAnsi="宋体" w:eastAsia="宋体" w:cs="宋体"/>
          <w:color w:val="auto"/>
          <w:spacing w:val="0"/>
          <w:highlight w:val="none"/>
        </w:rPr>
      </w:pPr>
    </w:p>
    <w:p w14:paraId="4680F031">
      <w:pPr>
        <w:pStyle w:val="6"/>
        <w:keepNext w:val="0"/>
        <w:keepLines w:val="0"/>
        <w:pageBreakBefore w:val="0"/>
        <w:wordWrap w:val="0"/>
        <w:overflowPunct/>
        <w:topLinePunct w:val="0"/>
        <w:bidi w:val="0"/>
        <w:spacing w:line="247" w:lineRule="auto"/>
        <w:rPr>
          <w:rFonts w:hint="eastAsia" w:ascii="宋体" w:hAnsi="宋体" w:eastAsia="宋体" w:cs="宋体"/>
          <w:color w:val="auto"/>
          <w:spacing w:val="0"/>
          <w:highlight w:val="none"/>
        </w:rPr>
      </w:pPr>
    </w:p>
    <w:p w14:paraId="2E0D08D5">
      <w:pPr>
        <w:pStyle w:val="6"/>
        <w:keepNext w:val="0"/>
        <w:keepLines w:val="0"/>
        <w:pageBreakBefore w:val="0"/>
        <w:wordWrap w:val="0"/>
        <w:overflowPunct/>
        <w:topLinePunct w:val="0"/>
        <w:bidi w:val="0"/>
        <w:spacing w:line="247" w:lineRule="auto"/>
        <w:rPr>
          <w:rFonts w:hint="eastAsia" w:ascii="宋体" w:hAnsi="宋体" w:eastAsia="宋体" w:cs="宋体"/>
          <w:color w:val="auto"/>
          <w:spacing w:val="0"/>
          <w:highlight w:val="none"/>
        </w:rPr>
      </w:pPr>
    </w:p>
    <w:p w14:paraId="47F8746B">
      <w:pPr>
        <w:pStyle w:val="6"/>
        <w:keepNext w:val="0"/>
        <w:keepLines w:val="0"/>
        <w:pageBreakBefore w:val="0"/>
        <w:wordWrap w:val="0"/>
        <w:overflowPunct/>
        <w:topLinePunct w:val="0"/>
        <w:bidi w:val="0"/>
        <w:spacing w:line="248" w:lineRule="auto"/>
        <w:rPr>
          <w:rFonts w:hint="eastAsia" w:ascii="宋体" w:hAnsi="宋体" w:eastAsia="宋体" w:cs="宋体"/>
          <w:color w:val="auto"/>
          <w:spacing w:val="0"/>
          <w:highlight w:val="none"/>
        </w:rPr>
      </w:pPr>
    </w:p>
    <w:p w14:paraId="746BE770">
      <w:pPr>
        <w:keepNext w:val="0"/>
        <w:keepLines w:val="0"/>
        <w:pageBreakBefore w:val="0"/>
        <w:wordWrap w:val="0"/>
        <w:overflowPunct/>
        <w:topLinePunct w:val="0"/>
        <w:bidi w:val="0"/>
        <w:spacing w:before="231" w:line="223" w:lineRule="auto"/>
        <w:jc w:val="center"/>
        <w:rPr>
          <w:rFonts w:hint="eastAsia" w:ascii="宋体" w:hAnsi="宋体" w:eastAsia="宋体" w:cs="宋体"/>
          <w:color w:val="auto"/>
          <w:spacing w:val="0"/>
          <w:sz w:val="71"/>
          <w:szCs w:val="71"/>
          <w:highlight w:val="none"/>
        </w:rPr>
      </w:pPr>
      <w:r>
        <w:rPr>
          <w:rFonts w:hint="eastAsia" w:ascii="宋体" w:hAnsi="宋体" w:eastAsia="宋体" w:cs="宋体"/>
          <w:b/>
          <w:bCs/>
          <w:color w:val="auto"/>
          <w:spacing w:val="0"/>
          <w:sz w:val="71"/>
          <w:szCs w:val="71"/>
          <w:highlight w:val="none"/>
        </w:rPr>
        <w:t>投</w:t>
      </w:r>
      <w:r>
        <w:rPr>
          <w:rFonts w:hint="eastAsia" w:ascii="宋体" w:hAnsi="宋体" w:eastAsia="宋体" w:cs="宋体"/>
          <w:color w:val="auto"/>
          <w:spacing w:val="0"/>
          <w:sz w:val="71"/>
          <w:szCs w:val="71"/>
          <w:highlight w:val="none"/>
        </w:rPr>
        <w:t xml:space="preserve">  </w:t>
      </w:r>
      <w:r>
        <w:rPr>
          <w:rFonts w:hint="eastAsia" w:ascii="宋体" w:hAnsi="宋体" w:eastAsia="宋体" w:cs="宋体"/>
          <w:b/>
          <w:bCs/>
          <w:color w:val="auto"/>
          <w:spacing w:val="0"/>
          <w:sz w:val="71"/>
          <w:szCs w:val="71"/>
          <w:highlight w:val="none"/>
        </w:rPr>
        <w:t>标</w:t>
      </w:r>
      <w:r>
        <w:rPr>
          <w:rFonts w:hint="eastAsia" w:ascii="宋体" w:hAnsi="宋体" w:eastAsia="宋体" w:cs="宋体"/>
          <w:color w:val="auto"/>
          <w:spacing w:val="0"/>
          <w:sz w:val="71"/>
          <w:szCs w:val="71"/>
          <w:highlight w:val="none"/>
        </w:rPr>
        <w:t xml:space="preserve">  </w:t>
      </w:r>
      <w:r>
        <w:rPr>
          <w:rFonts w:hint="eastAsia" w:ascii="宋体" w:hAnsi="宋体" w:eastAsia="宋体" w:cs="宋体"/>
          <w:b/>
          <w:bCs/>
          <w:color w:val="auto"/>
          <w:spacing w:val="0"/>
          <w:sz w:val="71"/>
          <w:szCs w:val="71"/>
          <w:highlight w:val="none"/>
        </w:rPr>
        <w:t>文</w:t>
      </w:r>
      <w:r>
        <w:rPr>
          <w:rFonts w:hint="eastAsia" w:ascii="宋体" w:hAnsi="宋体" w:eastAsia="宋体" w:cs="宋体"/>
          <w:color w:val="auto"/>
          <w:spacing w:val="0"/>
          <w:sz w:val="71"/>
          <w:szCs w:val="71"/>
          <w:highlight w:val="none"/>
        </w:rPr>
        <w:t xml:space="preserve">  </w:t>
      </w:r>
      <w:r>
        <w:rPr>
          <w:rFonts w:hint="eastAsia" w:ascii="宋体" w:hAnsi="宋体" w:eastAsia="宋体" w:cs="宋体"/>
          <w:b/>
          <w:bCs/>
          <w:color w:val="auto"/>
          <w:spacing w:val="0"/>
          <w:sz w:val="71"/>
          <w:szCs w:val="71"/>
          <w:highlight w:val="none"/>
        </w:rPr>
        <w:t>件</w:t>
      </w:r>
    </w:p>
    <w:p w14:paraId="25F5F186">
      <w:pPr>
        <w:pStyle w:val="6"/>
        <w:keepNext w:val="0"/>
        <w:keepLines w:val="0"/>
        <w:pageBreakBefore w:val="0"/>
        <w:wordWrap w:val="0"/>
        <w:overflowPunct/>
        <w:topLinePunct w:val="0"/>
        <w:bidi w:val="0"/>
        <w:spacing w:line="293" w:lineRule="auto"/>
        <w:rPr>
          <w:rFonts w:hint="eastAsia" w:ascii="宋体" w:hAnsi="宋体" w:eastAsia="宋体" w:cs="宋体"/>
          <w:color w:val="auto"/>
          <w:spacing w:val="0"/>
          <w:highlight w:val="none"/>
        </w:rPr>
      </w:pPr>
    </w:p>
    <w:p w14:paraId="16CBAF2B">
      <w:pPr>
        <w:pStyle w:val="6"/>
        <w:keepNext w:val="0"/>
        <w:keepLines w:val="0"/>
        <w:pageBreakBefore w:val="0"/>
        <w:wordWrap w:val="0"/>
        <w:overflowPunct/>
        <w:topLinePunct w:val="0"/>
        <w:bidi w:val="0"/>
        <w:spacing w:line="293" w:lineRule="auto"/>
        <w:rPr>
          <w:rFonts w:hint="eastAsia" w:ascii="宋体" w:hAnsi="宋体" w:eastAsia="宋体" w:cs="宋体"/>
          <w:color w:val="auto"/>
          <w:spacing w:val="0"/>
          <w:highlight w:val="none"/>
        </w:rPr>
      </w:pPr>
    </w:p>
    <w:p w14:paraId="77F93E8C">
      <w:pPr>
        <w:keepNext w:val="0"/>
        <w:keepLines w:val="0"/>
        <w:pageBreakBefore w:val="0"/>
        <w:wordWrap w:val="0"/>
        <w:overflowPunct/>
        <w:topLinePunct w:val="0"/>
        <w:bidi w:val="0"/>
        <w:spacing w:before="152" w:line="223" w:lineRule="auto"/>
        <w:jc w:val="center"/>
        <w:rPr>
          <w:rFonts w:hint="eastAsia" w:ascii="宋体" w:hAnsi="宋体" w:eastAsia="宋体" w:cs="宋体"/>
          <w:b/>
          <w:bCs/>
          <w:color w:val="auto"/>
          <w:spacing w:val="0"/>
          <w:sz w:val="47"/>
          <w:szCs w:val="47"/>
          <w:highlight w:val="none"/>
        </w:rPr>
      </w:pPr>
      <w:bookmarkStart w:id="207" w:name="bookmark105"/>
      <w:bookmarkEnd w:id="207"/>
      <w:r>
        <w:rPr>
          <w:rFonts w:hint="eastAsia" w:ascii="宋体" w:hAnsi="宋体" w:eastAsia="宋体" w:cs="宋体"/>
          <w:b/>
          <w:bCs/>
          <w:color w:val="auto"/>
          <w:spacing w:val="0"/>
          <w:sz w:val="47"/>
          <w:szCs w:val="47"/>
          <w:highlight w:val="none"/>
        </w:rPr>
        <w:t>（商务标书／经济标书／施工组织设计）</w:t>
      </w:r>
    </w:p>
    <w:p w14:paraId="3D6B3724">
      <w:pPr>
        <w:keepNext w:val="0"/>
        <w:keepLines w:val="0"/>
        <w:pageBreakBefore w:val="0"/>
        <w:wordWrap w:val="0"/>
        <w:overflowPunct/>
        <w:topLinePunct w:val="0"/>
        <w:bidi w:val="0"/>
        <w:rPr>
          <w:rFonts w:hint="eastAsia"/>
          <w:color w:val="auto"/>
          <w:spacing w:val="0"/>
          <w:highlight w:val="none"/>
        </w:rPr>
      </w:pPr>
    </w:p>
    <w:p w14:paraId="4E1B3033">
      <w:pPr>
        <w:keepNext w:val="0"/>
        <w:keepLines w:val="0"/>
        <w:pageBreakBefore w:val="0"/>
        <w:wordWrap w:val="0"/>
        <w:overflowPunct/>
        <w:topLinePunct w:val="0"/>
        <w:bidi w:val="0"/>
        <w:rPr>
          <w:rFonts w:hint="eastAsia"/>
          <w:color w:val="auto"/>
          <w:spacing w:val="0"/>
          <w:highlight w:val="none"/>
        </w:rPr>
      </w:pPr>
    </w:p>
    <w:p w14:paraId="7A2B5630">
      <w:pPr>
        <w:keepNext w:val="0"/>
        <w:keepLines w:val="0"/>
        <w:pageBreakBefore w:val="0"/>
        <w:wordWrap w:val="0"/>
        <w:overflowPunct/>
        <w:topLinePunct w:val="0"/>
        <w:bidi w:val="0"/>
        <w:rPr>
          <w:rFonts w:hint="eastAsia"/>
          <w:color w:val="auto"/>
          <w:spacing w:val="0"/>
          <w:highlight w:val="none"/>
        </w:rPr>
      </w:pPr>
    </w:p>
    <w:p w14:paraId="23A2D1BB">
      <w:pPr>
        <w:keepNext w:val="0"/>
        <w:keepLines w:val="0"/>
        <w:pageBreakBefore w:val="0"/>
        <w:wordWrap w:val="0"/>
        <w:overflowPunct/>
        <w:topLinePunct w:val="0"/>
        <w:bidi w:val="0"/>
        <w:rPr>
          <w:rFonts w:hint="eastAsia"/>
          <w:color w:val="auto"/>
          <w:spacing w:val="0"/>
          <w:highlight w:val="none"/>
        </w:rPr>
      </w:pPr>
    </w:p>
    <w:p w14:paraId="3510C2B5">
      <w:pPr>
        <w:keepNext w:val="0"/>
        <w:keepLines w:val="0"/>
        <w:pageBreakBefore w:val="0"/>
        <w:wordWrap w:val="0"/>
        <w:overflowPunct/>
        <w:topLinePunct w:val="0"/>
        <w:bidi w:val="0"/>
        <w:rPr>
          <w:rFonts w:hint="eastAsia"/>
          <w:color w:val="auto"/>
          <w:spacing w:val="0"/>
          <w:highlight w:val="none"/>
        </w:rPr>
      </w:pPr>
    </w:p>
    <w:p w14:paraId="211406D0">
      <w:pPr>
        <w:keepNext w:val="0"/>
        <w:keepLines w:val="0"/>
        <w:pageBreakBefore w:val="0"/>
        <w:wordWrap w:val="0"/>
        <w:overflowPunct/>
        <w:topLinePunct w:val="0"/>
        <w:bidi w:val="0"/>
        <w:rPr>
          <w:rFonts w:hint="eastAsia"/>
          <w:color w:val="auto"/>
          <w:spacing w:val="0"/>
          <w:highlight w:val="none"/>
        </w:rPr>
      </w:pPr>
    </w:p>
    <w:p w14:paraId="224D0235">
      <w:pPr>
        <w:keepNext w:val="0"/>
        <w:keepLines w:val="0"/>
        <w:pageBreakBefore w:val="0"/>
        <w:wordWrap w:val="0"/>
        <w:overflowPunct/>
        <w:topLinePunct w:val="0"/>
        <w:bidi w:val="0"/>
        <w:rPr>
          <w:rFonts w:hint="eastAsia"/>
          <w:color w:val="auto"/>
          <w:spacing w:val="0"/>
          <w:highlight w:val="none"/>
        </w:rPr>
      </w:pPr>
    </w:p>
    <w:p w14:paraId="5564626D">
      <w:pPr>
        <w:keepNext w:val="0"/>
        <w:keepLines w:val="0"/>
        <w:pageBreakBefore w:val="0"/>
        <w:wordWrap w:val="0"/>
        <w:overflowPunct/>
        <w:topLinePunct w:val="0"/>
        <w:bidi w:val="0"/>
        <w:rPr>
          <w:rFonts w:hint="eastAsia"/>
          <w:color w:val="auto"/>
          <w:spacing w:val="0"/>
          <w:highlight w:val="none"/>
        </w:rPr>
      </w:pPr>
    </w:p>
    <w:p w14:paraId="0AEFB12F">
      <w:pPr>
        <w:pStyle w:val="50"/>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Cs/>
          <w:snapToGrid w:val="0"/>
          <w:color w:val="auto"/>
          <w:spacing w:val="0"/>
          <w:sz w:val="32"/>
          <w:highlight w:val="none"/>
        </w:rPr>
      </w:pPr>
      <w:r>
        <w:rPr>
          <w:rFonts w:hint="eastAsia" w:ascii="宋体" w:hAnsi="宋体" w:eastAsia="宋体" w:cs="宋体"/>
          <w:bCs/>
          <w:snapToGrid w:val="0"/>
          <w:color w:val="auto"/>
          <w:spacing w:val="0"/>
          <w:sz w:val="32"/>
          <w:highlight w:val="none"/>
        </w:rPr>
        <w:t>投标人：</w:t>
      </w:r>
      <w:r>
        <w:rPr>
          <w:rFonts w:hint="eastAsia" w:ascii="宋体" w:hAnsi="宋体" w:eastAsia="宋体" w:cs="宋体"/>
          <w:bCs/>
          <w:snapToGrid w:val="0"/>
          <w:color w:val="auto"/>
          <w:spacing w:val="0"/>
          <w:sz w:val="32"/>
          <w:highlight w:val="none"/>
          <w:u w:val="single"/>
        </w:rPr>
        <w:t xml:space="preserve">                                    </w:t>
      </w:r>
      <w:r>
        <w:rPr>
          <w:rFonts w:hint="eastAsia" w:ascii="宋体" w:hAnsi="宋体" w:eastAsia="宋体" w:cs="宋体"/>
          <w:bCs/>
          <w:snapToGrid w:val="0"/>
          <w:color w:val="auto"/>
          <w:spacing w:val="0"/>
          <w:sz w:val="32"/>
          <w:highlight w:val="none"/>
        </w:rPr>
        <w:t>（盖单位章）</w:t>
      </w:r>
    </w:p>
    <w:p w14:paraId="692DF9F8">
      <w:pPr>
        <w:pStyle w:val="50"/>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Cs/>
          <w:snapToGrid w:val="0"/>
          <w:color w:val="auto"/>
          <w:spacing w:val="0"/>
          <w:sz w:val="32"/>
          <w:highlight w:val="none"/>
        </w:rPr>
      </w:pPr>
    </w:p>
    <w:p w14:paraId="4B3E4268">
      <w:pPr>
        <w:pStyle w:val="50"/>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Cs/>
          <w:snapToGrid w:val="0"/>
          <w:color w:val="auto"/>
          <w:spacing w:val="0"/>
          <w:sz w:val="32"/>
          <w:highlight w:val="none"/>
        </w:rPr>
      </w:pPr>
    </w:p>
    <w:p w14:paraId="69E2147F">
      <w:pPr>
        <w:pStyle w:val="50"/>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Cs/>
          <w:snapToGrid w:val="0"/>
          <w:color w:val="auto"/>
          <w:spacing w:val="0"/>
          <w:sz w:val="32"/>
          <w:highlight w:val="none"/>
        </w:rPr>
      </w:pPr>
      <w:r>
        <w:rPr>
          <w:rFonts w:hint="eastAsia" w:ascii="宋体" w:hAnsi="宋体" w:eastAsia="宋体" w:cs="宋体"/>
          <w:bCs/>
          <w:snapToGrid w:val="0"/>
          <w:color w:val="auto"/>
          <w:spacing w:val="0"/>
          <w:sz w:val="32"/>
          <w:highlight w:val="none"/>
        </w:rPr>
        <w:t>法定代表人或其委托代理人：</w:t>
      </w:r>
      <w:r>
        <w:rPr>
          <w:rFonts w:hint="eastAsia" w:ascii="宋体" w:hAnsi="宋体" w:eastAsia="宋体" w:cs="宋体"/>
          <w:bCs/>
          <w:snapToGrid w:val="0"/>
          <w:color w:val="auto"/>
          <w:spacing w:val="0"/>
          <w:sz w:val="32"/>
          <w:highlight w:val="none"/>
          <w:u w:val="single"/>
        </w:rPr>
        <w:t xml:space="preserve">                 </w:t>
      </w:r>
      <w:r>
        <w:rPr>
          <w:rFonts w:hint="eastAsia" w:ascii="宋体" w:hAnsi="宋体" w:eastAsia="宋体" w:cs="宋体"/>
          <w:bCs/>
          <w:snapToGrid w:val="0"/>
          <w:color w:val="auto"/>
          <w:spacing w:val="0"/>
          <w:sz w:val="32"/>
          <w:highlight w:val="none"/>
        </w:rPr>
        <w:t>（签字或盖章）</w:t>
      </w:r>
    </w:p>
    <w:p w14:paraId="155924EF">
      <w:pPr>
        <w:pStyle w:val="50"/>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Cs/>
          <w:snapToGrid w:val="0"/>
          <w:color w:val="auto"/>
          <w:spacing w:val="0"/>
          <w:sz w:val="32"/>
          <w:highlight w:val="none"/>
        </w:rPr>
      </w:pPr>
    </w:p>
    <w:p w14:paraId="085F53E6">
      <w:pPr>
        <w:pStyle w:val="50"/>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Cs/>
          <w:snapToGrid w:val="0"/>
          <w:color w:val="auto"/>
          <w:spacing w:val="0"/>
          <w:sz w:val="32"/>
          <w:highlight w:val="none"/>
          <w:u w:val="single"/>
        </w:rPr>
      </w:pPr>
    </w:p>
    <w:p w14:paraId="78B807DC">
      <w:pPr>
        <w:pStyle w:val="50"/>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
          <w:snapToGrid w:val="0"/>
          <w:color w:val="auto"/>
          <w:spacing w:val="0"/>
          <w:highlight w:val="none"/>
        </w:rPr>
      </w:pPr>
      <w:r>
        <w:rPr>
          <w:rFonts w:hint="eastAsia" w:ascii="宋体" w:hAnsi="宋体" w:eastAsia="宋体" w:cs="宋体"/>
          <w:bCs/>
          <w:snapToGrid w:val="0"/>
          <w:color w:val="auto"/>
          <w:spacing w:val="0"/>
          <w:sz w:val="32"/>
          <w:highlight w:val="none"/>
          <w:u w:val="single"/>
        </w:rPr>
        <w:t xml:space="preserve">         </w:t>
      </w:r>
      <w:r>
        <w:rPr>
          <w:rFonts w:hint="eastAsia" w:ascii="宋体" w:hAnsi="宋体" w:eastAsia="宋体" w:cs="宋体"/>
          <w:bCs/>
          <w:snapToGrid w:val="0"/>
          <w:color w:val="auto"/>
          <w:spacing w:val="0"/>
          <w:sz w:val="32"/>
          <w:highlight w:val="none"/>
        </w:rPr>
        <w:t>年</w:t>
      </w:r>
      <w:r>
        <w:rPr>
          <w:rFonts w:hint="eastAsia" w:ascii="宋体" w:hAnsi="宋体" w:eastAsia="宋体" w:cs="宋体"/>
          <w:bCs/>
          <w:snapToGrid w:val="0"/>
          <w:color w:val="auto"/>
          <w:spacing w:val="0"/>
          <w:sz w:val="32"/>
          <w:highlight w:val="none"/>
          <w:u w:val="single"/>
        </w:rPr>
        <w:t xml:space="preserve">      </w:t>
      </w:r>
      <w:r>
        <w:rPr>
          <w:rFonts w:hint="eastAsia" w:ascii="宋体" w:hAnsi="宋体" w:eastAsia="宋体" w:cs="宋体"/>
          <w:bCs/>
          <w:snapToGrid w:val="0"/>
          <w:color w:val="auto"/>
          <w:spacing w:val="0"/>
          <w:sz w:val="32"/>
          <w:highlight w:val="none"/>
        </w:rPr>
        <w:t>月</w:t>
      </w:r>
      <w:r>
        <w:rPr>
          <w:rFonts w:hint="eastAsia" w:ascii="宋体" w:hAnsi="宋体" w:eastAsia="宋体" w:cs="宋体"/>
          <w:bCs/>
          <w:snapToGrid w:val="0"/>
          <w:color w:val="auto"/>
          <w:spacing w:val="0"/>
          <w:sz w:val="32"/>
          <w:highlight w:val="none"/>
          <w:u w:val="single"/>
        </w:rPr>
        <w:t xml:space="preserve">      </w:t>
      </w:r>
      <w:r>
        <w:rPr>
          <w:rFonts w:hint="eastAsia" w:ascii="宋体" w:hAnsi="宋体" w:eastAsia="宋体" w:cs="宋体"/>
          <w:bCs/>
          <w:snapToGrid w:val="0"/>
          <w:color w:val="auto"/>
          <w:spacing w:val="0"/>
          <w:sz w:val="32"/>
          <w:highlight w:val="none"/>
        </w:rPr>
        <w:t>日</w:t>
      </w:r>
    </w:p>
    <w:p w14:paraId="3408138E">
      <w:pPr>
        <w:keepNext w:val="0"/>
        <w:keepLines w:val="0"/>
        <w:pageBreakBefore w:val="0"/>
        <w:wordWrap w:val="0"/>
        <w:overflowPunct/>
        <w:topLinePunct w:val="0"/>
        <w:bidi w:val="0"/>
        <w:rPr>
          <w:rFonts w:hint="eastAsia"/>
          <w:color w:val="auto"/>
          <w:spacing w:val="0"/>
          <w:highlight w:val="none"/>
        </w:rPr>
      </w:pPr>
    </w:p>
    <w:p w14:paraId="2F957C91">
      <w:pPr>
        <w:keepNext w:val="0"/>
        <w:keepLines w:val="0"/>
        <w:pageBreakBefore w:val="0"/>
        <w:wordWrap w:val="0"/>
        <w:overflowPunct/>
        <w:topLinePunct w:val="0"/>
        <w:bidi w:val="0"/>
        <w:outlineLvl w:val="9"/>
        <w:rPr>
          <w:rFonts w:hint="eastAsia"/>
          <w:color w:val="auto"/>
          <w:spacing w:val="0"/>
          <w:highlight w:val="none"/>
        </w:rPr>
      </w:pPr>
    </w:p>
    <w:p w14:paraId="04137B18">
      <w:pPr>
        <w:keepNext w:val="0"/>
        <w:keepLines w:val="0"/>
        <w:pageBreakBefore w:val="0"/>
        <w:wordWrap w:val="0"/>
        <w:overflowPunct/>
        <w:topLinePunct w:val="0"/>
        <w:bidi w:val="0"/>
        <w:spacing w:line="223" w:lineRule="auto"/>
        <w:rPr>
          <w:rFonts w:hint="eastAsia" w:ascii="宋体" w:hAnsi="宋体" w:eastAsia="宋体" w:cs="宋体"/>
          <w:color w:val="auto"/>
          <w:spacing w:val="0"/>
          <w:sz w:val="47"/>
          <w:szCs w:val="47"/>
          <w:highlight w:val="none"/>
        </w:rPr>
        <w:sectPr>
          <w:footerReference r:id="rId14"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4E71AB69">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auto"/>
          <w:spacing w:val="0"/>
          <w:sz w:val="24"/>
          <w:szCs w:val="24"/>
          <w:highlight w:val="none"/>
        </w:rPr>
      </w:pPr>
      <w:bookmarkStart w:id="208" w:name="_Toc9478"/>
      <w:r>
        <w:rPr>
          <w:rFonts w:hint="eastAsia" w:ascii="宋体" w:hAnsi="宋体" w:eastAsia="宋体" w:cs="宋体"/>
          <w:b/>
          <w:bCs/>
          <w:color w:val="auto"/>
          <w:spacing w:val="0"/>
          <w:sz w:val="24"/>
          <w:szCs w:val="24"/>
          <w:highlight w:val="none"/>
        </w:rPr>
        <w:t>格式二 投标函</w:t>
      </w:r>
      <w:bookmarkEnd w:id="208"/>
    </w:p>
    <w:p w14:paraId="50A10158">
      <w:pPr>
        <w:pStyle w:val="6"/>
        <w:keepNext w:val="0"/>
        <w:keepLines w:val="0"/>
        <w:pageBreakBefore w:val="0"/>
        <w:wordWrap w:val="0"/>
        <w:overflowPunct/>
        <w:topLinePunct w:val="0"/>
        <w:bidi w:val="0"/>
        <w:spacing w:line="261" w:lineRule="auto"/>
        <w:rPr>
          <w:rFonts w:hint="eastAsia" w:ascii="宋体" w:hAnsi="宋体" w:eastAsia="宋体" w:cs="宋体"/>
          <w:color w:val="auto"/>
          <w:spacing w:val="0"/>
          <w:highlight w:val="none"/>
        </w:rPr>
      </w:pPr>
    </w:p>
    <w:p w14:paraId="30CA2295">
      <w:pPr>
        <w:keepNext w:val="0"/>
        <w:keepLines w:val="0"/>
        <w:pageBreakBefore w:val="0"/>
        <w:wordWrap w:val="0"/>
        <w:overflowPunct/>
        <w:topLinePunct w:val="0"/>
        <w:bidi w:val="0"/>
        <w:spacing w:before="97" w:line="221" w:lineRule="auto"/>
        <w:ind w:left="3799"/>
        <w:outlineLvl w:val="9"/>
        <w:rPr>
          <w:rFonts w:hint="eastAsia" w:ascii="宋体" w:hAnsi="宋体" w:eastAsia="宋体" w:cs="宋体"/>
          <w:color w:val="auto"/>
          <w:spacing w:val="0"/>
          <w:sz w:val="30"/>
          <w:szCs w:val="30"/>
          <w:highlight w:val="none"/>
        </w:rPr>
      </w:pPr>
      <w:bookmarkStart w:id="209" w:name="bookmark148"/>
      <w:bookmarkEnd w:id="209"/>
      <w:bookmarkStart w:id="210" w:name="_Toc27397"/>
      <w:bookmarkStart w:id="211" w:name="_Toc297"/>
      <w:bookmarkStart w:id="212" w:name="_Toc317"/>
      <w:r>
        <w:rPr>
          <w:rFonts w:hint="eastAsia" w:ascii="宋体" w:hAnsi="宋体" w:eastAsia="宋体" w:cs="宋体"/>
          <w:b/>
          <w:bCs/>
          <w:color w:val="auto"/>
          <w:spacing w:val="0"/>
          <w:sz w:val="30"/>
          <w:szCs w:val="30"/>
          <w:highlight w:val="none"/>
        </w:rPr>
        <w:t>投</w:t>
      </w:r>
      <w:r>
        <w:rPr>
          <w:rFonts w:hint="eastAsia" w:ascii="宋体" w:hAnsi="宋体" w:eastAsia="宋体" w:cs="宋体"/>
          <w:color w:val="auto"/>
          <w:spacing w:val="0"/>
          <w:sz w:val="30"/>
          <w:szCs w:val="30"/>
          <w:highlight w:val="none"/>
        </w:rPr>
        <w:t xml:space="preserve">  </w:t>
      </w:r>
      <w:r>
        <w:rPr>
          <w:rFonts w:hint="eastAsia" w:ascii="宋体" w:hAnsi="宋体" w:eastAsia="宋体" w:cs="宋体"/>
          <w:b/>
          <w:bCs/>
          <w:color w:val="auto"/>
          <w:spacing w:val="0"/>
          <w:sz w:val="30"/>
          <w:szCs w:val="30"/>
          <w:highlight w:val="none"/>
        </w:rPr>
        <w:t>标</w:t>
      </w:r>
      <w:r>
        <w:rPr>
          <w:rFonts w:hint="eastAsia" w:ascii="宋体" w:hAnsi="宋体" w:eastAsia="宋体" w:cs="宋体"/>
          <w:color w:val="auto"/>
          <w:spacing w:val="0"/>
          <w:sz w:val="30"/>
          <w:szCs w:val="30"/>
          <w:highlight w:val="none"/>
        </w:rPr>
        <w:t xml:space="preserve">  </w:t>
      </w:r>
      <w:r>
        <w:rPr>
          <w:rFonts w:hint="eastAsia" w:ascii="宋体" w:hAnsi="宋体" w:eastAsia="宋体" w:cs="宋体"/>
          <w:b/>
          <w:bCs/>
          <w:color w:val="auto"/>
          <w:spacing w:val="0"/>
          <w:sz w:val="30"/>
          <w:szCs w:val="30"/>
          <w:highlight w:val="none"/>
        </w:rPr>
        <w:t>函</w:t>
      </w:r>
      <w:bookmarkEnd w:id="210"/>
      <w:bookmarkEnd w:id="211"/>
      <w:bookmarkEnd w:id="212"/>
    </w:p>
    <w:p w14:paraId="2DA40EA9">
      <w:pPr>
        <w:pStyle w:val="6"/>
        <w:keepNext w:val="0"/>
        <w:keepLines w:val="0"/>
        <w:pageBreakBefore w:val="0"/>
        <w:wordWrap w:val="0"/>
        <w:overflowPunct/>
        <w:topLinePunct w:val="0"/>
        <w:bidi w:val="0"/>
        <w:spacing w:line="249" w:lineRule="auto"/>
        <w:rPr>
          <w:rFonts w:hint="eastAsia" w:ascii="宋体" w:hAnsi="宋体" w:eastAsia="宋体" w:cs="宋体"/>
          <w:color w:val="auto"/>
          <w:spacing w:val="0"/>
          <w:highlight w:val="none"/>
        </w:rPr>
      </w:pPr>
    </w:p>
    <w:p w14:paraId="029C134F">
      <w:pPr>
        <w:pStyle w:val="6"/>
        <w:keepNext w:val="0"/>
        <w:keepLines w:val="0"/>
        <w:pageBreakBefore w:val="0"/>
        <w:wordWrap w:val="0"/>
        <w:overflowPunct/>
        <w:topLinePunct w:val="0"/>
        <w:bidi w:val="0"/>
        <w:spacing w:line="250" w:lineRule="auto"/>
        <w:rPr>
          <w:rFonts w:hint="eastAsia" w:ascii="宋体" w:hAnsi="宋体" w:eastAsia="宋体" w:cs="宋体"/>
          <w:color w:val="auto"/>
          <w:spacing w:val="0"/>
          <w:highlight w:val="none"/>
        </w:rPr>
      </w:pPr>
    </w:p>
    <w:p w14:paraId="580D563C">
      <w:pPr>
        <w:pStyle w:val="6"/>
        <w:keepNext w:val="0"/>
        <w:keepLines w:val="0"/>
        <w:pageBreakBefore w:val="0"/>
        <w:wordWrap w:val="0"/>
        <w:overflowPunct/>
        <w:topLinePunct w:val="0"/>
        <w:bidi w:val="0"/>
        <w:spacing w:line="250" w:lineRule="auto"/>
        <w:rPr>
          <w:rFonts w:hint="eastAsia" w:ascii="宋体" w:hAnsi="宋体" w:eastAsia="宋体" w:cs="宋体"/>
          <w:color w:val="auto"/>
          <w:spacing w:val="0"/>
          <w:highlight w:val="none"/>
        </w:rPr>
      </w:pPr>
    </w:p>
    <w:p w14:paraId="1F0C55FE">
      <w:pPr>
        <w:keepNext w:val="0"/>
        <w:keepLines w:val="0"/>
        <w:pageBreakBefore w:val="0"/>
        <w:wordWrap w:val="0"/>
        <w:overflowPunct/>
        <w:topLinePunct w:val="0"/>
        <w:bidi w:val="0"/>
        <w:spacing w:before="78" w:line="221" w:lineRule="auto"/>
        <w:ind w:left="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致：</w:t>
      </w:r>
      <w:r>
        <w:rPr>
          <w:rFonts w:hint="eastAsia" w:ascii="宋体" w:hAnsi="宋体" w:eastAsia="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rPr>
        <w:t>（招标人名称）</w:t>
      </w:r>
    </w:p>
    <w:p w14:paraId="7B8A7257">
      <w:pPr>
        <w:pStyle w:val="6"/>
        <w:keepNext w:val="0"/>
        <w:keepLines w:val="0"/>
        <w:pageBreakBefore w:val="0"/>
        <w:wordWrap w:val="0"/>
        <w:overflowPunct/>
        <w:topLinePunct w:val="0"/>
        <w:bidi w:val="0"/>
        <w:spacing w:before="156" w:line="328" w:lineRule="auto"/>
        <w:ind w:left="9" w:right="142" w:firstLine="589"/>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  我方考察现场并充分研究</w:t>
      </w:r>
      <w:r>
        <w:rPr>
          <w:rFonts w:hint="eastAsia" w:ascii="宋体" w:hAnsi="宋体" w:eastAsia="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rPr>
        <w:t>（项目名称）（以下简称“本项目 ”）施工招标文件所有内容后，结合自身资质、能力和特点，愿意接受招标文件的全部内容和条件，兹以人民币（大写）：</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rPr>
        <w:t xml:space="preserve"> (¥ </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rPr>
        <w:t xml:space="preserve"> ) 的投标总价竞投本项目施工。</w:t>
      </w:r>
    </w:p>
    <w:p w14:paraId="37ECEF62">
      <w:pPr>
        <w:keepNext w:val="0"/>
        <w:keepLines w:val="0"/>
        <w:pageBreakBefore w:val="0"/>
        <w:wordWrap w:val="0"/>
        <w:overflowPunct/>
        <w:topLinePunct w:val="0"/>
        <w:bidi w:val="0"/>
        <w:spacing w:before="39" w:line="323" w:lineRule="auto"/>
        <w:ind w:right="142" w:firstLine="57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在我方的上述投标总价中，包括：</w:t>
      </w:r>
      <w:r>
        <w:rPr>
          <w:rFonts w:hint="eastAsia" w:ascii="宋体" w:hAnsi="宋体" w:eastAsia="宋体" w:cs="宋体"/>
          <w:b w:val="0"/>
          <w:bCs/>
          <w:i w:val="0"/>
          <w:iCs w:val="0"/>
          <w:caps w:val="0"/>
          <w:color w:val="auto"/>
          <w:spacing w:val="0"/>
          <w:sz w:val="24"/>
          <w:szCs w:val="24"/>
          <w:highlight w:val="none"/>
          <w:shd w:val="clear" w:color="auto" w:fill="FFFFFF"/>
        </w:rPr>
        <w:t>安全生产措施费</w:t>
      </w:r>
      <w:r>
        <w:rPr>
          <w:rFonts w:hint="eastAsia" w:ascii="宋体" w:hAnsi="宋体" w:eastAsia="宋体" w:cs="宋体"/>
          <w:color w:val="auto"/>
          <w:spacing w:val="0"/>
          <w:sz w:val="24"/>
          <w:szCs w:val="24"/>
          <w:highlight w:val="none"/>
        </w:rPr>
        <w:t>¥</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u w:val="none"/>
          <w:lang w:eastAsia="zh-CN"/>
        </w:rPr>
        <w:t>；暂列金额</w:t>
      </w:r>
      <w:r>
        <w:rPr>
          <w:rFonts w:hint="eastAsia" w:ascii="宋体" w:hAnsi="宋体" w:eastAsia="宋体" w:cs="宋体"/>
          <w:color w:val="auto"/>
          <w:spacing w:val="0"/>
          <w:sz w:val="24"/>
          <w:szCs w:val="24"/>
          <w:highlight w:val="none"/>
          <w:u w:val="none"/>
        </w:rPr>
        <w:t>¥</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u w:val="none"/>
          <w:lang w:eastAsia="zh-CN"/>
        </w:rPr>
        <w:t>；</w:t>
      </w:r>
      <w:r>
        <w:rPr>
          <w:rFonts w:hint="eastAsia" w:ascii="宋体" w:hAnsi="宋体" w:eastAsia="宋体" w:cs="宋体"/>
          <w:b w:val="0"/>
          <w:bCs/>
          <w:i w:val="0"/>
          <w:iCs w:val="0"/>
          <w:caps w:val="0"/>
          <w:color w:val="auto"/>
          <w:spacing w:val="0"/>
          <w:sz w:val="24"/>
          <w:szCs w:val="24"/>
          <w:highlight w:val="none"/>
          <w:shd w:val="clear" w:color="auto" w:fill="FFFFFF"/>
        </w:rPr>
        <w:t>专业工程暂估价</w:t>
      </w:r>
      <w:r>
        <w:rPr>
          <w:rFonts w:hint="eastAsia" w:ascii="宋体" w:hAnsi="宋体" w:eastAsia="宋体" w:cs="宋体"/>
          <w:color w:val="auto"/>
          <w:spacing w:val="0"/>
          <w:sz w:val="24"/>
          <w:szCs w:val="24"/>
          <w:highlight w:val="none"/>
        </w:rPr>
        <w:t>¥</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rPr>
        <w:t>。</w:t>
      </w:r>
    </w:p>
    <w:p w14:paraId="166BB767">
      <w:pPr>
        <w:keepNext w:val="0"/>
        <w:keepLines w:val="0"/>
        <w:pageBreakBefore w:val="0"/>
        <w:wordWrap w:val="0"/>
        <w:overflowPunct/>
        <w:topLinePunct w:val="0"/>
        <w:bidi w:val="0"/>
        <w:spacing w:before="38" w:line="280" w:lineRule="auto"/>
        <w:ind w:left="13" w:right="142" w:firstLine="562"/>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  如果我方中标，我方保证按照合同约定的开工日期开始本项目的施工，</w:t>
      </w:r>
      <w:bookmarkStart w:id="213" w:name="OLE_LINK34"/>
      <w:r>
        <w:rPr>
          <w:rFonts w:hint="eastAsia" w:ascii="宋体" w:hAnsi="宋体" w:eastAsia="宋体" w:cs="宋体"/>
          <w:color w:val="auto"/>
          <w:spacing w:val="0"/>
          <w:sz w:val="24"/>
          <w:szCs w:val="24"/>
          <w:highlight w:val="none"/>
          <w:u w:val="single"/>
          <w:lang w:val="en-US" w:eastAsia="zh-CN"/>
        </w:rPr>
        <w:t xml:space="preserve">     </w:t>
      </w:r>
      <w:bookmarkEnd w:id="213"/>
      <w:r>
        <w:rPr>
          <w:rFonts w:hint="eastAsia" w:ascii="宋体" w:hAnsi="宋体" w:eastAsia="宋体" w:cs="宋体"/>
          <w:color w:val="auto"/>
          <w:spacing w:val="0"/>
          <w:sz w:val="24"/>
          <w:szCs w:val="24"/>
          <w:highlight w:val="none"/>
        </w:rPr>
        <w:t>个日历天内竣工，并确保工程质量达到</w:t>
      </w:r>
      <w:r>
        <w:rPr>
          <w:rFonts w:hint="eastAsia" w:ascii="宋体" w:hAnsi="宋体" w:eastAsia="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rPr>
        <w:t>标准和维修其中的任何缺陷。</w:t>
      </w:r>
    </w:p>
    <w:p w14:paraId="067B83F0">
      <w:pPr>
        <w:keepNext w:val="0"/>
        <w:keepLines w:val="0"/>
        <w:pageBreakBefore w:val="0"/>
        <w:wordWrap w:val="0"/>
        <w:overflowPunct/>
        <w:topLinePunct w:val="0"/>
        <w:bidi w:val="0"/>
        <w:spacing w:before="152" w:line="279" w:lineRule="auto"/>
        <w:ind w:left="11" w:right="142" w:firstLine="568"/>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  本投标函在你方接收我方递交的投标文件之日起、到招标文件规定的投标有效期期满前对我方具有约束力。我方随时准备接受你方发出的中标通知书。</w:t>
      </w:r>
    </w:p>
    <w:p w14:paraId="5A25C4D8">
      <w:pPr>
        <w:keepNext w:val="0"/>
        <w:keepLines w:val="0"/>
        <w:pageBreakBefore w:val="0"/>
        <w:wordWrap w:val="0"/>
        <w:overflowPunct/>
        <w:topLinePunct w:val="0"/>
        <w:bidi w:val="0"/>
        <w:spacing w:before="156" w:line="279" w:lineRule="auto"/>
        <w:ind w:left="11" w:right="61" w:firstLine="563"/>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 xml:space="preserve">4 ．我方在此声明，我方不存在本项目招标文件第一章第三节第 </w:t>
      </w:r>
      <w:r>
        <w:rPr>
          <w:rFonts w:hint="eastAsia" w:ascii="宋体" w:hAnsi="宋体" w:eastAsia="宋体" w:cs="宋体"/>
          <w:b/>
          <w:bCs/>
          <w:color w:val="auto"/>
          <w:spacing w:val="0"/>
          <w:sz w:val="24"/>
          <w:szCs w:val="24"/>
          <w:highlight w:val="none"/>
        </w:rPr>
        <w:t>2.4</w:t>
      </w:r>
      <w:r>
        <w:rPr>
          <w:rFonts w:hint="eastAsia" w:ascii="宋体" w:hAnsi="宋体" w:eastAsia="宋体" w:cs="宋体"/>
          <w:b/>
          <w:bCs/>
          <w:color w:val="auto"/>
          <w:spacing w:val="0"/>
          <w:w w:val="101"/>
          <w:sz w:val="24"/>
          <w:szCs w:val="24"/>
          <w:highlight w:val="none"/>
        </w:rPr>
        <w:t xml:space="preserve"> </w:t>
      </w:r>
      <w:r>
        <w:rPr>
          <w:rFonts w:hint="eastAsia" w:ascii="宋体" w:hAnsi="宋体" w:eastAsia="宋体" w:cs="宋体"/>
          <w:color w:val="auto"/>
          <w:spacing w:val="0"/>
          <w:sz w:val="24"/>
          <w:szCs w:val="24"/>
          <w:highlight w:val="none"/>
        </w:rPr>
        <w:t>条“禁止投标条款 ”所列出的任何一种情形，并愿意承担因我方就此弄虚作假所引起的一切法律后果。</w:t>
      </w:r>
    </w:p>
    <w:p w14:paraId="49DF596A">
      <w:pPr>
        <w:keepNext w:val="0"/>
        <w:keepLines w:val="0"/>
        <w:pageBreakBefore w:val="0"/>
        <w:wordWrap w:val="0"/>
        <w:overflowPunct/>
        <w:topLinePunct w:val="0"/>
        <w:bidi w:val="0"/>
        <w:spacing w:before="153" w:line="280" w:lineRule="auto"/>
        <w:ind w:left="9" w:right="142" w:firstLine="573"/>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 ．我方在此承诺，所递交投标文件的全部内容均为真实、有效、准确的，并愿意承担因我方就此弄虚作假所引起的一切法律后果，同时理解和同意有可能被要求提供更多的资料。</w:t>
      </w:r>
    </w:p>
    <w:p w14:paraId="043F6D7E">
      <w:pPr>
        <w:keepNext w:val="0"/>
        <w:keepLines w:val="0"/>
        <w:pageBreakBefore w:val="0"/>
        <w:wordWrap w:val="0"/>
        <w:overflowPunct/>
        <w:topLinePunct w:val="0"/>
        <w:bidi w:val="0"/>
        <w:spacing w:before="153" w:line="326" w:lineRule="auto"/>
        <w:ind w:left="13" w:firstLine="5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6.  我方理解你方不一定要接纳收到的最低投标总价或任何投标总价的投标人中标， 也不要求你方解释我方是否中标的原因。</w:t>
      </w:r>
    </w:p>
    <w:p w14:paraId="0820019D">
      <w:pPr>
        <w:pStyle w:val="6"/>
        <w:keepNext w:val="0"/>
        <w:keepLines w:val="0"/>
        <w:pageBreakBefore w:val="0"/>
        <w:wordWrap w:val="0"/>
        <w:overflowPunct/>
        <w:topLinePunct w:val="0"/>
        <w:bidi w:val="0"/>
        <w:spacing w:line="276" w:lineRule="auto"/>
        <w:rPr>
          <w:rFonts w:hint="eastAsia" w:ascii="宋体" w:hAnsi="宋体" w:eastAsia="宋体" w:cs="宋体"/>
          <w:color w:val="auto"/>
          <w:spacing w:val="0"/>
          <w:highlight w:val="none"/>
        </w:rPr>
      </w:pPr>
    </w:p>
    <w:p w14:paraId="0FFFF76A">
      <w:pPr>
        <w:pStyle w:val="6"/>
        <w:keepNext w:val="0"/>
        <w:keepLines w:val="0"/>
        <w:pageBreakBefore w:val="0"/>
        <w:wordWrap w:val="0"/>
        <w:overflowPunct/>
        <w:topLinePunct w:val="0"/>
        <w:bidi w:val="0"/>
        <w:spacing w:line="277" w:lineRule="auto"/>
        <w:rPr>
          <w:rFonts w:hint="eastAsia" w:ascii="宋体" w:hAnsi="宋体" w:eastAsia="宋体" w:cs="宋体"/>
          <w:color w:val="auto"/>
          <w:spacing w:val="0"/>
          <w:highlight w:val="none"/>
        </w:rPr>
      </w:pPr>
    </w:p>
    <w:p w14:paraId="22E19F68">
      <w:pPr>
        <w:pStyle w:val="6"/>
        <w:keepNext w:val="0"/>
        <w:keepLines w:val="0"/>
        <w:pageBreakBefore w:val="0"/>
        <w:wordWrap w:val="0"/>
        <w:overflowPunct/>
        <w:topLinePunct w:val="0"/>
        <w:bidi w:val="0"/>
        <w:spacing w:line="277" w:lineRule="auto"/>
        <w:rPr>
          <w:rFonts w:hint="eastAsia" w:ascii="宋体" w:hAnsi="宋体" w:eastAsia="宋体" w:cs="宋体"/>
          <w:color w:val="auto"/>
          <w:spacing w:val="0"/>
          <w:highlight w:val="none"/>
        </w:rPr>
      </w:pPr>
    </w:p>
    <w:p w14:paraId="54ABFBBB">
      <w:pPr>
        <w:keepNext w:val="0"/>
        <w:keepLines w:val="0"/>
        <w:pageBreakBefore w:val="0"/>
        <w:wordWrap w:val="0"/>
        <w:overflowPunct/>
        <w:topLinePunct w:val="0"/>
        <w:bidi w:val="0"/>
        <w:spacing w:before="79" w:line="219" w:lineRule="auto"/>
        <w:ind w:firstLine="5760" w:firstLineChars="240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投标人：</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u w:val="single"/>
          <w:lang w:val="en-US" w:eastAsia="zh-CN"/>
        </w:rPr>
        <w:t xml:space="preserve">       </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color w:val="auto"/>
          <w:spacing w:val="0"/>
          <w:sz w:val="24"/>
          <w:szCs w:val="24"/>
          <w:highlight w:val="none"/>
        </w:rPr>
        <w:t>（（盖单位章）</w:t>
      </w:r>
    </w:p>
    <w:p w14:paraId="15D03F12">
      <w:pPr>
        <w:pStyle w:val="6"/>
        <w:keepNext w:val="0"/>
        <w:keepLines w:val="0"/>
        <w:pageBreakBefore w:val="0"/>
        <w:wordWrap w:val="0"/>
        <w:overflowPunct/>
        <w:topLinePunct w:val="0"/>
        <w:bidi w:val="0"/>
        <w:spacing w:line="256" w:lineRule="auto"/>
        <w:jc w:val="right"/>
        <w:rPr>
          <w:rFonts w:hint="eastAsia" w:ascii="宋体" w:hAnsi="宋体" w:eastAsia="宋体" w:cs="宋体"/>
          <w:color w:val="auto"/>
          <w:spacing w:val="0"/>
          <w:highlight w:val="none"/>
        </w:rPr>
      </w:pPr>
    </w:p>
    <w:p w14:paraId="14DEB694">
      <w:pPr>
        <w:pStyle w:val="6"/>
        <w:keepNext w:val="0"/>
        <w:keepLines w:val="0"/>
        <w:pageBreakBefore w:val="0"/>
        <w:wordWrap w:val="0"/>
        <w:overflowPunct/>
        <w:topLinePunct w:val="0"/>
        <w:bidi w:val="0"/>
        <w:spacing w:line="256" w:lineRule="auto"/>
        <w:jc w:val="right"/>
        <w:rPr>
          <w:rFonts w:hint="eastAsia" w:ascii="宋体" w:hAnsi="宋体" w:eastAsia="宋体" w:cs="宋体"/>
          <w:color w:val="auto"/>
          <w:spacing w:val="0"/>
          <w:highlight w:val="none"/>
        </w:rPr>
      </w:pPr>
    </w:p>
    <w:p w14:paraId="30D23E5B">
      <w:pPr>
        <w:keepNext w:val="0"/>
        <w:keepLines w:val="0"/>
        <w:pageBreakBefore w:val="0"/>
        <w:wordWrap w:val="0"/>
        <w:overflowPunct/>
        <w:topLinePunct w:val="0"/>
        <w:bidi w:val="0"/>
        <w:spacing w:before="78" w:line="219" w:lineRule="auto"/>
        <w:ind w:left="3922"/>
        <w:jc w:val="right"/>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法定代表人或其委托代理人：</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color w:val="auto"/>
          <w:spacing w:val="0"/>
          <w:sz w:val="24"/>
          <w:szCs w:val="24"/>
          <w:highlight w:val="none"/>
        </w:rPr>
        <w:t>（（签字或盖章）</w:t>
      </w:r>
    </w:p>
    <w:p w14:paraId="0A40EB6C">
      <w:pPr>
        <w:pStyle w:val="6"/>
        <w:keepNext w:val="0"/>
        <w:keepLines w:val="0"/>
        <w:pageBreakBefore w:val="0"/>
        <w:wordWrap w:val="0"/>
        <w:overflowPunct/>
        <w:topLinePunct w:val="0"/>
        <w:bidi w:val="0"/>
        <w:spacing w:line="257" w:lineRule="auto"/>
        <w:rPr>
          <w:rFonts w:hint="eastAsia" w:ascii="宋体" w:hAnsi="宋体" w:eastAsia="宋体" w:cs="宋体"/>
          <w:color w:val="auto"/>
          <w:spacing w:val="0"/>
          <w:highlight w:val="none"/>
        </w:rPr>
      </w:pPr>
    </w:p>
    <w:p w14:paraId="6CFAC640">
      <w:pPr>
        <w:pStyle w:val="6"/>
        <w:keepNext w:val="0"/>
        <w:keepLines w:val="0"/>
        <w:pageBreakBefore w:val="0"/>
        <w:wordWrap w:val="0"/>
        <w:overflowPunct/>
        <w:topLinePunct w:val="0"/>
        <w:bidi w:val="0"/>
        <w:spacing w:line="257" w:lineRule="auto"/>
        <w:rPr>
          <w:rFonts w:hint="eastAsia" w:ascii="宋体" w:hAnsi="宋体" w:eastAsia="宋体" w:cs="宋体"/>
          <w:color w:val="auto"/>
          <w:spacing w:val="0"/>
          <w:highlight w:val="none"/>
        </w:rPr>
      </w:pPr>
    </w:p>
    <w:p w14:paraId="3A0796E5">
      <w:pPr>
        <w:keepNext w:val="0"/>
        <w:keepLines w:val="0"/>
        <w:pageBreakBefore w:val="0"/>
        <w:wordWrap w:val="0"/>
        <w:overflowPunct/>
        <w:topLinePunct w:val="0"/>
        <w:bidi w:val="0"/>
        <w:spacing w:before="79" w:line="220" w:lineRule="auto"/>
        <w:ind w:left="6970"/>
        <w:jc w:val="right"/>
        <w:rPr>
          <w:rFonts w:hint="eastAsia" w:ascii="宋体" w:hAnsi="宋体" w:eastAsia="宋体" w:cs="宋体"/>
          <w:color w:val="auto"/>
          <w:spacing w:val="0"/>
          <w:sz w:val="24"/>
          <w:szCs w:val="24"/>
          <w:highlight w:val="none"/>
        </w:rPr>
      </w:pP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color w:val="auto"/>
          <w:spacing w:val="0"/>
          <w:sz w:val="24"/>
          <w:szCs w:val="24"/>
          <w:highlight w:val="none"/>
        </w:rPr>
        <w:t>年</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color w:val="auto"/>
          <w:spacing w:val="0"/>
          <w:sz w:val="24"/>
          <w:szCs w:val="24"/>
          <w:highlight w:val="none"/>
        </w:rPr>
        <w:t>月</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color w:val="auto"/>
          <w:spacing w:val="0"/>
          <w:sz w:val="24"/>
          <w:szCs w:val="24"/>
          <w:highlight w:val="none"/>
        </w:rPr>
        <w:t>日</w:t>
      </w:r>
    </w:p>
    <w:p w14:paraId="196D8C5D">
      <w:pPr>
        <w:keepNext w:val="0"/>
        <w:keepLines w:val="0"/>
        <w:pageBreakBefore w:val="0"/>
        <w:wordWrap w:val="0"/>
        <w:overflowPunct/>
        <w:topLinePunct w:val="0"/>
        <w:bidi w:val="0"/>
        <w:spacing w:line="220" w:lineRule="auto"/>
        <w:rPr>
          <w:rFonts w:hint="eastAsia" w:ascii="宋体" w:hAnsi="宋体" w:eastAsia="宋体" w:cs="宋体"/>
          <w:color w:val="auto"/>
          <w:spacing w:val="0"/>
          <w:sz w:val="24"/>
          <w:szCs w:val="24"/>
          <w:highlight w:val="none"/>
        </w:rPr>
        <w:sectPr>
          <w:footerReference r:id="rId15"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6E12A182">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auto"/>
          <w:spacing w:val="0"/>
          <w:sz w:val="24"/>
          <w:szCs w:val="24"/>
          <w:highlight w:val="none"/>
        </w:rPr>
      </w:pPr>
      <w:bookmarkStart w:id="214" w:name="_Toc31828"/>
      <w:r>
        <w:rPr>
          <w:rFonts w:hint="eastAsia" w:ascii="宋体" w:hAnsi="宋体" w:eastAsia="宋体" w:cs="宋体"/>
          <w:b/>
          <w:bCs/>
          <w:color w:val="auto"/>
          <w:spacing w:val="0"/>
          <w:sz w:val="24"/>
          <w:szCs w:val="24"/>
          <w:highlight w:val="none"/>
        </w:rPr>
        <w:t>格式三 各项承诺一览表</w:t>
      </w:r>
      <w:bookmarkEnd w:id="214"/>
    </w:p>
    <w:p w14:paraId="15E0C6F5">
      <w:pPr>
        <w:pStyle w:val="6"/>
        <w:keepNext w:val="0"/>
        <w:keepLines w:val="0"/>
        <w:pageBreakBefore w:val="0"/>
        <w:wordWrap w:val="0"/>
        <w:overflowPunct/>
        <w:topLinePunct w:val="0"/>
        <w:bidi w:val="0"/>
        <w:spacing w:line="254" w:lineRule="auto"/>
        <w:rPr>
          <w:rFonts w:hint="eastAsia" w:ascii="宋体" w:hAnsi="宋体" w:eastAsia="宋体" w:cs="宋体"/>
          <w:color w:val="auto"/>
          <w:spacing w:val="0"/>
          <w:highlight w:val="none"/>
        </w:rPr>
      </w:pPr>
    </w:p>
    <w:p w14:paraId="16F87F01">
      <w:pPr>
        <w:keepNext w:val="0"/>
        <w:keepLines w:val="0"/>
        <w:pageBreakBefore w:val="0"/>
        <w:wordWrap w:val="0"/>
        <w:overflowPunct/>
        <w:topLinePunct w:val="0"/>
        <w:bidi w:val="0"/>
        <w:spacing w:before="98" w:line="220" w:lineRule="auto"/>
        <w:ind w:left="3581"/>
        <w:outlineLvl w:val="9"/>
        <w:rPr>
          <w:rFonts w:hint="eastAsia" w:ascii="宋体" w:hAnsi="宋体" w:eastAsia="宋体" w:cs="宋体"/>
          <w:color w:val="auto"/>
          <w:spacing w:val="0"/>
          <w:sz w:val="30"/>
          <w:szCs w:val="30"/>
          <w:highlight w:val="none"/>
        </w:rPr>
      </w:pPr>
      <w:bookmarkStart w:id="215" w:name="bookmark149"/>
      <w:bookmarkEnd w:id="215"/>
      <w:bookmarkStart w:id="216" w:name="_Toc2936"/>
      <w:bookmarkStart w:id="217" w:name="_Toc4767"/>
      <w:bookmarkStart w:id="218" w:name="_Toc10326"/>
      <w:r>
        <w:rPr>
          <w:rFonts w:hint="eastAsia" w:ascii="宋体" w:hAnsi="宋体" w:eastAsia="宋体" w:cs="宋体"/>
          <w:b/>
          <w:bCs/>
          <w:color w:val="auto"/>
          <w:spacing w:val="0"/>
          <w:sz w:val="30"/>
          <w:szCs w:val="30"/>
          <w:highlight w:val="none"/>
        </w:rPr>
        <w:t>各项承诺一览表</w:t>
      </w:r>
      <w:bookmarkEnd w:id="216"/>
      <w:bookmarkEnd w:id="217"/>
      <w:bookmarkEnd w:id="218"/>
    </w:p>
    <w:p w14:paraId="126AC1C8">
      <w:pPr>
        <w:keepNext w:val="0"/>
        <w:keepLines w:val="0"/>
        <w:pageBreakBefore w:val="0"/>
        <w:wordWrap w:val="0"/>
        <w:overflowPunct/>
        <w:topLinePunct w:val="0"/>
        <w:bidi w:val="0"/>
        <w:spacing w:before="6"/>
        <w:rPr>
          <w:rFonts w:hint="eastAsia" w:ascii="宋体" w:hAnsi="宋体" w:eastAsia="宋体" w:cs="宋体"/>
          <w:color w:val="auto"/>
          <w:spacing w:val="0"/>
          <w:highlight w:val="none"/>
        </w:rPr>
      </w:pPr>
    </w:p>
    <w:tbl>
      <w:tblPr>
        <w:tblStyle w:val="17"/>
        <w:tblW w:w="981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4"/>
        <w:gridCol w:w="1675"/>
        <w:gridCol w:w="3107"/>
        <w:gridCol w:w="4272"/>
      </w:tblGrid>
      <w:tr w14:paraId="46EA31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top"/>
          </w:tcPr>
          <w:p w14:paraId="016561D1">
            <w:pPr>
              <w:keepNext w:val="0"/>
              <w:keepLines w:val="0"/>
              <w:pageBreakBefore w:val="0"/>
              <w:widowControl/>
              <w:kinsoku w:val="0"/>
              <w:wordWrap w:val="0"/>
              <w:overflowPunct/>
              <w:topLinePunct w:val="0"/>
              <w:autoSpaceDE w:val="0"/>
              <w:autoSpaceDN w:val="0"/>
              <w:bidi w:val="0"/>
              <w:adjustRightInd w:val="0"/>
              <w:snapToGrid w:val="0"/>
              <w:spacing w:before="209" w:line="288" w:lineRule="auto"/>
              <w:ind w:left="126"/>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序号</w:t>
            </w:r>
          </w:p>
        </w:tc>
        <w:tc>
          <w:tcPr>
            <w:tcW w:w="1675" w:type="dxa"/>
            <w:vAlign w:val="top"/>
          </w:tcPr>
          <w:p w14:paraId="1DB237EA">
            <w:pPr>
              <w:keepNext w:val="0"/>
              <w:keepLines w:val="0"/>
              <w:pageBreakBefore w:val="0"/>
              <w:widowControl/>
              <w:kinsoku w:val="0"/>
              <w:wordWrap w:val="0"/>
              <w:overflowPunct/>
              <w:topLinePunct w:val="0"/>
              <w:autoSpaceDE w:val="0"/>
              <w:autoSpaceDN w:val="0"/>
              <w:bidi w:val="0"/>
              <w:adjustRightInd w:val="0"/>
              <w:snapToGrid w:val="0"/>
              <w:spacing w:before="208" w:line="288" w:lineRule="auto"/>
              <w:ind w:left="31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承诺事项</w:t>
            </w:r>
          </w:p>
        </w:tc>
        <w:tc>
          <w:tcPr>
            <w:tcW w:w="3107" w:type="dxa"/>
            <w:vAlign w:val="top"/>
          </w:tcPr>
          <w:p w14:paraId="178A9F28">
            <w:pPr>
              <w:keepNext w:val="0"/>
              <w:keepLines w:val="0"/>
              <w:pageBreakBefore w:val="0"/>
              <w:widowControl/>
              <w:kinsoku w:val="0"/>
              <w:wordWrap w:val="0"/>
              <w:overflowPunct/>
              <w:topLinePunct w:val="0"/>
              <w:autoSpaceDE w:val="0"/>
              <w:autoSpaceDN w:val="0"/>
              <w:bidi w:val="0"/>
              <w:adjustRightInd w:val="0"/>
              <w:snapToGrid w:val="0"/>
              <w:spacing w:before="209" w:line="288" w:lineRule="auto"/>
              <w:ind w:left="987"/>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承诺内容</w:t>
            </w:r>
          </w:p>
        </w:tc>
        <w:tc>
          <w:tcPr>
            <w:tcW w:w="4272" w:type="dxa"/>
            <w:vAlign w:val="top"/>
          </w:tcPr>
          <w:p w14:paraId="38E4631F">
            <w:pPr>
              <w:keepNext w:val="0"/>
              <w:keepLines w:val="0"/>
              <w:pageBreakBefore w:val="0"/>
              <w:widowControl/>
              <w:kinsoku w:val="0"/>
              <w:wordWrap w:val="0"/>
              <w:overflowPunct/>
              <w:topLinePunct w:val="0"/>
              <w:autoSpaceDE w:val="0"/>
              <w:autoSpaceDN w:val="0"/>
              <w:bidi w:val="0"/>
              <w:adjustRightInd w:val="0"/>
              <w:snapToGrid w:val="0"/>
              <w:spacing w:before="209" w:line="288" w:lineRule="auto"/>
              <w:ind w:left="1537"/>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违约承诺</w:t>
            </w:r>
          </w:p>
        </w:tc>
      </w:tr>
      <w:tr w14:paraId="21E5F7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center"/>
          </w:tcPr>
          <w:p w14:paraId="6B77874B">
            <w:pPr>
              <w:keepNext w:val="0"/>
              <w:keepLines w:val="0"/>
              <w:pageBreakBefore w:val="0"/>
              <w:widowControl/>
              <w:kinsoku w:val="0"/>
              <w:wordWrap w:val="0"/>
              <w:overflowPunct/>
              <w:topLinePunct w:val="0"/>
              <w:autoSpaceDE w:val="0"/>
              <w:autoSpaceDN w:val="0"/>
              <w:bidi w:val="0"/>
              <w:adjustRightInd w:val="0"/>
              <w:snapToGrid w:val="0"/>
              <w:spacing w:before="58" w:line="288" w:lineRule="auto"/>
              <w:ind w:left="0" w:right="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1</w:t>
            </w:r>
          </w:p>
        </w:tc>
        <w:tc>
          <w:tcPr>
            <w:tcW w:w="1675" w:type="dxa"/>
            <w:vAlign w:val="center"/>
          </w:tcPr>
          <w:p w14:paraId="7D3BA0F0">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自愿接受招标文件条款的承诺</w:t>
            </w:r>
          </w:p>
        </w:tc>
        <w:tc>
          <w:tcPr>
            <w:tcW w:w="3107" w:type="dxa"/>
            <w:vAlign w:val="top"/>
          </w:tcPr>
          <w:p w14:paraId="70388EF5">
            <w:pPr>
              <w:pStyle w:val="32"/>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pacing w:val="0"/>
                <w:sz w:val="21"/>
                <w:szCs w:val="21"/>
                <w:highlight w:val="none"/>
              </w:rPr>
            </w:pPr>
          </w:p>
          <w:p w14:paraId="519FA963">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10" w:right="2" w:firstLine="421"/>
              <w:jc w:val="both"/>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我方自愿接受招标文件的所有条款，所递交的投标文件已 经充分响应招标文件的实质性要求。</w:t>
            </w:r>
          </w:p>
        </w:tc>
        <w:tc>
          <w:tcPr>
            <w:tcW w:w="4272" w:type="dxa"/>
            <w:vAlign w:val="top"/>
          </w:tcPr>
          <w:p w14:paraId="5A4CFA6E">
            <w:pPr>
              <w:keepNext w:val="0"/>
              <w:keepLines w:val="0"/>
              <w:pageBreakBefore w:val="0"/>
              <w:widowControl/>
              <w:kinsoku w:val="0"/>
              <w:wordWrap w:val="0"/>
              <w:overflowPunct/>
              <w:topLinePunct w:val="0"/>
              <w:autoSpaceDE w:val="0"/>
              <w:autoSpaceDN w:val="0"/>
              <w:bidi w:val="0"/>
              <w:adjustRightInd w:val="0"/>
              <w:snapToGrid w:val="0"/>
              <w:spacing w:before="122" w:line="288" w:lineRule="auto"/>
              <w:ind w:left="14" w:right="4" w:firstLine="420"/>
              <w:jc w:val="both"/>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如果我方的投标文件未响应、违反、偏 离招标文件的实质性要求，我方接受招标人或其授权的招标代理机构或其组建的评标委员会依据招标文件作出的相应处理，包括否决投标。</w:t>
            </w:r>
          </w:p>
        </w:tc>
      </w:tr>
      <w:tr w14:paraId="4E3C0C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center"/>
          </w:tcPr>
          <w:p w14:paraId="1CFE24BF">
            <w:pPr>
              <w:keepNext w:val="0"/>
              <w:keepLines w:val="0"/>
              <w:pageBreakBefore w:val="0"/>
              <w:widowControl/>
              <w:kinsoku w:val="0"/>
              <w:wordWrap w:val="0"/>
              <w:overflowPunct/>
              <w:topLinePunct w:val="0"/>
              <w:autoSpaceDE w:val="0"/>
              <w:autoSpaceDN w:val="0"/>
              <w:bidi w:val="0"/>
              <w:adjustRightInd w:val="0"/>
              <w:snapToGrid w:val="0"/>
              <w:spacing w:before="58" w:line="288" w:lineRule="auto"/>
              <w:ind w:left="0" w:right="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2</w:t>
            </w:r>
          </w:p>
        </w:tc>
        <w:tc>
          <w:tcPr>
            <w:tcW w:w="1675" w:type="dxa"/>
            <w:vAlign w:val="center"/>
          </w:tcPr>
          <w:p w14:paraId="7FB58083">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无禁止投标情形的承诺</w:t>
            </w:r>
          </w:p>
        </w:tc>
        <w:tc>
          <w:tcPr>
            <w:tcW w:w="3107" w:type="dxa"/>
            <w:vAlign w:val="top"/>
          </w:tcPr>
          <w:p w14:paraId="64A0505A">
            <w:pPr>
              <w:pStyle w:val="32"/>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pacing w:val="0"/>
                <w:sz w:val="21"/>
                <w:szCs w:val="21"/>
                <w:highlight w:val="none"/>
              </w:rPr>
            </w:pPr>
          </w:p>
          <w:p w14:paraId="4ED2B70A">
            <w:pPr>
              <w:pStyle w:val="32"/>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pacing w:val="0"/>
                <w:sz w:val="21"/>
                <w:szCs w:val="21"/>
                <w:highlight w:val="none"/>
              </w:rPr>
            </w:pPr>
          </w:p>
          <w:p w14:paraId="2DFB1E1D">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10" w:right="2" w:firstLine="420"/>
              <w:jc w:val="both"/>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 xml:space="preserve">我方不存在招标文件第一 章第三节第 </w:t>
            </w:r>
            <w:r>
              <w:rPr>
                <w:rFonts w:hint="eastAsia" w:ascii="宋体" w:hAnsi="宋体" w:eastAsia="宋体" w:cs="宋体"/>
                <w:b/>
                <w:bCs/>
                <w:color w:val="auto"/>
                <w:spacing w:val="0"/>
                <w:sz w:val="21"/>
                <w:szCs w:val="21"/>
                <w:highlight w:val="none"/>
              </w:rPr>
              <w:t xml:space="preserve">2.4 </w:t>
            </w:r>
            <w:r>
              <w:rPr>
                <w:rFonts w:hint="eastAsia" w:ascii="宋体" w:hAnsi="宋体" w:eastAsia="宋体" w:cs="宋体"/>
                <w:color w:val="auto"/>
                <w:spacing w:val="0"/>
                <w:sz w:val="21"/>
                <w:szCs w:val="21"/>
                <w:highlight w:val="none"/>
              </w:rPr>
              <w:t>条“禁止投标条 款 ”规定的任何一种情形。</w:t>
            </w:r>
          </w:p>
        </w:tc>
        <w:tc>
          <w:tcPr>
            <w:tcW w:w="4272" w:type="dxa"/>
            <w:vAlign w:val="top"/>
          </w:tcPr>
          <w:p w14:paraId="5A065CEF">
            <w:pPr>
              <w:keepNext w:val="0"/>
              <w:keepLines w:val="0"/>
              <w:pageBreakBefore w:val="0"/>
              <w:widowControl/>
              <w:kinsoku w:val="0"/>
              <w:wordWrap w:val="0"/>
              <w:overflowPunct/>
              <w:topLinePunct w:val="0"/>
              <w:autoSpaceDE w:val="0"/>
              <w:autoSpaceDN w:val="0"/>
              <w:bidi w:val="0"/>
              <w:adjustRightInd w:val="0"/>
              <w:snapToGrid w:val="0"/>
              <w:spacing w:before="122" w:line="288" w:lineRule="auto"/>
              <w:ind w:left="9" w:firstLine="421"/>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 xml:space="preserve">如果我方有招标文件第一章第三节第 </w:t>
            </w:r>
            <w:r>
              <w:rPr>
                <w:rFonts w:hint="eastAsia" w:ascii="宋体" w:hAnsi="宋体" w:eastAsia="宋体" w:cs="宋体"/>
                <w:b/>
                <w:bCs/>
                <w:color w:val="auto"/>
                <w:spacing w:val="0"/>
                <w:sz w:val="21"/>
                <w:szCs w:val="21"/>
                <w:highlight w:val="none"/>
              </w:rPr>
              <w:t xml:space="preserve">2.  4 </w:t>
            </w:r>
            <w:r>
              <w:rPr>
                <w:rFonts w:hint="eastAsia" w:ascii="宋体" w:hAnsi="宋体" w:eastAsia="宋体" w:cs="宋体"/>
                <w:color w:val="auto"/>
                <w:spacing w:val="0"/>
                <w:sz w:val="21"/>
                <w:szCs w:val="21"/>
                <w:highlight w:val="none"/>
              </w:rPr>
              <w:t>条“禁止投标条款 ”规定的任何一种情形，我方接受招标人或其授权的招标代理机构或 其组建的评标委员会依据招标文件作出的相应处理以及有关监督部门作出的行政处罚，并承担由此引起的一切法律后果。</w:t>
            </w:r>
          </w:p>
        </w:tc>
      </w:tr>
      <w:tr w14:paraId="169CF5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center"/>
          </w:tcPr>
          <w:p w14:paraId="5119110A">
            <w:pPr>
              <w:keepNext w:val="0"/>
              <w:keepLines w:val="0"/>
              <w:pageBreakBefore w:val="0"/>
              <w:widowControl/>
              <w:kinsoku w:val="0"/>
              <w:wordWrap w:val="0"/>
              <w:overflowPunct/>
              <w:topLinePunct w:val="0"/>
              <w:autoSpaceDE w:val="0"/>
              <w:autoSpaceDN w:val="0"/>
              <w:bidi w:val="0"/>
              <w:adjustRightInd w:val="0"/>
              <w:snapToGrid w:val="0"/>
              <w:spacing w:before="57" w:line="288" w:lineRule="auto"/>
              <w:ind w:left="0" w:right="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3</w:t>
            </w:r>
          </w:p>
        </w:tc>
        <w:tc>
          <w:tcPr>
            <w:tcW w:w="1675" w:type="dxa"/>
            <w:vAlign w:val="center"/>
          </w:tcPr>
          <w:p w14:paraId="4C4ACE86">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自觉抵制围标</w:t>
            </w:r>
          </w:p>
          <w:p w14:paraId="50893BED">
            <w:pPr>
              <w:keepNext w:val="0"/>
              <w:keepLines w:val="0"/>
              <w:pageBreakBefore w:val="0"/>
              <w:widowControl/>
              <w:kinsoku w:val="0"/>
              <w:wordWrap w:val="0"/>
              <w:overflowPunct/>
              <w:topLinePunct w:val="0"/>
              <w:autoSpaceDE w:val="0"/>
              <w:autoSpaceDN w:val="0"/>
              <w:bidi w:val="0"/>
              <w:adjustRightInd w:val="0"/>
              <w:snapToGrid w:val="0"/>
              <w:spacing w:before="131" w:line="288" w:lineRule="auto"/>
              <w:ind w:left="0" w:right="0" w:firstLine="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串标和弄虚</w:t>
            </w:r>
          </w:p>
          <w:p w14:paraId="515B9E70">
            <w:pPr>
              <w:keepNext w:val="0"/>
              <w:keepLines w:val="0"/>
              <w:pageBreakBefore w:val="0"/>
              <w:widowControl/>
              <w:kinsoku w:val="0"/>
              <w:wordWrap w:val="0"/>
              <w:overflowPunct/>
              <w:topLinePunct w:val="0"/>
              <w:autoSpaceDE w:val="0"/>
              <w:autoSpaceDN w:val="0"/>
              <w:bidi w:val="0"/>
              <w:adjustRightInd w:val="0"/>
              <w:snapToGrid w:val="0"/>
              <w:spacing w:before="133" w:line="288" w:lineRule="auto"/>
              <w:ind w:left="0" w:right="0" w:firstLine="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作假行为的承诺</w:t>
            </w:r>
          </w:p>
        </w:tc>
        <w:tc>
          <w:tcPr>
            <w:tcW w:w="3107" w:type="dxa"/>
            <w:vAlign w:val="top"/>
          </w:tcPr>
          <w:p w14:paraId="3BE5F6B6">
            <w:pPr>
              <w:pStyle w:val="32"/>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pacing w:val="0"/>
                <w:sz w:val="21"/>
                <w:szCs w:val="21"/>
                <w:highlight w:val="none"/>
              </w:rPr>
            </w:pPr>
          </w:p>
          <w:p w14:paraId="47834166">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11" w:right="2" w:firstLine="420"/>
              <w:jc w:val="both"/>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我方合法正当、诚实守信地参与投标，不组织、不参加围标串标违法行为，不通过弄虚作假 行为骗取中标。</w:t>
            </w:r>
          </w:p>
        </w:tc>
        <w:tc>
          <w:tcPr>
            <w:tcW w:w="4272" w:type="dxa"/>
            <w:vAlign w:val="top"/>
          </w:tcPr>
          <w:p w14:paraId="6D3B810D">
            <w:pPr>
              <w:keepNext w:val="0"/>
              <w:keepLines w:val="0"/>
              <w:pageBreakBefore w:val="0"/>
              <w:widowControl/>
              <w:kinsoku w:val="0"/>
              <w:wordWrap w:val="0"/>
              <w:overflowPunct/>
              <w:topLinePunct w:val="0"/>
              <w:autoSpaceDE w:val="0"/>
              <w:autoSpaceDN w:val="0"/>
              <w:bidi w:val="0"/>
              <w:adjustRightInd w:val="0"/>
              <w:snapToGrid w:val="0"/>
              <w:spacing w:before="129" w:line="288" w:lineRule="auto"/>
              <w:ind w:left="13" w:right="4" w:firstLine="422"/>
              <w:jc w:val="both"/>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如果我方组织或参加围标串标违法行为或通过弄虚作假行为骗取中标，我方接受招标人或其授权的招标代理机构或其组建的评标委员会依据招标文件作出的相应处理以及有关监督部门作出的行政处罚，并承担由此引起的一切法律后果。</w:t>
            </w:r>
          </w:p>
        </w:tc>
      </w:tr>
      <w:tr w14:paraId="0C67D5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center"/>
          </w:tcPr>
          <w:p w14:paraId="1D0037D8">
            <w:pPr>
              <w:keepNext w:val="0"/>
              <w:keepLines w:val="0"/>
              <w:pageBreakBefore w:val="0"/>
              <w:widowControl/>
              <w:kinsoku w:val="0"/>
              <w:wordWrap w:val="0"/>
              <w:overflowPunct/>
              <w:topLinePunct w:val="0"/>
              <w:autoSpaceDE w:val="0"/>
              <w:autoSpaceDN w:val="0"/>
              <w:bidi w:val="0"/>
              <w:adjustRightInd w:val="0"/>
              <w:snapToGrid w:val="0"/>
              <w:spacing w:before="58" w:line="288" w:lineRule="auto"/>
              <w:ind w:left="0" w:right="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4</w:t>
            </w:r>
          </w:p>
        </w:tc>
        <w:tc>
          <w:tcPr>
            <w:tcW w:w="1675" w:type="dxa"/>
            <w:vAlign w:val="center"/>
          </w:tcPr>
          <w:p w14:paraId="3DCF4030">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项目经理任职承诺</w:t>
            </w:r>
          </w:p>
        </w:tc>
        <w:tc>
          <w:tcPr>
            <w:tcW w:w="3107" w:type="dxa"/>
            <w:vAlign w:val="top"/>
          </w:tcPr>
          <w:p w14:paraId="312828EC">
            <w:pPr>
              <w:pStyle w:val="32"/>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pacing w:val="0"/>
                <w:sz w:val="21"/>
                <w:szCs w:val="21"/>
                <w:highlight w:val="none"/>
              </w:rPr>
            </w:pPr>
          </w:p>
          <w:p w14:paraId="7CE31557">
            <w:pPr>
              <w:pStyle w:val="32"/>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pacing w:val="0"/>
                <w:sz w:val="21"/>
                <w:szCs w:val="21"/>
                <w:highlight w:val="none"/>
              </w:rPr>
            </w:pPr>
          </w:p>
          <w:p w14:paraId="7C16C577">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9" w:right="2" w:firstLine="422"/>
              <w:jc w:val="both"/>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我方拟派项目经理现阶段没有担任任何在施（包括已中标 未开工、已开工未竣工）建设工程项目的项目经理。</w:t>
            </w:r>
          </w:p>
        </w:tc>
        <w:tc>
          <w:tcPr>
            <w:tcW w:w="4272" w:type="dxa"/>
            <w:vAlign w:val="top"/>
          </w:tcPr>
          <w:p w14:paraId="77BD4872">
            <w:pPr>
              <w:keepNext w:val="0"/>
              <w:keepLines w:val="0"/>
              <w:pageBreakBefore w:val="0"/>
              <w:widowControl/>
              <w:kinsoku w:val="0"/>
              <w:wordWrap w:val="0"/>
              <w:overflowPunct/>
              <w:topLinePunct w:val="0"/>
              <w:autoSpaceDE w:val="0"/>
              <w:autoSpaceDN w:val="0"/>
              <w:bidi w:val="0"/>
              <w:adjustRightInd w:val="0"/>
              <w:snapToGrid w:val="0"/>
              <w:spacing w:before="128" w:line="288" w:lineRule="auto"/>
              <w:ind w:left="11" w:firstLine="417"/>
              <w:jc w:val="both"/>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如果我方拟派项目经理在本项目招标投 标活动期间有担任其他任何在施（包括已中标未开工、已开工未竣工）建设工程项目的项目经理，我方接受招标人或其授权的招标代理机构或其组建的评标委员会依据招标文件作出的相应处理以及有关监督部门作出的行政处罚，并承担由此引起的一切法律后果。</w:t>
            </w:r>
          </w:p>
        </w:tc>
      </w:tr>
      <w:tr w14:paraId="2A13E8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center"/>
          </w:tcPr>
          <w:p w14:paraId="706170C9">
            <w:pPr>
              <w:keepNext w:val="0"/>
              <w:keepLines w:val="0"/>
              <w:pageBreakBefore w:val="0"/>
              <w:widowControl/>
              <w:kinsoku w:val="0"/>
              <w:wordWrap w:val="0"/>
              <w:overflowPunct/>
              <w:topLinePunct w:val="0"/>
              <w:autoSpaceDE w:val="0"/>
              <w:autoSpaceDN w:val="0"/>
              <w:bidi w:val="0"/>
              <w:adjustRightInd w:val="0"/>
              <w:snapToGrid w:val="0"/>
              <w:spacing w:before="58" w:line="288" w:lineRule="auto"/>
              <w:ind w:left="0" w:right="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5</w:t>
            </w:r>
          </w:p>
        </w:tc>
        <w:tc>
          <w:tcPr>
            <w:tcW w:w="1675" w:type="dxa"/>
            <w:vAlign w:val="center"/>
          </w:tcPr>
          <w:p w14:paraId="169F7406">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投标文件</w:t>
            </w:r>
          </w:p>
          <w:p w14:paraId="1039F728">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真实性承诺</w:t>
            </w:r>
          </w:p>
        </w:tc>
        <w:tc>
          <w:tcPr>
            <w:tcW w:w="3107" w:type="dxa"/>
            <w:vAlign w:val="top"/>
          </w:tcPr>
          <w:p w14:paraId="7E90A8D0">
            <w:pPr>
              <w:pStyle w:val="32"/>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pacing w:val="0"/>
                <w:sz w:val="21"/>
                <w:szCs w:val="21"/>
                <w:highlight w:val="none"/>
              </w:rPr>
            </w:pPr>
          </w:p>
          <w:p w14:paraId="3857D684">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12" w:firstLine="409"/>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我方所递交投标文件的全部内容均为真实、有效、准确的。</w:t>
            </w:r>
          </w:p>
        </w:tc>
        <w:tc>
          <w:tcPr>
            <w:tcW w:w="4272" w:type="dxa"/>
            <w:vAlign w:val="top"/>
          </w:tcPr>
          <w:p w14:paraId="691E7521">
            <w:pPr>
              <w:keepNext w:val="0"/>
              <w:keepLines w:val="0"/>
              <w:pageBreakBefore w:val="0"/>
              <w:widowControl/>
              <w:kinsoku w:val="0"/>
              <w:wordWrap w:val="0"/>
              <w:overflowPunct/>
              <w:topLinePunct w:val="0"/>
              <w:autoSpaceDE w:val="0"/>
              <w:autoSpaceDN w:val="0"/>
              <w:bidi w:val="0"/>
              <w:adjustRightInd w:val="0"/>
              <w:snapToGrid w:val="0"/>
              <w:spacing w:before="127" w:line="288" w:lineRule="auto"/>
              <w:ind w:left="11" w:firstLine="417"/>
              <w:jc w:val="both"/>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如果我方递交的投标文件任何内容不真实或无效或不准确，我方接受招标人或其授权的招标代理机构或其组建的评标委员会依据招标文件作出的相应处理，包括否决投标。</w:t>
            </w:r>
          </w:p>
        </w:tc>
      </w:tr>
      <w:tr w14:paraId="4CBD6C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84" w:hRule="atLeast"/>
        </w:trPr>
        <w:tc>
          <w:tcPr>
            <w:tcW w:w="764" w:type="dxa"/>
            <w:vAlign w:val="center"/>
          </w:tcPr>
          <w:p w14:paraId="34498F70">
            <w:pPr>
              <w:keepNext w:val="0"/>
              <w:keepLines w:val="0"/>
              <w:pageBreakBefore w:val="0"/>
              <w:widowControl/>
              <w:kinsoku w:val="0"/>
              <w:wordWrap w:val="0"/>
              <w:overflowPunct/>
              <w:topLinePunct w:val="0"/>
              <w:autoSpaceDE w:val="0"/>
              <w:autoSpaceDN w:val="0"/>
              <w:bidi w:val="0"/>
              <w:adjustRightInd w:val="0"/>
              <w:snapToGrid w:val="0"/>
              <w:spacing w:before="58" w:line="288" w:lineRule="auto"/>
              <w:ind w:left="0" w:right="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6</w:t>
            </w:r>
            <w:r>
              <w:rPr>
                <w:rFonts w:hint="eastAsia" w:ascii="宋体" w:hAnsi="宋体" w:eastAsia="宋体" w:cs="宋体"/>
                <w:color w:val="auto"/>
                <w:spacing w:val="0"/>
                <w:sz w:val="21"/>
                <w:szCs w:val="21"/>
                <w:highlight w:val="none"/>
              </w:rPr>
              <w:drawing>
                <wp:anchor distT="0" distB="0" distL="114300" distR="114300" simplePos="0" relativeHeight="251663360" behindDoc="1" locked="0" layoutInCell="0" allowOverlap="1">
                  <wp:simplePos x="0" y="0"/>
                  <wp:positionH relativeFrom="page">
                    <wp:posOffset>3902075</wp:posOffset>
                  </wp:positionH>
                  <wp:positionV relativeFrom="page">
                    <wp:posOffset>2252345</wp:posOffset>
                  </wp:positionV>
                  <wp:extent cx="6350" cy="241300"/>
                  <wp:effectExtent l="0" t="0" r="0" b="0"/>
                  <wp:wrapNone/>
                  <wp:docPr id="16" name="IM 120"/>
                  <wp:cNvGraphicFramePr/>
                  <a:graphic xmlns:a="http://schemas.openxmlformats.org/drawingml/2006/main">
                    <a:graphicData uri="http://schemas.openxmlformats.org/drawingml/2006/picture">
                      <pic:pic xmlns:pic="http://schemas.openxmlformats.org/drawingml/2006/picture">
                        <pic:nvPicPr>
                          <pic:cNvPr id="16" name="IM 120"/>
                          <pic:cNvPicPr/>
                        </pic:nvPicPr>
                        <pic:blipFill>
                          <a:blip r:embed="rId54"/>
                          <a:stretch>
                            <a:fillRect/>
                          </a:stretch>
                        </pic:blipFill>
                        <pic:spPr>
                          <a:xfrm>
                            <a:off x="0" y="0"/>
                            <a:ext cx="6350" cy="241300"/>
                          </a:xfrm>
                          <a:prstGeom prst="rect">
                            <a:avLst/>
                          </a:prstGeom>
                          <a:noFill/>
                          <a:ln>
                            <a:noFill/>
                          </a:ln>
                        </pic:spPr>
                      </pic:pic>
                    </a:graphicData>
                  </a:graphic>
                </wp:anchor>
              </w:drawing>
            </w:r>
          </w:p>
        </w:tc>
        <w:tc>
          <w:tcPr>
            <w:tcW w:w="1675" w:type="dxa"/>
            <w:vAlign w:val="center"/>
          </w:tcPr>
          <w:p w14:paraId="368C4839">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投标文件</w:t>
            </w:r>
          </w:p>
          <w:p w14:paraId="3775A1E5">
            <w:pPr>
              <w:keepNext w:val="0"/>
              <w:keepLines w:val="0"/>
              <w:pageBreakBefore w:val="0"/>
              <w:widowControl/>
              <w:kinsoku w:val="0"/>
              <w:wordWrap w:val="0"/>
              <w:overflowPunct/>
              <w:topLinePunct w:val="0"/>
              <w:autoSpaceDE w:val="0"/>
              <w:autoSpaceDN w:val="0"/>
              <w:bidi w:val="0"/>
              <w:adjustRightInd w:val="0"/>
              <w:snapToGrid w:val="0"/>
              <w:spacing w:before="132" w:line="288" w:lineRule="auto"/>
              <w:ind w:left="0" w:right="0" w:firstLine="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信息公开承诺</w:t>
            </w:r>
          </w:p>
        </w:tc>
        <w:tc>
          <w:tcPr>
            <w:tcW w:w="3107" w:type="dxa"/>
            <w:vAlign w:val="top"/>
          </w:tcPr>
          <w:p w14:paraId="1561CF1F">
            <w:pPr>
              <w:keepNext w:val="0"/>
              <w:keepLines w:val="0"/>
              <w:pageBreakBefore w:val="0"/>
              <w:widowControl/>
              <w:kinsoku w:val="0"/>
              <w:wordWrap w:val="0"/>
              <w:overflowPunct/>
              <w:topLinePunct w:val="0"/>
              <w:autoSpaceDE w:val="0"/>
              <w:autoSpaceDN w:val="0"/>
              <w:bidi w:val="0"/>
              <w:adjustRightInd w:val="0"/>
              <w:snapToGrid w:val="0"/>
              <w:spacing w:before="130" w:line="288" w:lineRule="auto"/>
              <w:ind w:left="10" w:right="2" w:firstLine="420"/>
              <w:jc w:val="both"/>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我方提供完整的文件。如果我方成为本项目中标候选人，我方同意并授权招标人在评标结果公示期内公开我方商务标书的全部内容。</w:t>
            </w:r>
          </w:p>
        </w:tc>
        <w:tc>
          <w:tcPr>
            <w:tcW w:w="4272" w:type="dxa"/>
            <w:vAlign w:val="top"/>
            <mc:AlternateContent>
              <mc:Choice Requires="wpsCustomData">
                <wpsCustomData:diagonals>
                  <wpsCustomData:diagonal from="20000" to="0">
                    <wpsCustomData:border w:val="single" w:color="000000" w:sz="2" w:space="0"/>
                  </wpsCustomData:diagonal>
                </wpsCustomData:diagonals>
              </mc:Choice>
            </mc:AlternateContent>
          </w:tcPr>
          <w:p w14:paraId="072D0397">
            <w:pPr>
              <w:pStyle w:val="32"/>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pacing w:val="0"/>
                <w:sz w:val="21"/>
                <w:szCs w:val="21"/>
                <w:highlight w:val="none"/>
              </w:rPr>
            </w:pPr>
          </w:p>
          <w:p w14:paraId="26DFCF17">
            <w:pPr>
              <w:pStyle w:val="32"/>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pacing w:val="0"/>
                <w:sz w:val="21"/>
                <w:szCs w:val="21"/>
                <w:highlight w:val="none"/>
              </w:rPr>
            </w:pPr>
          </w:p>
          <w:p w14:paraId="4F578A60">
            <w:pPr>
              <w:keepNext w:val="0"/>
              <w:keepLines w:val="0"/>
              <w:pageBreakBefore w:val="0"/>
              <w:widowControl/>
              <w:kinsoku w:val="0"/>
              <w:wordWrap w:val="0"/>
              <w:overflowPunct/>
              <w:topLinePunct w:val="0"/>
              <w:autoSpaceDE w:val="0"/>
              <w:autoSpaceDN w:val="0"/>
              <w:bidi w:val="0"/>
              <w:adjustRightInd w:val="0"/>
              <w:snapToGrid w:val="0"/>
              <w:spacing w:before="58" w:line="240" w:lineRule="auto"/>
              <w:ind w:left="1979"/>
              <w:textAlignment w:val="baseline"/>
              <mc:AlternateContent>
                <mc:Choice Requires="wpsCustomData">
                  <wpsCustomData:diagonalParaType/>
                </mc:Choice>
              </mc:AlternateContent>
              <w:rPr>
                <w:rFonts w:hint="eastAsia" w:ascii="宋体" w:hAnsi="宋体" w:eastAsia="宋体" w:cs="宋体"/>
                <w:color w:val="auto"/>
                <w:spacing w:val="0"/>
                <w:sz w:val="21"/>
                <w:szCs w:val="21"/>
                <w:highlight w:val="none"/>
              </w:rPr>
            </w:pPr>
          </w:p>
          <w:p w14:paraId="56F864B1">
            <w:pPr>
              <w:keepNext w:val="0"/>
              <w:keepLines w:val="0"/>
              <w:pageBreakBefore w:val="0"/>
              <w:widowControl/>
              <w:kinsoku w:val="0"/>
              <w:wordWrap w:val="0"/>
              <w:overflowPunct/>
              <w:topLinePunct w:val="0"/>
              <w:autoSpaceDE w:val="0"/>
              <w:autoSpaceDN w:val="0"/>
              <w:bidi w:val="0"/>
              <w:adjustRightInd w:val="0"/>
              <w:snapToGrid w:val="0"/>
              <w:spacing w:before="58" w:line="288" w:lineRule="auto"/>
              <w:ind w:left="1979"/>
              <w:textAlignment w:val="baseline"/>
              <w:rPr>
                <w:rFonts w:hint="eastAsia" w:ascii="宋体" w:hAnsi="宋体" w:eastAsia="宋体" w:cs="宋体"/>
                <w:color w:val="auto"/>
                <w:spacing w:val="0"/>
                <w:sz w:val="21"/>
                <w:szCs w:val="21"/>
                <w:highlight w:val="none"/>
              </w:rPr>
            </w:pPr>
          </w:p>
        </w:tc>
      </w:tr>
      <w:tr w14:paraId="0F6864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66" w:hRule="atLeast"/>
        </w:trPr>
        <w:tc>
          <w:tcPr>
            <w:tcW w:w="764" w:type="dxa"/>
            <w:vAlign w:val="center"/>
          </w:tcPr>
          <w:p w14:paraId="5FBA93BC">
            <w:pPr>
              <w:keepNext w:val="0"/>
              <w:keepLines w:val="0"/>
              <w:pageBreakBefore w:val="0"/>
              <w:widowControl/>
              <w:kinsoku w:val="0"/>
              <w:wordWrap w:val="0"/>
              <w:overflowPunct/>
              <w:topLinePunct w:val="0"/>
              <w:autoSpaceDE w:val="0"/>
              <w:autoSpaceDN w:val="0"/>
              <w:bidi w:val="0"/>
              <w:adjustRightInd w:val="0"/>
              <w:snapToGrid w:val="0"/>
              <w:spacing w:before="57" w:line="288" w:lineRule="auto"/>
              <w:ind w:left="0" w:right="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7</w:t>
            </w:r>
          </w:p>
        </w:tc>
        <w:tc>
          <w:tcPr>
            <w:tcW w:w="1675" w:type="dxa"/>
            <w:vAlign w:val="center"/>
          </w:tcPr>
          <w:p w14:paraId="5F0BB3C6">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对不正常报价的确认承诺</w:t>
            </w:r>
          </w:p>
        </w:tc>
        <w:tc>
          <w:tcPr>
            <w:tcW w:w="3107" w:type="dxa"/>
            <w:vAlign w:val="top"/>
          </w:tcPr>
          <w:p w14:paraId="466A700B">
            <w:pPr>
              <w:keepNext w:val="0"/>
              <w:keepLines w:val="0"/>
              <w:pageBreakBefore w:val="0"/>
              <w:widowControl/>
              <w:kinsoku w:val="0"/>
              <w:wordWrap w:val="0"/>
              <w:overflowPunct/>
              <w:topLinePunct w:val="0"/>
              <w:autoSpaceDE w:val="0"/>
              <w:autoSpaceDN w:val="0"/>
              <w:bidi w:val="0"/>
              <w:adjustRightInd w:val="0"/>
              <w:snapToGrid w:val="0"/>
              <w:spacing w:before="121" w:line="288" w:lineRule="auto"/>
              <w:ind w:left="10" w:right="2" w:firstLine="423"/>
              <w:jc w:val="both"/>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如果我方中标，我方接受招标人在合同订立期间依据招标文件有关条款约定对我方已标价工程量清单中不正常报价的修正或认定，并按要求签署《不正常报价清单》加以确认。</w:t>
            </w:r>
          </w:p>
        </w:tc>
        <w:tc>
          <w:tcPr>
            <w:tcW w:w="4272" w:type="dxa"/>
            <w:vAlign w:val="top"/>
            <mc:AlternateContent>
              <mc:Choice Requires="wpsCustomData">
                <wpsCustomData:diagonals>
                  <wpsCustomData:diagonal from="20000" to="0">
                    <wpsCustomData:border w:val="single" w:color="000000" w:sz="2" w:space="0"/>
                  </wpsCustomData:diagonal>
                </wpsCustomData:diagonals>
              </mc:Choice>
            </mc:AlternateContent>
          </w:tcPr>
          <w:p w14:paraId="33E4F7FA">
            <w:pPr>
              <w:pStyle w:val="32"/>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pacing w:val="0"/>
                <w:sz w:val="21"/>
                <w:szCs w:val="21"/>
                <w:highlight w:val="none"/>
              </w:rPr>
            </w:pPr>
          </w:p>
          <w:p w14:paraId="5BE426AD">
            <w:pPr>
              <w:pStyle w:val="32"/>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pacing w:val="0"/>
                <w:sz w:val="21"/>
                <w:szCs w:val="21"/>
                <w:highlight w:val="none"/>
              </w:rPr>
            </w:pPr>
          </w:p>
          <w:p w14:paraId="30575F67">
            <w:pPr>
              <w:pStyle w:val="32"/>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pacing w:val="0"/>
                <w:sz w:val="21"/>
                <w:szCs w:val="21"/>
                <w:highlight w:val="none"/>
              </w:rPr>
            </w:pPr>
          </w:p>
          <w:p w14:paraId="299A67F9">
            <w:pPr>
              <w:keepNext w:val="0"/>
              <w:keepLines w:val="0"/>
              <w:pageBreakBefore w:val="0"/>
              <w:widowControl/>
              <w:kinsoku w:val="0"/>
              <w:wordWrap w:val="0"/>
              <w:overflowPunct/>
              <w:topLinePunct w:val="0"/>
              <w:autoSpaceDE w:val="0"/>
              <w:autoSpaceDN w:val="0"/>
              <w:bidi w:val="0"/>
              <w:adjustRightInd w:val="0"/>
              <w:snapToGrid w:val="0"/>
              <w:spacing w:before="57" w:line="240" w:lineRule="auto"/>
              <w:ind w:left="1979"/>
              <w:textAlignment w:val="baseline"/>
              <mc:AlternateContent>
                <mc:Choice Requires="wpsCustomData">
                  <wpsCustomData:diagonalParaType/>
                </mc:Choice>
              </mc:AlternateContent>
              <w:rPr>
                <w:rFonts w:hint="eastAsia" w:ascii="宋体" w:hAnsi="宋体" w:eastAsia="宋体" w:cs="宋体"/>
                <w:color w:val="auto"/>
                <w:spacing w:val="0"/>
                <w:sz w:val="21"/>
                <w:szCs w:val="21"/>
                <w:highlight w:val="none"/>
              </w:rPr>
            </w:pPr>
          </w:p>
          <w:p w14:paraId="71829345">
            <w:pPr>
              <w:keepNext w:val="0"/>
              <w:keepLines w:val="0"/>
              <w:pageBreakBefore w:val="0"/>
              <w:widowControl/>
              <w:kinsoku w:val="0"/>
              <w:wordWrap w:val="0"/>
              <w:overflowPunct/>
              <w:topLinePunct w:val="0"/>
              <w:autoSpaceDE w:val="0"/>
              <w:autoSpaceDN w:val="0"/>
              <w:bidi w:val="0"/>
              <w:adjustRightInd w:val="0"/>
              <w:snapToGrid w:val="0"/>
              <w:spacing w:before="57" w:line="288" w:lineRule="auto"/>
              <w:ind w:left="1979"/>
              <w:textAlignment w:val="baseline"/>
              <w:rPr>
                <w:rFonts w:hint="eastAsia" w:ascii="宋体" w:hAnsi="宋体" w:eastAsia="宋体" w:cs="宋体"/>
                <w:color w:val="auto"/>
                <w:spacing w:val="0"/>
                <w:sz w:val="21"/>
                <w:szCs w:val="21"/>
                <w:highlight w:val="none"/>
              </w:rPr>
            </w:pPr>
          </w:p>
        </w:tc>
      </w:tr>
      <w:tr w14:paraId="5E00AD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center"/>
          </w:tcPr>
          <w:p w14:paraId="3F2F0045">
            <w:pPr>
              <w:keepNext w:val="0"/>
              <w:keepLines w:val="0"/>
              <w:pageBreakBefore w:val="0"/>
              <w:widowControl/>
              <w:kinsoku w:val="0"/>
              <w:wordWrap w:val="0"/>
              <w:overflowPunct/>
              <w:topLinePunct w:val="0"/>
              <w:autoSpaceDE w:val="0"/>
              <w:autoSpaceDN w:val="0"/>
              <w:bidi w:val="0"/>
              <w:adjustRightInd w:val="0"/>
              <w:snapToGrid w:val="0"/>
              <w:spacing w:before="58" w:line="288" w:lineRule="auto"/>
              <w:ind w:left="0" w:right="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8</w:t>
            </w:r>
          </w:p>
        </w:tc>
        <w:tc>
          <w:tcPr>
            <w:tcW w:w="1675" w:type="dxa"/>
            <w:vAlign w:val="center"/>
          </w:tcPr>
          <w:p w14:paraId="517888C1">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按时提交履约保证的承诺</w:t>
            </w:r>
          </w:p>
        </w:tc>
        <w:tc>
          <w:tcPr>
            <w:tcW w:w="3107" w:type="dxa"/>
            <w:vAlign w:val="top"/>
          </w:tcPr>
          <w:p w14:paraId="09C19645">
            <w:pPr>
              <w:pStyle w:val="32"/>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pacing w:val="0"/>
                <w:sz w:val="21"/>
                <w:szCs w:val="21"/>
                <w:highlight w:val="none"/>
              </w:rPr>
            </w:pPr>
          </w:p>
          <w:p w14:paraId="63130D26">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10" w:right="2" w:firstLine="422"/>
              <w:jc w:val="both"/>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如果我方中标，我方保证在招标文件规定的时限内全额提交履约保证。</w:t>
            </w:r>
          </w:p>
        </w:tc>
        <w:tc>
          <w:tcPr>
            <w:tcW w:w="4272" w:type="dxa"/>
            <w:vAlign w:val="top"/>
          </w:tcPr>
          <w:p w14:paraId="35BCFEBB">
            <w:pPr>
              <w:keepNext w:val="0"/>
              <w:keepLines w:val="0"/>
              <w:pageBreakBefore w:val="0"/>
              <w:widowControl/>
              <w:kinsoku w:val="0"/>
              <w:wordWrap w:val="0"/>
              <w:overflowPunct/>
              <w:topLinePunct w:val="0"/>
              <w:autoSpaceDE w:val="0"/>
              <w:autoSpaceDN w:val="0"/>
              <w:bidi w:val="0"/>
              <w:adjustRightInd w:val="0"/>
              <w:snapToGrid w:val="0"/>
              <w:spacing w:before="128" w:line="288" w:lineRule="auto"/>
              <w:ind w:left="12" w:right="23" w:firstLine="423"/>
              <w:jc w:val="both"/>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如果我方未在招标文件规定的时限内全 额提交履约保证，我方接受招标人依据招标文件作出的相应处理以及有关监督部门作出的行政处罚，并承担由此引起的一切法律后果。</w:t>
            </w:r>
          </w:p>
        </w:tc>
      </w:tr>
      <w:tr w14:paraId="788002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center"/>
          </w:tcPr>
          <w:p w14:paraId="493C81A7">
            <w:pPr>
              <w:keepNext w:val="0"/>
              <w:keepLines w:val="0"/>
              <w:pageBreakBefore w:val="0"/>
              <w:widowControl/>
              <w:kinsoku w:val="0"/>
              <w:wordWrap w:val="0"/>
              <w:overflowPunct/>
              <w:topLinePunct w:val="0"/>
              <w:autoSpaceDE w:val="0"/>
              <w:autoSpaceDN w:val="0"/>
              <w:bidi w:val="0"/>
              <w:adjustRightInd w:val="0"/>
              <w:snapToGrid w:val="0"/>
              <w:spacing w:before="58" w:line="288" w:lineRule="auto"/>
              <w:ind w:left="0" w:right="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9</w:t>
            </w:r>
          </w:p>
        </w:tc>
        <w:tc>
          <w:tcPr>
            <w:tcW w:w="1675" w:type="dxa"/>
            <w:vAlign w:val="center"/>
          </w:tcPr>
          <w:p w14:paraId="4ED54B6B">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按时签订合同的承诺</w:t>
            </w:r>
          </w:p>
        </w:tc>
        <w:tc>
          <w:tcPr>
            <w:tcW w:w="3107" w:type="dxa"/>
            <w:vAlign w:val="top"/>
          </w:tcPr>
          <w:p w14:paraId="180B0E0E">
            <w:pPr>
              <w:pStyle w:val="32"/>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pacing w:val="0"/>
                <w:sz w:val="21"/>
                <w:szCs w:val="21"/>
                <w:highlight w:val="none"/>
              </w:rPr>
            </w:pPr>
          </w:p>
          <w:p w14:paraId="64E7AF96">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10" w:right="2" w:firstLine="422"/>
              <w:jc w:val="both"/>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如果我方中标，我方保证在 招标文件规定的时限内与招标人签订合同，不提出违背或超出招标文件、中标文件的要求。</w:t>
            </w:r>
          </w:p>
        </w:tc>
        <w:tc>
          <w:tcPr>
            <w:tcW w:w="4272" w:type="dxa"/>
            <w:vAlign w:val="top"/>
          </w:tcPr>
          <w:p w14:paraId="221B45C6">
            <w:pPr>
              <w:keepNext w:val="0"/>
              <w:keepLines w:val="0"/>
              <w:pageBreakBefore w:val="0"/>
              <w:widowControl/>
              <w:kinsoku w:val="0"/>
              <w:wordWrap w:val="0"/>
              <w:overflowPunct/>
              <w:topLinePunct w:val="0"/>
              <w:autoSpaceDE w:val="0"/>
              <w:autoSpaceDN w:val="0"/>
              <w:bidi w:val="0"/>
              <w:adjustRightInd w:val="0"/>
              <w:snapToGrid w:val="0"/>
              <w:spacing w:before="126" w:line="288" w:lineRule="auto"/>
              <w:ind w:left="13" w:firstLine="415"/>
              <w:jc w:val="both"/>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如果我方未在招标文件规定的时限内与招标人签订合同，或我方在签订合同过程中提出违背或超出招标文件、中标文件的要求。我方接受招标人依据招标文件作出的相应处 理以及有关监督部门作出的行政处罚，并承担由此引起的一切法律后果。</w:t>
            </w:r>
          </w:p>
        </w:tc>
      </w:tr>
    </w:tbl>
    <w:p w14:paraId="0092A8A0">
      <w:pPr>
        <w:keepNext w:val="0"/>
        <w:keepLines w:val="0"/>
        <w:pageBreakBefore w:val="0"/>
        <w:wordWrap w:val="0"/>
        <w:overflowPunct/>
        <w:topLinePunct w:val="0"/>
        <w:bidi w:val="0"/>
        <w:spacing w:before="78" w:line="219" w:lineRule="auto"/>
        <w:ind w:firstLine="6720" w:firstLineChars="2800"/>
        <w:jc w:val="both"/>
        <w:rPr>
          <w:rFonts w:hint="eastAsia" w:ascii="宋体" w:hAnsi="宋体" w:eastAsia="宋体" w:cs="宋体"/>
          <w:color w:val="auto"/>
          <w:spacing w:val="0"/>
          <w:sz w:val="24"/>
          <w:szCs w:val="24"/>
          <w:highlight w:val="none"/>
        </w:rPr>
      </w:pPr>
    </w:p>
    <w:p w14:paraId="35E0F246">
      <w:pPr>
        <w:keepNext w:val="0"/>
        <w:keepLines w:val="0"/>
        <w:pageBreakBefore w:val="0"/>
        <w:wordWrap w:val="0"/>
        <w:overflowPunct/>
        <w:topLinePunct w:val="0"/>
        <w:bidi w:val="0"/>
        <w:spacing w:before="78" w:line="219" w:lineRule="auto"/>
        <w:ind w:firstLine="6720" w:firstLineChars="2800"/>
        <w:jc w:val="right"/>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投标人：</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color w:val="auto"/>
          <w:spacing w:val="0"/>
          <w:sz w:val="24"/>
          <w:szCs w:val="24"/>
          <w:highlight w:val="none"/>
        </w:rPr>
        <w:t>（盖单位章）</w:t>
      </w:r>
    </w:p>
    <w:p w14:paraId="7656E0FF">
      <w:pPr>
        <w:pStyle w:val="6"/>
        <w:keepNext w:val="0"/>
        <w:keepLines w:val="0"/>
        <w:pageBreakBefore w:val="0"/>
        <w:wordWrap w:val="0"/>
        <w:overflowPunct/>
        <w:topLinePunct w:val="0"/>
        <w:bidi w:val="0"/>
        <w:spacing w:line="297" w:lineRule="auto"/>
        <w:jc w:val="right"/>
        <w:rPr>
          <w:rFonts w:hint="eastAsia" w:ascii="宋体" w:hAnsi="宋体" w:eastAsia="宋体" w:cs="宋体"/>
          <w:color w:val="auto"/>
          <w:spacing w:val="0"/>
          <w:highlight w:val="none"/>
        </w:rPr>
      </w:pPr>
    </w:p>
    <w:p w14:paraId="531D808C">
      <w:pPr>
        <w:keepNext w:val="0"/>
        <w:keepLines w:val="0"/>
        <w:pageBreakBefore w:val="0"/>
        <w:wordWrap w:val="0"/>
        <w:overflowPunct/>
        <w:topLinePunct w:val="0"/>
        <w:bidi w:val="0"/>
        <w:spacing w:before="78" w:line="219" w:lineRule="auto"/>
        <w:ind w:left="4366"/>
        <w:jc w:val="right"/>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法定代表人或其委托代理人：</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color w:val="auto"/>
          <w:spacing w:val="0"/>
          <w:sz w:val="24"/>
          <w:szCs w:val="24"/>
          <w:highlight w:val="none"/>
        </w:rPr>
        <w:t>（签字或盖章）</w:t>
      </w:r>
    </w:p>
    <w:p w14:paraId="561F6A0B">
      <w:pPr>
        <w:keepNext w:val="0"/>
        <w:keepLines w:val="0"/>
        <w:pageBreakBefore w:val="0"/>
        <w:wordWrap w:val="0"/>
        <w:overflowPunct/>
        <w:topLinePunct w:val="0"/>
        <w:bidi w:val="0"/>
        <w:outlineLvl w:val="9"/>
        <w:rPr>
          <w:rFonts w:hint="eastAsia"/>
          <w:color w:val="auto"/>
          <w:spacing w:val="0"/>
          <w:highlight w:val="none"/>
        </w:rPr>
      </w:pPr>
    </w:p>
    <w:p w14:paraId="00A8728B">
      <w:pPr>
        <w:keepNext w:val="0"/>
        <w:keepLines w:val="0"/>
        <w:pageBreakBefore w:val="0"/>
        <w:wordWrap w:val="0"/>
        <w:overflowPunct/>
        <w:topLinePunct w:val="0"/>
        <w:bidi w:val="0"/>
        <w:spacing w:before="78" w:line="220" w:lineRule="auto"/>
        <w:ind w:left="6730"/>
        <w:jc w:val="right"/>
        <w:rPr>
          <w:rFonts w:hint="eastAsia" w:ascii="宋体" w:hAnsi="宋体" w:eastAsia="宋体" w:cs="宋体"/>
          <w:color w:val="auto"/>
          <w:spacing w:val="0"/>
          <w:sz w:val="24"/>
          <w:szCs w:val="24"/>
          <w:highlight w:val="none"/>
        </w:rPr>
      </w:pP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年</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月</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日</w:t>
      </w:r>
    </w:p>
    <w:p w14:paraId="398F17B6">
      <w:pPr>
        <w:keepNext w:val="0"/>
        <w:keepLines w:val="0"/>
        <w:pageBreakBefore w:val="0"/>
        <w:wordWrap w:val="0"/>
        <w:overflowPunct/>
        <w:topLinePunct w:val="0"/>
        <w:bidi w:val="0"/>
        <w:spacing w:line="220" w:lineRule="auto"/>
        <w:jc w:val="right"/>
        <w:rPr>
          <w:rFonts w:hint="eastAsia" w:ascii="宋体" w:hAnsi="宋体" w:eastAsia="宋体" w:cs="宋体"/>
          <w:color w:val="auto"/>
          <w:spacing w:val="0"/>
          <w:sz w:val="24"/>
          <w:szCs w:val="24"/>
          <w:highlight w:val="none"/>
        </w:rPr>
        <w:sectPr>
          <w:footerReference r:id="rId16"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1F006E5A">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auto"/>
          <w:spacing w:val="0"/>
          <w:sz w:val="24"/>
          <w:szCs w:val="24"/>
          <w:highlight w:val="none"/>
        </w:rPr>
      </w:pPr>
      <w:bookmarkStart w:id="219" w:name="_Toc9225"/>
      <w:r>
        <w:rPr>
          <w:rFonts w:hint="eastAsia" w:ascii="宋体" w:hAnsi="宋体" w:eastAsia="宋体" w:cs="宋体"/>
          <w:b/>
          <w:bCs/>
          <w:color w:val="auto"/>
          <w:spacing w:val="0"/>
          <w:sz w:val="24"/>
          <w:szCs w:val="24"/>
          <w:highlight w:val="none"/>
        </w:rPr>
        <w:t>格式四 授权委托书</w:t>
      </w:r>
      <w:bookmarkEnd w:id="219"/>
    </w:p>
    <w:p w14:paraId="65A0A61D">
      <w:pPr>
        <w:pStyle w:val="6"/>
        <w:keepNext w:val="0"/>
        <w:keepLines w:val="0"/>
        <w:pageBreakBefore w:val="0"/>
        <w:wordWrap w:val="0"/>
        <w:overflowPunct/>
        <w:topLinePunct w:val="0"/>
        <w:bidi w:val="0"/>
        <w:spacing w:line="351" w:lineRule="auto"/>
        <w:rPr>
          <w:rFonts w:hint="eastAsia" w:ascii="宋体" w:hAnsi="宋体" w:eastAsia="宋体" w:cs="宋体"/>
          <w:color w:val="auto"/>
          <w:spacing w:val="0"/>
          <w:highlight w:val="none"/>
        </w:rPr>
      </w:pPr>
    </w:p>
    <w:p w14:paraId="3C9F7A93">
      <w:pPr>
        <w:pStyle w:val="6"/>
        <w:keepNext w:val="0"/>
        <w:keepLines w:val="0"/>
        <w:pageBreakBefore w:val="0"/>
        <w:wordWrap w:val="0"/>
        <w:overflowPunct/>
        <w:topLinePunct w:val="0"/>
        <w:bidi w:val="0"/>
        <w:spacing w:line="351" w:lineRule="auto"/>
        <w:rPr>
          <w:rFonts w:hint="eastAsia" w:ascii="宋体" w:hAnsi="宋体" w:eastAsia="宋体" w:cs="宋体"/>
          <w:color w:val="auto"/>
          <w:spacing w:val="0"/>
          <w:highlight w:val="none"/>
        </w:rPr>
      </w:pPr>
    </w:p>
    <w:p w14:paraId="1627FE74">
      <w:pPr>
        <w:keepNext w:val="0"/>
        <w:keepLines w:val="0"/>
        <w:pageBreakBefore w:val="0"/>
        <w:wordWrap w:val="0"/>
        <w:overflowPunct/>
        <w:topLinePunct w:val="0"/>
        <w:bidi w:val="0"/>
        <w:spacing w:before="97" w:line="219" w:lineRule="auto"/>
        <w:ind w:left="3786"/>
        <w:rPr>
          <w:rFonts w:hint="eastAsia" w:ascii="宋体" w:hAnsi="宋体" w:eastAsia="宋体" w:cs="宋体"/>
          <w:color w:val="auto"/>
          <w:spacing w:val="0"/>
          <w:sz w:val="30"/>
          <w:szCs w:val="30"/>
          <w:highlight w:val="none"/>
        </w:rPr>
      </w:pPr>
      <w:bookmarkStart w:id="220" w:name="bookmark151"/>
      <w:bookmarkEnd w:id="220"/>
      <w:r>
        <w:rPr>
          <w:rFonts w:hint="eastAsia" w:ascii="宋体" w:hAnsi="宋体" w:eastAsia="宋体" w:cs="宋体"/>
          <w:b/>
          <w:bCs/>
          <w:color w:val="auto"/>
          <w:spacing w:val="0"/>
          <w:sz w:val="30"/>
          <w:szCs w:val="30"/>
          <w:highlight w:val="none"/>
        </w:rPr>
        <w:t>授权委托书</w:t>
      </w:r>
    </w:p>
    <w:p w14:paraId="4D772F6B">
      <w:pPr>
        <w:pStyle w:val="6"/>
        <w:keepNext w:val="0"/>
        <w:keepLines w:val="0"/>
        <w:pageBreakBefore w:val="0"/>
        <w:wordWrap w:val="0"/>
        <w:overflowPunct/>
        <w:topLinePunct w:val="0"/>
        <w:bidi w:val="0"/>
        <w:spacing w:line="250" w:lineRule="auto"/>
        <w:rPr>
          <w:rFonts w:hint="eastAsia" w:ascii="宋体" w:hAnsi="宋体" w:eastAsia="宋体" w:cs="宋体"/>
          <w:color w:val="auto"/>
          <w:spacing w:val="0"/>
          <w:highlight w:val="none"/>
        </w:rPr>
      </w:pPr>
    </w:p>
    <w:p w14:paraId="22FC3C1A">
      <w:pPr>
        <w:pStyle w:val="6"/>
        <w:keepNext w:val="0"/>
        <w:keepLines w:val="0"/>
        <w:pageBreakBefore w:val="0"/>
        <w:wordWrap w:val="0"/>
        <w:overflowPunct/>
        <w:topLinePunct w:val="0"/>
        <w:bidi w:val="0"/>
        <w:spacing w:line="250" w:lineRule="auto"/>
        <w:rPr>
          <w:rFonts w:hint="eastAsia" w:ascii="宋体" w:hAnsi="宋体" w:eastAsia="宋体" w:cs="宋体"/>
          <w:color w:val="auto"/>
          <w:spacing w:val="0"/>
          <w:highlight w:val="none"/>
        </w:rPr>
      </w:pPr>
    </w:p>
    <w:p w14:paraId="13A4B986">
      <w:pPr>
        <w:pStyle w:val="6"/>
        <w:keepNext w:val="0"/>
        <w:keepLines w:val="0"/>
        <w:pageBreakBefore w:val="0"/>
        <w:wordWrap w:val="0"/>
        <w:overflowPunct/>
        <w:topLinePunct w:val="0"/>
        <w:bidi w:val="0"/>
        <w:spacing w:line="251" w:lineRule="auto"/>
        <w:rPr>
          <w:rFonts w:hint="eastAsia" w:ascii="宋体" w:hAnsi="宋体" w:eastAsia="宋体" w:cs="宋体"/>
          <w:color w:val="auto"/>
          <w:spacing w:val="0"/>
          <w:highlight w:val="none"/>
        </w:rPr>
      </w:pPr>
    </w:p>
    <w:p w14:paraId="1D299917">
      <w:pPr>
        <w:keepNext w:val="0"/>
        <w:keepLines w:val="0"/>
        <w:pageBreakBefore w:val="0"/>
        <w:widowControl/>
        <w:kinsoku w:val="0"/>
        <w:wordWrap w:val="0"/>
        <w:overflowPunct/>
        <w:topLinePunct w:val="0"/>
        <w:autoSpaceDE w:val="0"/>
        <w:autoSpaceDN w:val="0"/>
        <w:bidi w:val="0"/>
        <w:adjustRightInd w:val="0"/>
        <w:snapToGrid w:val="0"/>
        <w:spacing w:before="78" w:line="330" w:lineRule="auto"/>
        <w:ind w:firstLine="481"/>
        <w:jc w:val="both"/>
        <w:textAlignment w:val="baseline"/>
        <w:rPr>
          <w:rFonts w:hint="eastAsia" w:ascii="宋体" w:hAnsi="宋体" w:eastAsia="宋体" w:cs="宋体"/>
          <w:color w:val="auto"/>
          <w:spacing w:val="0"/>
          <w:sz w:val="24"/>
          <w:szCs w:val="24"/>
          <w:highlight w:val="none"/>
        </w:rPr>
      </w:pPr>
      <w:r>
        <w:rPr>
          <w:rFonts w:hint="eastAsia" w:ascii="宋体" w:hAnsi="宋体" w:eastAsia="宋体" w:cs="宋体"/>
          <w:snapToGrid w:val="0"/>
          <w:color w:val="auto"/>
          <w:spacing w:val="0"/>
          <w:kern w:val="0"/>
          <w:sz w:val="24"/>
          <w:szCs w:val="28"/>
          <w:highlight w:val="none"/>
          <w:lang w:eastAsia="zh-CN"/>
        </w:rPr>
        <w:t>本人</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 w:val="24"/>
          <w:szCs w:val="28"/>
          <w:highlight w:val="none"/>
          <w:lang w:eastAsia="zh-CN"/>
        </w:rPr>
        <w:t>（姓名）系</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 w:val="24"/>
          <w:szCs w:val="28"/>
          <w:highlight w:val="none"/>
          <w:lang w:eastAsia="zh-CN"/>
        </w:rPr>
        <w:t>（投标人名称）的法定代表人，现委托</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 w:val="24"/>
          <w:szCs w:val="28"/>
          <w:highlight w:val="none"/>
          <w:lang w:eastAsia="zh-CN"/>
        </w:rPr>
        <w:t>（姓名）为我方代理人。代理人根据授权，以我方名义签署、澄清、说明、补正、递交、撤回、修改</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u w:val="single"/>
          <w:lang w:val="en-US" w:eastAsia="zh-CN"/>
        </w:rPr>
        <w:t xml:space="preserve">    </w:t>
      </w:r>
      <w:r>
        <w:rPr>
          <w:rFonts w:hint="eastAsia" w:ascii="宋体" w:hAnsi="宋体" w:eastAsia="宋体" w:cs="宋体"/>
          <w:snapToGrid w:val="0"/>
          <w:color w:val="auto"/>
          <w:spacing w:val="0"/>
          <w:kern w:val="0"/>
          <w:sz w:val="24"/>
          <w:szCs w:val="28"/>
          <w:highlight w:val="none"/>
          <w:u w:val="single"/>
          <w:lang w:eastAsia="zh-CN"/>
        </w:rPr>
        <w:t>（项目名称）</w:t>
      </w:r>
      <w:r>
        <w:rPr>
          <w:rFonts w:hint="eastAsia" w:ascii="宋体" w:hAnsi="宋体" w:eastAsia="宋体" w:cs="宋体"/>
          <w:snapToGrid w:val="0"/>
          <w:color w:val="auto"/>
          <w:spacing w:val="0"/>
          <w:kern w:val="0"/>
          <w:sz w:val="24"/>
          <w:szCs w:val="28"/>
          <w:highlight w:val="none"/>
          <w:lang w:eastAsia="zh-CN"/>
        </w:rPr>
        <w:t xml:space="preserve"> 施工投标文件、签订合同和处理有关事宜，其法律后果由我方承担。</w:t>
      </w:r>
    </w:p>
    <w:p w14:paraId="0B5A4C35">
      <w:pPr>
        <w:keepNext w:val="0"/>
        <w:keepLines w:val="0"/>
        <w:pageBreakBefore w:val="0"/>
        <w:widowControl/>
        <w:kinsoku w:val="0"/>
        <w:wordWrap w:val="0"/>
        <w:overflowPunct/>
        <w:topLinePunct w:val="0"/>
        <w:autoSpaceDE w:val="0"/>
        <w:autoSpaceDN w:val="0"/>
        <w:bidi w:val="0"/>
        <w:adjustRightInd w:val="0"/>
        <w:snapToGrid w:val="0"/>
        <w:spacing w:before="32" w:line="320" w:lineRule="auto"/>
        <w:ind w:left="480" w:right="497"/>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委托期限：至</w:t>
      </w:r>
      <w:r>
        <w:rPr>
          <w:rFonts w:hint="eastAsia" w:ascii="宋体" w:hAnsi="宋体" w:eastAsia="宋体" w:cs="宋体"/>
          <w:color w:val="auto"/>
          <w:spacing w:val="0"/>
          <w:sz w:val="24"/>
          <w:szCs w:val="24"/>
          <w:highlight w:val="none"/>
          <w:u w:val="single"/>
        </w:rPr>
        <w:t xml:space="preserve">     年   月    日</w:t>
      </w:r>
      <w:r>
        <w:rPr>
          <w:rFonts w:hint="eastAsia" w:ascii="宋体" w:hAnsi="宋体" w:eastAsia="宋体" w:cs="宋体"/>
          <w:i/>
          <w:iCs/>
          <w:color w:val="auto"/>
          <w:spacing w:val="0"/>
          <w:sz w:val="25"/>
          <w:szCs w:val="25"/>
          <w:highlight w:val="none"/>
          <w:u w:val="single"/>
        </w:rPr>
        <w:t>（不得短于招标文件规定的投标有效期）</w:t>
      </w:r>
      <w:r>
        <w:rPr>
          <w:rFonts w:hint="eastAsia" w:ascii="宋体" w:hAnsi="宋体" w:eastAsia="宋体" w:cs="宋体"/>
          <w:color w:val="auto"/>
          <w:spacing w:val="0"/>
          <w:sz w:val="25"/>
          <w:szCs w:val="25"/>
          <w:highlight w:val="none"/>
        </w:rPr>
        <w:t xml:space="preserve"> </w:t>
      </w:r>
      <w:r>
        <w:rPr>
          <w:rFonts w:hint="eastAsia" w:ascii="宋体" w:hAnsi="宋体" w:eastAsia="宋体" w:cs="宋体"/>
          <w:color w:val="auto"/>
          <w:spacing w:val="0"/>
          <w:sz w:val="24"/>
          <w:szCs w:val="24"/>
          <w:highlight w:val="none"/>
        </w:rPr>
        <w:t xml:space="preserve">。 </w:t>
      </w:r>
    </w:p>
    <w:p w14:paraId="255EEA9D">
      <w:pPr>
        <w:keepNext w:val="0"/>
        <w:keepLines w:val="0"/>
        <w:pageBreakBefore w:val="0"/>
        <w:widowControl/>
        <w:kinsoku w:val="0"/>
        <w:wordWrap w:val="0"/>
        <w:overflowPunct/>
        <w:topLinePunct w:val="0"/>
        <w:autoSpaceDE w:val="0"/>
        <w:autoSpaceDN w:val="0"/>
        <w:bidi w:val="0"/>
        <w:adjustRightInd w:val="0"/>
        <w:snapToGrid w:val="0"/>
        <w:spacing w:before="32" w:line="320" w:lineRule="auto"/>
        <w:ind w:left="480" w:right="497"/>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代理人无转委托权。</w:t>
      </w:r>
    </w:p>
    <w:p w14:paraId="26863422">
      <w:pPr>
        <w:pStyle w:val="6"/>
        <w:keepNext w:val="0"/>
        <w:keepLines w:val="0"/>
        <w:pageBreakBefore w:val="0"/>
        <w:wordWrap w:val="0"/>
        <w:overflowPunct/>
        <w:topLinePunct w:val="0"/>
        <w:bidi w:val="0"/>
        <w:spacing w:line="276" w:lineRule="auto"/>
        <w:rPr>
          <w:rFonts w:hint="eastAsia" w:ascii="宋体" w:hAnsi="宋体" w:eastAsia="宋体" w:cs="宋体"/>
          <w:color w:val="auto"/>
          <w:spacing w:val="0"/>
          <w:highlight w:val="none"/>
        </w:rPr>
      </w:pPr>
    </w:p>
    <w:p w14:paraId="5E6384FF">
      <w:pPr>
        <w:pStyle w:val="6"/>
        <w:keepNext w:val="0"/>
        <w:keepLines w:val="0"/>
        <w:pageBreakBefore w:val="0"/>
        <w:wordWrap w:val="0"/>
        <w:overflowPunct/>
        <w:topLinePunct w:val="0"/>
        <w:bidi w:val="0"/>
        <w:spacing w:line="277" w:lineRule="auto"/>
        <w:rPr>
          <w:rFonts w:hint="eastAsia" w:ascii="宋体" w:hAnsi="宋体" w:eastAsia="宋体" w:cs="宋体"/>
          <w:color w:val="auto"/>
          <w:spacing w:val="0"/>
          <w:highlight w:val="none"/>
        </w:rPr>
      </w:pPr>
    </w:p>
    <w:p w14:paraId="63267E10">
      <w:pPr>
        <w:pStyle w:val="6"/>
        <w:keepNext w:val="0"/>
        <w:keepLines w:val="0"/>
        <w:pageBreakBefore w:val="0"/>
        <w:wordWrap w:val="0"/>
        <w:overflowPunct/>
        <w:topLinePunct w:val="0"/>
        <w:bidi w:val="0"/>
        <w:spacing w:line="277" w:lineRule="auto"/>
        <w:rPr>
          <w:rFonts w:hint="eastAsia" w:ascii="宋体" w:hAnsi="宋体" w:eastAsia="宋体" w:cs="宋体"/>
          <w:color w:val="auto"/>
          <w:spacing w:val="0"/>
          <w:highlight w:val="none"/>
        </w:rPr>
      </w:pPr>
    </w:p>
    <w:p w14:paraId="402E4888">
      <w:pPr>
        <w:keepNext w:val="0"/>
        <w:keepLines w:val="0"/>
        <w:pageBreakBefore w:val="0"/>
        <w:wordWrap w:val="0"/>
        <w:overflowPunct/>
        <w:topLinePunct w:val="0"/>
        <w:bidi w:val="0"/>
        <w:spacing w:before="78" w:line="219" w:lineRule="auto"/>
        <w:ind w:left="3123"/>
        <w:jc w:val="right"/>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投  标  人：</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rPr>
        <w:t>（盖单位章）</w:t>
      </w:r>
    </w:p>
    <w:p w14:paraId="707B7901">
      <w:pPr>
        <w:pStyle w:val="6"/>
        <w:keepNext w:val="0"/>
        <w:keepLines w:val="0"/>
        <w:pageBreakBefore w:val="0"/>
        <w:wordWrap w:val="0"/>
        <w:overflowPunct/>
        <w:topLinePunct w:val="0"/>
        <w:bidi w:val="0"/>
        <w:spacing w:line="317" w:lineRule="auto"/>
        <w:jc w:val="right"/>
        <w:rPr>
          <w:rFonts w:hint="eastAsia" w:ascii="宋体" w:hAnsi="宋体" w:eastAsia="宋体" w:cs="宋体"/>
          <w:color w:val="auto"/>
          <w:spacing w:val="0"/>
          <w:highlight w:val="none"/>
        </w:rPr>
      </w:pPr>
    </w:p>
    <w:p w14:paraId="6D62AA78">
      <w:pPr>
        <w:pStyle w:val="6"/>
        <w:keepNext w:val="0"/>
        <w:keepLines w:val="0"/>
        <w:pageBreakBefore w:val="0"/>
        <w:wordWrap w:val="0"/>
        <w:overflowPunct/>
        <w:topLinePunct w:val="0"/>
        <w:bidi w:val="0"/>
        <w:spacing w:line="317" w:lineRule="auto"/>
        <w:jc w:val="right"/>
        <w:rPr>
          <w:rFonts w:hint="eastAsia" w:ascii="宋体" w:hAnsi="宋体" w:eastAsia="宋体" w:cs="宋体"/>
          <w:color w:val="auto"/>
          <w:spacing w:val="0"/>
          <w:highlight w:val="none"/>
        </w:rPr>
      </w:pPr>
    </w:p>
    <w:p w14:paraId="0E9DF672">
      <w:pPr>
        <w:pStyle w:val="6"/>
        <w:keepNext w:val="0"/>
        <w:keepLines w:val="0"/>
        <w:pageBreakBefore w:val="0"/>
        <w:wordWrap w:val="0"/>
        <w:overflowPunct/>
        <w:topLinePunct w:val="0"/>
        <w:bidi w:val="0"/>
        <w:spacing w:line="317" w:lineRule="auto"/>
        <w:jc w:val="right"/>
        <w:rPr>
          <w:rFonts w:hint="eastAsia" w:ascii="宋体" w:hAnsi="宋体" w:eastAsia="宋体" w:cs="宋体"/>
          <w:color w:val="auto"/>
          <w:spacing w:val="0"/>
          <w:highlight w:val="none"/>
        </w:rPr>
      </w:pPr>
    </w:p>
    <w:p w14:paraId="4A80B255">
      <w:pPr>
        <w:keepNext w:val="0"/>
        <w:keepLines w:val="0"/>
        <w:pageBreakBefore w:val="0"/>
        <w:wordWrap w:val="0"/>
        <w:overflowPunct/>
        <w:topLinePunct w:val="0"/>
        <w:bidi w:val="0"/>
        <w:spacing w:before="79" w:line="219" w:lineRule="auto"/>
        <w:ind w:left="3121"/>
        <w:jc w:val="right"/>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法定代表人：</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rPr>
        <w:t>（签字或盖章）</w:t>
      </w:r>
    </w:p>
    <w:p w14:paraId="06C5BE7F">
      <w:pPr>
        <w:pStyle w:val="6"/>
        <w:keepNext w:val="0"/>
        <w:keepLines w:val="0"/>
        <w:pageBreakBefore w:val="0"/>
        <w:wordWrap w:val="0"/>
        <w:overflowPunct/>
        <w:topLinePunct w:val="0"/>
        <w:bidi w:val="0"/>
        <w:spacing w:line="317" w:lineRule="auto"/>
        <w:jc w:val="right"/>
        <w:rPr>
          <w:rFonts w:hint="eastAsia" w:ascii="宋体" w:hAnsi="宋体" w:eastAsia="宋体" w:cs="宋体"/>
          <w:color w:val="auto"/>
          <w:spacing w:val="0"/>
          <w:highlight w:val="none"/>
        </w:rPr>
      </w:pPr>
    </w:p>
    <w:p w14:paraId="7EC5D0B1">
      <w:pPr>
        <w:pStyle w:val="6"/>
        <w:keepNext w:val="0"/>
        <w:keepLines w:val="0"/>
        <w:pageBreakBefore w:val="0"/>
        <w:wordWrap w:val="0"/>
        <w:overflowPunct/>
        <w:topLinePunct w:val="0"/>
        <w:bidi w:val="0"/>
        <w:spacing w:line="317" w:lineRule="auto"/>
        <w:jc w:val="right"/>
        <w:rPr>
          <w:rFonts w:hint="eastAsia" w:ascii="宋体" w:hAnsi="宋体" w:eastAsia="宋体" w:cs="宋体"/>
          <w:color w:val="auto"/>
          <w:spacing w:val="0"/>
          <w:highlight w:val="none"/>
        </w:rPr>
      </w:pPr>
    </w:p>
    <w:p w14:paraId="75167906">
      <w:pPr>
        <w:pStyle w:val="6"/>
        <w:keepNext w:val="0"/>
        <w:keepLines w:val="0"/>
        <w:pageBreakBefore w:val="0"/>
        <w:wordWrap w:val="0"/>
        <w:overflowPunct/>
        <w:topLinePunct w:val="0"/>
        <w:bidi w:val="0"/>
        <w:spacing w:line="317" w:lineRule="auto"/>
        <w:jc w:val="right"/>
        <w:rPr>
          <w:rFonts w:hint="eastAsia" w:ascii="宋体" w:hAnsi="宋体" w:eastAsia="宋体" w:cs="宋体"/>
          <w:color w:val="auto"/>
          <w:spacing w:val="0"/>
          <w:highlight w:val="none"/>
        </w:rPr>
      </w:pPr>
    </w:p>
    <w:p w14:paraId="5726B866">
      <w:pPr>
        <w:keepNext w:val="0"/>
        <w:keepLines w:val="0"/>
        <w:pageBreakBefore w:val="0"/>
        <w:wordWrap w:val="0"/>
        <w:overflowPunct/>
        <w:topLinePunct w:val="0"/>
        <w:bidi w:val="0"/>
        <w:spacing w:before="78" w:line="219" w:lineRule="auto"/>
        <w:ind w:left="2880"/>
        <w:jc w:val="right"/>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委托代理人：</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rPr>
        <w:t>（签字或盖章）</w:t>
      </w:r>
    </w:p>
    <w:p w14:paraId="72D89D70">
      <w:pPr>
        <w:pStyle w:val="6"/>
        <w:keepNext w:val="0"/>
        <w:keepLines w:val="0"/>
        <w:pageBreakBefore w:val="0"/>
        <w:wordWrap w:val="0"/>
        <w:overflowPunct/>
        <w:topLinePunct w:val="0"/>
        <w:bidi w:val="0"/>
        <w:spacing w:line="256" w:lineRule="auto"/>
        <w:jc w:val="right"/>
        <w:rPr>
          <w:rFonts w:hint="eastAsia" w:ascii="宋体" w:hAnsi="宋体" w:eastAsia="宋体" w:cs="宋体"/>
          <w:color w:val="auto"/>
          <w:spacing w:val="0"/>
          <w:highlight w:val="none"/>
        </w:rPr>
      </w:pPr>
    </w:p>
    <w:p w14:paraId="1DAB924A">
      <w:pPr>
        <w:pStyle w:val="6"/>
        <w:keepNext w:val="0"/>
        <w:keepLines w:val="0"/>
        <w:pageBreakBefore w:val="0"/>
        <w:wordWrap w:val="0"/>
        <w:overflowPunct/>
        <w:topLinePunct w:val="0"/>
        <w:bidi w:val="0"/>
        <w:spacing w:line="256" w:lineRule="auto"/>
        <w:jc w:val="right"/>
        <w:rPr>
          <w:rFonts w:hint="eastAsia" w:ascii="宋体" w:hAnsi="宋体" w:eastAsia="宋体" w:cs="宋体"/>
          <w:color w:val="auto"/>
          <w:spacing w:val="0"/>
          <w:highlight w:val="none"/>
        </w:rPr>
      </w:pPr>
    </w:p>
    <w:p w14:paraId="6F409BF3">
      <w:pPr>
        <w:keepNext w:val="0"/>
        <w:keepLines w:val="0"/>
        <w:pageBreakBefore w:val="0"/>
        <w:wordWrap w:val="0"/>
        <w:overflowPunct/>
        <w:topLinePunct w:val="0"/>
        <w:bidi w:val="0"/>
        <w:spacing w:before="78" w:line="220" w:lineRule="auto"/>
        <w:ind w:left="6730"/>
        <w:jc w:val="right"/>
        <w:rPr>
          <w:rFonts w:hint="eastAsia" w:ascii="宋体" w:hAnsi="宋体" w:eastAsia="宋体" w:cs="宋体"/>
          <w:color w:val="auto"/>
          <w:spacing w:val="0"/>
          <w:sz w:val="24"/>
          <w:szCs w:val="24"/>
          <w:highlight w:val="none"/>
        </w:rPr>
      </w:pP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年</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月</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日</w:t>
      </w:r>
    </w:p>
    <w:p w14:paraId="3C335BF9">
      <w:pPr>
        <w:keepNext w:val="0"/>
        <w:keepLines w:val="0"/>
        <w:pageBreakBefore w:val="0"/>
        <w:wordWrap w:val="0"/>
        <w:overflowPunct/>
        <w:topLinePunct w:val="0"/>
        <w:bidi w:val="0"/>
        <w:spacing w:before="78" w:line="220" w:lineRule="auto"/>
        <w:ind w:left="4201"/>
        <w:jc w:val="right"/>
        <w:rPr>
          <w:rFonts w:hint="eastAsia" w:ascii="宋体" w:hAnsi="宋体" w:eastAsia="宋体" w:cs="宋体"/>
          <w:color w:val="auto"/>
          <w:spacing w:val="0"/>
          <w:sz w:val="24"/>
          <w:szCs w:val="24"/>
          <w:highlight w:val="none"/>
        </w:rPr>
      </w:pPr>
    </w:p>
    <w:p w14:paraId="107550C2">
      <w:pPr>
        <w:keepNext w:val="0"/>
        <w:keepLines w:val="0"/>
        <w:pageBreakBefore w:val="0"/>
        <w:wordWrap w:val="0"/>
        <w:overflowPunct/>
        <w:topLinePunct w:val="0"/>
        <w:bidi w:val="0"/>
        <w:spacing w:before="69"/>
        <w:rPr>
          <w:rFonts w:hint="eastAsia" w:ascii="宋体" w:hAnsi="宋体" w:eastAsia="宋体" w:cs="宋体"/>
          <w:color w:val="auto"/>
          <w:spacing w:val="0"/>
          <w:highlight w:val="none"/>
        </w:rPr>
      </w:pPr>
    </w:p>
    <w:p w14:paraId="25ADE2C7">
      <w:pPr>
        <w:keepNext w:val="0"/>
        <w:keepLines w:val="0"/>
        <w:pageBreakBefore w:val="0"/>
        <w:wordWrap w:val="0"/>
        <w:overflowPunct/>
        <w:topLinePunct w:val="0"/>
        <w:bidi w:val="0"/>
        <w:spacing w:before="69"/>
        <w:rPr>
          <w:rFonts w:hint="eastAsia" w:ascii="宋体" w:hAnsi="宋体" w:eastAsia="宋体" w:cs="宋体"/>
          <w:color w:val="auto"/>
          <w:spacing w:val="0"/>
          <w:highlight w:val="none"/>
        </w:rPr>
      </w:pPr>
    </w:p>
    <w:tbl>
      <w:tblPr>
        <w:tblStyle w:val="17"/>
        <w:tblW w:w="5600" w:type="dxa"/>
        <w:tblInd w:w="2300"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5600"/>
      </w:tblGrid>
      <w:tr w14:paraId="6AE9D13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2570" w:hRule="atLeast"/>
        </w:trPr>
        <w:tc>
          <w:tcPr>
            <w:tcW w:w="5600" w:type="dxa"/>
            <w:vAlign w:val="top"/>
          </w:tcPr>
          <w:p w14:paraId="49DF0FA2">
            <w:pPr>
              <w:pStyle w:val="32"/>
              <w:keepNext w:val="0"/>
              <w:keepLines w:val="0"/>
              <w:pageBreakBefore w:val="0"/>
              <w:wordWrap w:val="0"/>
              <w:overflowPunct/>
              <w:topLinePunct w:val="0"/>
              <w:bidi w:val="0"/>
              <w:spacing w:line="245" w:lineRule="auto"/>
              <w:rPr>
                <w:rFonts w:hint="eastAsia" w:ascii="宋体" w:hAnsi="宋体" w:eastAsia="宋体" w:cs="宋体"/>
                <w:color w:val="auto"/>
                <w:spacing w:val="0"/>
                <w:highlight w:val="none"/>
              </w:rPr>
            </w:pPr>
          </w:p>
          <w:p w14:paraId="3D9ABCCD">
            <w:pPr>
              <w:pStyle w:val="32"/>
              <w:keepNext w:val="0"/>
              <w:keepLines w:val="0"/>
              <w:pageBreakBefore w:val="0"/>
              <w:wordWrap w:val="0"/>
              <w:overflowPunct/>
              <w:topLinePunct w:val="0"/>
              <w:bidi w:val="0"/>
              <w:spacing w:line="245" w:lineRule="auto"/>
              <w:rPr>
                <w:rFonts w:hint="eastAsia" w:ascii="宋体" w:hAnsi="宋体" w:eastAsia="宋体" w:cs="宋体"/>
                <w:color w:val="auto"/>
                <w:spacing w:val="0"/>
                <w:highlight w:val="none"/>
              </w:rPr>
            </w:pPr>
          </w:p>
          <w:p w14:paraId="07AEBC1E">
            <w:pPr>
              <w:pStyle w:val="32"/>
              <w:keepNext w:val="0"/>
              <w:keepLines w:val="0"/>
              <w:pageBreakBefore w:val="0"/>
              <w:wordWrap w:val="0"/>
              <w:overflowPunct/>
              <w:topLinePunct w:val="0"/>
              <w:bidi w:val="0"/>
              <w:spacing w:line="245" w:lineRule="auto"/>
              <w:rPr>
                <w:rFonts w:hint="eastAsia" w:ascii="宋体" w:hAnsi="宋体" w:eastAsia="宋体" w:cs="宋体"/>
                <w:color w:val="auto"/>
                <w:spacing w:val="0"/>
                <w:highlight w:val="none"/>
              </w:rPr>
            </w:pPr>
          </w:p>
          <w:p w14:paraId="500D8BEF">
            <w:pPr>
              <w:pStyle w:val="32"/>
              <w:keepNext w:val="0"/>
              <w:keepLines w:val="0"/>
              <w:pageBreakBefore w:val="0"/>
              <w:wordWrap w:val="0"/>
              <w:overflowPunct/>
              <w:topLinePunct w:val="0"/>
              <w:bidi w:val="0"/>
              <w:spacing w:line="245" w:lineRule="auto"/>
              <w:rPr>
                <w:rFonts w:hint="eastAsia" w:ascii="宋体" w:hAnsi="宋体" w:eastAsia="宋体" w:cs="宋体"/>
                <w:color w:val="auto"/>
                <w:spacing w:val="0"/>
                <w:highlight w:val="none"/>
              </w:rPr>
            </w:pPr>
          </w:p>
          <w:p w14:paraId="0556680E">
            <w:pPr>
              <w:pStyle w:val="32"/>
              <w:keepNext w:val="0"/>
              <w:keepLines w:val="0"/>
              <w:pageBreakBefore w:val="0"/>
              <w:wordWrap w:val="0"/>
              <w:overflowPunct/>
              <w:topLinePunct w:val="0"/>
              <w:bidi w:val="0"/>
              <w:spacing w:line="245" w:lineRule="auto"/>
              <w:rPr>
                <w:rFonts w:hint="eastAsia" w:ascii="宋体" w:hAnsi="宋体" w:eastAsia="宋体" w:cs="宋体"/>
                <w:color w:val="auto"/>
                <w:spacing w:val="0"/>
                <w:highlight w:val="none"/>
              </w:rPr>
            </w:pPr>
          </w:p>
          <w:p w14:paraId="7E19F124">
            <w:pPr>
              <w:pStyle w:val="32"/>
              <w:keepNext w:val="0"/>
              <w:keepLines w:val="0"/>
              <w:pageBreakBefore w:val="0"/>
              <w:wordWrap w:val="0"/>
              <w:overflowPunct/>
              <w:topLinePunct w:val="0"/>
              <w:bidi w:val="0"/>
              <w:spacing w:line="245" w:lineRule="auto"/>
              <w:rPr>
                <w:rFonts w:hint="eastAsia" w:ascii="宋体" w:hAnsi="宋体" w:eastAsia="宋体" w:cs="宋体"/>
                <w:color w:val="auto"/>
                <w:spacing w:val="0"/>
                <w:highlight w:val="none"/>
              </w:rPr>
            </w:pPr>
          </w:p>
          <w:p w14:paraId="4CB2192A">
            <w:pPr>
              <w:pStyle w:val="32"/>
              <w:keepNext w:val="0"/>
              <w:keepLines w:val="0"/>
              <w:pageBreakBefore w:val="0"/>
              <w:wordWrap w:val="0"/>
              <w:overflowPunct/>
              <w:topLinePunct w:val="0"/>
              <w:bidi w:val="0"/>
              <w:spacing w:line="246" w:lineRule="auto"/>
              <w:rPr>
                <w:rFonts w:hint="eastAsia" w:ascii="宋体" w:hAnsi="宋体" w:eastAsia="宋体" w:cs="宋体"/>
                <w:color w:val="auto"/>
                <w:spacing w:val="0"/>
                <w:highlight w:val="none"/>
              </w:rPr>
            </w:pPr>
          </w:p>
          <w:p w14:paraId="5B903322">
            <w:pPr>
              <w:keepNext w:val="0"/>
              <w:keepLines w:val="0"/>
              <w:pageBreakBefore w:val="0"/>
              <w:wordWrap w:val="0"/>
              <w:overflowPunct/>
              <w:topLinePunct w:val="0"/>
              <w:bidi w:val="0"/>
              <w:spacing w:before="78" w:line="220" w:lineRule="auto"/>
              <w:ind w:left="718"/>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委托代理人身份证</w:t>
            </w:r>
            <w:r>
              <w:rPr>
                <w:rFonts w:hint="eastAsia" w:ascii="宋体" w:hAnsi="宋体" w:eastAsia="宋体" w:cs="宋体"/>
                <w:color w:val="auto"/>
                <w:spacing w:val="0"/>
                <w:sz w:val="24"/>
                <w:szCs w:val="24"/>
                <w:highlight w:val="none"/>
                <w:lang w:val="en-US" w:eastAsia="zh-CN"/>
              </w:rPr>
              <w:t>彩色扫描件</w:t>
            </w:r>
            <w:r>
              <w:rPr>
                <w:rFonts w:hint="eastAsia" w:ascii="宋体" w:hAnsi="宋体" w:eastAsia="宋体" w:cs="宋体"/>
                <w:color w:val="auto"/>
                <w:spacing w:val="0"/>
                <w:sz w:val="24"/>
                <w:szCs w:val="24"/>
                <w:highlight w:val="none"/>
              </w:rPr>
              <w:t>正、反面</w:t>
            </w:r>
          </w:p>
        </w:tc>
      </w:tr>
    </w:tbl>
    <w:p w14:paraId="3E242FED">
      <w:pPr>
        <w:pStyle w:val="6"/>
        <w:keepNext w:val="0"/>
        <w:keepLines w:val="0"/>
        <w:pageBreakBefore w:val="0"/>
        <w:wordWrap w:val="0"/>
        <w:overflowPunct/>
        <w:topLinePunct w:val="0"/>
        <w:bidi w:val="0"/>
        <w:rPr>
          <w:rFonts w:hint="eastAsia" w:ascii="宋体" w:hAnsi="宋体" w:eastAsia="宋体" w:cs="宋体"/>
          <w:color w:val="auto"/>
          <w:spacing w:val="0"/>
          <w:highlight w:val="none"/>
        </w:rPr>
      </w:pPr>
    </w:p>
    <w:p w14:paraId="1C6D6728">
      <w:pPr>
        <w:keepNext w:val="0"/>
        <w:keepLines w:val="0"/>
        <w:pageBreakBefore w:val="0"/>
        <w:wordWrap w:val="0"/>
        <w:overflowPunct/>
        <w:topLinePunct w:val="0"/>
        <w:bidi w:val="0"/>
        <w:rPr>
          <w:rFonts w:hint="eastAsia" w:ascii="宋体" w:hAnsi="宋体" w:eastAsia="宋体" w:cs="宋体"/>
          <w:color w:val="auto"/>
          <w:spacing w:val="0"/>
          <w:highlight w:val="none"/>
        </w:rPr>
        <w:sectPr>
          <w:footerReference r:id="rId17"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77C4E437">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auto"/>
          <w:spacing w:val="0"/>
          <w:sz w:val="24"/>
          <w:szCs w:val="24"/>
          <w:highlight w:val="none"/>
        </w:rPr>
      </w:pPr>
      <w:bookmarkStart w:id="221" w:name="_Toc23932"/>
      <w:r>
        <w:rPr>
          <w:rFonts w:hint="eastAsia" w:ascii="宋体" w:hAnsi="宋体" w:eastAsia="宋体" w:cs="宋体"/>
          <w:b/>
          <w:bCs/>
          <w:color w:val="auto"/>
          <w:spacing w:val="0"/>
          <w:sz w:val="24"/>
          <w:szCs w:val="24"/>
          <w:highlight w:val="none"/>
        </w:rPr>
        <w:t>格式五 法定代表人身份证明</w:t>
      </w:r>
      <w:bookmarkEnd w:id="221"/>
    </w:p>
    <w:p w14:paraId="459E85CB">
      <w:pPr>
        <w:pStyle w:val="6"/>
        <w:keepNext w:val="0"/>
        <w:keepLines w:val="0"/>
        <w:pageBreakBefore w:val="0"/>
        <w:wordWrap w:val="0"/>
        <w:overflowPunct/>
        <w:topLinePunct w:val="0"/>
        <w:bidi w:val="0"/>
        <w:spacing w:line="350" w:lineRule="auto"/>
        <w:rPr>
          <w:rFonts w:hint="eastAsia" w:ascii="宋体" w:hAnsi="宋体" w:eastAsia="宋体" w:cs="宋体"/>
          <w:color w:val="auto"/>
          <w:spacing w:val="0"/>
          <w:highlight w:val="none"/>
        </w:rPr>
      </w:pPr>
    </w:p>
    <w:p w14:paraId="18E00935">
      <w:pPr>
        <w:pStyle w:val="6"/>
        <w:keepNext w:val="0"/>
        <w:keepLines w:val="0"/>
        <w:pageBreakBefore w:val="0"/>
        <w:wordWrap w:val="0"/>
        <w:overflowPunct/>
        <w:topLinePunct w:val="0"/>
        <w:bidi w:val="0"/>
        <w:spacing w:line="350" w:lineRule="auto"/>
        <w:rPr>
          <w:rFonts w:hint="eastAsia" w:ascii="宋体" w:hAnsi="宋体" w:eastAsia="宋体" w:cs="宋体"/>
          <w:color w:val="auto"/>
          <w:spacing w:val="0"/>
          <w:highlight w:val="none"/>
        </w:rPr>
      </w:pPr>
    </w:p>
    <w:p w14:paraId="7D506B8D">
      <w:pPr>
        <w:keepNext w:val="0"/>
        <w:keepLines w:val="0"/>
        <w:pageBreakBefore w:val="0"/>
        <w:wordWrap w:val="0"/>
        <w:overflowPunct/>
        <w:topLinePunct w:val="0"/>
        <w:bidi w:val="0"/>
        <w:spacing w:before="98" w:line="220" w:lineRule="auto"/>
        <w:ind w:left="3183"/>
        <w:rPr>
          <w:rFonts w:hint="eastAsia" w:ascii="宋体" w:hAnsi="宋体" w:eastAsia="宋体" w:cs="宋体"/>
          <w:color w:val="auto"/>
          <w:spacing w:val="0"/>
          <w:sz w:val="30"/>
          <w:szCs w:val="30"/>
          <w:highlight w:val="none"/>
        </w:rPr>
      </w:pPr>
      <w:bookmarkStart w:id="222" w:name="bookmark152"/>
      <w:bookmarkEnd w:id="222"/>
      <w:r>
        <w:rPr>
          <w:rFonts w:hint="eastAsia" w:ascii="宋体" w:hAnsi="宋体" w:eastAsia="宋体" w:cs="宋体"/>
          <w:b/>
          <w:bCs/>
          <w:color w:val="auto"/>
          <w:spacing w:val="0"/>
          <w:sz w:val="30"/>
          <w:szCs w:val="30"/>
          <w:highlight w:val="none"/>
        </w:rPr>
        <w:t>法定代表人身份证明</w:t>
      </w:r>
    </w:p>
    <w:p w14:paraId="5E30D0BE">
      <w:pPr>
        <w:pStyle w:val="6"/>
        <w:keepNext w:val="0"/>
        <w:keepLines w:val="0"/>
        <w:pageBreakBefore w:val="0"/>
        <w:wordWrap w:val="0"/>
        <w:overflowPunct/>
        <w:topLinePunct w:val="0"/>
        <w:bidi w:val="0"/>
        <w:spacing w:line="250" w:lineRule="auto"/>
        <w:rPr>
          <w:rFonts w:hint="eastAsia" w:ascii="宋体" w:hAnsi="宋体" w:eastAsia="宋体" w:cs="宋体"/>
          <w:color w:val="auto"/>
          <w:spacing w:val="0"/>
          <w:highlight w:val="none"/>
        </w:rPr>
      </w:pPr>
    </w:p>
    <w:p w14:paraId="7A9AE3D9">
      <w:pPr>
        <w:pStyle w:val="6"/>
        <w:keepNext w:val="0"/>
        <w:keepLines w:val="0"/>
        <w:pageBreakBefore w:val="0"/>
        <w:wordWrap w:val="0"/>
        <w:overflowPunct/>
        <w:topLinePunct w:val="0"/>
        <w:bidi w:val="0"/>
        <w:spacing w:line="250" w:lineRule="auto"/>
        <w:rPr>
          <w:rFonts w:hint="eastAsia" w:ascii="宋体" w:hAnsi="宋体" w:eastAsia="宋体" w:cs="宋体"/>
          <w:color w:val="auto"/>
          <w:spacing w:val="0"/>
          <w:highlight w:val="none"/>
        </w:rPr>
      </w:pPr>
    </w:p>
    <w:p w14:paraId="1B85F653">
      <w:pPr>
        <w:pStyle w:val="6"/>
        <w:keepNext w:val="0"/>
        <w:keepLines w:val="0"/>
        <w:pageBreakBefore w:val="0"/>
        <w:wordWrap w:val="0"/>
        <w:overflowPunct/>
        <w:topLinePunct w:val="0"/>
        <w:bidi w:val="0"/>
        <w:spacing w:line="251" w:lineRule="auto"/>
        <w:rPr>
          <w:rFonts w:hint="eastAsia" w:ascii="宋体" w:hAnsi="宋体" w:eastAsia="宋体" w:cs="宋体"/>
          <w:color w:val="auto"/>
          <w:spacing w:val="0"/>
          <w:highlight w:val="none"/>
        </w:rPr>
      </w:pPr>
    </w:p>
    <w:p w14:paraId="117B03FF">
      <w:pPr>
        <w:keepNext w:val="0"/>
        <w:keepLines w:val="0"/>
        <w:pageBreakBefore w:val="0"/>
        <w:wordWrap w:val="0"/>
        <w:overflowPunct/>
        <w:topLinePunct w:val="0"/>
        <w:bidi w:val="0"/>
        <w:adjustRightInd w:val="0"/>
        <w:snapToGrid w:val="0"/>
        <w:spacing w:line="440" w:lineRule="exact"/>
        <w:rPr>
          <w:rFonts w:hint="eastAsia" w:ascii="宋体" w:hAnsi="宋体" w:eastAsia="宋体" w:cs="宋体"/>
          <w:snapToGrid w:val="0"/>
          <w:color w:val="auto"/>
          <w:spacing w:val="0"/>
          <w:kern w:val="0"/>
          <w:sz w:val="24"/>
          <w:szCs w:val="24"/>
          <w:highlight w:val="none"/>
          <w:u w:val="single"/>
        </w:rPr>
      </w:pPr>
      <w:r>
        <w:rPr>
          <w:rFonts w:hint="eastAsia" w:ascii="宋体" w:hAnsi="宋体" w:eastAsia="宋体" w:cs="宋体"/>
          <w:snapToGrid w:val="0"/>
          <w:color w:val="auto"/>
          <w:spacing w:val="0"/>
          <w:kern w:val="0"/>
          <w:sz w:val="24"/>
          <w:szCs w:val="24"/>
          <w:highlight w:val="none"/>
        </w:rPr>
        <w:t>投标人名称：</w:t>
      </w:r>
      <w:r>
        <w:rPr>
          <w:rFonts w:hint="eastAsia" w:ascii="宋体" w:hAnsi="宋体" w:eastAsia="宋体" w:cs="宋体"/>
          <w:snapToGrid w:val="0"/>
          <w:color w:val="auto"/>
          <w:spacing w:val="0"/>
          <w:kern w:val="0"/>
          <w:sz w:val="24"/>
          <w:szCs w:val="24"/>
          <w:highlight w:val="none"/>
          <w:u w:val="single"/>
        </w:rPr>
        <w:t xml:space="preserve">                  </w:t>
      </w:r>
    </w:p>
    <w:p w14:paraId="60AA4A76">
      <w:pPr>
        <w:keepNext w:val="0"/>
        <w:keepLines w:val="0"/>
        <w:pageBreakBefore w:val="0"/>
        <w:wordWrap w:val="0"/>
        <w:overflowPunct/>
        <w:topLinePunct w:val="0"/>
        <w:bidi w:val="0"/>
        <w:adjustRightInd w:val="0"/>
        <w:snapToGrid w:val="0"/>
        <w:spacing w:line="440" w:lineRule="exact"/>
        <w:rPr>
          <w:rFonts w:hint="eastAsia" w:ascii="宋体" w:hAnsi="宋体" w:eastAsia="宋体" w:cs="宋体"/>
          <w:snapToGrid w:val="0"/>
          <w:color w:val="auto"/>
          <w:spacing w:val="0"/>
          <w:kern w:val="0"/>
          <w:sz w:val="24"/>
          <w:szCs w:val="24"/>
          <w:highlight w:val="none"/>
          <w:u w:val="single"/>
        </w:rPr>
      </w:pPr>
      <w:r>
        <w:rPr>
          <w:rFonts w:hint="eastAsia" w:ascii="宋体" w:hAnsi="宋体" w:eastAsia="宋体" w:cs="宋体"/>
          <w:snapToGrid w:val="0"/>
          <w:color w:val="auto"/>
          <w:spacing w:val="0"/>
          <w:kern w:val="0"/>
          <w:sz w:val="24"/>
          <w:szCs w:val="24"/>
          <w:highlight w:val="none"/>
        </w:rPr>
        <w:t>姓名：</w:t>
      </w:r>
      <w:r>
        <w:rPr>
          <w:rFonts w:hint="eastAsia" w:ascii="宋体" w:hAnsi="宋体" w:eastAsia="宋体" w:cs="宋体"/>
          <w:snapToGrid w:val="0"/>
          <w:color w:val="auto"/>
          <w:spacing w:val="0"/>
          <w:kern w:val="0"/>
          <w:sz w:val="24"/>
          <w:szCs w:val="24"/>
          <w:highlight w:val="none"/>
          <w:u w:val="single"/>
        </w:rPr>
        <w:t xml:space="preserve">         </w:t>
      </w:r>
      <w:r>
        <w:rPr>
          <w:rFonts w:hint="eastAsia" w:ascii="宋体" w:hAnsi="宋体" w:eastAsia="宋体" w:cs="宋体"/>
          <w:snapToGrid w:val="0"/>
          <w:color w:val="auto"/>
          <w:spacing w:val="0"/>
          <w:kern w:val="0"/>
          <w:sz w:val="24"/>
          <w:szCs w:val="24"/>
          <w:highlight w:val="none"/>
        </w:rPr>
        <w:t>性别：</w:t>
      </w:r>
      <w:r>
        <w:rPr>
          <w:rFonts w:hint="eastAsia" w:ascii="宋体" w:hAnsi="宋体" w:eastAsia="宋体" w:cs="宋体"/>
          <w:snapToGrid w:val="0"/>
          <w:color w:val="auto"/>
          <w:spacing w:val="0"/>
          <w:kern w:val="0"/>
          <w:sz w:val="24"/>
          <w:szCs w:val="24"/>
          <w:highlight w:val="none"/>
          <w:u w:val="single"/>
        </w:rPr>
        <w:t xml:space="preserve">      </w:t>
      </w:r>
      <w:r>
        <w:rPr>
          <w:rFonts w:hint="eastAsia" w:ascii="宋体" w:hAnsi="宋体" w:eastAsia="宋体" w:cs="宋体"/>
          <w:snapToGrid w:val="0"/>
          <w:color w:val="auto"/>
          <w:spacing w:val="0"/>
          <w:kern w:val="0"/>
          <w:sz w:val="24"/>
          <w:szCs w:val="24"/>
          <w:highlight w:val="none"/>
        </w:rPr>
        <w:t>年龄：</w:t>
      </w:r>
      <w:r>
        <w:rPr>
          <w:rFonts w:hint="eastAsia" w:ascii="宋体" w:hAnsi="宋体" w:eastAsia="宋体" w:cs="宋体"/>
          <w:snapToGrid w:val="0"/>
          <w:color w:val="auto"/>
          <w:spacing w:val="0"/>
          <w:kern w:val="0"/>
          <w:sz w:val="24"/>
          <w:szCs w:val="24"/>
          <w:highlight w:val="none"/>
          <w:u w:val="single"/>
        </w:rPr>
        <w:t xml:space="preserve">       </w:t>
      </w:r>
      <w:r>
        <w:rPr>
          <w:rFonts w:hint="eastAsia" w:ascii="宋体" w:hAnsi="宋体" w:eastAsia="宋体" w:cs="宋体"/>
          <w:snapToGrid w:val="0"/>
          <w:color w:val="auto"/>
          <w:spacing w:val="0"/>
          <w:kern w:val="0"/>
          <w:sz w:val="24"/>
          <w:szCs w:val="24"/>
          <w:highlight w:val="none"/>
        </w:rPr>
        <w:t>职务：</w:t>
      </w:r>
      <w:r>
        <w:rPr>
          <w:rFonts w:hint="eastAsia" w:ascii="宋体" w:hAnsi="宋体" w:eastAsia="宋体" w:cs="宋体"/>
          <w:snapToGrid w:val="0"/>
          <w:color w:val="auto"/>
          <w:spacing w:val="0"/>
          <w:kern w:val="0"/>
          <w:sz w:val="24"/>
          <w:szCs w:val="24"/>
          <w:highlight w:val="none"/>
          <w:u w:val="single"/>
        </w:rPr>
        <w:t xml:space="preserve">           </w:t>
      </w:r>
    </w:p>
    <w:p w14:paraId="565761D8">
      <w:pPr>
        <w:keepNext w:val="0"/>
        <w:keepLines w:val="0"/>
        <w:pageBreakBefore w:val="0"/>
        <w:wordWrap w:val="0"/>
        <w:overflowPunct/>
        <w:topLinePunct w:val="0"/>
        <w:bidi w:val="0"/>
        <w:adjustRightInd w:val="0"/>
        <w:snapToGrid w:val="0"/>
        <w:spacing w:line="440" w:lineRule="exact"/>
        <w:rPr>
          <w:rFonts w:hint="eastAsia" w:ascii="宋体" w:hAnsi="宋体" w:eastAsia="宋体" w:cs="宋体"/>
          <w:snapToGrid w:val="0"/>
          <w:color w:val="auto"/>
          <w:spacing w:val="0"/>
          <w:kern w:val="0"/>
          <w:sz w:val="24"/>
          <w:szCs w:val="24"/>
          <w:highlight w:val="none"/>
        </w:rPr>
      </w:pPr>
      <w:r>
        <w:rPr>
          <w:rFonts w:hint="eastAsia" w:ascii="宋体" w:hAnsi="宋体" w:eastAsia="宋体" w:cs="宋体"/>
          <w:snapToGrid w:val="0"/>
          <w:color w:val="auto"/>
          <w:spacing w:val="0"/>
          <w:kern w:val="0"/>
          <w:sz w:val="24"/>
          <w:szCs w:val="24"/>
          <w:highlight w:val="none"/>
        </w:rPr>
        <w:t>系</w:t>
      </w:r>
      <w:r>
        <w:rPr>
          <w:rFonts w:hint="eastAsia" w:ascii="宋体" w:hAnsi="宋体" w:eastAsia="宋体" w:cs="宋体"/>
          <w:snapToGrid w:val="0"/>
          <w:color w:val="auto"/>
          <w:spacing w:val="0"/>
          <w:kern w:val="0"/>
          <w:sz w:val="24"/>
          <w:szCs w:val="24"/>
          <w:highlight w:val="none"/>
          <w:u w:val="single"/>
        </w:rPr>
        <w:t xml:space="preserve">                        </w:t>
      </w:r>
      <w:r>
        <w:rPr>
          <w:rFonts w:hint="eastAsia" w:ascii="宋体" w:hAnsi="宋体" w:eastAsia="宋体" w:cs="宋体"/>
          <w:snapToGrid w:val="0"/>
          <w:color w:val="auto"/>
          <w:spacing w:val="0"/>
          <w:kern w:val="0"/>
          <w:sz w:val="24"/>
          <w:szCs w:val="24"/>
          <w:highlight w:val="none"/>
        </w:rPr>
        <w:t>（投标人名称）的法定代表人。</w:t>
      </w:r>
    </w:p>
    <w:p w14:paraId="1B6B4431">
      <w:pPr>
        <w:keepNext w:val="0"/>
        <w:keepLines w:val="0"/>
        <w:pageBreakBefore w:val="0"/>
        <w:wordWrap w:val="0"/>
        <w:overflowPunct/>
        <w:topLinePunct w:val="0"/>
        <w:bidi w:val="0"/>
        <w:adjustRightInd w:val="0"/>
        <w:snapToGrid w:val="0"/>
        <w:rPr>
          <w:rFonts w:hint="eastAsia" w:ascii="宋体" w:hAnsi="宋体" w:eastAsia="宋体" w:cs="宋体"/>
          <w:snapToGrid w:val="0"/>
          <w:color w:val="auto"/>
          <w:spacing w:val="0"/>
          <w:kern w:val="0"/>
          <w:szCs w:val="21"/>
          <w:highlight w:val="none"/>
        </w:rPr>
      </w:pPr>
      <w:r>
        <w:rPr>
          <w:rFonts w:hint="eastAsia" w:ascii="宋体" w:hAnsi="宋体" w:eastAsia="宋体" w:cs="宋体"/>
          <w:snapToGrid w:val="0"/>
          <w:color w:val="auto"/>
          <w:spacing w:val="0"/>
          <w:kern w:val="0"/>
          <w:sz w:val="24"/>
          <w:szCs w:val="24"/>
          <w:highlight w:val="none"/>
        </w:rPr>
        <w:t xml:space="preserve">    特此证明。</w:t>
      </w:r>
    </w:p>
    <w:p w14:paraId="4C95FE38">
      <w:pPr>
        <w:pStyle w:val="6"/>
        <w:keepNext w:val="0"/>
        <w:keepLines w:val="0"/>
        <w:pageBreakBefore w:val="0"/>
        <w:wordWrap w:val="0"/>
        <w:overflowPunct/>
        <w:topLinePunct w:val="0"/>
        <w:bidi w:val="0"/>
        <w:spacing w:line="277" w:lineRule="auto"/>
        <w:rPr>
          <w:rFonts w:hint="eastAsia" w:ascii="宋体" w:hAnsi="宋体" w:eastAsia="宋体" w:cs="宋体"/>
          <w:color w:val="auto"/>
          <w:spacing w:val="0"/>
          <w:highlight w:val="none"/>
        </w:rPr>
      </w:pPr>
    </w:p>
    <w:p w14:paraId="03C151D5">
      <w:pPr>
        <w:pStyle w:val="6"/>
        <w:keepNext w:val="0"/>
        <w:keepLines w:val="0"/>
        <w:pageBreakBefore w:val="0"/>
        <w:wordWrap w:val="0"/>
        <w:overflowPunct/>
        <w:topLinePunct w:val="0"/>
        <w:bidi w:val="0"/>
        <w:spacing w:line="277" w:lineRule="auto"/>
        <w:rPr>
          <w:rFonts w:hint="eastAsia" w:ascii="宋体" w:hAnsi="宋体" w:eastAsia="宋体" w:cs="宋体"/>
          <w:color w:val="auto"/>
          <w:spacing w:val="0"/>
          <w:highlight w:val="none"/>
        </w:rPr>
      </w:pPr>
    </w:p>
    <w:p w14:paraId="0940B4D5">
      <w:pPr>
        <w:pStyle w:val="6"/>
        <w:keepNext w:val="0"/>
        <w:keepLines w:val="0"/>
        <w:pageBreakBefore w:val="0"/>
        <w:wordWrap w:val="0"/>
        <w:overflowPunct/>
        <w:topLinePunct w:val="0"/>
        <w:bidi w:val="0"/>
        <w:spacing w:line="278" w:lineRule="auto"/>
        <w:rPr>
          <w:rFonts w:hint="eastAsia" w:ascii="宋体" w:hAnsi="宋体" w:eastAsia="宋体" w:cs="宋体"/>
          <w:color w:val="auto"/>
          <w:spacing w:val="0"/>
          <w:highlight w:val="none"/>
        </w:rPr>
      </w:pPr>
    </w:p>
    <w:p w14:paraId="488F56A3">
      <w:pPr>
        <w:keepNext w:val="0"/>
        <w:keepLines w:val="0"/>
        <w:pageBreakBefore w:val="0"/>
        <w:wordWrap w:val="0"/>
        <w:overflowPunct/>
        <w:topLinePunct w:val="0"/>
        <w:bidi w:val="0"/>
        <w:spacing w:before="78" w:line="219" w:lineRule="auto"/>
        <w:jc w:val="right"/>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投标人：</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rPr>
        <w:t>（盖单位章）</w:t>
      </w:r>
    </w:p>
    <w:p w14:paraId="4848618B">
      <w:pPr>
        <w:pStyle w:val="6"/>
        <w:keepNext w:val="0"/>
        <w:keepLines w:val="0"/>
        <w:pageBreakBefore w:val="0"/>
        <w:wordWrap w:val="0"/>
        <w:overflowPunct/>
        <w:topLinePunct w:val="0"/>
        <w:bidi w:val="0"/>
        <w:spacing w:line="317" w:lineRule="auto"/>
        <w:jc w:val="right"/>
        <w:rPr>
          <w:rFonts w:hint="eastAsia" w:ascii="宋体" w:hAnsi="宋体" w:eastAsia="宋体" w:cs="宋体"/>
          <w:color w:val="auto"/>
          <w:spacing w:val="0"/>
          <w:highlight w:val="none"/>
        </w:rPr>
      </w:pPr>
    </w:p>
    <w:p w14:paraId="79C32743">
      <w:pPr>
        <w:pStyle w:val="6"/>
        <w:keepNext w:val="0"/>
        <w:keepLines w:val="0"/>
        <w:pageBreakBefore w:val="0"/>
        <w:wordWrap w:val="0"/>
        <w:overflowPunct/>
        <w:topLinePunct w:val="0"/>
        <w:bidi w:val="0"/>
        <w:spacing w:line="317" w:lineRule="auto"/>
        <w:jc w:val="right"/>
        <w:rPr>
          <w:rFonts w:hint="eastAsia" w:ascii="宋体" w:hAnsi="宋体" w:eastAsia="宋体" w:cs="宋体"/>
          <w:color w:val="auto"/>
          <w:spacing w:val="0"/>
          <w:highlight w:val="none"/>
        </w:rPr>
      </w:pPr>
    </w:p>
    <w:p w14:paraId="771A3C7F">
      <w:pPr>
        <w:pStyle w:val="6"/>
        <w:keepNext w:val="0"/>
        <w:keepLines w:val="0"/>
        <w:pageBreakBefore w:val="0"/>
        <w:wordWrap w:val="0"/>
        <w:overflowPunct/>
        <w:topLinePunct w:val="0"/>
        <w:bidi w:val="0"/>
        <w:spacing w:line="317" w:lineRule="auto"/>
        <w:jc w:val="right"/>
        <w:rPr>
          <w:rFonts w:hint="eastAsia" w:ascii="宋体" w:hAnsi="宋体" w:eastAsia="宋体" w:cs="宋体"/>
          <w:color w:val="auto"/>
          <w:spacing w:val="0"/>
          <w:highlight w:val="none"/>
        </w:rPr>
      </w:pPr>
    </w:p>
    <w:p w14:paraId="49DED368">
      <w:pPr>
        <w:keepNext w:val="0"/>
        <w:keepLines w:val="0"/>
        <w:pageBreakBefore w:val="0"/>
        <w:wordWrap w:val="0"/>
        <w:overflowPunct/>
        <w:topLinePunct w:val="0"/>
        <w:bidi w:val="0"/>
        <w:spacing w:before="79" w:line="219" w:lineRule="auto"/>
        <w:jc w:val="right"/>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法定代表人：</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rPr>
        <w:t>（签字或盖章）</w:t>
      </w:r>
    </w:p>
    <w:p w14:paraId="6247DE37">
      <w:pPr>
        <w:pStyle w:val="6"/>
        <w:keepNext w:val="0"/>
        <w:keepLines w:val="0"/>
        <w:pageBreakBefore w:val="0"/>
        <w:wordWrap w:val="0"/>
        <w:overflowPunct/>
        <w:topLinePunct w:val="0"/>
        <w:bidi w:val="0"/>
        <w:spacing w:line="257" w:lineRule="auto"/>
        <w:jc w:val="right"/>
        <w:rPr>
          <w:rFonts w:hint="eastAsia" w:ascii="宋体" w:hAnsi="宋体" w:eastAsia="宋体" w:cs="宋体"/>
          <w:color w:val="auto"/>
          <w:spacing w:val="0"/>
          <w:highlight w:val="none"/>
        </w:rPr>
      </w:pPr>
    </w:p>
    <w:p w14:paraId="7A389060">
      <w:pPr>
        <w:pStyle w:val="6"/>
        <w:keepNext w:val="0"/>
        <w:keepLines w:val="0"/>
        <w:pageBreakBefore w:val="0"/>
        <w:wordWrap w:val="0"/>
        <w:overflowPunct/>
        <w:topLinePunct w:val="0"/>
        <w:bidi w:val="0"/>
        <w:spacing w:line="257" w:lineRule="auto"/>
        <w:jc w:val="right"/>
        <w:rPr>
          <w:rFonts w:hint="eastAsia" w:ascii="宋体" w:hAnsi="宋体" w:eastAsia="宋体" w:cs="宋体"/>
          <w:color w:val="auto"/>
          <w:spacing w:val="0"/>
          <w:highlight w:val="none"/>
        </w:rPr>
      </w:pPr>
    </w:p>
    <w:p w14:paraId="06905599">
      <w:pPr>
        <w:pStyle w:val="6"/>
        <w:keepNext w:val="0"/>
        <w:keepLines w:val="0"/>
        <w:pageBreakBefore w:val="0"/>
        <w:wordWrap w:val="0"/>
        <w:overflowPunct/>
        <w:topLinePunct w:val="0"/>
        <w:bidi w:val="0"/>
        <w:spacing w:line="254" w:lineRule="auto"/>
        <w:jc w:val="right"/>
        <w:rPr>
          <w:rFonts w:hint="eastAsia" w:ascii="宋体" w:hAnsi="宋体" w:eastAsia="宋体" w:cs="宋体"/>
          <w:color w:val="auto"/>
          <w:spacing w:val="0"/>
          <w:highlight w:val="none"/>
        </w:rPr>
      </w:pP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年</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月</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日</w:t>
      </w:r>
    </w:p>
    <w:p w14:paraId="34AA09CB">
      <w:pPr>
        <w:pStyle w:val="6"/>
        <w:keepNext w:val="0"/>
        <w:keepLines w:val="0"/>
        <w:pageBreakBefore w:val="0"/>
        <w:wordWrap w:val="0"/>
        <w:overflowPunct/>
        <w:topLinePunct w:val="0"/>
        <w:bidi w:val="0"/>
        <w:spacing w:line="254" w:lineRule="auto"/>
        <w:rPr>
          <w:rFonts w:hint="eastAsia" w:ascii="宋体" w:hAnsi="宋体" w:eastAsia="宋体" w:cs="宋体"/>
          <w:color w:val="auto"/>
          <w:spacing w:val="0"/>
          <w:highlight w:val="none"/>
        </w:rPr>
      </w:pPr>
    </w:p>
    <w:p w14:paraId="597AAF16">
      <w:pPr>
        <w:pStyle w:val="6"/>
        <w:keepNext w:val="0"/>
        <w:keepLines w:val="0"/>
        <w:pageBreakBefore w:val="0"/>
        <w:wordWrap w:val="0"/>
        <w:overflowPunct/>
        <w:topLinePunct w:val="0"/>
        <w:bidi w:val="0"/>
        <w:spacing w:line="254" w:lineRule="auto"/>
        <w:rPr>
          <w:rFonts w:hint="eastAsia" w:ascii="宋体" w:hAnsi="宋体" w:eastAsia="宋体" w:cs="宋体"/>
          <w:color w:val="auto"/>
          <w:spacing w:val="0"/>
          <w:highlight w:val="none"/>
        </w:rPr>
      </w:pPr>
    </w:p>
    <w:p w14:paraId="5F73CF00">
      <w:pPr>
        <w:pStyle w:val="6"/>
        <w:keepNext w:val="0"/>
        <w:keepLines w:val="0"/>
        <w:pageBreakBefore w:val="0"/>
        <w:wordWrap w:val="0"/>
        <w:overflowPunct/>
        <w:topLinePunct w:val="0"/>
        <w:bidi w:val="0"/>
        <w:spacing w:line="254" w:lineRule="auto"/>
        <w:rPr>
          <w:rFonts w:hint="eastAsia" w:ascii="宋体" w:hAnsi="宋体" w:eastAsia="宋体" w:cs="宋体"/>
          <w:color w:val="auto"/>
          <w:spacing w:val="0"/>
          <w:highlight w:val="none"/>
        </w:rPr>
      </w:pPr>
    </w:p>
    <w:p w14:paraId="4ADBA582">
      <w:pPr>
        <w:pStyle w:val="6"/>
        <w:keepNext w:val="0"/>
        <w:keepLines w:val="0"/>
        <w:pageBreakBefore w:val="0"/>
        <w:wordWrap w:val="0"/>
        <w:overflowPunct/>
        <w:topLinePunct w:val="0"/>
        <w:bidi w:val="0"/>
        <w:spacing w:line="254" w:lineRule="auto"/>
        <w:rPr>
          <w:rFonts w:hint="eastAsia" w:ascii="宋体" w:hAnsi="宋体" w:eastAsia="宋体" w:cs="宋体"/>
          <w:color w:val="auto"/>
          <w:spacing w:val="0"/>
          <w:highlight w:val="none"/>
        </w:rPr>
      </w:pPr>
    </w:p>
    <w:p w14:paraId="614F2B1D">
      <w:pPr>
        <w:pStyle w:val="6"/>
        <w:keepNext w:val="0"/>
        <w:keepLines w:val="0"/>
        <w:pageBreakBefore w:val="0"/>
        <w:wordWrap w:val="0"/>
        <w:overflowPunct/>
        <w:topLinePunct w:val="0"/>
        <w:bidi w:val="0"/>
        <w:spacing w:line="255" w:lineRule="auto"/>
        <w:rPr>
          <w:rFonts w:hint="eastAsia" w:ascii="宋体" w:hAnsi="宋体" w:eastAsia="宋体" w:cs="宋体"/>
          <w:color w:val="auto"/>
          <w:spacing w:val="0"/>
          <w:highlight w:val="none"/>
        </w:rPr>
      </w:pPr>
    </w:p>
    <w:p w14:paraId="6D7A9A26">
      <w:pPr>
        <w:pStyle w:val="6"/>
        <w:keepNext w:val="0"/>
        <w:keepLines w:val="0"/>
        <w:pageBreakBefore w:val="0"/>
        <w:wordWrap w:val="0"/>
        <w:overflowPunct/>
        <w:topLinePunct w:val="0"/>
        <w:bidi w:val="0"/>
        <w:spacing w:line="255" w:lineRule="auto"/>
        <w:rPr>
          <w:rFonts w:hint="eastAsia" w:ascii="宋体" w:hAnsi="宋体" w:eastAsia="宋体" w:cs="宋体"/>
          <w:color w:val="auto"/>
          <w:spacing w:val="0"/>
          <w:highlight w:val="none"/>
        </w:rPr>
      </w:pPr>
    </w:p>
    <w:p w14:paraId="1E1434AD">
      <w:pPr>
        <w:pStyle w:val="6"/>
        <w:keepNext w:val="0"/>
        <w:keepLines w:val="0"/>
        <w:pageBreakBefore w:val="0"/>
        <w:wordWrap w:val="0"/>
        <w:overflowPunct/>
        <w:topLinePunct w:val="0"/>
        <w:bidi w:val="0"/>
        <w:spacing w:before="1" w:line="2510" w:lineRule="exact"/>
        <w:ind w:firstLine="2534"/>
        <w:rPr>
          <w:rFonts w:hint="eastAsia" w:ascii="宋体" w:hAnsi="宋体" w:eastAsia="宋体" w:cs="宋体"/>
          <w:color w:val="auto"/>
          <w:spacing w:val="0"/>
          <w:highlight w:val="none"/>
        </w:rPr>
      </w:pPr>
      <w:r>
        <w:rPr>
          <w:rFonts w:hint="eastAsia" w:ascii="宋体" w:hAnsi="宋体" w:eastAsia="宋体" w:cs="宋体"/>
          <w:color w:val="auto"/>
          <w:spacing w:val="0"/>
          <w:position w:val="-50"/>
          <w:highlight w:val="none"/>
        </w:rPr>
        <mc:AlternateContent>
          <mc:Choice Requires="wpg">
            <w:drawing>
              <wp:inline distT="0" distB="0" distL="114300" distR="114300">
                <wp:extent cx="2835275" cy="1593850"/>
                <wp:effectExtent l="12700" t="0" r="28575" b="12700"/>
                <wp:docPr id="13" name="组合 13"/>
                <wp:cNvGraphicFramePr/>
                <a:graphic xmlns:a="http://schemas.openxmlformats.org/drawingml/2006/main">
                  <a:graphicData uri="http://schemas.microsoft.com/office/word/2010/wordprocessingGroup">
                    <wpg:wgp>
                      <wpg:cNvGrpSpPr>
                        <a:grpSpLocks noRot="1"/>
                      </wpg:cNvGrpSpPr>
                      <wpg:grpSpPr>
                        <a:xfrm>
                          <a:off x="0" y="0"/>
                          <a:ext cx="2835275" cy="1593850"/>
                          <a:chOff x="0" y="0"/>
                          <a:chExt cx="4465" cy="2510"/>
                        </a:xfrm>
                      </wpg:grpSpPr>
                      <pic:pic xmlns:pic="http://schemas.openxmlformats.org/drawingml/2006/picture">
                        <pic:nvPicPr>
                          <pic:cNvPr id="11" name="图片 5"/>
                          <pic:cNvPicPr>
                            <a:picLocks noChangeAspect="1"/>
                          </pic:cNvPicPr>
                        </pic:nvPicPr>
                        <pic:blipFill>
                          <a:blip r:embed="rId55"/>
                          <a:stretch>
                            <a:fillRect/>
                          </a:stretch>
                        </pic:blipFill>
                        <pic:spPr>
                          <a:xfrm>
                            <a:off x="0" y="0"/>
                            <a:ext cx="4465" cy="2510"/>
                          </a:xfrm>
                          <a:prstGeom prst="rect">
                            <a:avLst/>
                          </a:prstGeom>
                          <a:noFill/>
                          <a:ln>
                            <a:noFill/>
                          </a:ln>
                        </pic:spPr>
                      </pic:pic>
                      <wps:wsp>
                        <wps:cNvPr id="12" name="文本框 12"/>
                        <wps:cNvSpPr txBox="1"/>
                        <wps:spPr>
                          <a:xfrm>
                            <a:off x="-20" y="-20"/>
                            <a:ext cx="4505" cy="2550"/>
                          </a:xfrm>
                          <a:prstGeom prst="rect">
                            <a:avLst/>
                          </a:prstGeom>
                          <a:noFill/>
                          <a:ln>
                            <a:noFill/>
                          </a:ln>
                        </wps:spPr>
                        <wps:txbx>
                          <w:txbxContent>
                            <w:p w14:paraId="3D1FBE1B">
                              <w:pPr>
                                <w:spacing w:line="249" w:lineRule="auto"/>
                                <w:rPr>
                                  <w:highlight w:val="none"/>
                                </w:rPr>
                              </w:pPr>
                            </w:p>
                            <w:p w14:paraId="42634122">
                              <w:pPr>
                                <w:spacing w:line="249" w:lineRule="auto"/>
                                <w:rPr>
                                  <w:highlight w:val="none"/>
                                </w:rPr>
                              </w:pPr>
                            </w:p>
                            <w:p w14:paraId="4242EBD0">
                              <w:pPr>
                                <w:spacing w:line="249" w:lineRule="auto"/>
                                <w:rPr>
                                  <w:highlight w:val="none"/>
                                </w:rPr>
                              </w:pPr>
                            </w:p>
                            <w:p w14:paraId="260D65AC">
                              <w:pPr>
                                <w:spacing w:line="249" w:lineRule="auto"/>
                                <w:rPr>
                                  <w:highlight w:val="none"/>
                                </w:rPr>
                              </w:pPr>
                            </w:p>
                            <w:p w14:paraId="48CC9499">
                              <w:pPr>
                                <w:spacing w:before="78" w:line="220" w:lineRule="auto"/>
                                <w:jc w:val="center"/>
                                <w:rPr>
                                  <w:rFonts w:ascii="宋体" w:hAnsi="宋体" w:eastAsia="宋体" w:cs="宋体"/>
                                  <w:sz w:val="24"/>
                                  <w:szCs w:val="24"/>
                                  <w:highlight w:val="none"/>
                                </w:rPr>
                              </w:pPr>
                              <w:r>
                                <w:rPr>
                                  <w:rFonts w:ascii="宋体" w:hAnsi="宋体" w:eastAsia="宋体" w:cs="宋体"/>
                                  <w:spacing w:val="-1"/>
                                  <w:sz w:val="24"/>
                                  <w:szCs w:val="24"/>
                                  <w:highlight w:val="none"/>
                                </w:rPr>
                                <w:t>法定代表人身份证</w:t>
                              </w:r>
                              <w:r>
                                <w:rPr>
                                  <w:rFonts w:hint="eastAsia" w:ascii="宋体" w:hAnsi="宋体" w:eastAsia="宋体" w:cs="宋体"/>
                                  <w:spacing w:val="-1"/>
                                  <w:sz w:val="24"/>
                                  <w:szCs w:val="24"/>
                                  <w:highlight w:val="none"/>
                                  <w:lang w:val="en-US" w:eastAsia="zh-CN"/>
                                </w:rPr>
                                <w:t>彩色扫描件</w:t>
                              </w:r>
                              <w:r>
                                <w:rPr>
                                  <w:rFonts w:ascii="宋体" w:hAnsi="宋体" w:eastAsia="宋体" w:cs="宋体"/>
                                  <w:spacing w:val="-1"/>
                                  <w:sz w:val="24"/>
                                  <w:szCs w:val="24"/>
                                  <w:highlight w:val="none"/>
                                </w:rPr>
                                <w:t>正、反面</w:t>
                              </w:r>
                            </w:p>
                          </w:txbxContent>
                        </wps:txbx>
                        <wps:bodyPr lIns="0" tIns="0" rIns="0" bIns="0" upright="1"/>
                      </wps:wsp>
                    </wpg:wgp>
                  </a:graphicData>
                </a:graphic>
              </wp:inline>
            </w:drawing>
          </mc:Choice>
          <mc:Fallback>
            <w:pict>
              <v:group id="_x0000_s1026" o:spid="_x0000_s1026" o:spt="203" style="height:125.5pt;width:223.25pt;" coordsize="4465,2510" o:gfxdata="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">
                <o:lock v:ext="edit" rotation="t" aspectratio="f"/>
                <v:shape id="图片 5" o:spid="_x0000_s1026" o:spt="75" type="#_x0000_t75" style="position:absolute;left:0;top:0;height:2510;width:4465;" filled="f" o:preferrelative="t" stroked="f" coordsize="21600,21600" o:gfxdata="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kRLC28AAAA&#10;2wAAAA8AAAAAAAAAAQAgAAAAIgAAAGRycy9kb3ducmV2LnhtbFBLAQIUABQAAAAIAIdO4kAzLwWe&#10;OwAAADkAAAAQAAAAAAAAAAEAIAAAAAsBAABkcnMvc2hhcGV4bWwueG1sUEsFBgAAAAAGAAYAWwEA&#10;ALUDAAAAAA==&#10;">
                  <v:fill on="f" focussize="0,0"/>
                  <v:stroke on="f"/>
                  <v:imagedata r:id="rId55" o:title=""/>
                  <o:lock v:ext="edit" aspectratio="t"/>
                </v:shape>
                <v:shape id="_x0000_s1026" o:spid="_x0000_s1026" o:spt="202" type="#_x0000_t202" style="position:absolute;left:-20;top:-20;height:2550;width:4505;" filled="f" stroked="f" coordsize="21600,21600" o:gfxdata="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WUylS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3D1FBE1B">
                        <w:pPr>
                          <w:spacing w:line="249" w:lineRule="auto"/>
                          <w:rPr>
                            <w:highlight w:val="none"/>
                          </w:rPr>
                        </w:pPr>
                      </w:p>
                      <w:p w14:paraId="42634122">
                        <w:pPr>
                          <w:spacing w:line="249" w:lineRule="auto"/>
                          <w:rPr>
                            <w:highlight w:val="none"/>
                          </w:rPr>
                        </w:pPr>
                      </w:p>
                      <w:p w14:paraId="4242EBD0">
                        <w:pPr>
                          <w:spacing w:line="249" w:lineRule="auto"/>
                          <w:rPr>
                            <w:highlight w:val="none"/>
                          </w:rPr>
                        </w:pPr>
                      </w:p>
                      <w:p w14:paraId="260D65AC">
                        <w:pPr>
                          <w:spacing w:line="249" w:lineRule="auto"/>
                          <w:rPr>
                            <w:highlight w:val="none"/>
                          </w:rPr>
                        </w:pPr>
                      </w:p>
                      <w:p w14:paraId="48CC9499">
                        <w:pPr>
                          <w:spacing w:before="78" w:line="220" w:lineRule="auto"/>
                          <w:jc w:val="center"/>
                          <w:rPr>
                            <w:rFonts w:ascii="宋体" w:hAnsi="宋体" w:eastAsia="宋体" w:cs="宋体"/>
                            <w:sz w:val="24"/>
                            <w:szCs w:val="24"/>
                            <w:highlight w:val="none"/>
                          </w:rPr>
                        </w:pPr>
                        <w:r>
                          <w:rPr>
                            <w:rFonts w:ascii="宋体" w:hAnsi="宋体" w:eastAsia="宋体" w:cs="宋体"/>
                            <w:spacing w:val="-1"/>
                            <w:sz w:val="24"/>
                            <w:szCs w:val="24"/>
                            <w:highlight w:val="none"/>
                          </w:rPr>
                          <w:t>法定代表人身份证</w:t>
                        </w:r>
                        <w:r>
                          <w:rPr>
                            <w:rFonts w:hint="eastAsia" w:ascii="宋体" w:hAnsi="宋体" w:eastAsia="宋体" w:cs="宋体"/>
                            <w:spacing w:val="-1"/>
                            <w:sz w:val="24"/>
                            <w:szCs w:val="24"/>
                            <w:highlight w:val="none"/>
                            <w:lang w:val="en-US" w:eastAsia="zh-CN"/>
                          </w:rPr>
                          <w:t>彩色扫描件</w:t>
                        </w:r>
                        <w:r>
                          <w:rPr>
                            <w:rFonts w:ascii="宋体" w:hAnsi="宋体" w:eastAsia="宋体" w:cs="宋体"/>
                            <w:spacing w:val="-1"/>
                            <w:sz w:val="24"/>
                            <w:szCs w:val="24"/>
                            <w:highlight w:val="none"/>
                          </w:rPr>
                          <w:t>正、反面</w:t>
                        </w:r>
                      </w:p>
                    </w:txbxContent>
                  </v:textbox>
                </v:shape>
                <w10:wrap type="none"/>
                <w10:anchorlock/>
              </v:group>
            </w:pict>
          </mc:Fallback>
        </mc:AlternateContent>
      </w:r>
    </w:p>
    <w:p w14:paraId="692F5201">
      <w:pPr>
        <w:keepNext w:val="0"/>
        <w:keepLines w:val="0"/>
        <w:pageBreakBefore w:val="0"/>
        <w:wordWrap w:val="0"/>
        <w:overflowPunct/>
        <w:topLinePunct w:val="0"/>
        <w:bidi w:val="0"/>
        <w:spacing w:line="2510" w:lineRule="exact"/>
        <w:rPr>
          <w:rFonts w:hint="eastAsia" w:ascii="宋体" w:hAnsi="宋体" w:eastAsia="宋体" w:cs="宋体"/>
          <w:color w:val="auto"/>
          <w:spacing w:val="0"/>
          <w:highlight w:val="none"/>
        </w:rPr>
        <w:sectPr>
          <w:footerReference r:id="rId18"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34AD3A6B">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auto"/>
          <w:spacing w:val="0"/>
          <w:sz w:val="24"/>
          <w:szCs w:val="24"/>
          <w:highlight w:val="none"/>
          <w:lang w:eastAsia="zh-CN"/>
        </w:rPr>
      </w:pPr>
      <w:bookmarkStart w:id="223" w:name="_Toc13087"/>
      <w:r>
        <w:rPr>
          <w:rFonts w:hint="eastAsia" w:ascii="宋体" w:hAnsi="宋体" w:eastAsia="宋体" w:cs="宋体"/>
          <w:b/>
          <w:bCs/>
          <w:color w:val="auto"/>
          <w:spacing w:val="0"/>
          <w:sz w:val="24"/>
          <w:szCs w:val="24"/>
          <w:highlight w:val="none"/>
        </w:rPr>
        <w:t>格式六 联合体协议书</w:t>
      </w:r>
      <w:r>
        <w:rPr>
          <w:rFonts w:hint="eastAsia" w:ascii="宋体" w:hAnsi="宋体" w:eastAsia="宋体" w:cs="宋体"/>
          <w:b/>
          <w:bCs/>
          <w:color w:val="auto"/>
          <w:spacing w:val="0"/>
          <w:sz w:val="24"/>
          <w:szCs w:val="24"/>
          <w:highlight w:val="none"/>
          <w:lang w:eastAsia="zh-CN"/>
        </w:rPr>
        <w:t>（</w:t>
      </w:r>
      <w:r>
        <w:rPr>
          <w:rFonts w:hint="eastAsia" w:ascii="宋体" w:hAnsi="宋体" w:eastAsia="宋体" w:cs="宋体"/>
          <w:b/>
          <w:bCs/>
          <w:color w:val="auto"/>
          <w:spacing w:val="0"/>
          <w:sz w:val="24"/>
          <w:szCs w:val="24"/>
          <w:highlight w:val="none"/>
          <w:lang w:val="en-US" w:eastAsia="zh-CN"/>
        </w:rPr>
        <w:t>如有</w:t>
      </w:r>
      <w:r>
        <w:rPr>
          <w:rFonts w:hint="eastAsia" w:ascii="宋体" w:hAnsi="宋体" w:eastAsia="宋体" w:cs="宋体"/>
          <w:b/>
          <w:bCs/>
          <w:color w:val="auto"/>
          <w:spacing w:val="0"/>
          <w:sz w:val="24"/>
          <w:szCs w:val="24"/>
          <w:highlight w:val="none"/>
          <w:lang w:eastAsia="zh-CN"/>
        </w:rPr>
        <w:t>）</w:t>
      </w:r>
      <w:bookmarkEnd w:id="223"/>
    </w:p>
    <w:p w14:paraId="7578E840">
      <w:pPr>
        <w:keepNext w:val="0"/>
        <w:keepLines w:val="0"/>
        <w:pageBreakBefore w:val="0"/>
        <w:wordWrap w:val="0"/>
        <w:overflowPunct/>
        <w:topLinePunct w:val="0"/>
        <w:bidi w:val="0"/>
        <w:spacing w:before="98" w:line="219" w:lineRule="auto"/>
        <w:ind w:left="3638"/>
        <w:rPr>
          <w:rFonts w:hint="eastAsia" w:ascii="宋体" w:hAnsi="宋体" w:eastAsia="宋体" w:cs="宋体"/>
          <w:color w:val="auto"/>
          <w:spacing w:val="0"/>
          <w:sz w:val="30"/>
          <w:szCs w:val="30"/>
          <w:highlight w:val="none"/>
          <w:lang w:eastAsia="zh-CN"/>
        </w:rPr>
      </w:pPr>
      <w:bookmarkStart w:id="224" w:name="bookmark153"/>
      <w:bookmarkEnd w:id="224"/>
      <w:r>
        <w:rPr>
          <w:rFonts w:hint="eastAsia" w:ascii="宋体" w:hAnsi="宋体" w:eastAsia="宋体" w:cs="宋体"/>
          <w:b/>
          <w:bCs/>
          <w:color w:val="auto"/>
          <w:spacing w:val="0"/>
          <w:sz w:val="30"/>
          <w:szCs w:val="30"/>
          <w:highlight w:val="none"/>
        </w:rPr>
        <w:t>联合体协议书</w:t>
      </w:r>
    </w:p>
    <w:p w14:paraId="681EB6BD">
      <w:pPr>
        <w:pStyle w:val="6"/>
        <w:keepNext w:val="0"/>
        <w:keepLines w:val="0"/>
        <w:pageBreakBefore w:val="0"/>
        <w:widowControl/>
        <w:kinsoku w:val="0"/>
        <w:wordWrap w:val="0"/>
        <w:overflowPunct/>
        <w:topLinePunct w:val="0"/>
        <w:autoSpaceDE w:val="0"/>
        <w:autoSpaceDN w:val="0"/>
        <w:bidi w:val="0"/>
        <w:adjustRightInd w:val="0"/>
        <w:snapToGrid w:val="0"/>
        <w:spacing w:line="264" w:lineRule="auto"/>
        <w:textAlignment w:val="baseline"/>
        <w:rPr>
          <w:rFonts w:hint="eastAsia" w:ascii="宋体" w:hAnsi="宋体" w:eastAsia="宋体" w:cs="宋体"/>
          <w:color w:val="auto"/>
          <w:spacing w:val="0"/>
          <w:highlight w:val="none"/>
        </w:rPr>
      </w:pPr>
    </w:p>
    <w:p w14:paraId="1CE84F25">
      <w:pPr>
        <w:keepNext w:val="0"/>
        <w:keepLines w:val="0"/>
        <w:pageBreakBefore w:val="0"/>
        <w:widowControl/>
        <w:kinsoku w:val="0"/>
        <w:wordWrap w:val="0"/>
        <w:overflowPunct/>
        <w:topLinePunct w:val="0"/>
        <w:autoSpaceDE w:val="0"/>
        <w:autoSpaceDN w:val="0"/>
        <w:bidi w:val="0"/>
        <w:adjustRightInd w:val="0"/>
        <w:snapToGrid w:val="0"/>
        <w:spacing w:before="78" w:line="264" w:lineRule="auto"/>
        <w:ind w:left="421" w:right="7272" w:hanging="3"/>
        <w:jc w:val="both"/>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 xml:space="preserve">牵头人名称： </w:t>
      </w:r>
    </w:p>
    <w:p w14:paraId="082C7A60">
      <w:pPr>
        <w:keepNext w:val="0"/>
        <w:keepLines w:val="0"/>
        <w:pageBreakBefore w:val="0"/>
        <w:widowControl/>
        <w:kinsoku w:val="0"/>
        <w:wordWrap w:val="0"/>
        <w:overflowPunct/>
        <w:topLinePunct w:val="0"/>
        <w:autoSpaceDE w:val="0"/>
        <w:autoSpaceDN w:val="0"/>
        <w:bidi w:val="0"/>
        <w:adjustRightInd w:val="0"/>
        <w:snapToGrid w:val="0"/>
        <w:spacing w:before="78" w:line="264" w:lineRule="auto"/>
        <w:ind w:left="421" w:right="7272" w:hanging="3"/>
        <w:jc w:val="both"/>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 xml:space="preserve">法定代表人： </w:t>
      </w:r>
    </w:p>
    <w:p w14:paraId="63B9CE30">
      <w:pPr>
        <w:keepNext w:val="0"/>
        <w:keepLines w:val="0"/>
        <w:pageBreakBefore w:val="0"/>
        <w:widowControl/>
        <w:kinsoku w:val="0"/>
        <w:wordWrap w:val="0"/>
        <w:overflowPunct/>
        <w:topLinePunct w:val="0"/>
        <w:autoSpaceDE w:val="0"/>
        <w:autoSpaceDN w:val="0"/>
        <w:bidi w:val="0"/>
        <w:adjustRightInd w:val="0"/>
        <w:snapToGrid w:val="0"/>
        <w:spacing w:before="78" w:line="264" w:lineRule="auto"/>
        <w:ind w:left="421" w:right="7272" w:hanging="3"/>
        <w:jc w:val="both"/>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法定住所：</w:t>
      </w:r>
    </w:p>
    <w:p w14:paraId="2CF03E31">
      <w:pPr>
        <w:keepNext w:val="0"/>
        <w:keepLines w:val="0"/>
        <w:pageBreakBefore w:val="0"/>
        <w:wordWrap w:val="0"/>
        <w:overflowPunct/>
        <w:topLinePunct w:val="0"/>
        <w:bidi w:val="0"/>
        <w:outlineLvl w:val="9"/>
        <w:rPr>
          <w:rFonts w:hint="eastAsia"/>
          <w:color w:val="auto"/>
          <w:spacing w:val="0"/>
          <w:highlight w:val="none"/>
        </w:rPr>
      </w:pPr>
    </w:p>
    <w:p w14:paraId="352D2EFD">
      <w:pPr>
        <w:keepNext w:val="0"/>
        <w:keepLines w:val="0"/>
        <w:pageBreakBefore w:val="0"/>
        <w:widowControl/>
        <w:kinsoku w:val="0"/>
        <w:wordWrap w:val="0"/>
        <w:overflowPunct/>
        <w:topLinePunct w:val="0"/>
        <w:autoSpaceDE w:val="0"/>
        <w:autoSpaceDN w:val="0"/>
        <w:bidi w:val="0"/>
        <w:adjustRightInd w:val="0"/>
        <w:snapToGrid w:val="0"/>
        <w:spacing w:before="78" w:line="264" w:lineRule="auto"/>
        <w:ind w:left="421" w:right="7272"/>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 xml:space="preserve">成员二名称： </w:t>
      </w:r>
    </w:p>
    <w:p w14:paraId="23F250A5">
      <w:pPr>
        <w:keepNext w:val="0"/>
        <w:keepLines w:val="0"/>
        <w:pageBreakBefore w:val="0"/>
        <w:widowControl/>
        <w:kinsoku w:val="0"/>
        <w:wordWrap w:val="0"/>
        <w:overflowPunct/>
        <w:topLinePunct w:val="0"/>
        <w:autoSpaceDE w:val="0"/>
        <w:autoSpaceDN w:val="0"/>
        <w:bidi w:val="0"/>
        <w:adjustRightInd w:val="0"/>
        <w:snapToGrid w:val="0"/>
        <w:spacing w:before="78" w:line="264" w:lineRule="auto"/>
        <w:ind w:left="421" w:right="7272"/>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 xml:space="preserve">法定代表人： </w:t>
      </w:r>
    </w:p>
    <w:p w14:paraId="2B8A6240">
      <w:pPr>
        <w:keepNext w:val="0"/>
        <w:keepLines w:val="0"/>
        <w:pageBreakBefore w:val="0"/>
        <w:widowControl/>
        <w:kinsoku w:val="0"/>
        <w:wordWrap w:val="0"/>
        <w:overflowPunct/>
        <w:topLinePunct w:val="0"/>
        <w:autoSpaceDE w:val="0"/>
        <w:autoSpaceDN w:val="0"/>
        <w:bidi w:val="0"/>
        <w:adjustRightInd w:val="0"/>
        <w:snapToGrid w:val="0"/>
        <w:spacing w:before="78" w:line="264" w:lineRule="auto"/>
        <w:ind w:left="421" w:right="7272"/>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法定住所：</w:t>
      </w:r>
    </w:p>
    <w:p w14:paraId="752CFA30">
      <w:pPr>
        <w:keepNext w:val="0"/>
        <w:keepLines w:val="0"/>
        <w:pageBreakBefore w:val="0"/>
        <w:widowControl/>
        <w:kinsoku w:val="0"/>
        <w:wordWrap w:val="0"/>
        <w:overflowPunct/>
        <w:topLinePunct w:val="0"/>
        <w:autoSpaceDE w:val="0"/>
        <w:autoSpaceDN w:val="0"/>
        <w:bidi w:val="0"/>
        <w:adjustRightInd w:val="0"/>
        <w:snapToGrid w:val="0"/>
        <w:spacing w:before="32" w:line="264" w:lineRule="auto"/>
        <w:ind w:left="436"/>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position w:val="3"/>
          <w:sz w:val="24"/>
          <w:szCs w:val="24"/>
          <w:highlight w:val="none"/>
        </w:rPr>
        <w:t>……</w:t>
      </w:r>
    </w:p>
    <w:p w14:paraId="02E2E186">
      <w:pPr>
        <w:keepNext w:val="0"/>
        <w:keepLines w:val="0"/>
        <w:pageBreakBefore w:val="0"/>
        <w:widowControl/>
        <w:kinsoku w:val="0"/>
        <w:wordWrap w:val="0"/>
        <w:overflowPunct/>
        <w:topLinePunct w:val="0"/>
        <w:autoSpaceDE w:val="0"/>
        <w:autoSpaceDN w:val="0"/>
        <w:bidi w:val="0"/>
        <w:adjustRightInd w:val="0"/>
        <w:snapToGrid w:val="0"/>
        <w:spacing w:before="61" w:line="264" w:lineRule="auto"/>
        <w:ind w:firstLine="422"/>
        <w:jc w:val="both"/>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上述各成员单位经过友好协商，自愿组成联合体，共同参加（项目名称）（以下简 称“本项目 ”）的施工投标并争取赢得本项目施工承包合同（以下简称合同）。现就联 合体投标事宜订立如下协议：</w:t>
      </w:r>
    </w:p>
    <w:p w14:paraId="67D35A6F">
      <w:pPr>
        <w:keepNext w:val="0"/>
        <w:keepLines w:val="0"/>
        <w:pageBreakBefore w:val="0"/>
        <w:widowControl/>
        <w:kinsoku w:val="0"/>
        <w:wordWrap w:val="0"/>
        <w:overflowPunct/>
        <w:topLinePunct w:val="0"/>
        <w:autoSpaceDE w:val="0"/>
        <w:autoSpaceDN w:val="0"/>
        <w:bidi w:val="0"/>
        <w:adjustRightInd w:val="0"/>
        <w:snapToGrid w:val="0"/>
        <w:spacing w:before="33" w:line="264" w:lineRule="auto"/>
        <w:ind w:left="499"/>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 ．（某成员单位名称）为联合体牵头人。</w:t>
      </w:r>
    </w:p>
    <w:p w14:paraId="568C9F65">
      <w:pPr>
        <w:keepNext w:val="0"/>
        <w:keepLines w:val="0"/>
        <w:pageBreakBefore w:val="0"/>
        <w:widowControl/>
        <w:kinsoku w:val="0"/>
        <w:wordWrap w:val="0"/>
        <w:overflowPunct/>
        <w:topLinePunct w:val="0"/>
        <w:autoSpaceDE w:val="0"/>
        <w:autoSpaceDN w:val="0"/>
        <w:bidi w:val="0"/>
        <w:adjustRightInd w:val="0"/>
        <w:snapToGrid w:val="0"/>
        <w:spacing w:before="156" w:line="264" w:lineRule="auto"/>
        <w:ind w:left="1" w:firstLine="474"/>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 ．在本项目投标阶段，联合体牵头人合法代表联合体各成员负责本项目投标文件编制活动，代表联合体提交和接收相关的资料、信息及指示，并处理与投标和中标有关的一切事务；联合体中标后，联合体牵头人负责合同订立和合同实施阶段的主办、组织和协调工作。</w:t>
      </w:r>
    </w:p>
    <w:p w14:paraId="3B7DE969">
      <w:pPr>
        <w:keepNext w:val="0"/>
        <w:keepLines w:val="0"/>
        <w:pageBreakBefore w:val="0"/>
        <w:widowControl/>
        <w:kinsoku w:val="0"/>
        <w:wordWrap w:val="0"/>
        <w:overflowPunct/>
        <w:topLinePunct w:val="0"/>
        <w:autoSpaceDE w:val="0"/>
        <w:autoSpaceDN w:val="0"/>
        <w:bidi w:val="0"/>
        <w:adjustRightInd w:val="0"/>
        <w:snapToGrid w:val="0"/>
        <w:spacing w:before="153" w:line="264" w:lineRule="auto"/>
        <w:ind w:left="2" w:firstLine="478"/>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 ．联合体将严格按照招标文件的各项要求，递交投标文件，履行投标义务和中标后的合同，共同承担合同规定的一切义务和责任，联合体各成员单位按照内部职责的部分，承担各自所负的责任和风险，并向招标人承担连带责任。</w:t>
      </w:r>
    </w:p>
    <w:p w14:paraId="164F4698">
      <w:pPr>
        <w:keepNext w:val="0"/>
        <w:keepLines w:val="0"/>
        <w:pageBreakBefore w:val="0"/>
        <w:widowControl/>
        <w:kinsoku w:val="0"/>
        <w:wordWrap w:val="0"/>
        <w:overflowPunct/>
        <w:topLinePunct w:val="0"/>
        <w:autoSpaceDE w:val="0"/>
        <w:autoSpaceDN w:val="0"/>
        <w:bidi w:val="0"/>
        <w:adjustRightInd w:val="0"/>
        <w:snapToGrid w:val="0"/>
        <w:spacing w:before="154" w:line="264" w:lineRule="auto"/>
        <w:ind w:left="475"/>
        <w:textAlignment w:val="baseline"/>
        <w:outlineLvl w:val="9"/>
        <w:rPr>
          <w:rFonts w:hint="eastAsia" w:ascii="宋体" w:hAnsi="宋体" w:eastAsia="宋体" w:cs="宋体"/>
          <w:color w:val="auto"/>
          <w:spacing w:val="0"/>
          <w:sz w:val="24"/>
          <w:szCs w:val="24"/>
          <w:highlight w:val="none"/>
        </w:rPr>
      </w:pPr>
      <w:bookmarkStart w:id="225" w:name="_Toc5365"/>
      <w:bookmarkStart w:id="226" w:name="_Toc32149"/>
      <w:r>
        <w:rPr>
          <w:rFonts w:hint="eastAsia" w:ascii="宋体" w:hAnsi="宋体" w:eastAsia="宋体" w:cs="宋体"/>
          <w:color w:val="auto"/>
          <w:spacing w:val="0"/>
          <w:sz w:val="24"/>
          <w:szCs w:val="24"/>
          <w:highlight w:val="none"/>
        </w:rPr>
        <w:t>4 ．联合体各成员单位内部的职责分工如下：。</w:t>
      </w:r>
      <w:bookmarkEnd w:id="225"/>
      <w:bookmarkEnd w:id="226"/>
    </w:p>
    <w:p w14:paraId="14AEFF35">
      <w:pPr>
        <w:keepNext w:val="0"/>
        <w:keepLines w:val="0"/>
        <w:pageBreakBefore w:val="0"/>
        <w:widowControl/>
        <w:kinsoku w:val="0"/>
        <w:wordWrap w:val="0"/>
        <w:overflowPunct/>
        <w:topLinePunct w:val="0"/>
        <w:autoSpaceDE w:val="0"/>
        <w:autoSpaceDN w:val="0"/>
        <w:bidi w:val="0"/>
        <w:adjustRightInd w:val="0"/>
        <w:snapToGrid w:val="0"/>
        <w:spacing w:before="152" w:line="264" w:lineRule="auto"/>
        <w:ind w:right="71" w:firstLine="483"/>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 ．投标工作和联合体在中标后工程实施过程中的有关费用按各自承担的工作量分摊。</w:t>
      </w:r>
    </w:p>
    <w:p w14:paraId="19232499">
      <w:pPr>
        <w:keepNext w:val="0"/>
        <w:keepLines w:val="0"/>
        <w:pageBreakBefore w:val="0"/>
        <w:widowControl/>
        <w:kinsoku w:val="0"/>
        <w:wordWrap w:val="0"/>
        <w:overflowPunct/>
        <w:topLinePunct w:val="0"/>
        <w:autoSpaceDE w:val="0"/>
        <w:autoSpaceDN w:val="0"/>
        <w:bidi w:val="0"/>
        <w:adjustRightInd w:val="0"/>
        <w:snapToGrid w:val="0"/>
        <w:spacing w:before="153" w:line="264" w:lineRule="auto"/>
        <w:ind w:left="4" w:right="71" w:firstLine="477"/>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6 ．联合体中标后，本联合体协议是合同的附件，对联合体各成员单位有合同约束力。</w:t>
      </w:r>
    </w:p>
    <w:p w14:paraId="0F9166DC">
      <w:pPr>
        <w:keepNext w:val="0"/>
        <w:keepLines w:val="0"/>
        <w:pageBreakBefore w:val="0"/>
        <w:widowControl/>
        <w:kinsoku w:val="0"/>
        <w:wordWrap w:val="0"/>
        <w:overflowPunct/>
        <w:topLinePunct w:val="0"/>
        <w:autoSpaceDE w:val="0"/>
        <w:autoSpaceDN w:val="0"/>
        <w:bidi w:val="0"/>
        <w:adjustRightInd w:val="0"/>
        <w:snapToGrid w:val="0"/>
        <w:spacing w:before="157" w:line="264" w:lineRule="auto"/>
        <w:ind w:left="6" w:right="71" w:firstLine="473"/>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7 ．本协议书自签署之日起生效，联合体未中标或者中标时合同履行完毕后自动失效。</w:t>
      </w:r>
    </w:p>
    <w:p w14:paraId="12119A37">
      <w:pPr>
        <w:keepNext w:val="0"/>
        <w:keepLines w:val="0"/>
        <w:pageBreakBefore w:val="0"/>
        <w:widowControl/>
        <w:kinsoku w:val="0"/>
        <w:wordWrap w:val="0"/>
        <w:overflowPunct/>
        <w:topLinePunct w:val="0"/>
        <w:autoSpaceDE w:val="0"/>
        <w:autoSpaceDN w:val="0"/>
        <w:bidi w:val="0"/>
        <w:adjustRightInd w:val="0"/>
        <w:snapToGrid w:val="0"/>
        <w:spacing w:before="152" w:line="264" w:lineRule="auto"/>
        <w:ind w:left="486"/>
        <w:textAlignment w:val="baseline"/>
        <w:outlineLvl w:val="9"/>
        <w:rPr>
          <w:rFonts w:hint="eastAsia" w:ascii="宋体" w:hAnsi="宋体" w:eastAsia="宋体" w:cs="宋体"/>
          <w:color w:val="auto"/>
          <w:spacing w:val="0"/>
          <w:sz w:val="24"/>
          <w:szCs w:val="24"/>
          <w:highlight w:val="none"/>
        </w:rPr>
      </w:pPr>
      <w:bookmarkStart w:id="227" w:name="_Toc26708"/>
      <w:bookmarkStart w:id="228" w:name="_Toc22612"/>
      <w:r>
        <w:rPr>
          <w:rFonts w:hint="eastAsia" w:ascii="宋体" w:hAnsi="宋体" w:eastAsia="宋体" w:cs="宋体"/>
          <w:color w:val="auto"/>
          <w:spacing w:val="0"/>
          <w:sz w:val="24"/>
          <w:szCs w:val="24"/>
          <w:highlight w:val="none"/>
        </w:rPr>
        <w:t>8 ．本协议书一式份，联合体成员和招标人各执一份。</w:t>
      </w:r>
      <w:bookmarkEnd w:id="227"/>
      <w:bookmarkEnd w:id="228"/>
    </w:p>
    <w:p w14:paraId="45C1DDA9">
      <w:pPr>
        <w:keepNext w:val="0"/>
        <w:keepLines w:val="0"/>
        <w:pageBreakBefore w:val="0"/>
        <w:widowControl/>
        <w:kinsoku w:val="0"/>
        <w:wordWrap w:val="0"/>
        <w:overflowPunct/>
        <w:topLinePunct w:val="0"/>
        <w:autoSpaceDE w:val="0"/>
        <w:autoSpaceDN w:val="0"/>
        <w:bidi w:val="0"/>
        <w:adjustRightInd w:val="0"/>
        <w:snapToGrid w:val="0"/>
        <w:spacing w:before="78" w:line="264" w:lineRule="auto"/>
        <w:jc w:val="right"/>
        <w:textAlignment w:val="baseline"/>
        <w:rPr>
          <w:rFonts w:hint="eastAsia" w:ascii="宋体" w:hAnsi="宋体" w:eastAsia="宋体" w:cs="宋体"/>
          <w:color w:val="auto"/>
          <w:spacing w:val="0"/>
          <w:sz w:val="24"/>
          <w:szCs w:val="24"/>
          <w:highlight w:val="none"/>
        </w:rPr>
      </w:pPr>
      <w:bookmarkStart w:id="229" w:name="bookmark154"/>
      <w:bookmarkEnd w:id="229"/>
      <w:r>
        <w:rPr>
          <w:rFonts w:hint="eastAsia" w:ascii="宋体" w:hAnsi="宋体" w:eastAsia="宋体" w:cs="宋体"/>
          <w:color w:val="auto"/>
          <w:spacing w:val="0"/>
          <w:sz w:val="24"/>
          <w:szCs w:val="24"/>
          <w:highlight w:val="none"/>
        </w:rPr>
        <w:t>牵头人名称：</w:t>
      </w:r>
      <w:r>
        <w:rPr>
          <w:rFonts w:hint="eastAsia" w:ascii="宋体" w:hAnsi="宋体" w:eastAsia="宋体" w:cs="宋体"/>
          <w:snapToGrid w:val="0"/>
          <w:color w:val="auto"/>
          <w:spacing w:val="0"/>
          <w:kern w:val="0"/>
          <w:sz w:val="24"/>
          <w:szCs w:val="24"/>
          <w:highlight w:val="none"/>
          <w:u w:val="single"/>
          <w:lang w:val="en-US" w:eastAsia="zh-CN" w:bidi="ar-SA"/>
        </w:rPr>
        <w:t xml:space="preserve">               </w:t>
      </w:r>
      <w:r>
        <w:rPr>
          <w:rFonts w:hint="eastAsia" w:ascii="宋体" w:hAnsi="宋体" w:eastAsia="宋体" w:cs="宋体"/>
          <w:color w:val="auto"/>
          <w:spacing w:val="0"/>
          <w:sz w:val="24"/>
          <w:szCs w:val="24"/>
          <w:highlight w:val="none"/>
        </w:rPr>
        <w:t>（盖单位章）</w:t>
      </w:r>
    </w:p>
    <w:p w14:paraId="30ED8093">
      <w:pPr>
        <w:pStyle w:val="6"/>
        <w:keepNext w:val="0"/>
        <w:keepLines w:val="0"/>
        <w:pageBreakBefore w:val="0"/>
        <w:widowControl/>
        <w:kinsoku w:val="0"/>
        <w:wordWrap w:val="0"/>
        <w:overflowPunct/>
        <w:topLinePunct w:val="0"/>
        <w:autoSpaceDE w:val="0"/>
        <w:autoSpaceDN w:val="0"/>
        <w:bidi w:val="0"/>
        <w:adjustRightInd w:val="0"/>
        <w:snapToGrid w:val="0"/>
        <w:spacing w:line="264" w:lineRule="auto"/>
        <w:textAlignment w:val="baseline"/>
        <w:rPr>
          <w:rFonts w:hint="eastAsia" w:ascii="宋体" w:hAnsi="宋体" w:eastAsia="宋体" w:cs="宋体"/>
          <w:color w:val="auto"/>
          <w:spacing w:val="0"/>
          <w:highlight w:val="none"/>
        </w:rPr>
      </w:pPr>
    </w:p>
    <w:p w14:paraId="78745CC6">
      <w:pPr>
        <w:keepNext w:val="0"/>
        <w:keepLines w:val="0"/>
        <w:pageBreakBefore w:val="0"/>
        <w:widowControl/>
        <w:kinsoku w:val="0"/>
        <w:wordWrap w:val="0"/>
        <w:overflowPunct/>
        <w:topLinePunct w:val="0"/>
        <w:autoSpaceDE w:val="0"/>
        <w:autoSpaceDN w:val="0"/>
        <w:bidi w:val="0"/>
        <w:adjustRightInd w:val="0"/>
        <w:snapToGrid w:val="0"/>
        <w:spacing w:before="78" w:line="264" w:lineRule="auto"/>
        <w:jc w:val="right"/>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法定代表人或其委托代理人：</w:t>
      </w:r>
      <w:r>
        <w:rPr>
          <w:rFonts w:hint="eastAsia" w:ascii="宋体" w:hAnsi="宋体" w:eastAsia="宋体" w:cs="宋体"/>
          <w:snapToGrid w:val="0"/>
          <w:color w:val="auto"/>
          <w:spacing w:val="0"/>
          <w:kern w:val="0"/>
          <w:sz w:val="24"/>
          <w:szCs w:val="24"/>
          <w:highlight w:val="none"/>
          <w:u w:val="single"/>
          <w:lang w:val="en-US" w:eastAsia="zh-CN" w:bidi="ar-SA"/>
        </w:rPr>
        <w:t xml:space="preserve">            </w:t>
      </w:r>
      <w:r>
        <w:rPr>
          <w:rFonts w:hint="eastAsia" w:ascii="宋体" w:hAnsi="宋体" w:eastAsia="宋体" w:cs="宋体"/>
          <w:color w:val="auto"/>
          <w:spacing w:val="0"/>
          <w:sz w:val="24"/>
          <w:szCs w:val="24"/>
          <w:highlight w:val="none"/>
        </w:rPr>
        <w:t>（签字或盖章）</w:t>
      </w:r>
    </w:p>
    <w:p w14:paraId="504ACF8B">
      <w:pPr>
        <w:keepNext w:val="0"/>
        <w:keepLines w:val="0"/>
        <w:pageBreakBefore w:val="0"/>
        <w:widowControl/>
        <w:kinsoku w:val="0"/>
        <w:wordWrap w:val="0"/>
        <w:overflowPunct/>
        <w:topLinePunct w:val="0"/>
        <w:autoSpaceDE w:val="0"/>
        <w:autoSpaceDN w:val="0"/>
        <w:bidi w:val="0"/>
        <w:adjustRightInd w:val="0"/>
        <w:snapToGrid w:val="0"/>
        <w:spacing w:before="78" w:line="264" w:lineRule="auto"/>
        <w:jc w:val="right"/>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成员二名称：</w:t>
      </w:r>
      <w:r>
        <w:rPr>
          <w:rFonts w:hint="eastAsia" w:ascii="宋体" w:hAnsi="宋体" w:eastAsia="宋体" w:cs="宋体"/>
          <w:snapToGrid w:val="0"/>
          <w:color w:val="auto"/>
          <w:spacing w:val="0"/>
          <w:kern w:val="0"/>
          <w:sz w:val="24"/>
          <w:szCs w:val="24"/>
          <w:highlight w:val="none"/>
          <w:u w:val="single"/>
          <w:lang w:val="en-US" w:eastAsia="zh-CN" w:bidi="ar-SA"/>
        </w:rPr>
        <w:t xml:space="preserve">               </w:t>
      </w:r>
      <w:r>
        <w:rPr>
          <w:rFonts w:hint="eastAsia" w:ascii="宋体" w:hAnsi="宋体" w:eastAsia="宋体" w:cs="宋体"/>
          <w:color w:val="auto"/>
          <w:spacing w:val="0"/>
          <w:sz w:val="24"/>
          <w:szCs w:val="24"/>
          <w:highlight w:val="none"/>
        </w:rPr>
        <w:t>（盖单位章）</w:t>
      </w:r>
    </w:p>
    <w:p w14:paraId="7B5653FF">
      <w:pPr>
        <w:pStyle w:val="6"/>
        <w:keepNext w:val="0"/>
        <w:keepLines w:val="0"/>
        <w:pageBreakBefore w:val="0"/>
        <w:widowControl/>
        <w:kinsoku w:val="0"/>
        <w:wordWrap w:val="0"/>
        <w:overflowPunct/>
        <w:topLinePunct w:val="0"/>
        <w:autoSpaceDE w:val="0"/>
        <w:autoSpaceDN w:val="0"/>
        <w:bidi w:val="0"/>
        <w:adjustRightInd w:val="0"/>
        <w:snapToGrid w:val="0"/>
        <w:spacing w:line="264" w:lineRule="auto"/>
        <w:textAlignment w:val="baseline"/>
        <w:rPr>
          <w:rFonts w:hint="eastAsia" w:ascii="宋体" w:hAnsi="宋体" w:eastAsia="宋体" w:cs="宋体"/>
          <w:color w:val="auto"/>
          <w:spacing w:val="0"/>
          <w:highlight w:val="none"/>
        </w:rPr>
      </w:pPr>
    </w:p>
    <w:p w14:paraId="63FC8087">
      <w:pPr>
        <w:keepNext w:val="0"/>
        <w:keepLines w:val="0"/>
        <w:pageBreakBefore w:val="0"/>
        <w:widowControl/>
        <w:kinsoku w:val="0"/>
        <w:wordWrap w:val="0"/>
        <w:overflowPunct/>
        <w:topLinePunct w:val="0"/>
        <w:autoSpaceDE w:val="0"/>
        <w:autoSpaceDN w:val="0"/>
        <w:bidi w:val="0"/>
        <w:adjustRightInd w:val="0"/>
        <w:snapToGrid w:val="0"/>
        <w:spacing w:before="78" w:line="264" w:lineRule="auto"/>
        <w:jc w:val="right"/>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法定代表人或其委托代理人：</w:t>
      </w:r>
      <w:r>
        <w:rPr>
          <w:rFonts w:hint="eastAsia" w:ascii="宋体" w:hAnsi="宋体" w:eastAsia="宋体" w:cs="宋体"/>
          <w:snapToGrid w:val="0"/>
          <w:color w:val="auto"/>
          <w:spacing w:val="0"/>
          <w:kern w:val="0"/>
          <w:sz w:val="24"/>
          <w:szCs w:val="24"/>
          <w:highlight w:val="none"/>
          <w:u w:val="single"/>
          <w:lang w:val="en-US" w:eastAsia="zh-CN" w:bidi="ar-SA"/>
        </w:rPr>
        <w:t xml:space="preserve">          </w:t>
      </w:r>
      <w:r>
        <w:rPr>
          <w:rFonts w:hint="eastAsia" w:ascii="宋体" w:hAnsi="宋体" w:eastAsia="宋体" w:cs="宋体"/>
          <w:color w:val="auto"/>
          <w:spacing w:val="0"/>
          <w:sz w:val="24"/>
          <w:szCs w:val="24"/>
          <w:highlight w:val="none"/>
        </w:rPr>
        <w:t>（签字或盖章）</w:t>
      </w:r>
    </w:p>
    <w:p w14:paraId="6D34F7F8">
      <w:pPr>
        <w:keepNext w:val="0"/>
        <w:keepLines w:val="0"/>
        <w:pageBreakBefore w:val="0"/>
        <w:wordWrap w:val="0"/>
        <w:overflowPunct/>
        <w:topLinePunct w:val="0"/>
        <w:bidi w:val="0"/>
        <w:spacing w:before="78" w:line="220" w:lineRule="auto"/>
        <w:ind w:left="6730"/>
        <w:jc w:val="right"/>
        <w:rPr>
          <w:rFonts w:hint="eastAsia" w:ascii="宋体" w:hAnsi="宋体" w:eastAsia="宋体" w:cs="宋体"/>
          <w:color w:val="auto"/>
          <w:spacing w:val="0"/>
          <w:sz w:val="24"/>
          <w:szCs w:val="24"/>
          <w:highlight w:val="none"/>
        </w:rPr>
      </w:pP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年</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月</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日</w:t>
      </w:r>
    </w:p>
    <w:p w14:paraId="03AFCF70">
      <w:pPr>
        <w:pStyle w:val="6"/>
        <w:keepNext w:val="0"/>
        <w:keepLines w:val="0"/>
        <w:pageBreakBefore w:val="0"/>
        <w:widowControl/>
        <w:kinsoku w:val="0"/>
        <w:wordWrap w:val="0"/>
        <w:overflowPunct/>
        <w:topLinePunct w:val="0"/>
        <w:autoSpaceDE w:val="0"/>
        <w:autoSpaceDN w:val="0"/>
        <w:bidi w:val="0"/>
        <w:adjustRightInd w:val="0"/>
        <w:snapToGrid w:val="0"/>
        <w:spacing w:line="264" w:lineRule="auto"/>
        <w:textAlignment w:val="baseline"/>
        <w:rPr>
          <w:rFonts w:hint="eastAsia" w:ascii="宋体" w:hAnsi="宋体" w:eastAsia="宋体" w:cs="宋体"/>
          <w:color w:val="auto"/>
          <w:spacing w:val="0"/>
          <w:highlight w:val="none"/>
        </w:rPr>
      </w:pPr>
    </w:p>
    <w:p w14:paraId="6C38597B">
      <w:pPr>
        <w:keepNext w:val="0"/>
        <w:keepLines w:val="0"/>
        <w:pageBreakBefore w:val="0"/>
        <w:widowControl/>
        <w:kinsoku w:val="0"/>
        <w:wordWrap w:val="0"/>
        <w:overflowPunct/>
        <w:topLinePunct w:val="0"/>
        <w:autoSpaceDE w:val="0"/>
        <w:autoSpaceDN w:val="0"/>
        <w:bidi w:val="0"/>
        <w:adjustRightInd w:val="0"/>
        <w:snapToGrid w:val="0"/>
        <w:spacing w:before="65" w:line="264" w:lineRule="auto"/>
        <w:ind w:right="22"/>
        <w:jc w:val="both"/>
        <w:textAlignment w:val="baseline"/>
        <w:rPr>
          <w:rFonts w:hint="eastAsia" w:ascii="宋体" w:hAnsi="宋体" w:eastAsia="宋体" w:cs="宋体"/>
          <w:color w:val="auto"/>
          <w:spacing w:val="0"/>
          <w:sz w:val="20"/>
          <w:szCs w:val="20"/>
          <w:highlight w:val="none"/>
        </w:rPr>
      </w:pPr>
      <w:r>
        <w:rPr>
          <w:rFonts w:hint="eastAsia" w:ascii="宋体" w:hAnsi="宋体" w:eastAsia="宋体" w:cs="宋体"/>
          <w:color w:val="auto"/>
          <w:spacing w:val="0"/>
          <w:sz w:val="20"/>
          <w:szCs w:val="20"/>
          <w:highlight w:val="none"/>
        </w:rPr>
        <w:t>说明：《联合体协议书》 由委托代理人签字或盖章的，应附法定代表人签字或盖章的授权委托书。</w:t>
      </w:r>
    </w:p>
    <w:p w14:paraId="7F46D0F6">
      <w:pPr>
        <w:keepNext w:val="0"/>
        <w:keepLines w:val="0"/>
        <w:pageBreakBefore w:val="0"/>
        <w:widowControl/>
        <w:kinsoku w:val="0"/>
        <w:wordWrap w:val="0"/>
        <w:overflowPunct/>
        <w:topLinePunct w:val="0"/>
        <w:autoSpaceDE w:val="0"/>
        <w:autoSpaceDN w:val="0"/>
        <w:bidi w:val="0"/>
        <w:adjustRightInd w:val="0"/>
        <w:snapToGrid w:val="0"/>
        <w:spacing w:line="264" w:lineRule="auto"/>
        <w:textAlignment w:val="baseline"/>
        <w:rPr>
          <w:rFonts w:hint="eastAsia" w:ascii="宋体" w:hAnsi="宋体" w:eastAsia="宋体" w:cs="宋体"/>
          <w:color w:val="auto"/>
          <w:spacing w:val="0"/>
          <w:sz w:val="20"/>
          <w:szCs w:val="20"/>
          <w:highlight w:val="none"/>
        </w:rPr>
        <w:sectPr>
          <w:footerReference r:id="rId19"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022B0670">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auto"/>
          <w:spacing w:val="0"/>
          <w:sz w:val="24"/>
          <w:szCs w:val="24"/>
          <w:highlight w:val="none"/>
        </w:rPr>
      </w:pPr>
      <w:bookmarkStart w:id="230" w:name="_Toc12591"/>
      <w:r>
        <w:rPr>
          <w:rFonts w:hint="eastAsia" w:ascii="宋体" w:hAnsi="宋体" w:eastAsia="宋体" w:cs="宋体"/>
          <w:b/>
          <w:bCs/>
          <w:color w:val="auto"/>
          <w:spacing w:val="0"/>
          <w:sz w:val="24"/>
          <w:szCs w:val="24"/>
          <w:highlight w:val="none"/>
        </w:rPr>
        <w:t>格式七 投标人基本情况表</w:t>
      </w:r>
      <w:bookmarkEnd w:id="230"/>
    </w:p>
    <w:p w14:paraId="202669F4">
      <w:pPr>
        <w:keepNext w:val="0"/>
        <w:keepLines w:val="0"/>
        <w:pageBreakBefore w:val="0"/>
        <w:wordWrap w:val="0"/>
        <w:overflowPunct/>
        <w:topLinePunct w:val="0"/>
        <w:bidi w:val="0"/>
        <w:spacing w:before="333" w:line="219" w:lineRule="auto"/>
        <w:ind w:left="3350"/>
        <w:rPr>
          <w:rFonts w:hint="eastAsia" w:ascii="宋体" w:hAnsi="宋体" w:eastAsia="宋体" w:cs="宋体"/>
          <w:color w:val="auto"/>
          <w:spacing w:val="0"/>
          <w:sz w:val="30"/>
          <w:szCs w:val="30"/>
          <w:highlight w:val="none"/>
        </w:rPr>
      </w:pPr>
      <w:r>
        <w:rPr>
          <w:rFonts w:hint="eastAsia" w:ascii="宋体" w:hAnsi="宋体" w:eastAsia="宋体" w:cs="宋体"/>
          <w:b/>
          <w:bCs/>
          <w:color w:val="auto"/>
          <w:spacing w:val="0"/>
          <w:sz w:val="30"/>
          <w:szCs w:val="30"/>
          <w:highlight w:val="none"/>
        </w:rPr>
        <w:t>投标人基本情况表</w:t>
      </w:r>
    </w:p>
    <w:p w14:paraId="0B9EE8E9">
      <w:pPr>
        <w:keepNext w:val="0"/>
        <w:keepLines w:val="0"/>
        <w:pageBreakBefore w:val="0"/>
        <w:wordWrap w:val="0"/>
        <w:overflowPunct/>
        <w:topLinePunct w:val="0"/>
        <w:bidi w:val="0"/>
        <w:spacing w:line="239" w:lineRule="exact"/>
        <w:rPr>
          <w:rFonts w:hint="eastAsia" w:ascii="宋体" w:hAnsi="宋体" w:eastAsia="宋体" w:cs="宋体"/>
          <w:color w:val="auto"/>
          <w:spacing w:val="0"/>
          <w:highlight w:val="none"/>
        </w:rPr>
      </w:pPr>
    </w:p>
    <w:tbl>
      <w:tblPr>
        <w:tblStyle w:val="17"/>
        <w:tblW w:w="9259" w:type="dxa"/>
        <w:tblInd w:w="28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20"/>
        <w:gridCol w:w="975"/>
        <w:gridCol w:w="1837"/>
        <w:gridCol w:w="872"/>
        <w:gridCol w:w="311"/>
        <w:gridCol w:w="1043"/>
        <w:gridCol w:w="283"/>
        <w:gridCol w:w="770"/>
        <w:gridCol w:w="1548"/>
      </w:tblGrid>
      <w:tr w14:paraId="182EE0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1BA082A7">
            <w:pPr>
              <w:keepNext w:val="0"/>
              <w:keepLines w:val="0"/>
              <w:pageBreakBefore w:val="0"/>
              <w:widowControl/>
              <w:kinsoku w:val="0"/>
              <w:wordWrap w:val="0"/>
              <w:overflowPunct/>
              <w:topLinePunct w:val="0"/>
              <w:autoSpaceDE w:val="0"/>
              <w:autoSpaceDN w:val="0"/>
              <w:bidi w:val="0"/>
              <w:adjustRightInd w:val="0"/>
              <w:snapToGrid w:val="0"/>
              <w:spacing w:before="149" w:line="24" w:lineRule="atLeast"/>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投标人名称</w:t>
            </w:r>
          </w:p>
        </w:tc>
        <w:tc>
          <w:tcPr>
            <w:tcW w:w="7639" w:type="dxa"/>
            <w:gridSpan w:val="8"/>
            <w:vAlign w:val="center"/>
          </w:tcPr>
          <w:p w14:paraId="7300590D">
            <w:pPr>
              <w:pStyle w:val="32"/>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r>
      <w:tr w14:paraId="08BA0C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0CA08589">
            <w:pPr>
              <w:keepNext w:val="0"/>
              <w:keepLines w:val="0"/>
              <w:pageBreakBefore w:val="0"/>
              <w:widowControl/>
              <w:kinsoku w:val="0"/>
              <w:wordWrap w:val="0"/>
              <w:overflowPunct/>
              <w:topLinePunct w:val="0"/>
              <w:autoSpaceDE w:val="0"/>
              <w:autoSpaceDN w:val="0"/>
              <w:bidi w:val="0"/>
              <w:adjustRightInd w:val="0"/>
              <w:snapToGrid w:val="0"/>
              <w:spacing w:before="144" w:line="24" w:lineRule="atLeast"/>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注册地址</w:t>
            </w:r>
          </w:p>
        </w:tc>
        <w:tc>
          <w:tcPr>
            <w:tcW w:w="3684" w:type="dxa"/>
            <w:gridSpan w:val="3"/>
            <w:vAlign w:val="center"/>
          </w:tcPr>
          <w:p w14:paraId="49536482">
            <w:pPr>
              <w:pStyle w:val="32"/>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c>
          <w:tcPr>
            <w:tcW w:w="1354" w:type="dxa"/>
            <w:gridSpan w:val="2"/>
            <w:vAlign w:val="center"/>
          </w:tcPr>
          <w:p w14:paraId="3F5E14A1">
            <w:pPr>
              <w:keepNext w:val="0"/>
              <w:keepLines w:val="0"/>
              <w:pageBreakBefore w:val="0"/>
              <w:widowControl/>
              <w:kinsoku w:val="0"/>
              <w:wordWrap w:val="0"/>
              <w:overflowPunct/>
              <w:topLinePunct w:val="0"/>
              <w:autoSpaceDE w:val="0"/>
              <w:autoSpaceDN w:val="0"/>
              <w:bidi w:val="0"/>
              <w:adjustRightInd w:val="0"/>
              <w:snapToGrid w:val="0"/>
              <w:spacing w:before="144" w:line="228" w:lineRule="auto"/>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邮政编码</w:t>
            </w:r>
          </w:p>
        </w:tc>
        <w:tc>
          <w:tcPr>
            <w:tcW w:w="2601" w:type="dxa"/>
            <w:gridSpan w:val="3"/>
            <w:vAlign w:val="center"/>
          </w:tcPr>
          <w:p w14:paraId="396A8133">
            <w:pPr>
              <w:pStyle w:val="32"/>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r>
      <w:tr w14:paraId="3CBBFC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Merge w:val="restart"/>
            <w:tcBorders>
              <w:bottom w:val="nil"/>
            </w:tcBorders>
            <w:vAlign w:val="center"/>
          </w:tcPr>
          <w:p w14:paraId="02F296EF">
            <w:pPr>
              <w:keepNext w:val="0"/>
              <w:keepLines w:val="0"/>
              <w:pageBreakBefore w:val="0"/>
              <w:widowControl/>
              <w:kinsoku w:val="0"/>
              <w:wordWrap w:val="0"/>
              <w:overflowPunct/>
              <w:topLinePunct w:val="0"/>
              <w:autoSpaceDE w:val="0"/>
              <w:autoSpaceDN w:val="0"/>
              <w:bidi w:val="0"/>
              <w:adjustRightInd w:val="0"/>
              <w:snapToGrid w:val="0"/>
              <w:spacing w:before="65" w:line="24" w:lineRule="atLeast"/>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联系方式</w:t>
            </w:r>
          </w:p>
        </w:tc>
        <w:tc>
          <w:tcPr>
            <w:tcW w:w="975" w:type="dxa"/>
            <w:vAlign w:val="center"/>
          </w:tcPr>
          <w:p w14:paraId="68570ED5">
            <w:pPr>
              <w:keepNext w:val="0"/>
              <w:keepLines w:val="0"/>
              <w:pageBreakBefore w:val="0"/>
              <w:widowControl/>
              <w:kinsoku w:val="0"/>
              <w:wordWrap w:val="0"/>
              <w:overflowPunct/>
              <w:topLinePunct w:val="0"/>
              <w:autoSpaceDE w:val="0"/>
              <w:autoSpaceDN w:val="0"/>
              <w:bidi w:val="0"/>
              <w:adjustRightInd w:val="0"/>
              <w:snapToGrid w:val="0"/>
              <w:spacing w:before="145" w:line="231" w:lineRule="auto"/>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联系人</w:t>
            </w:r>
          </w:p>
        </w:tc>
        <w:tc>
          <w:tcPr>
            <w:tcW w:w="2709" w:type="dxa"/>
            <w:gridSpan w:val="2"/>
            <w:vAlign w:val="center"/>
          </w:tcPr>
          <w:p w14:paraId="1702780A">
            <w:pPr>
              <w:pStyle w:val="32"/>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c>
          <w:tcPr>
            <w:tcW w:w="1354" w:type="dxa"/>
            <w:gridSpan w:val="2"/>
            <w:vAlign w:val="center"/>
          </w:tcPr>
          <w:p w14:paraId="28B18ED3">
            <w:pPr>
              <w:keepNext w:val="0"/>
              <w:keepLines w:val="0"/>
              <w:pageBreakBefore w:val="0"/>
              <w:widowControl/>
              <w:kinsoku w:val="0"/>
              <w:wordWrap w:val="0"/>
              <w:overflowPunct/>
              <w:topLinePunct w:val="0"/>
              <w:autoSpaceDE w:val="0"/>
              <w:autoSpaceDN w:val="0"/>
              <w:bidi w:val="0"/>
              <w:adjustRightInd w:val="0"/>
              <w:snapToGrid w:val="0"/>
              <w:spacing w:before="145" w:line="231" w:lineRule="auto"/>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电  话</w:t>
            </w:r>
          </w:p>
        </w:tc>
        <w:tc>
          <w:tcPr>
            <w:tcW w:w="2601" w:type="dxa"/>
            <w:gridSpan w:val="3"/>
            <w:vAlign w:val="center"/>
          </w:tcPr>
          <w:p w14:paraId="1CA698B1">
            <w:pPr>
              <w:pStyle w:val="32"/>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r>
      <w:tr w14:paraId="4B4C75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Merge w:val="continue"/>
            <w:tcBorders>
              <w:top w:val="nil"/>
            </w:tcBorders>
            <w:vAlign w:val="center"/>
          </w:tcPr>
          <w:p w14:paraId="5BC0BA9A">
            <w:pPr>
              <w:pStyle w:val="32"/>
              <w:keepNext w:val="0"/>
              <w:keepLines w:val="0"/>
              <w:pageBreakBefore w:val="0"/>
              <w:widowControl/>
              <w:kinsoku w:val="0"/>
              <w:wordWrap w:val="0"/>
              <w:overflowPunct/>
              <w:topLinePunct w:val="0"/>
              <w:autoSpaceDE w:val="0"/>
              <w:autoSpaceDN w:val="0"/>
              <w:bidi w:val="0"/>
              <w:adjustRightInd w:val="0"/>
              <w:snapToGrid w:val="0"/>
              <w:spacing w:line="24" w:lineRule="atLeast"/>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c>
          <w:tcPr>
            <w:tcW w:w="975" w:type="dxa"/>
            <w:vAlign w:val="center"/>
          </w:tcPr>
          <w:p w14:paraId="089DB237">
            <w:pPr>
              <w:keepNext w:val="0"/>
              <w:keepLines w:val="0"/>
              <w:pageBreakBefore w:val="0"/>
              <w:widowControl/>
              <w:kinsoku w:val="0"/>
              <w:wordWrap w:val="0"/>
              <w:overflowPunct/>
              <w:topLinePunct w:val="0"/>
              <w:autoSpaceDE w:val="0"/>
              <w:autoSpaceDN w:val="0"/>
              <w:bidi w:val="0"/>
              <w:adjustRightInd w:val="0"/>
              <w:snapToGrid w:val="0"/>
              <w:spacing w:before="143" w:line="228" w:lineRule="auto"/>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传  真</w:t>
            </w:r>
          </w:p>
        </w:tc>
        <w:tc>
          <w:tcPr>
            <w:tcW w:w="2709" w:type="dxa"/>
            <w:gridSpan w:val="2"/>
            <w:vAlign w:val="center"/>
          </w:tcPr>
          <w:p w14:paraId="67CE3A68">
            <w:pPr>
              <w:pStyle w:val="32"/>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c>
          <w:tcPr>
            <w:tcW w:w="1354" w:type="dxa"/>
            <w:gridSpan w:val="2"/>
            <w:vAlign w:val="center"/>
          </w:tcPr>
          <w:p w14:paraId="09339A02">
            <w:pPr>
              <w:keepNext w:val="0"/>
              <w:keepLines w:val="0"/>
              <w:pageBreakBefore w:val="0"/>
              <w:widowControl/>
              <w:kinsoku w:val="0"/>
              <w:wordWrap w:val="0"/>
              <w:overflowPunct/>
              <w:topLinePunct w:val="0"/>
              <w:autoSpaceDE w:val="0"/>
              <w:autoSpaceDN w:val="0"/>
              <w:bidi w:val="0"/>
              <w:adjustRightInd w:val="0"/>
              <w:snapToGrid w:val="0"/>
              <w:spacing w:before="144" w:line="229" w:lineRule="auto"/>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电子邮箱</w:t>
            </w:r>
          </w:p>
        </w:tc>
        <w:tc>
          <w:tcPr>
            <w:tcW w:w="2601" w:type="dxa"/>
            <w:gridSpan w:val="3"/>
            <w:vAlign w:val="center"/>
          </w:tcPr>
          <w:p w14:paraId="72603BCA">
            <w:pPr>
              <w:pStyle w:val="32"/>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r>
      <w:tr w14:paraId="1AE409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3FCB413F">
            <w:pPr>
              <w:keepNext w:val="0"/>
              <w:keepLines w:val="0"/>
              <w:pageBreakBefore w:val="0"/>
              <w:widowControl/>
              <w:kinsoku w:val="0"/>
              <w:wordWrap w:val="0"/>
              <w:overflowPunct/>
              <w:topLinePunct w:val="0"/>
              <w:autoSpaceDE w:val="0"/>
              <w:autoSpaceDN w:val="0"/>
              <w:bidi w:val="0"/>
              <w:adjustRightInd w:val="0"/>
              <w:snapToGrid w:val="0"/>
              <w:spacing w:before="145" w:line="24" w:lineRule="atLeast"/>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单位性质</w:t>
            </w:r>
          </w:p>
        </w:tc>
        <w:tc>
          <w:tcPr>
            <w:tcW w:w="7639" w:type="dxa"/>
            <w:gridSpan w:val="8"/>
            <w:vAlign w:val="center"/>
          </w:tcPr>
          <w:p w14:paraId="227B670A">
            <w:pPr>
              <w:pStyle w:val="32"/>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r>
      <w:tr w14:paraId="69B1B7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75A978D3">
            <w:pPr>
              <w:keepNext w:val="0"/>
              <w:keepLines w:val="0"/>
              <w:pageBreakBefore w:val="0"/>
              <w:widowControl/>
              <w:kinsoku w:val="0"/>
              <w:wordWrap w:val="0"/>
              <w:overflowPunct/>
              <w:topLinePunct w:val="0"/>
              <w:autoSpaceDE w:val="0"/>
              <w:autoSpaceDN w:val="0"/>
              <w:bidi w:val="0"/>
              <w:adjustRightInd w:val="0"/>
              <w:snapToGrid w:val="0"/>
              <w:spacing w:before="144" w:line="24" w:lineRule="atLeast"/>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法定代表人</w:t>
            </w:r>
          </w:p>
        </w:tc>
        <w:tc>
          <w:tcPr>
            <w:tcW w:w="975" w:type="dxa"/>
            <w:vAlign w:val="center"/>
          </w:tcPr>
          <w:p w14:paraId="4F83EB3D">
            <w:pPr>
              <w:keepNext w:val="0"/>
              <w:keepLines w:val="0"/>
              <w:pageBreakBefore w:val="0"/>
              <w:widowControl/>
              <w:kinsoku w:val="0"/>
              <w:wordWrap w:val="0"/>
              <w:overflowPunct/>
              <w:topLinePunct w:val="0"/>
              <w:autoSpaceDE w:val="0"/>
              <w:autoSpaceDN w:val="0"/>
              <w:bidi w:val="0"/>
              <w:adjustRightInd w:val="0"/>
              <w:snapToGrid w:val="0"/>
              <w:spacing w:before="144" w:line="228" w:lineRule="auto"/>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姓名</w:t>
            </w:r>
          </w:p>
        </w:tc>
        <w:tc>
          <w:tcPr>
            <w:tcW w:w="1837" w:type="dxa"/>
            <w:vAlign w:val="center"/>
          </w:tcPr>
          <w:p w14:paraId="72A930AA">
            <w:pPr>
              <w:pStyle w:val="32"/>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c>
          <w:tcPr>
            <w:tcW w:w="1183" w:type="dxa"/>
            <w:gridSpan w:val="2"/>
            <w:vAlign w:val="center"/>
          </w:tcPr>
          <w:p w14:paraId="3922DEF1">
            <w:pPr>
              <w:keepNext w:val="0"/>
              <w:keepLines w:val="0"/>
              <w:pageBreakBefore w:val="0"/>
              <w:widowControl/>
              <w:kinsoku w:val="0"/>
              <w:wordWrap w:val="0"/>
              <w:overflowPunct/>
              <w:topLinePunct w:val="0"/>
              <w:autoSpaceDE w:val="0"/>
              <w:autoSpaceDN w:val="0"/>
              <w:bidi w:val="0"/>
              <w:adjustRightInd w:val="0"/>
              <w:snapToGrid w:val="0"/>
              <w:spacing w:before="144" w:line="228" w:lineRule="auto"/>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技术职称</w:t>
            </w:r>
          </w:p>
        </w:tc>
        <w:tc>
          <w:tcPr>
            <w:tcW w:w="1326" w:type="dxa"/>
            <w:gridSpan w:val="2"/>
            <w:vAlign w:val="center"/>
          </w:tcPr>
          <w:p w14:paraId="1185BD4F">
            <w:pPr>
              <w:pStyle w:val="32"/>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c>
          <w:tcPr>
            <w:tcW w:w="770" w:type="dxa"/>
            <w:vAlign w:val="center"/>
          </w:tcPr>
          <w:p w14:paraId="572D9DD0">
            <w:pPr>
              <w:keepNext w:val="0"/>
              <w:keepLines w:val="0"/>
              <w:pageBreakBefore w:val="0"/>
              <w:widowControl/>
              <w:kinsoku w:val="0"/>
              <w:wordWrap w:val="0"/>
              <w:overflowPunct/>
              <w:topLinePunct w:val="0"/>
              <w:autoSpaceDE w:val="0"/>
              <w:autoSpaceDN w:val="0"/>
              <w:bidi w:val="0"/>
              <w:adjustRightInd w:val="0"/>
              <w:snapToGrid w:val="0"/>
              <w:spacing w:before="143" w:line="231" w:lineRule="auto"/>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电话</w:t>
            </w:r>
          </w:p>
        </w:tc>
        <w:tc>
          <w:tcPr>
            <w:tcW w:w="1548" w:type="dxa"/>
            <w:vAlign w:val="center"/>
          </w:tcPr>
          <w:p w14:paraId="08312DE3">
            <w:pPr>
              <w:pStyle w:val="32"/>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r>
      <w:tr w14:paraId="5662D3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241E3D69">
            <w:pPr>
              <w:keepNext w:val="0"/>
              <w:keepLines w:val="0"/>
              <w:pageBreakBefore w:val="0"/>
              <w:widowControl/>
              <w:kinsoku w:val="0"/>
              <w:wordWrap w:val="0"/>
              <w:overflowPunct/>
              <w:topLinePunct w:val="0"/>
              <w:autoSpaceDE w:val="0"/>
              <w:autoSpaceDN w:val="0"/>
              <w:bidi w:val="0"/>
              <w:adjustRightInd w:val="0"/>
              <w:snapToGrid w:val="0"/>
              <w:spacing w:before="145" w:line="24" w:lineRule="atLeast"/>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成立时间</w:t>
            </w:r>
          </w:p>
        </w:tc>
        <w:tc>
          <w:tcPr>
            <w:tcW w:w="2812" w:type="dxa"/>
            <w:gridSpan w:val="2"/>
            <w:vAlign w:val="center"/>
          </w:tcPr>
          <w:p w14:paraId="555CEDE6">
            <w:pPr>
              <w:pStyle w:val="32"/>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c>
          <w:tcPr>
            <w:tcW w:w="4827" w:type="dxa"/>
            <w:gridSpan w:val="6"/>
            <w:vAlign w:val="center"/>
          </w:tcPr>
          <w:p w14:paraId="09E652D6">
            <w:pPr>
              <w:keepNext w:val="0"/>
              <w:keepLines w:val="0"/>
              <w:pageBreakBefore w:val="0"/>
              <w:widowControl/>
              <w:kinsoku w:val="0"/>
              <w:wordWrap w:val="0"/>
              <w:overflowPunct/>
              <w:topLinePunct w:val="0"/>
              <w:autoSpaceDE w:val="0"/>
              <w:autoSpaceDN w:val="0"/>
              <w:bidi w:val="0"/>
              <w:adjustRightInd w:val="0"/>
              <w:snapToGrid w:val="0"/>
              <w:spacing w:before="145" w:line="228" w:lineRule="auto"/>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员工总人数（个）：</w:t>
            </w:r>
          </w:p>
        </w:tc>
      </w:tr>
      <w:tr w14:paraId="5A3BC2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5D9A0E97">
            <w:pPr>
              <w:keepNext w:val="0"/>
              <w:keepLines w:val="0"/>
              <w:pageBreakBefore w:val="0"/>
              <w:widowControl/>
              <w:kinsoku w:val="0"/>
              <w:wordWrap w:val="0"/>
              <w:overflowPunct/>
              <w:topLinePunct w:val="0"/>
              <w:autoSpaceDE w:val="0"/>
              <w:autoSpaceDN w:val="0"/>
              <w:bidi w:val="0"/>
              <w:adjustRightInd w:val="0"/>
              <w:snapToGrid w:val="0"/>
              <w:spacing w:before="61" w:line="24" w:lineRule="atLeast"/>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 xml:space="preserve">企业资质  </w:t>
            </w:r>
          </w:p>
          <w:p w14:paraId="0BD72420">
            <w:pPr>
              <w:keepNext w:val="0"/>
              <w:keepLines w:val="0"/>
              <w:pageBreakBefore w:val="0"/>
              <w:widowControl/>
              <w:kinsoku w:val="0"/>
              <w:wordWrap w:val="0"/>
              <w:overflowPunct/>
              <w:topLinePunct w:val="0"/>
              <w:autoSpaceDE w:val="0"/>
              <w:autoSpaceDN w:val="0"/>
              <w:bidi w:val="0"/>
              <w:adjustRightInd w:val="0"/>
              <w:snapToGrid w:val="0"/>
              <w:spacing w:before="61" w:line="24" w:lineRule="atLeast"/>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类型和等级</w:t>
            </w:r>
          </w:p>
        </w:tc>
        <w:tc>
          <w:tcPr>
            <w:tcW w:w="2812" w:type="dxa"/>
            <w:gridSpan w:val="2"/>
            <w:vAlign w:val="center"/>
          </w:tcPr>
          <w:p w14:paraId="36E90BA1">
            <w:pPr>
              <w:pStyle w:val="32"/>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c>
          <w:tcPr>
            <w:tcW w:w="1183" w:type="dxa"/>
            <w:gridSpan w:val="2"/>
            <w:vMerge w:val="restart"/>
            <w:tcBorders>
              <w:bottom w:val="nil"/>
            </w:tcBorders>
            <w:vAlign w:val="center"/>
          </w:tcPr>
          <w:p w14:paraId="184C057B">
            <w:pPr>
              <w:keepNext w:val="0"/>
              <w:keepLines w:val="0"/>
              <w:pageBreakBefore w:val="0"/>
              <w:widowControl/>
              <w:kinsoku w:val="0"/>
              <w:wordWrap w:val="0"/>
              <w:overflowPunct/>
              <w:topLinePunct w:val="0"/>
              <w:autoSpaceDE w:val="0"/>
              <w:autoSpaceDN w:val="0"/>
              <w:bidi w:val="0"/>
              <w:adjustRightInd w:val="0"/>
              <w:snapToGrid w:val="0"/>
              <w:spacing w:before="65" w:line="229" w:lineRule="auto"/>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其中</w:t>
            </w:r>
          </w:p>
        </w:tc>
        <w:tc>
          <w:tcPr>
            <w:tcW w:w="2096" w:type="dxa"/>
            <w:gridSpan w:val="3"/>
            <w:vAlign w:val="center"/>
          </w:tcPr>
          <w:p w14:paraId="3D15E64F">
            <w:pPr>
              <w:keepNext w:val="0"/>
              <w:keepLines w:val="0"/>
              <w:pageBreakBefore w:val="0"/>
              <w:widowControl/>
              <w:kinsoku w:val="0"/>
              <w:wordWrap w:val="0"/>
              <w:overflowPunct/>
              <w:topLinePunct w:val="0"/>
              <w:autoSpaceDE w:val="0"/>
              <w:autoSpaceDN w:val="0"/>
              <w:bidi w:val="0"/>
              <w:adjustRightInd w:val="0"/>
              <w:snapToGrid w:val="0"/>
              <w:spacing w:before="214" w:line="229" w:lineRule="auto"/>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项目经理</w:t>
            </w:r>
          </w:p>
        </w:tc>
        <w:tc>
          <w:tcPr>
            <w:tcW w:w="1548" w:type="dxa"/>
            <w:vAlign w:val="center"/>
          </w:tcPr>
          <w:p w14:paraId="0CE9F04E">
            <w:pPr>
              <w:pStyle w:val="32"/>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r>
      <w:tr w14:paraId="286FFA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2B783628">
            <w:pPr>
              <w:keepNext w:val="0"/>
              <w:keepLines w:val="0"/>
              <w:pageBreakBefore w:val="0"/>
              <w:widowControl/>
              <w:kinsoku w:val="0"/>
              <w:wordWrap w:val="0"/>
              <w:overflowPunct/>
              <w:topLinePunct w:val="0"/>
              <w:autoSpaceDE w:val="0"/>
              <w:autoSpaceDN w:val="0"/>
              <w:bidi w:val="0"/>
              <w:adjustRightInd w:val="0"/>
              <w:snapToGrid w:val="0"/>
              <w:spacing w:before="146" w:line="24" w:lineRule="atLeast"/>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营业执照号</w:t>
            </w:r>
          </w:p>
        </w:tc>
        <w:tc>
          <w:tcPr>
            <w:tcW w:w="2812" w:type="dxa"/>
            <w:gridSpan w:val="2"/>
            <w:vAlign w:val="center"/>
          </w:tcPr>
          <w:p w14:paraId="747D594F">
            <w:pPr>
              <w:pStyle w:val="32"/>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c>
          <w:tcPr>
            <w:tcW w:w="1183" w:type="dxa"/>
            <w:gridSpan w:val="2"/>
            <w:vMerge w:val="continue"/>
            <w:tcBorders>
              <w:top w:val="nil"/>
              <w:bottom w:val="nil"/>
            </w:tcBorders>
            <w:vAlign w:val="center"/>
          </w:tcPr>
          <w:p w14:paraId="58CA7973">
            <w:pPr>
              <w:pStyle w:val="32"/>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c>
          <w:tcPr>
            <w:tcW w:w="2096" w:type="dxa"/>
            <w:gridSpan w:val="3"/>
            <w:vAlign w:val="center"/>
          </w:tcPr>
          <w:p w14:paraId="44D72A37">
            <w:pPr>
              <w:keepNext w:val="0"/>
              <w:keepLines w:val="0"/>
              <w:pageBreakBefore w:val="0"/>
              <w:widowControl/>
              <w:kinsoku w:val="0"/>
              <w:wordWrap w:val="0"/>
              <w:overflowPunct/>
              <w:topLinePunct w:val="0"/>
              <w:autoSpaceDE w:val="0"/>
              <w:autoSpaceDN w:val="0"/>
              <w:bidi w:val="0"/>
              <w:adjustRightInd w:val="0"/>
              <w:snapToGrid w:val="0"/>
              <w:spacing w:before="146" w:line="228" w:lineRule="auto"/>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高级职称人员</w:t>
            </w:r>
          </w:p>
        </w:tc>
        <w:tc>
          <w:tcPr>
            <w:tcW w:w="1548" w:type="dxa"/>
            <w:vAlign w:val="center"/>
          </w:tcPr>
          <w:p w14:paraId="2A99BAEB">
            <w:pPr>
              <w:pStyle w:val="32"/>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r>
      <w:tr w14:paraId="04F632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2D6C9F44">
            <w:pPr>
              <w:keepNext w:val="0"/>
              <w:keepLines w:val="0"/>
              <w:pageBreakBefore w:val="0"/>
              <w:widowControl/>
              <w:kinsoku w:val="0"/>
              <w:wordWrap w:val="0"/>
              <w:overflowPunct/>
              <w:topLinePunct w:val="0"/>
              <w:autoSpaceDE w:val="0"/>
              <w:autoSpaceDN w:val="0"/>
              <w:bidi w:val="0"/>
              <w:adjustRightInd w:val="0"/>
              <w:snapToGrid w:val="0"/>
              <w:spacing w:before="146" w:line="24" w:lineRule="atLeast"/>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注册资金</w:t>
            </w:r>
          </w:p>
        </w:tc>
        <w:tc>
          <w:tcPr>
            <w:tcW w:w="2812" w:type="dxa"/>
            <w:gridSpan w:val="2"/>
            <w:vAlign w:val="center"/>
          </w:tcPr>
          <w:p w14:paraId="601C2D54">
            <w:pPr>
              <w:pStyle w:val="32"/>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c>
          <w:tcPr>
            <w:tcW w:w="1183" w:type="dxa"/>
            <w:gridSpan w:val="2"/>
            <w:vMerge w:val="continue"/>
            <w:tcBorders>
              <w:top w:val="nil"/>
              <w:bottom w:val="nil"/>
            </w:tcBorders>
            <w:vAlign w:val="center"/>
          </w:tcPr>
          <w:p w14:paraId="1A69CF11">
            <w:pPr>
              <w:pStyle w:val="32"/>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c>
          <w:tcPr>
            <w:tcW w:w="2096" w:type="dxa"/>
            <w:gridSpan w:val="3"/>
            <w:vAlign w:val="center"/>
          </w:tcPr>
          <w:p w14:paraId="358DD624">
            <w:pPr>
              <w:keepNext w:val="0"/>
              <w:keepLines w:val="0"/>
              <w:pageBreakBefore w:val="0"/>
              <w:widowControl/>
              <w:kinsoku w:val="0"/>
              <w:wordWrap w:val="0"/>
              <w:overflowPunct/>
              <w:topLinePunct w:val="0"/>
              <w:autoSpaceDE w:val="0"/>
              <w:autoSpaceDN w:val="0"/>
              <w:bidi w:val="0"/>
              <w:adjustRightInd w:val="0"/>
              <w:snapToGrid w:val="0"/>
              <w:spacing w:before="147" w:line="229" w:lineRule="auto"/>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中级职称人员</w:t>
            </w:r>
          </w:p>
        </w:tc>
        <w:tc>
          <w:tcPr>
            <w:tcW w:w="1548" w:type="dxa"/>
            <w:vAlign w:val="center"/>
          </w:tcPr>
          <w:p w14:paraId="7A086B11">
            <w:pPr>
              <w:pStyle w:val="32"/>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r>
      <w:tr w14:paraId="65D5E2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09525895">
            <w:pPr>
              <w:keepNext w:val="0"/>
              <w:keepLines w:val="0"/>
              <w:pageBreakBefore w:val="0"/>
              <w:widowControl/>
              <w:kinsoku w:val="0"/>
              <w:wordWrap w:val="0"/>
              <w:overflowPunct/>
              <w:topLinePunct w:val="0"/>
              <w:autoSpaceDE w:val="0"/>
              <w:autoSpaceDN w:val="0"/>
              <w:bidi w:val="0"/>
              <w:adjustRightInd w:val="0"/>
              <w:snapToGrid w:val="0"/>
              <w:spacing w:before="62" w:line="24" w:lineRule="atLeast"/>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 xml:space="preserve">基本账户 </w:t>
            </w:r>
          </w:p>
          <w:p w14:paraId="1E0BC5AE">
            <w:pPr>
              <w:keepNext w:val="0"/>
              <w:keepLines w:val="0"/>
              <w:pageBreakBefore w:val="0"/>
              <w:widowControl/>
              <w:kinsoku w:val="0"/>
              <w:wordWrap w:val="0"/>
              <w:overflowPunct/>
              <w:topLinePunct w:val="0"/>
              <w:autoSpaceDE w:val="0"/>
              <w:autoSpaceDN w:val="0"/>
              <w:bidi w:val="0"/>
              <w:adjustRightInd w:val="0"/>
              <w:snapToGrid w:val="0"/>
              <w:spacing w:before="62" w:line="24" w:lineRule="atLeast"/>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开户银行</w:t>
            </w:r>
          </w:p>
        </w:tc>
        <w:tc>
          <w:tcPr>
            <w:tcW w:w="2812" w:type="dxa"/>
            <w:gridSpan w:val="2"/>
            <w:vAlign w:val="center"/>
          </w:tcPr>
          <w:p w14:paraId="513091A6">
            <w:pPr>
              <w:pStyle w:val="32"/>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c>
          <w:tcPr>
            <w:tcW w:w="1183" w:type="dxa"/>
            <w:gridSpan w:val="2"/>
            <w:vMerge w:val="continue"/>
            <w:tcBorders>
              <w:top w:val="nil"/>
              <w:bottom w:val="nil"/>
            </w:tcBorders>
            <w:vAlign w:val="center"/>
          </w:tcPr>
          <w:p w14:paraId="1F2B5660">
            <w:pPr>
              <w:pStyle w:val="32"/>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c>
          <w:tcPr>
            <w:tcW w:w="2096" w:type="dxa"/>
            <w:gridSpan w:val="3"/>
            <w:vAlign w:val="center"/>
          </w:tcPr>
          <w:p w14:paraId="13D2DF3D">
            <w:pPr>
              <w:keepNext w:val="0"/>
              <w:keepLines w:val="0"/>
              <w:pageBreakBefore w:val="0"/>
              <w:widowControl/>
              <w:kinsoku w:val="0"/>
              <w:wordWrap w:val="0"/>
              <w:overflowPunct/>
              <w:topLinePunct w:val="0"/>
              <w:autoSpaceDE w:val="0"/>
              <w:autoSpaceDN w:val="0"/>
              <w:bidi w:val="0"/>
              <w:adjustRightInd w:val="0"/>
              <w:snapToGrid w:val="0"/>
              <w:spacing w:before="191" w:line="230" w:lineRule="auto"/>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初级职称人员</w:t>
            </w:r>
          </w:p>
        </w:tc>
        <w:tc>
          <w:tcPr>
            <w:tcW w:w="1548" w:type="dxa"/>
            <w:vAlign w:val="center"/>
          </w:tcPr>
          <w:p w14:paraId="458880C3">
            <w:pPr>
              <w:pStyle w:val="32"/>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r>
      <w:tr w14:paraId="4D4106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79DA3D28">
            <w:pPr>
              <w:keepNext w:val="0"/>
              <w:keepLines w:val="0"/>
              <w:pageBreakBefore w:val="0"/>
              <w:widowControl/>
              <w:kinsoku w:val="0"/>
              <w:wordWrap w:val="0"/>
              <w:overflowPunct/>
              <w:topLinePunct w:val="0"/>
              <w:autoSpaceDE w:val="0"/>
              <w:autoSpaceDN w:val="0"/>
              <w:bidi w:val="0"/>
              <w:adjustRightInd w:val="0"/>
              <w:snapToGrid w:val="0"/>
              <w:spacing w:before="62" w:line="24" w:lineRule="atLeast"/>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 xml:space="preserve">基本账户 </w:t>
            </w:r>
          </w:p>
          <w:p w14:paraId="7202DE48">
            <w:pPr>
              <w:keepNext w:val="0"/>
              <w:keepLines w:val="0"/>
              <w:pageBreakBefore w:val="0"/>
              <w:widowControl/>
              <w:kinsoku w:val="0"/>
              <w:wordWrap w:val="0"/>
              <w:overflowPunct/>
              <w:topLinePunct w:val="0"/>
              <w:autoSpaceDE w:val="0"/>
              <w:autoSpaceDN w:val="0"/>
              <w:bidi w:val="0"/>
              <w:adjustRightInd w:val="0"/>
              <w:snapToGrid w:val="0"/>
              <w:spacing w:before="62" w:line="24" w:lineRule="atLeast"/>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银行账号</w:t>
            </w:r>
          </w:p>
        </w:tc>
        <w:tc>
          <w:tcPr>
            <w:tcW w:w="2812" w:type="dxa"/>
            <w:gridSpan w:val="2"/>
            <w:vAlign w:val="center"/>
          </w:tcPr>
          <w:p w14:paraId="297684D1">
            <w:pPr>
              <w:pStyle w:val="32"/>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c>
          <w:tcPr>
            <w:tcW w:w="1183" w:type="dxa"/>
            <w:gridSpan w:val="2"/>
            <w:vMerge w:val="continue"/>
            <w:tcBorders>
              <w:top w:val="nil"/>
            </w:tcBorders>
            <w:vAlign w:val="center"/>
          </w:tcPr>
          <w:p w14:paraId="7F6EEA1E">
            <w:pPr>
              <w:pStyle w:val="32"/>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c>
          <w:tcPr>
            <w:tcW w:w="2096" w:type="dxa"/>
            <w:gridSpan w:val="3"/>
            <w:vAlign w:val="center"/>
          </w:tcPr>
          <w:p w14:paraId="3196CD79">
            <w:pPr>
              <w:keepNext w:val="0"/>
              <w:keepLines w:val="0"/>
              <w:pageBreakBefore w:val="0"/>
              <w:widowControl/>
              <w:kinsoku w:val="0"/>
              <w:wordWrap w:val="0"/>
              <w:overflowPunct/>
              <w:topLinePunct w:val="0"/>
              <w:autoSpaceDE w:val="0"/>
              <w:autoSpaceDN w:val="0"/>
              <w:bidi w:val="0"/>
              <w:adjustRightInd w:val="0"/>
              <w:snapToGrid w:val="0"/>
              <w:spacing w:before="211" w:line="228" w:lineRule="auto"/>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技术员</w:t>
            </w:r>
          </w:p>
        </w:tc>
        <w:tc>
          <w:tcPr>
            <w:tcW w:w="1548" w:type="dxa"/>
            <w:vAlign w:val="center"/>
          </w:tcPr>
          <w:p w14:paraId="5A15C772">
            <w:pPr>
              <w:pStyle w:val="32"/>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r>
      <w:tr w14:paraId="628042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358A7A32">
            <w:pPr>
              <w:keepNext w:val="0"/>
              <w:keepLines w:val="0"/>
              <w:pageBreakBefore w:val="0"/>
              <w:widowControl/>
              <w:kinsoku w:val="0"/>
              <w:wordWrap w:val="0"/>
              <w:overflowPunct/>
              <w:topLinePunct w:val="0"/>
              <w:autoSpaceDE w:val="0"/>
              <w:autoSpaceDN w:val="0"/>
              <w:bidi w:val="0"/>
              <w:adjustRightInd w:val="0"/>
              <w:snapToGrid w:val="0"/>
              <w:spacing w:before="65" w:line="24" w:lineRule="atLeast"/>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经营范围</w:t>
            </w:r>
          </w:p>
        </w:tc>
        <w:tc>
          <w:tcPr>
            <w:tcW w:w="7639" w:type="dxa"/>
            <w:gridSpan w:val="8"/>
            <w:vAlign w:val="center"/>
          </w:tcPr>
          <w:p w14:paraId="6F4455F4">
            <w:pPr>
              <w:pStyle w:val="32"/>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r>
      <w:tr w14:paraId="1B2110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14497457">
            <w:pPr>
              <w:keepNext w:val="0"/>
              <w:keepLines w:val="0"/>
              <w:pageBreakBefore w:val="0"/>
              <w:widowControl/>
              <w:kinsoku w:val="0"/>
              <w:wordWrap w:val="0"/>
              <w:overflowPunct/>
              <w:topLinePunct w:val="0"/>
              <w:autoSpaceDE w:val="0"/>
              <w:autoSpaceDN w:val="0"/>
              <w:bidi w:val="0"/>
              <w:adjustRightInd w:val="0"/>
              <w:snapToGrid w:val="0"/>
              <w:spacing w:before="65" w:line="24" w:lineRule="atLeast"/>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关联企业情况</w:t>
            </w:r>
          </w:p>
        </w:tc>
        <w:tc>
          <w:tcPr>
            <w:tcW w:w="7639" w:type="dxa"/>
            <w:gridSpan w:val="8"/>
            <w:vAlign w:val="center"/>
          </w:tcPr>
          <w:p w14:paraId="00D2CC1B">
            <w:pPr>
              <w:keepNext w:val="0"/>
              <w:keepLines w:val="0"/>
              <w:pageBreakBefore w:val="0"/>
              <w:widowControl/>
              <w:kinsoku w:val="0"/>
              <w:wordWrap w:val="0"/>
              <w:overflowPunct/>
              <w:topLinePunct w:val="0"/>
              <w:autoSpaceDE w:val="0"/>
              <w:autoSpaceDN w:val="0"/>
              <w:bidi w:val="0"/>
              <w:adjustRightInd w:val="0"/>
              <w:snapToGrid w:val="0"/>
              <w:spacing w:before="168" w:line="228" w:lineRule="auto"/>
              <w:ind w:left="0" w:right="0"/>
              <w:jc w:val="both"/>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包括但不限于与投标人存在以下关系的不同单位：</w:t>
            </w:r>
          </w:p>
          <w:p w14:paraId="540F7DFE">
            <w:pPr>
              <w:keepNext w:val="0"/>
              <w:keepLines w:val="0"/>
              <w:pageBreakBefore w:val="0"/>
              <w:widowControl/>
              <w:kinsoku w:val="0"/>
              <w:wordWrap w:val="0"/>
              <w:overflowPunct/>
              <w:topLinePunct w:val="0"/>
              <w:autoSpaceDE w:val="0"/>
              <w:autoSpaceDN w:val="0"/>
              <w:bidi w:val="0"/>
              <w:adjustRightInd w:val="0"/>
              <w:snapToGrid w:val="0"/>
              <w:spacing w:before="81" w:line="228" w:lineRule="auto"/>
              <w:ind w:left="0" w:right="0"/>
              <w:jc w:val="both"/>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1 ．法定代表人为同一人的。</w:t>
            </w:r>
          </w:p>
          <w:p w14:paraId="364499EB">
            <w:pPr>
              <w:keepNext w:val="0"/>
              <w:keepLines w:val="0"/>
              <w:pageBreakBefore w:val="0"/>
              <w:widowControl/>
              <w:kinsoku w:val="0"/>
              <w:wordWrap w:val="0"/>
              <w:overflowPunct/>
              <w:topLinePunct w:val="0"/>
              <w:autoSpaceDE w:val="0"/>
              <w:autoSpaceDN w:val="0"/>
              <w:bidi w:val="0"/>
              <w:adjustRightInd w:val="0"/>
              <w:snapToGrid w:val="0"/>
              <w:spacing w:before="81" w:line="228" w:lineRule="auto"/>
              <w:ind w:left="0" w:right="0"/>
              <w:jc w:val="both"/>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2 ．存在控股、管理关系的。</w:t>
            </w:r>
          </w:p>
          <w:p w14:paraId="2964A957">
            <w:pPr>
              <w:keepNext w:val="0"/>
              <w:keepLines w:val="0"/>
              <w:pageBreakBefore w:val="0"/>
              <w:widowControl/>
              <w:kinsoku w:val="0"/>
              <w:wordWrap w:val="0"/>
              <w:overflowPunct/>
              <w:topLinePunct w:val="0"/>
              <w:autoSpaceDE w:val="0"/>
              <w:autoSpaceDN w:val="0"/>
              <w:bidi w:val="0"/>
              <w:adjustRightInd w:val="0"/>
              <w:snapToGrid w:val="0"/>
              <w:spacing w:before="81" w:line="228" w:lineRule="auto"/>
              <w:ind w:left="0" w:right="0"/>
              <w:jc w:val="both"/>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3 ．主要人员相互任职的。</w:t>
            </w:r>
          </w:p>
        </w:tc>
      </w:tr>
      <w:tr w14:paraId="5B5B6E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330AED0D">
            <w:pPr>
              <w:keepNext w:val="0"/>
              <w:keepLines w:val="0"/>
              <w:pageBreakBefore w:val="0"/>
              <w:widowControl/>
              <w:kinsoku w:val="0"/>
              <w:wordWrap w:val="0"/>
              <w:overflowPunct/>
              <w:topLinePunct w:val="0"/>
              <w:autoSpaceDE w:val="0"/>
              <w:autoSpaceDN w:val="0"/>
              <w:bidi w:val="0"/>
              <w:adjustRightInd w:val="0"/>
              <w:snapToGrid w:val="0"/>
              <w:spacing w:before="235" w:line="230" w:lineRule="auto"/>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备注</w:t>
            </w:r>
          </w:p>
        </w:tc>
        <w:tc>
          <w:tcPr>
            <w:tcW w:w="7639" w:type="dxa"/>
            <w:gridSpan w:val="8"/>
            <w:vAlign w:val="center"/>
          </w:tcPr>
          <w:p w14:paraId="377EDF4D">
            <w:pPr>
              <w:pStyle w:val="32"/>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r>
    </w:tbl>
    <w:p w14:paraId="00F8E21F">
      <w:pPr>
        <w:keepNext w:val="0"/>
        <w:keepLines w:val="0"/>
        <w:pageBreakBefore w:val="0"/>
        <w:widowControl/>
        <w:kinsoku w:val="0"/>
        <w:wordWrap w:val="0"/>
        <w:overflowPunct/>
        <w:topLinePunct w:val="0"/>
        <w:autoSpaceDE w:val="0"/>
        <w:autoSpaceDN w:val="0"/>
        <w:bidi w:val="0"/>
        <w:adjustRightInd w:val="0"/>
        <w:snapToGrid w:val="0"/>
        <w:spacing w:line="30" w:lineRule="atLeast"/>
        <w:textAlignment w:val="baseline"/>
        <w:rPr>
          <w:rFonts w:hint="eastAsia" w:ascii="宋体" w:hAnsi="宋体" w:eastAsia="宋体" w:cs="宋体"/>
          <w:color w:val="auto"/>
          <w:spacing w:val="0"/>
          <w:sz w:val="21"/>
          <w:szCs w:val="21"/>
          <w:highlight w:val="none"/>
        </w:rPr>
      </w:pPr>
    </w:p>
    <w:p w14:paraId="5815BB88">
      <w:pPr>
        <w:keepNext w:val="0"/>
        <w:keepLines w:val="0"/>
        <w:pageBreakBefore w:val="0"/>
        <w:widowControl/>
        <w:kinsoku w:val="0"/>
        <w:wordWrap w:val="0"/>
        <w:overflowPunct/>
        <w:topLinePunct w:val="0"/>
        <w:autoSpaceDE w:val="0"/>
        <w:autoSpaceDN w:val="0"/>
        <w:bidi w:val="0"/>
        <w:adjustRightInd w:val="0"/>
        <w:snapToGrid w:val="0"/>
        <w:spacing w:line="30" w:lineRule="atLeast"/>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说明：</w:t>
      </w:r>
    </w:p>
    <w:p w14:paraId="33061AEC">
      <w:pPr>
        <w:keepNext w:val="0"/>
        <w:keepLines w:val="0"/>
        <w:pageBreakBefore w:val="0"/>
        <w:widowControl/>
        <w:kinsoku w:val="0"/>
        <w:wordWrap w:val="0"/>
        <w:overflowPunct/>
        <w:topLinePunct w:val="0"/>
        <w:autoSpaceDE w:val="0"/>
        <w:autoSpaceDN w:val="0"/>
        <w:bidi w:val="0"/>
        <w:adjustRightInd w:val="0"/>
        <w:snapToGrid w:val="0"/>
        <w:spacing w:line="30" w:lineRule="atLeast"/>
        <w:textAlignment w:val="baseline"/>
        <w:outlineLvl w:val="9"/>
        <w:rPr>
          <w:rFonts w:hint="eastAsia" w:ascii="宋体" w:hAnsi="宋体" w:eastAsia="宋体" w:cs="宋体"/>
          <w:color w:val="auto"/>
          <w:spacing w:val="0"/>
          <w:sz w:val="21"/>
          <w:szCs w:val="21"/>
          <w:highlight w:val="none"/>
        </w:rPr>
      </w:pPr>
      <w:bookmarkStart w:id="231" w:name="_Toc5131"/>
      <w:bookmarkStart w:id="232" w:name="_Toc14048"/>
      <w:r>
        <w:rPr>
          <w:rFonts w:hint="eastAsia" w:ascii="宋体" w:hAnsi="宋体" w:eastAsia="宋体" w:cs="宋体"/>
          <w:color w:val="auto"/>
          <w:spacing w:val="0"/>
          <w:sz w:val="21"/>
          <w:szCs w:val="21"/>
          <w:highlight w:val="none"/>
        </w:rPr>
        <w:t>1 ．《投标人基本情况表》后应附以下资料：</w:t>
      </w:r>
      <w:bookmarkEnd w:id="231"/>
      <w:bookmarkEnd w:id="232"/>
    </w:p>
    <w:p w14:paraId="354359B1">
      <w:pPr>
        <w:keepNext w:val="0"/>
        <w:keepLines w:val="0"/>
        <w:pageBreakBefore w:val="0"/>
        <w:widowControl/>
        <w:kinsoku w:val="0"/>
        <w:wordWrap w:val="0"/>
        <w:overflowPunct/>
        <w:topLinePunct w:val="0"/>
        <w:autoSpaceDE w:val="0"/>
        <w:autoSpaceDN w:val="0"/>
        <w:bidi w:val="0"/>
        <w:adjustRightInd w:val="0"/>
        <w:snapToGrid w:val="0"/>
        <w:spacing w:line="30" w:lineRule="atLeast"/>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lang w:eastAsia="zh-CN"/>
        </w:rPr>
        <w:t>（1）企业营业执照、资质证书、安全生产许可证的（因推行电子证照，企业的营业执照、资质证书等可以提供电子证照。为实时掌握项目投标单位的是否具备企业安全生产条件，企业的安全生产许可证需提供企业实时网页查询页，实时查询页的打印时间应在项目招标公告发布之日起至开标前。企业的安全生产许可证实时网页查询路径：登录“ 中华人民共和国住房和城乡建设部 ”进入“全国工程质量安全监管信息平台公共服务门户 ”版块，具体网址为：https://zlaq.mohurd.gov.cn，进入后点击“安全生产许可证信息 ”，输入企业名称和统一社会信用代码即可查询。如中标后，投标单位安全生产许可证发生被暂扣情形，需双方另行协商）；</w:t>
      </w:r>
    </w:p>
    <w:p w14:paraId="0C622A0C">
      <w:pPr>
        <w:keepNext w:val="0"/>
        <w:keepLines w:val="0"/>
        <w:pageBreakBefore w:val="0"/>
        <w:widowControl/>
        <w:kinsoku w:val="0"/>
        <w:wordWrap w:val="0"/>
        <w:overflowPunct/>
        <w:topLinePunct w:val="0"/>
        <w:autoSpaceDE w:val="0"/>
        <w:autoSpaceDN w:val="0"/>
        <w:bidi w:val="0"/>
        <w:adjustRightInd w:val="0"/>
        <w:snapToGrid w:val="0"/>
        <w:spacing w:line="30" w:lineRule="atLeast"/>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lang w:eastAsia="zh-CN"/>
        </w:rPr>
        <w:t>（2）</w:t>
      </w:r>
      <w:r>
        <w:rPr>
          <w:rFonts w:hint="eastAsia" w:ascii="宋体" w:hAnsi="宋体" w:eastAsia="宋体" w:cs="宋体"/>
          <w:color w:val="auto"/>
          <w:spacing w:val="0"/>
          <w:sz w:val="21"/>
          <w:szCs w:val="21"/>
          <w:highlight w:val="none"/>
        </w:rPr>
        <w:t>“进粤企业和人员诚信信息登记平台 ”企业信息情况打印页。（适用于省外建筑企业）</w:t>
      </w:r>
    </w:p>
    <w:p w14:paraId="1643730C">
      <w:pPr>
        <w:keepNext w:val="0"/>
        <w:keepLines w:val="0"/>
        <w:pageBreakBefore w:val="0"/>
        <w:widowControl/>
        <w:kinsoku w:val="0"/>
        <w:wordWrap w:val="0"/>
        <w:overflowPunct/>
        <w:topLinePunct w:val="0"/>
        <w:autoSpaceDE w:val="0"/>
        <w:autoSpaceDN w:val="0"/>
        <w:bidi w:val="0"/>
        <w:adjustRightInd w:val="0"/>
        <w:snapToGrid w:val="0"/>
        <w:spacing w:line="30" w:lineRule="atLeast"/>
        <w:jc w:val="both"/>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lang w:eastAsia="zh-CN"/>
        </w:rPr>
        <w:t>（3）</w:t>
      </w:r>
      <w:r>
        <w:rPr>
          <w:rFonts w:hint="eastAsia" w:ascii="宋体" w:hAnsi="宋体" w:eastAsia="宋体" w:cs="宋体"/>
          <w:color w:val="auto"/>
          <w:spacing w:val="0"/>
          <w:sz w:val="21"/>
          <w:szCs w:val="21"/>
          <w:highlight w:val="none"/>
        </w:rPr>
        <w:t>《法人和非法人组织公共信用信息报告》（在“信用中国 ”网站企业查询界面中下载）。</w:t>
      </w:r>
    </w:p>
    <w:p w14:paraId="4B72789E">
      <w:pPr>
        <w:keepNext w:val="0"/>
        <w:keepLines w:val="0"/>
        <w:pageBreakBefore w:val="0"/>
        <w:widowControl/>
        <w:kinsoku w:val="0"/>
        <w:wordWrap w:val="0"/>
        <w:overflowPunct/>
        <w:topLinePunct w:val="0"/>
        <w:autoSpaceDE w:val="0"/>
        <w:autoSpaceDN w:val="0"/>
        <w:bidi w:val="0"/>
        <w:adjustRightInd w:val="0"/>
        <w:snapToGrid w:val="0"/>
        <w:spacing w:line="30" w:lineRule="atLeast"/>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2 ．联合体投标的，联合体成员单位均应填写《投标人基本情况表》并提供以上所需资料。</w:t>
      </w:r>
    </w:p>
    <w:p w14:paraId="063A78B8">
      <w:pPr>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rPr>
        <w:br w:type="page"/>
      </w:r>
    </w:p>
    <w:p w14:paraId="079AFF7C">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auto"/>
          <w:spacing w:val="0"/>
          <w:sz w:val="24"/>
          <w:szCs w:val="24"/>
          <w:highlight w:val="none"/>
        </w:rPr>
      </w:pPr>
      <w:bookmarkStart w:id="233" w:name="_Toc27456"/>
      <w:r>
        <w:rPr>
          <w:rFonts w:hint="eastAsia" w:ascii="宋体" w:hAnsi="宋体" w:eastAsia="宋体" w:cs="宋体"/>
          <w:b/>
          <w:bCs/>
          <w:color w:val="auto"/>
          <w:spacing w:val="0"/>
          <w:sz w:val="24"/>
          <w:szCs w:val="24"/>
          <w:highlight w:val="none"/>
        </w:rPr>
        <w:t>格式八 项目经理简历表</w:t>
      </w:r>
      <w:bookmarkEnd w:id="233"/>
    </w:p>
    <w:p w14:paraId="47FE4A09">
      <w:pPr>
        <w:pStyle w:val="6"/>
        <w:keepNext w:val="0"/>
        <w:keepLines w:val="0"/>
        <w:pageBreakBefore w:val="0"/>
        <w:wordWrap w:val="0"/>
        <w:overflowPunct/>
        <w:topLinePunct w:val="0"/>
        <w:bidi w:val="0"/>
        <w:spacing w:line="444" w:lineRule="auto"/>
        <w:rPr>
          <w:rFonts w:hint="eastAsia" w:ascii="宋体" w:hAnsi="宋体" w:eastAsia="宋体" w:cs="宋体"/>
          <w:color w:val="auto"/>
          <w:spacing w:val="0"/>
          <w:highlight w:val="none"/>
        </w:rPr>
      </w:pPr>
    </w:p>
    <w:p w14:paraId="57505017">
      <w:pPr>
        <w:keepNext w:val="0"/>
        <w:keepLines w:val="0"/>
        <w:pageBreakBefore w:val="0"/>
        <w:wordWrap w:val="0"/>
        <w:overflowPunct/>
        <w:topLinePunct w:val="0"/>
        <w:bidi w:val="0"/>
        <w:spacing w:before="97" w:line="219" w:lineRule="auto"/>
        <w:ind w:left="3538"/>
        <w:outlineLvl w:val="9"/>
        <w:rPr>
          <w:rFonts w:hint="eastAsia" w:ascii="宋体" w:hAnsi="宋体" w:eastAsia="宋体" w:cs="宋体"/>
          <w:color w:val="auto"/>
          <w:spacing w:val="0"/>
          <w:sz w:val="30"/>
          <w:szCs w:val="30"/>
          <w:highlight w:val="none"/>
        </w:rPr>
      </w:pPr>
      <w:bookmarkStart w:id="234" w:name="bookmark156"/>
      <w:bookmarkEnd w:id="234"/>
      <w:bookmarkStart w:id="235" w:name="bookmark89"/>
      <w:bookmarkEnd w:id="235"/>
      <w:bookmarkStart w:id="236" w:name="_Toc24489"/>
      <w:bookmarkStart w:id="237" w:name="_Toc31533"/>
      <w:r>
        <w:rPr>
          <w:rFonts w:hint="eastAsia" w:ascii="宋体" w:hAnsi="宋体" w:eastAsia="宋体" w:cs="宋体"/>
          <w:b/>
          <w:bCs/>
          <w:color w:val="auto"/>
          <w:spacing w:val="0"/>
          <w:sz w:val="30"/>
          <w:szCs w:val="30"/>
          <w:highlight w:val="none"/>
        </w:rPr>
        <w:t>项目经理简历表</w:t>
      </w:r>
      <w:bookmarkEnd w:id="236"/>
      <w:bookmarkEnd w:id="237"/>
    </w:p>
    <w:p w14:paraId="0C6FC4B2">
      <w:pPr>
        <w:keepNext w:val="0"/>
        <w:keepLines w:val="0"/>
        <w:pageBreakBefore w:val="0"/>
        <w:wordWrap w:val="0"/>
        <w:overflowPunct/>
        <w:topLinePunct w:val="0"/>
        <w:bidi w:val="0"/>
        <w:spacing w:line="240" w:lineRule="exact"/>
        <w:rPr>
          <w:rFonts w:hint="eastAsia" w:ascii="宋体" w:hAnsi="宋体" w:eastAsia="宋体" w:cs="宋体"/>
          <w:color w:val="auto"/>
          <w:spacing w:val="0"/>
          <w:highlight w:val="none"/>
        </w:rPr>
      </w:pPr>
    </w:p>
    <w:tbl>
      <w:tblPr>
        <w:tblStyle w:val="17"/>
        <w:tblW w:w="973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8"/>
        <w:gridCol w:w="1010"/>
        <w:gridCol w:w="614"/>
        <w:gridCol w:w="680"/>
        <w:gridCol w:w="1357"/>
        <w:gridCol w:w="2062"/>
        <w:gridCol w:w="1798"/>
        <w:gridCol w:w="1398"/>
      </w:tblGrid>
      <w:tr w14:paraId="4BD51F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2" w:hRule="atLeast"/>
        </w:trPr>
        <w:tc>
          <w:tcPr>
            <w:tcW w:w="1828" w:type="dxa"/>
            <w:gridSpan w:val="2"/>
            <w:vAlign w:val="center"/>
          </w:tcPr>
          <w:p w14:paraId="41085ABC">
            <w:pPr>
              <w:keepNext w:val="0"/>
              <w:keepLines w:val="0"/>
              <w:pageBreakBefore w:val="0"/>
              <w:widowControl/>
              <w:kinsoku w:val="0"/>
              <w:wordWrap w:val="0"/>
              <w:overflowPunct/>
              <w:topLinePunct w:val="0"/>
              <w:autoSpaceDE w:val="0"/>
              <w:autoSpaceDN w:val="0"/>
              <w:bidi w:val="0"/>
              <w:adjustRightInd w:val="0"/>
              <w:snapToGrid w:val="0"/>
              <w:spacing w:before="177" w:line="228"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姓   名</w:t>
            </w:r>
          </w:p>
        </w:tc>
        <w:tc>
          <w:tcPr>
            <w:tcW w:w="1294" w:type="dxa"/>
            <w:gridSpan w:val="2"/>
            <w:vAlign w:val="center"/>
          </w:tcPr>
          <w:p w14:paraId="5409742F">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357" w:type="dxa"/>
            <w:vAlign w:val="center"/>
          </w:tcPr>
          <w:p w14:paraId="42B852B0">
            <w:pPr>
              <w:keepNext w:val="0"/>
              <w:keepLines w:val="0"/>
              <w:pageBreakBefore w:val="0"/>
              <w:widowControl/>
              <w:kinsoku w:val="0"/>
              <w:wordWrap w:val="0"/>
              <w:overflowPunct/>
              <w:topLinePunct w:val="0"/>
              <w:autoSpaceDE w:val="0"/>
              <w:autoSpaceDN w:val="0"/>
              <w:bidi w:val="0"/>
              <w:adjustRightInd w:val="0"/>
              <w:snapToGrid w:val="0"/>
              <w:spacing w:before="177" w:line="229"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性  别</w:t>
            </w:r>
          </w:p>
        </w:tc>
        <w:tc>
          <w:tcPr>
            <w:tcW w:w="2062" w:type="dxa"/>
            <w:vAlign w:val="center"/>
          </w:tcPr>
          <w:p w14:paraId="642CA710">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798" w:type="dxa"/>
            <w:vAlign w:val="center"/>
          </w:tcPr>
          <w:p w14:paraId="3AC37F30">
            <w:pPr>
              <w:keepNext w:val="0"/>
              <w:keepLines w:val="0"/>
              <w:pageBreakBefore w:val="0"/>
              <w:widowControl/>
              <w:kinsoku w:val="0"/>
              <w:wordWrap w:val="0"/>
              <w:overflowPunct/>
              <w:topLinePunct w:val="0"/>
              <w:autoSpaceDE w:val="0"/>
              <w:autoSpaceDN w:val="0"/>
              <w:bidi w:val="0"/>
              <w:adjustRightInd w:val="0"/>
              <w:snapToGrid w:val="0"/>
              <w:spacing w:before="177" w:line="228"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年   龄</w:t>
            </w:r>
          </w:p>
        </w:tc>
        <w:tc>
          <w:tcPr>
            <w:tcW w:w="1398" w:type="dxa"/>
            <w:vAlign w:val="center"/>
          </w:tcPr>
          <w:p w14:paraId="35D5B772">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r w14:paraId="49B4B3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1828" w:type="dxa"/>
            <w:gridSpan w:val="2"/>
            <w:vAlign w:val="center"/>
          </w:tcPr>
          <w:p w14:paraId="40E69725">
            <w:pPr>
              <w:keepNext w:val="0"/>
              <w:keepLines w:val="0"/>
              <w:pageBreakBefore w:val="0"/>
              <w:widowControl/>
              <w:kinsoku w:val="0"/>
              <w:wordWrap w:val="0"/>
              <w:overflowPunct/>
              <w:topLinePunct w:val="0"/>
              <w:autoSpaceDE w:val="0"/>
              <w:autoSpaceDN w:val="0"/>
              <w:bidi w:val="0"/>
              <w:adjustRightInd w:val="0"/>
              <w:snapToGrid w:val="0"/>
              <w:spacing w:before="175" w:line="228"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职   务</w:t>
            </w:r>
          </w:p>
        </w:tc>
        <w:tc>
          <w:tcPr>
            <w:tcW w:w="1294" w:type="dxa"/>
            <w:gridSpan w:val="2"/>
            <w:vAlign w:val="center"/>
          </w:tcPr>
          <w:p w14:paraId="31A92408">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357" w:type="dxa"/>
            <w:vAlign w:val="center"/>
          </w:tcPr>
          <w:p w14:paraId="7C92887F">
            <w:pPr>
              <w:keepNext w:val="0"/>
              <w:keepLines w:val="0"/>
              <w:pageBreakBefore w:val="0"/>
              <w:widowControl/>
              <w:kinsoku w:val="0"/>
              <w:wordWrap w:val="0"/>
              <w:overflowPunct/>
              <w:topLinePunct w:val="0"/>
              <w:autoSpaceDE w:val="0"/>
              <w:autoSpaceDN w:val="0"/>
              <w:bidi w:val="0"/>
              <w:adjustRightInd w:val="0"/>
              <w:snapToGrid w:val="0"/>
              <w:spacing w:before="174" w:line="231"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职  称</w:t>
            </w:r>
          </w:p>
        </w:tc>
        <w:tc>
          <w:tcPr>
            <w:tcW w:w="2062" w:type="dxa"/>
            <w:vAlign w:val="center"/>
          </w:tcPr>
          <w:p w14:paraId="21A14EC2">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798" w:type="dxa"/>
            <w:vAlign w:val="center"/>
          </w:tcPr>
          <w:p w14:paraId="3B58895E">
            <w:pPr>
              <w:keepNext w:val="0"/>
              <w:keepLines w:val="0"/>
              <w:pageBreakBefore w:val="0"/>
              <w:widowControl/>
              <w:kinsoku w:val="0"/>
              <w:wordWrap w:val="0"/>
              <w:overflowPunct/>
              <w:topLinePunct w:val="0"/>
              <w:autoSpaceDE w:val="0"/>
              <w:autoSpaceDN w:val="0"/>
              <w:bidi w:val="0"/>
              <w:adjustRightInd w:val="0"/>
              <w:snapToGrid w:val="0"/>
              <w:spacing w:before="175" w:line="230"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学   历</w:t>
            </w:r>
          </w:p>
        </w:tc>
        <w:tc>
          <w:tcPr>
            <w:tcW w:w="1398" w:type="dxa"/>
            <w:vAlign w:val="center"/>
          </w:tcPr>
          <w:p w14:paraId="0FD51FFF">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r w14:paraId="411078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2" w:hRule="atLeast"/>
        </w:trPr>
        <w:tc>
          <w:tcPr>
            <w:tcW w:w="1828" w:type="dxa"/>
            <w:gridSpan w:val="2"/>
            <w:vAlign w:val="center"/>
          </w:tcPr>
          <w:p w14:paraId="31CC23C0">
            <w:pPr>
              <w:keepNext w:val="0"/>
              <w:keepLines w:val="0"/>
              <w:pageBreakBefore w:val="0"/>
              <w:widowControl/>
              <w:kinsoku w:val="0"/>
              <w:wordWrap w:val="0"/>
              <w:overflowPunct/>
              <w:topLinePunct w:val="0"/>
              <w:autoSpaceDE w:val="0"/>
              <w:autoSpaceDN w:val="0"/>
              <w:bidi w:val="0"/>
              <w:adjustRightInd w:val="0"/>
              <w:snapToGrid w:val="0"/>
              <w:spacing w:before="175" w:line="229"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参加工作时间</w:t>
            </w:r>
          </w:p>
        </w:tc>
        <w:tc>
          <w:tcPr>
            <w:tcW w:w="2651" w:type="dxa"/>
            <w:gridSpan w:val="3"/>
            <w:vAlign w:val="center"/>
          </w:tcPr>
          <w:p w14:paraId="4EC34A2D">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3860" w:type="dxa"/>
            <w:gridSpan w:val="2"/>
            <w:vAlign w:val="center"/>
          </w:tcPr>
          <w:p w14:paraId="0F80AE18">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从事工程建设项目管理工作年限</w:t>
            </w:r>
          </w:p>
        </w:tc>
        <w:tc>
          <w:tcPr>
            <w:tcW w:w="1398" w:type="dxa"/>
            <w:vAlign w:val="center"/>
          </w:tcPr>
          <w:p w14:paraId="575EAD50">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r w14:paraId="094817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9737" w:type="dxa"/>
            <w:gridSpan w:val="8"/>
            <w:vAlign w:val="center"/>
          </w:tcPr>
          <w:p w14:paraId="7DC8EFF6">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以项目经理身份参与过的主要业绩（已完工项目）</w:t>
            </w:r>
          </w:p>
        </w:tc>
      </w:tr>
      <w:tr w14:paraId="49FDFE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2" w:hRule="atLeast"/>
        </w:trPr>
        <w:tc>
          <w:tcPr>
            <w:tcW w:w="818" w:type="dxa"/>
            <w:vAlign w:val="center"/>
          </w:tcPr>
          <w:p w14:paraId="26B0D50B">
            <w:pPr>
              <w:keepNext w:val="0"/>
              <w:keepLines w:val="0"/>
              <w:pageBreakBefore w:val="0"/>
              <w:widowControl/>
              <w:kinsoku w:val="0"/>
              <w:wordWrap w:val="0"/>
              <w:overflowPunct/>
              <w:topLinePunct w:val="0"/>
              <w:autoSpaceDE w:val="0"/>
              <w:autoSpaceDN w:val="0"/>
              <w:bidi w:val="0"/>
              <w:adjustRightInd w:val="0"/>
              <w:snapToGrid w:val="0"/>
              <w:spacing w:before="176" w:line="230"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序号</w:t>
            </w:r>
          </w:p>
        </w:tc>
        <w:tc>
          <w:tcPr>
            <w:tcW w:w="1624" w:type="dxa"/>
            <w:gridSpan w:val="2"/>
            <w:vAlign w:val="center"/>
          </w:tcPr>
          <w:p w14:paraId="11CD6BF1">
            <w:pPr>
              <w:keepNext w:val="0"/>
              <w:keepLines w:val="0"/>
              <w:pageBreakBefore w:val="0"/>
              <w:widowControl/>
              <w:kinsoku w:val="0"/>
              <w:wordWrap w:val="0"/>
              <w:overflowPunct/>
              <w:topLinePunct w:val="0"/>
              <w:autoSpaceDE w:val="0"/>
              <w:autoSpaceDN w:val="0"/>
              <w:bidi w:val="0"/>
              <w:adjustRightInd w:val="0"/>
              <w:snapToGrid w:val="0"/>
              <w:spacing w:before="176" w:line="229"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项目名称</w:t>
            </w:r>
          </w:p>
        </w:tc>
        <w:tc>
          <w:tcPr>
            <w:tcW w:w="2037" w:type="dxa"/>
            <w:gridSpan w:val="2"/>
            <w:vAlign w:val="center"/>
          </w:tcPr>
          <w:p w14:paraId="71DE7ECB">
            <w:pPr>
              <w:keepNext w:val="0"/>
              <w:keepLines w:val="0"/>
              <w:pageBreakBefore w:val="0"/>
              <w:widowControl/>
              <w:kinsoku w:val="0"/>
              <w:wordWrap w:val="0"/>
              <w:overflowPunct/>
              <w:topLinePunct w:val="0"/>
              <w:autoSpaceDE w:val="0"/>
              <w:autoSpaceDN w:val="0"/>
              <w:bidi w:val="0"/>
              <w:adjustRightInd w:val="0"/>
              <w:snapToGrid w:val="0"/>
              <w:spacing w:before="176" w:line="229"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建设单位</w:t>
            </w:r>
          </w:p>
        </w:tc>
        <w:tc>
          <w:tcPr>
            <w:tcW w:w="2062" w:type="dxa"/>
            <w:vAlign w:val="center"/>
          </w:tcPr>
          <w:p w14:paraId="442C90A9">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建设内容和规模</w:t>
            </w:r>
          </w:p>
        </w:tc>
        <w:tc>
          <w:tcPr>
            <w:tcW w:w="1798" w:type="dxa"/>
            <w:vAlign w:val="center"/>
          </w:tcPr>
          <w:p w14:paraId="62D0E240">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开、竣工日期</w:t>
            </w:r>
          </w:p>
        </w:tc>
        <w:tc>
          <w:tcPr>
            <w:tcW w:w="1398" w:type="dxa"/>
            <w:vAlign w:val="center"/>
          </w:tcPr>
          <w:p w14:paraId="6F26AE86">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质量等级</w:t>
            </w:r>
          </w:p>
        </w:tc>
      </w:tr>
      <w:tr w14:paraId="4DEC52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8" w:hRule="atLeast"/>
        </w:trPr>
        <w:tc>
          <w:tcPr>
            <w:tcW w:w="818" w:type="dxa"/>
            <w:vAlign w:val="center"/>
          </w:tcPr>
          <w:p w14:paraId="5604C43C">
            <w:pPr>
              <w:keepNext w:val="0"/>
              <w:keepLines w:val="0"/>
              <w:pageBreakBefore w:val="0"/>
              <w:widowControl/>
              <w:kinsoku w:val="0"/>
              <w:wordWrap w:val="0"/>
              <w:overflowPunct/>
              <w:topLinePunct w:val="0"/>
              <w:autoSpaceDE w:val="0"/>
              <w:autoSpaceDN w:val="0"/>
              <w:bidi w:val="0"/>
              <w:adjustRightInd w:val="0"/>
              <w:snapToGrid w:val="0"/>
              <w:spacing w:before="214" w:line="195"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w:t>
            </w:r>
          </w:p>
        </w:tc>
        <w:tc>
          <w:tcPr>
            <w:tcW w:w="1624" w:type="dxa"/>
            <w:gridSpan w:val="2"/>
            <w:vAlign w:val="center"/>
          </w:tcPr>
          <w:p w14:paraId="13218BBA">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2037" w:type="dxa"/>
            <w:gridSpan w:val="2"/>
            <w:vAlign w:val="center"/>
          </w:tcPr>
          <w:p w14:paraId="63F03CB3">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2062" w:type="dxa"/>
            <w:vAlign w:val="center"/>
          </w:tcPr>
          <w:p w14:paraId="2A526EA4">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798" w:type="dxa"/>
            <w:vAlign w:val="center"/>
          </w:tcPr>
          <w:p w14:paraId="0CAC788F">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398" w:type="dxa"/>
            <w:vAlign w:val="center"/>
          </w:tcPr>
          <w:p w14:paraId="5C5787AE">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r w14:paraId="3662CC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818" w:type="dxa"/>
            <w:vAlign w:val="center"/>
          </w:tcPr>
          <w:p w14:paraId="51539B7D">
            <w:pPr>
              <w:keepNext w:val="0"/>
              <w:keepLines w:val="0"/>
              <w:pageBreakBefore w:val="0"/>
              <w:widowControl/>
              <w:kinsoku w:val="0"/>
              <w:wordWrap w:val="0"/>
              <w:overflowPunct/>
              <w:topLinePunct w:val="0"/>
              <w:autoSpaceDE w:val="0"/>
              <w:autoSpaceDN w:val="0"/>
              <w:bidi w:val="0"/>
              <w:adjustRightInd w:val="0"/>
              <w:snapToGrid w:val="0"/>
              <w:spacing w:before="213" w:line="195"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w:t>
            </w:r>
          </w:p>
        </w:tc>
        <w:tc>
          <w:tcPr>
            <w:tcW w:w="1624" w:type="dxa"/>
            <w:gridSpan w:val="2"/>
            <w:vAlign w:val="center"/>
          </w:tcPr>
          <w:p w14:paraId="695421A1">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2037" w:type="dxa"/>
            <w:gridSpan w:val="2"/>
            <w:vAlign w:val="center"/>
          </w:tcPr>
          <w:p w14:paraId="35D8ABC4">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2062" w:type="dxa"/>
            <w:vAlign w:val="center"/>
          </w:tcPr>
          <w:p w14:paraId="6B91714E">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798" w:type="dxa"/>
            <w:vAlign w:val="center"/>
          </w:tcPr>
          <w:p w14:paraId="1CB6ADE3">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398" w:type="dxa"/>
            <w:vAlign w:val="center"/>
          </w:tcPr>
          <w:p w14:paraId="7180A491">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r w14:paraId="46DE5A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8" w:hRule="atLeast"/>
        </w:trPr>
        <w:tc>
          <w:tcPr>
            <w:tcW w:w="818" w:type="dxa"/>
            <w:vAlign w:val="center"/>
          </w:tcPr>
          <w:p w14:paraId="1FEC2984">
            <w:pPr>
              <w:keepNext w:val="0"/>
              <w:keepLines w:val="0"/>
              <w:pageBreakBefore w:val="0"/>
              <w:widowControl/>
              <w:kinsoku w:val="0"/>
              <w:wordWrap w:val="0"/>
              <w:overflowPunct/>
              <w:topLinePunct w:val="0"/>
              <w:autoSpaceDE w:val="0"/>
              <w:autoSpaceDN w:val="0"/>
              <w:bidi w:val="0"/>
              <w:adjustRightInd w:val="0"/>
              <w:snapToGrid w:val="0"/>
              <w:spacing w:before="213" w:line="195"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w:t>
            </w:r>
          </w:p>
        </w:tc>
        <w:tc>
          <w:tcPr>
            <w:tcW w:w="1624" w:type="dxa"/>
            <w:gridSpan w:val="2"/>
            <w:vAlign w:val="center"/>
          </w:tcPr>
          <w:p w14:paraId="377A2D90">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2037" w:type="dxa"/>
            <w:gridSpan w:val="2"/>
            <w:vAlign w:val="center"/>
          </w:tcPr>
          <w:p w14:paraId="24F4D1D0">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2062" w:type="dxa"/>
            <w:vAlign w:val="center"/>
          </w:tcPr>
          <w:p w14:paraId="3F115D34">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798" w:type="dxa"/>
            <w:vAlign w:val="center"/>
          </w:tcPr>
          <w:p w14:paraId="32A7BD2A">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398" w:type="dxa"/>
            <w:vAlign w:val="center"/>
          </w:tcPr>
          <w:p w14:paraId="78167E3A">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r w14:paraId="57E571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818" w:type="dxa"/>
            <w:vAlign w:val="center"/>
          </w:tcPr>
          <w:p w14:paraId="1D77F01C">
            <w:pPr>
              <w:keepNext w:val="0"/>
              <w:keepLines w:val="0"/>
              <w:pageBreakBefore w:val="0"/>
              <w:widowControl/>
              <w:kinsoku w:val="0"/>
              <w:wordWrap w:val="0"/>
              <w:overflowPunct/>
              <w:topLinePunct w:val="0"/>
              <w:autoSpaceDE w:val="0"/>
              <w:autoSpaceDN w:val="0"/>
              <w:bidi w:val="0"/>
              <w:adjustRightInd w:val="0"/>
              <w:snapToGrid w:val="0"/>
              <w:spacing w:before="177" w:line="325" w:lineRule="exact"/>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position w:val="3"/>
                <w:sz w:val="24"/>
                <w:szCs w:val="24"/>
                <w:highlight w:val="none"/>
              </w:rPr>
              <w:t>……</w:t>
            </w:r>
          </w:p>
        </w:tc>
        <w:tc>
          <w:tcPr>
            <w:tcW w:w="1624" w:type="dxa"/>
            <w:gridSpan w:val="2"/>
            <w:vAlign w:val="center"/>
          </w:tcPr>
          <w:p w14:paraId="4AF15656">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2037" w:type="dxa"/>
            <w:gridSpan w:val="2"/>
            <w:vAlign w:val="center"/>
          </w:tcPr>
          <w:p w14:paraId="4662FD32">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2062" w:type="dxa"/>
            <w:vAlign w:val="center"/>
          </w:tcPr>
          <w:p w14:paraId="414F10B3">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798" w:type="dxa"/>
            <w:vAlign w:val="center"/>
          </w:tcPr>
          <w:p w14:paraId="5F2D86D8">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398" w:type="dxa"/>
            <w:vAlign w:val="center"/>
          </w:tcPr>
          <w:p w14:paraId="6E0C273E">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bl>
    <w:p w14:paraId="174EB612">
      <w:pPr>
        <w:pStyle w:val="6"/>
        <w:keepNext w:val="0"/>
        <w:keepLines w:val="0"/>
        <w:pageBreakBefore w:val="0"/>
        <w:wordWrap w:val="0"/>
        <w:overflowPunct/>
        <w:topLinePunct w:val="0"/>
        <w:bidi w:val="0"/>
        <w:spacing w:line="315" w:lineRule="auto"/>
        <w:rPr>
          <w:rFonts w:hint="eastAsia" w:ascii="宋体" w:hAnsi="宋体" w:eastAsia="宋体" w:cs="宋体"/>
          <w:color w:val="auto"/>
          <w:spacing w:val="0"/>
          <w:highlight w:val="none"/>
        </w:rPr>
      </w:pPr>
    </w:p>
    <w:p w14:paraId="10E89CB7">
      <w:pPr>
        <w:keepNext w:val="0"/>
        <w:keepLines w:val="0"/>
        <w:pageBreakBefore w:val="0"/>
        <w:wordWrap w:val="0"/>
        <w:overflowPunct/>
        <w:topLinePunct w:val="0"/>
        <w:bidi w:val="0"/>
        <w:spacing w:before="78" w:line="220" w:lineRule="auto"/>
        <w:ind w:left="69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项目经理：</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u w:val="single"/>
          <w:lang w:val="en-US" w:eastAsia="zh-CN"/>
        </w:rPr>
        <w:t xml:space="preserve">   </w:t>
      </w:r>
      <w:r>
        <w:rPr>
          <w:rFonts w:hint="eastAsia" w:ascii="宋体" w:hAnsi="宋体" w:eastAsia="宋体" w:cs="宋体"/>
          <w:color w:val="auto"/>
          <w:spacing w:val="0"/>
          <w:sz w:val="24"/>
          <w:szCs w:val="24"/>
          <w:highlight w:val="none"/>
        </w:rPr>
        <w:t>（签字）</w:t>
      </w:r>
    </w:p>
    <w:p w14:paraId="4C0D46DC">
      <w:pPr>
        <w:pStyle w:val="6"/>
        <w:keepNext w:val="0"/>
        <w:keepLines w:val="0"/>
        <w:pageBreakBefore w:val="0"/>
        <w:wordWrap w:val="0"/>
        <w:overflowPunct/>
        <w:topLinePunct w:val="0"/>
        <w:bidi w:val="0"/>
        <w:spacing w:line="256" w:lineRule="auto"/>
        <w:rPr>
          <w:rFonts w:hint="eastAsia" w:ascii="宋体" w:hAnsi="宋体" w:eastAsia="宋体" w:cs="宋体"/>
          <w:color w:val="auto"/>
          <w:spacing w:val="0"/>
          <w:highlight w:val="none"/>
        </w:rPr>
      </w:pPr>
    </w:p>
    <w:p w14:paraId="0DD73039">
      <w:pPr>
        <w:pStyle w:val="6"/>
        <w:keepNext w:val="0"/>
        <w:keepLines w:val="0"/>
        <w:pageBreakBefore w:val="0"/>
        <w:wordWrap w:val="0"/>
        <w:overflowPunct/>
        <w:topLinePunct w:val="0"/>
        <w:bidi w:val="0"/>
        <w:spacing w:line="254" w:lineRule="auto"/>
        <w:jc w:val="right"/>
        <w:rPr>
          <w:rFonts w:hint="eastAsia" w:ascii="宋体" w:hAnsi="宋体" w:eastAsia="宋体" w:cs="宋体"/>
          <w:color w:val="auto"/>
          <w:spacing w:val="0"/>
          <w:highlight w:val="none"/>
        </w:rPr>
      </w:pPr>
      <w:r>
        <w:rPr>
          <w:rFonts w:hint="eastAsia" w:ascii="宋体" w:hAnsi="宋体" w:eastAsia="宋体" w:cs="宋体"/>
          <w:color w:val="auto"/>
          <w:spacing w:val="0"/>
          <w:sz w:val="24"/>
          <w:szCs w:val="24"/>
          <w:highlight w:val="none"/>
          <w:lang w:val="en-US" w:eastAsia="zh-CN"/>
        </w:rPr>
        <w:t xml:space="preserve">               </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年</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月</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日</w:t>
      </w:r>
    </w:p>
    <w:p w14:paraId="4E900154">
      <w:pPr>
        <w:keepNext w:val="0"/>
        <w:keepLines w:val="0"/>
        <w:pageBreakBefore w:val="0"/>
        <w:wordWrap w:val="0"/>
        <w:overflowPunct/>
        <w:topLinePunct w:val="0"/>
        <w:bidi w:val="0"/>
        <w:spacing w:before="78" w:line="220" w:lineRule="auto"/>
        <w:ind w:left="4226"/>
        <w:jc w:val="center"/>
        <w:rPr>
          <w:rFonts w:hint="eastAsia" w:ascii="宋体" w:hAnsi="宋体" w:eastAsia="宋体" w:cs="宋体"/>
          <w:color w:val="auto"/>
          <w:spacing w:val="0"/>
          <w:highlight w:val="none"/>
        </w:rPr>
      </w:pPr>
    </w:p>
    <w:p w14:paraId="3D4D7145">
      <w:pPr>
        <w:pStyle w:val="6"/>
        <w:keepNext w:val="0"/>
        <w:keepLines w:val="0"/>
        <w:pageBreakBefore w:val="0"/>
        <w:wordWrap w:val="0"/>
        <w:overflowPunct/>
        <w:topLinePunct w:val="0"/>
        <w:bidi w:val="0"/>
        <w:spacing w:line="241" w:lineRule="auto"/>
        <w:rPr>
          <w:rFonts w:hint="eastAsia" w:ascii="宋体" w:hAnsi="宋体" w:eastAsia="宋体" w:cs="宋体"/>
          <w:color w:val="auto"/>
          <w:spacing w:val="0"/>
          <w:highlight w:val="none"/>
        </w:rPr>
      </w:pPr>
    </w:p>
    <w:p w14:paraId="71BF6420">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说明：《项目经理简历表》后应附拟派项目经理以下资料：</w:t>
      </w:r>
    </w:p>
    <w:p w14:paraId="729ECDA2">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0"/>
        <w:textAlignment w:val="baseline"/>
        <w:outlineLvl w:val="9"/>
        <w:rPr>
          <w:rFonts w:hint="eastAsia" w:ascii="宋体" w:hAnsi="宋体" w:eastAsia="宋体" w:cs="宋体"/>
          <w:color w:val="auto"/>
          <w:spacing w:val="0"/>
          <w:sz w:val="24"/>
          <w:szCs w:val="24"/>
          <w:highlight w:val="none"/>
        </w:rPr>
      </w:pPr>
      <w:bookmarkStart w:id="238" w:name="_Toc25271"/>
      <w:bookmarkStart w:id="239" w:name="_Toc1942"/>
      <w:r>
        <w:rPr>
          <w:rFonts w:hint="eastAsia" w:ascii="宋体" w:hAnsi="宋体" w:eastAsia="宋体" w:cs="宋体"/>
          <w:color w:val="auto"/>
          <w:spacing w:val="0"/>
          <w:sz w:val="24"/>
          <w:szCs w:val="24"/>
          <w:highlight w:val="none"/>
        </w:rPr>
        <w:t>1 ．身份证彩色扫描件；</w:t>
      </w:r>
      <w:bookmarkEnd w:id="238"/>
      <w:bookmarkEnd w:id="239"/>
    </w:p>
    <w:p w14:paraId="40A2DA8E">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 ．建造师电子注册证书（在使用有效期内的有效电子证书）彩色扫描件；</w:t>
      </w:r>
    </w:p>
    <w:p w14:paraId="679C4DE4">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3．B 类安全生产考核合格证书彩色扫描件或广东省建筑施工企业管理人员安全生产考核系统考核合格信息彩色扫描件；</w:t>
      </w:r>
    </w:p>
    <w:p w14:paraId="6D8A7D63">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 ．在本单位缴纳社保</w:t>
      </w:r>
      <w:r>
        <w:rPr>
          <w:rFonts w:hint="eastAsia" w:ascii="宋体" w:hAnsi="宋体" w:eastAsia="宋体" w:cs="宋体"/>
          <w:color w:val="auto"/>
          <w:spacing w:val="0"/>
          <w:sz w:val="24"/>
          <w:szCs w:val="24"/>
          <w:highlight w:val="none"/>
          <w:lang w:eastAsia="zh-CN"/>
        </w:rPr>
        <w:t>的证明（至少</w:t>
      </w:r>
      <w:r>
        <w:rPr>
          <w:rFonts w:hint="eastAsia" w:ascii="宋体" w:hAnsi="宋体" w:eastAsia="宋体" w:cs="宋体"/>
          <w:color w:val="auto"/>
          <w:spacing w:val="0"/>
          <w:sz w:val="24"/>
          <w:szCs w:val="24"/>
          <w:highlight w:val="none"/>
          <w:lang w:val="en-US" w:eastAsia="zh-CN"/>
        </w:rPr>
        <w:t>2</w:t>
      </w:r>
      <w:r>
        <w:rPr>
          <w:rFonts w:hint="eastAsia" w:ascii="宋体" w:hAnsi="宋体" w:eastAsia="宋体" w:cs="宋体"/>
          <w:color w:val="auto"/>
          <w:spacing w:val="0"/>
          <w:sz w:val="24"/>
          <w:szCs w:val="24"/>
          <w:highlight w:val="none"/>
          <w:lang w:eastAsia="zh-CN"/>
        </w:rPr>
        <w:t>个月，其中必须有2026年</w:t>
      </w:r>
      <w:r>
        <w:rPr>
          <w:rFonts w:hint="eastAsia" w:ascii="宋体" w:hAnsi="宋体" w:eastAsia="宋体" w:cs="宋体"/>
          <w:color w:val="auto"/>
          <w:spacing w:val="0"/>
          <w:sz w:val="24"/>
          <w:szCs w:val="24"/>
          <w:highlight w:val="none"/>
          <w:lang w:val="en-US" w:eastAsia="zh-CN"/>
        </w:rPr>
        <w:t>9</w:t>
      </w:r>
      <w:r>
        <w:rPr>
          <w:rFonts w:hint="eastAsia" w:ascii="宋体" w:hAnsi="宋体" w:eastAsia="宋体" w:cs="宋体"/>
          <w:color w:val="auto"/>
          <w:spacing w:val="0"/>
          <w:sz w:val="24"/>
          <w:szCs w:val="24"/>
          <w:highlight w:val="none"/>
          <w:lang w:eastAsia="zh-CN"/>
        </w:rPr>
        <w:t>月）</w:t>
      </w:r>
      <w:r>
        <w:rPr>
          <w:rFonts w:hint="eastAsia" w:ascii="宋体" w:hAnsi="宋体" w:eastAsia="宋体" w:cs="宋体"/>
          <w:color w:val="auto"/>
          <w:spacing w:val="0"/>
          <w:sz w:val="24"/>
          <w:szCs w:val="24"/>
          <w:highlight w:val="none"/>
          <w:lang w:val="en-US" w:eastAsia="zh-CN"/>
        </w:rPr>
        <w:t>扫描</w:t>
      </w:r>
      <w:r>
        <w:rPr>
          <w:rFonts w:hint="eastAsia" w:ascii="宋体" w:hAnsi="宋体" w:eastAsia="宋体" w:cs="宋体"/>
          <w:color w:val="auto"/>
          <w:spacing w:val="0"/>
          <w:sz w:val="24"/>
          <w:szCs w:val="24"/>
          <w:highlight w:val="none"/>
        </w:rPr>
        <w:t>件或打印件。拟派项目经理为退休返聘人员无法提供社保证明的，提供退休证和劳动合同彩色扫描件。</w:t>
      </w:r>
    </w:p>
    <w:p w14:paraId="1CF2B725">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 ．“进粤企业和人员诚信信息登记平台 ”个人信息情况截图。（适用于省外建筑企业）</w:t>
      </w:r>
    </w:p>
    <w:p w14:paraId="11755BD0">
      <w:pPr>
        <w:pStyle w:val="27"/>
        <w:rPr>
          <w:rFonts w:hint="eastAsia"/>
          <w:color w:val="auto"/>
          <w:highlight w:val="none"/>
        </w:rPr>
      </w:pPr>
    </w:p>
    <w:p w14:paraId="4F12CFF3">
      <w:pPr>
        <w:keepNext w:val="0"/>
        <w:keepLines w:val="0"/>
        <w:pageBreakBefore w:val="0"/>
        <w:wordWrap w:val="0"/>
        <w:overflowPunct/>
        <w:topLinePunct w:val="0"/>
        <w:bidi w:val="0"/>
        <w:spacing w:line="300" w:lineRule="auto"/>
        <w:rPr>
          <w:rFonts w:hint="eastAsia" w:ascii="宋体" w:hAnsi="宋体" w:eastAsia="宋体" w:cs="宋体"/>
          <w:color w:val="auto"/>
          <w:spacing w:val="0"/>
          <w:sz w:val="20"/>
          <w:szCs w:val="20"/>
          <w:highlight w:val="none"/>
        </w:rPr>
        <w:sectPr>
          <w:footerReference r:id="rId20"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1FABAAAB">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auto"/>
          <w:spacing w:val="0"/>
          <w:sz w:val="24"/>
          <w:szCs w:val="24"/>
          <w:highlight w:val="none"/>
        </w:rPr>
      </w:pPr>
      <w:bookmarkStart w:id="240" w:name="_Toc19646"/>
      <w:r>
        <w:rPr>
          <w:rFonts w:hint="eastAsia" w:ascii="宋体" w:hAnsi="宋体" w:eastAsia="宋体" w:cs="宋体"/>
          <w:b/>
          <w:bCs/>
          <w:color w:val="auto"/>
          <w:spacing w:val="0"/>
          <w:sz w:val="24"/>
          <w:szCs w:val="24"/>
          <w:highlight w:val="none"/>
        </w:rPr>
        <w:t>格式九 项目经理任职声明</w:t>
      </w:r>
      <w:bookmarkEnd w:id="240"/>
    </w:p>
    <w:p w14:paraId="62EE3506">
      <w:pPr>
        <w:pStyle w:val="6"/>
        <w:keepNext w:val="0"/>
        <w:keepLines w:val="0"/>
        <w:pageBreakBefore w:val="0"/>
        <w:wordWrap w:val="0"/>
        <w:overflowPunct/>
        <w:topLinePunct w:val="0"/>
        <w:bidi w:val="0"/>
        <w:spacing w:line="350" w:lineRule="auto"/>
        <w:rPr>
          <w:rFonts w:hint="eastAsia" w:ascii="宋体" w:hAnsi="宋体" w:eastAsia="宋体" w:cs="宋体"/>
          <w:color w:val="auto"/>
          <w:spacing w:val="0"/>
          <w:highlight w:val="none"/>
        </w:rPr>
      </w:pPr>
    </w:p>
    <w:p w14:paraId="4AEBE0EC">
      <w:pPr>
        <w:pStyle w:val="6"/>
        <w:keepNext w:val="0"/>
        <w:keepLines w:val="0"/>
        <w:pageBreakBefore w:val="0"/>
        <w:wordWrap w:val="0"/>
        <w:overflowPunct/>
        <w:topLinePunct w:val="0"/>
        <w:bidi w:val="0"/>
        <w:spacing w:line="350" w:lineRule="auto"/>
        <w:rPr>
          <w:rFonts w:hint="eastAsia" w:ascii="宋体" w:hAnsi="宋体" w:eastAsia="宋体" w:cs="宋体"/>
          <w:color w:val="auto"/>
          <w:spacing w:val="0"/>
          <w:highlight w:val="none"/>
        </w:rPr>
      </w:pPr>
    </w:p>
    <w:p w14:paraId="7D1C92A9">
      <w:pPr>
        <w:keepNext w:val="0"/>
        <w:keepLines w:val="0"/>
        <w:pageBreakBefore w:val="0"/>
        <w:wordWrap w:val="0"/>
        <w:overflowPunct/>
        <w:topLinePunct w:val="0"/>
        <w:bidi w:val="0"/>
        <w:spacing w:before="98" w:line="220" w:lineRule="auto"/>
        <w:ind w:left="3338"/>
        <w:rPr>
          <w:rFonts w:hint="eastAsia" w:ascii="宋体" w:hAnsi="宋体" w:eastAsia="宋体" w:cs="宋体"/>
          <w:color w:val="auto"/>
          <w:spacing w:val="0"/>
          <w:sz w:val="30"/>
          <w:szCs w:val="30"/>
          <w:highlight w:val="none"/>
        </w:rPr>
      </w:pPr>
      <w:bookmarkStart w:id="241" w:name="bookmark157"/>
      <w:bookmarkEnd w:id="241"/>
      <w:r>
        <w:rPr>
          <w:rFonts w:hint="eastAsia" w:ascii="宋体" w:hAnsi="宋体" w:eastAsia="宋体" w:cs="宋体"/>
          <w:b/>
          <w:bCs/>
          <w:color w:val="auto"/>
          <w:spacing w:val="0"/>
          <w:sz w:val="30"/>
          <w:szCs w:val="30"/>
          <w:highlight w:val="none"/>
        </w:rPr>
        <w:t>项目经理任职声明</w:t>
      </w:r>
    </w:p>
    <w:p w14:paraId="6F8BC524">
      <w:pPr>
        <w:pStyle w:val="6"/>
        <w:keepNext w:val="0"/>
        <w:keepLines w:val="0"/>
        <w:pageBreakBefore w:val="0"/>
        <w:wordWrap w:val="0"/>
        <w:overflowPunct/>
        <w:topLinePunct w:val="0"/>
        <w:bidi w:val="0"/>
        <w:spacing w:line="250" w:lineRule="auto"/>
        <w:rPr>
          <w:rFonts w:hint="eastAsia" w:ascii="宋体" w:hAnsi="宋体" w:eastAsia="宋体" w:cs="宋体"/>
          <w:color w:val="auto"/>
          <w:spacing w:val="0"/>
          <w:highlight w:val="none"/>
        </w:rPr>
      </w:pPr>
    </w:p>
    <w:p w14:paraId="4F47D09D">
      <w:pPr>
        <w:pStyle w:val="6"/>
        <w:keepNext w:val="0"/>
        <w:keepLines w:val="0"/>
        <w:pageBreakBefore w:val="0"/>
        <w:wordWrap w:val="0"/>
        <w:overflowPunct/>
        <w:topLinePunct w:val="0"/>
        <w:bidi w:val="0"/>
        <w:spacing w:line="250" w:lineRule="auto"/>
        <w:rPr>
          <w:rFonts w:hint="eastAsia" w:ascii="宋体" w:hAnsi="宋体" w:eastAsia="宋体" w:cs="宋体"/>
          <w:color w:val="auto"/>
          <w:spacing w:val="0"/>
          <w:highlight w:val="none"/>
        </w:rPr>
      </w:pPr>
    </w:p>
    <w:p w14:paraId="17AB9125">
      <w:pPr>
        <w:pStyle w:val="6"/>
        <w:keepNext w:val="0"/>
        <w:keepLines w:val="0"/>
        <w:pageBreakBefore w:val="0"/>
        <w:wordWrap w:val="0"/>
        <w:overflowPunct/>
        <w:topLinePunct w:val="0"/>
        <w:bidi w:val="0"/>
        <w:spacing w:line="251" w:lineRule="auto"/>
        <w:rPr>
          <w:rFonts w:hint="eastAsia" w:ascii="宋体" w:hAnsi="宋体" w:eastAsia="宋体" w:cs="宋体"/>
          <w:color w:val="auto"/>
          <w:spacing w:val="0"/>
          <w:highlight w:val="none"/>
        </w:rPr>
      </w:pPr>
    </w:p>
    <w:p w14:paraId="594D09CE">
      <w:pPr>
        <w:keepNext w:val="0"/>
        <w:keepLines w:val="0"/>
        <w:pageBreakBefore w:val="0"/>
        <w:wordWrap w:val="0"/>
        <w:overflowPunct/>
        <w:topLinePunct w:val="0"/>
        <w:bidi w:val="0"/>
        <w:spacing w:before="78" w:line="221" w:lineRule="auto"/>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致：</w:t>
      </w:r>
      <w:r>
        <w:rPr>
          <w:rFonts w:hint="eastAsia" w:ascii="宋体" w:hAnsi="宋体" w:eastAsia="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rPr>
        <w:t>（招标人名称）</w:t>
      </w:r>
    </w:p>
    <w:p w14:paraId="05F97301">
      <w:pPr>
        <w:keepNext w:val="0"/>
        <w:keepLines w:val="0"/>
        <w:pageBreakBefore w:val="0"/>
        <w:wordWrap w:val="0"/>
        <w:overflowPunct/>
        <w:topLinePunct w:val="0"/>
        <w:bidi w:val="0"/>
        <w:spacing w:before="155" w:line="324" w:lineRule="auto"/>
        <w:ind w:firstLine="48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我方在此声明，我方拟派往</w:t>
      </w:r>
      <w:r>
        <w:rPr>
          <w:rFonts w:hint="eastAsia" w:ascii="宋体" w:hAnsi="宋体" w:eastAsia="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rPr>
        <w:t>（项目名称）的项目经理</w:t>
      </w:r>
      <w:r>
        <w:rPr>
          <w:rFonts w:hint="eastAsia" w:ascii="宋体" w:hAnsi="宋体" w:eastAsia="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rPr>
        <w:t>（项目经理姓名）现阶段没有担任任何在施（包括已中标未开工、已开工未竣工）建设工程项目的项目经理。</w:t>
      </w:r>
    </w:p>
    <w:p w14:paraId="6FA42514">
      <w:pPr>
        <w:keepNext w:val="0"/>
        <w:keepLines w:val="0"/>
        <w:pageBreakBefore w:val="0"/>
        <w:wordWrap w:val="0"/>
        <w:overflowPunct/>
        <w:topLinePunct w:val="0"/>
        <w:bidi w:val="0"/>
        <w:spacing w:before="35" w:line="326" w:lineRule="auto"/>
        <w:ind w:firstLine="48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我方保证上述信息的真实和准确，并愿意承担因我方就此弄虚作假所引起的一切法律后果。</w:t>
      </w:r>
    </w:p>
    <w:p w14:paraId="2B1EC86F">
      <w:pPr>
        <w:pStyle w:val="6"/>
        <w:keepNext w:val="0"/>
        <w:keepLines w:val="0"/>
        <w:pageBreakBefore w:val="0"/>
        <w:wordWrap w:val="0"/>
        <w:overflowPunct/>
        <w:topLinePunct w:val="0"/>
        <w:bidi w:val="0"/>
        <w:spacing w:line="391" w:lineRule="auto"/>
        <w:rPr>
          <w:rFonts w:hint="eastAsia" w:ascii="宋体" w:hAnsi="宋体" w:eastAsia="宋体" w:cs="宋体"/>
          <w:color w:val="auto"/>
          <w:spacing w:val="0"/>
          <w:highlight w:val="none"/>
        </w:rPr>
      </w:pPr>
    </w:p>
    <w:p w14:paraId="214807E5">
      <w:pPr>
        <w:keepNext w:val="0"/>
        <w:keepLines w:val="0"/>
        <w:pageBreakBefore w:val="0"/>
        <w:wordWrap w:val="0"/>
        <w:overflowPunct/>
        <w:topLinePunct w:val="0"/>
        <w:bidi w:val="0"/>
        <w:spacing w:before="78" w:line="220" w:lineRule="auto"/>
        <w:ind w:left="48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特此承诺</w:t>
      </w:r>
    </w:p>
    <w:p w14:paraId="7D367C5A">
      <w:pPr>
        <w:pStyle w:val="6"/>
        <w:keepNext w:val="0"/>
        <w:keepLines w:val="0"/>
        <w:pageBreakBefore w:val="0"/>
        <w:wordWrap w:val="0"/>
        <w:overflowPunct/>
        <w:topLinePunct w:val="0"/>
        <w:bidi w:val="0"/>
        <w:spacing w:line="316" w:lineRule="auto"/>
        <w:rPr>
          <w:rFonts w:hint="eastAsia" w:ascii="宋体" w:hAnsi="宋体" w:eastAsia="宋体" w:cs="宋体"/>
          <w:color w:val="auto"/>
          <w:spacing w:val="0"/>
          <w:highlight w:val="none"/>
        </w:rPr>
      </w:pPr>
    </w:p>
    <w:p w14:paraId="5860A856">
      <w:pPr>
        <w:pStyle w:val="6"/>
        <w:keepNext w:val="0"/>
        <w:keepLines w:val="0"/>
        <w:pageBreakBefore w:val="0"/>
        <w:wordWrap w:val="0"/>
        <w:overflowPunct/>
        <w:topLinePunct w:val="0"/>
        <w:bidi w:val="0"/>
        <w:spacing w:line="317" w:lineRule="auto"/>
        <w:rPr>
          <w:rFonts w:hint="eastAsia" w:ascii="宋体" w:hAnsi="宋体" w:eastAsia="宋体" w:cs="宋体"/>
          <w:color w:val="auto"/>
          <w:spacing w:val="0"/>
          <w:highlight w:val="none"/>
        </w:rPr>
      </w:pPr>
    </w:p>
    <w:p w14:paraId="010DB5DB">
      <w:pPr>
        <w:pStyle w:val="6"/>
        <w:keepNext w:val="0"/>
        <w:keepLines w:val="0"/>
        <w:pageBreakBefore w:val="0"/>
        <w:wordWrap w:val="0"/>
        <w:overflowPunct/>
        <w:topLinePunct w:val="0"/>
        <w:bidi w:val="0"/>
        <w:spacing w:line="317" w:lineRule="auto"/>
        <w:rPr>
          <w:rFonts w:hint="eastAsia" w:ascii="宋体" w:hAnsi="宋体" w:eastAsia="宋体" w:cs="宋体"/>
          <w:color w:val="auto"/>
          <w:spacing w:val="0"/>
          <w:highlight w:val="none"/>
        </w:rPr>
      </w:pPr>
    </w:p>
    <w:p w14:paraId="2D006C80">
      <w:pPr>
        <w:keepNext w:val="0"/>
        <w:keepLines w:val="0"/>
        <w:pageBreakBefore w:val="0"/>
        <w:wordWrap w:val="0"/>
        <w:overflowPunct/>
        <w:topLinePunct w:val="0"/>
        <w:bidi w:val="0"/>
        <w:spacing w:before="79" w:line="219" w:lineRule="auto"/>
        <w:jc w:val="right"/>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投标人：</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rPr>
        <w:t>（盖单位章）</w:t>
      </w:r>
    </w:p>
    <w:p w14:paraId="009CE2D8">
      <w:pPr>
        <w:pStyle w:val="6"/>
        <w:keepNext w:val="0"/>
        <w:keepLines w:val="0"/>
        <w:pageBreakBefore w:val="0"/>
        <w:wordWrap w:val="0"/>
        <w:overflowPunct/>
        <w:topLinePunct w:val="0"/>
        <w:bidi w:val="0"/>
        <w:spacing w:line="317" w:lineRule="auto"/>
        <w:rPr>
          <w:rFonts w:hint="eastAsia" w:ascii="宋体" w:hAnsi="宋体" w:eastAsia="宋体" w:cs="宋体"/>
          <w:color w:val="auto"/>
          <w:spacing w:val="0"/>
          <w:highlight w:val="none"/>
        </w:rPr>
      </w:pPr>
    </w:p>
    <w:p w14:paraId="08CBCE3F">
      <w:pPr>
        <w:pStyle w:val="6"/>
        <w:keepNext w:val="0"/>
        <w:keepLines w:val="0"/>
        <w:pageBreakBefore w:val="0"/>
        <w:wordWrap w:val="0"/>
        <w:overflowPunct/>
        <w:topLinePunct w:val="0"/>
        <w:bidi w:val="0"/>
        <w:spacing w:line="317" w:lineRule="auto"/>
        <w:rPr>
          <w:rFonts w:hint="eastAsia" w:ascii="宋体" w:hAnsi="宋体" w:eastAsia="宋体" w:cs="宋体"/>
          <w:color w:val="auto"/>
          <w:spacing w:val="0"/>
          <w:highlight w:val="none"/>
        </w:rPr>
      </w:pPr>
    </w:p>
    <w:p w14:paraId="735D0E82">
      <w:pPr>
        <w:pStyle w:val="6"/>
        <w:keepNext w:val="0"/>
        <w:keepLines w:val="0"/>
        <w:pageBreakBefore w:val="0"/>
        <w:wordWrap w:val="0"/>
        <w:overflowPunct/>
        <w:topLinePunct w:val="0"/>
        <w:bidi w:val="0"/>
        <w:spacing w:line="317" w:lineRule="auto"/>
        <w:rPr>
          <w:rFonts w:hint="eastAsia" w:ascii="宋体" w:hAnsi="宋体" w:eastAsia="宋体" w:cs="宋体"/>
          <w:color w:val="auto"/>
          <w:spacing w:val="0"/>
          <w:highlight w:val="none"/>
        </w:rPr>
      </w:pPr>
    </w:p>
    <w:p w14:paraId="7C437D63">
      <w:pPr>
        <w:keepNext w:val="0"/>
        <w:keepLines w:val="0"/>
        <w:pageBreakBefore w:val="0"/>
        <w:wordWrap w:val="0"/>
        <w:overflowPunct/>
        <w:topLinePunct w:val="0"/>
        <w:bidi w:val="0"/>
        <w:spacing w:before="78" w:line="219" w:lineRule="auto"/>
        <w:jc w:val="right"/>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法定代表人或其委托代理人：</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rPr>
        <w:t>（签字或盖章）</w:t>
      </w:r>
    </w:p>
    <w:p w14:paraId="205D7646">
      <w:pPr>
        <w:pStyle w:val="6"/>
        <w:keepNext w:val="0"/>
        <w:keepLines w:val="0"/>
        <w:pageBreakBefore w:val="0"/>
        <w:wordWrap w:val="0"/>
        <w:overflowPunct/>
        <w:topLinePunct w:val="0"/>
        <w:bidi w:val="0"/>
        <w:spacing w:line="257" w:lineRule="auto"/>
        <w:rPr>
          <w:rFonts w:hint="eastAsia" w:ascii="宋体" w:hAnsi="宋体" w:eastAsia="宋体" w:cs="宋体"/>
          <w:color w:val="auto"/>
          <w:spacing w:val="0"/>
          <w:highlight w:val="none"/>
        </w:rPr>
      </w:pPr>
    </w:p>
    <w:p w14:paraId="1828182E">
      <w:pPr>
        <w:pStyle w:val="6"/>
        <w:keepNext w:val="0"/>
        <w:keepLines w:val="0"/>
        <w:pageBreakBefore w:val="0"/>
        <w:wordWrap w:val="0"/>
        <w:overflowPunct/>
        <w:topLinePunct w:val="0"/>
        <w:bidi w:val="0"/>
        <w:spacing w:line="257" w:lineRule="auto"/>
        <w:rPr>
          <w:rFonts w:hint="eastAsia" w:ascii="宋体" w:hAnsi="宋体" w:eastAsia="宋体" w:cs="宋体"/>
          <w:color w:val="auto"/>
          <w:spacing w:val="0"/>
          <w:highlight w:val="none"/>
        </w:rPr>
      </w:pPr>
    </w:p>
    <w:p w14:paraId="510D0B83">
      <w:pPr>
        <w:pStyle w:val="6"/>
        <w:keepNext w:val="0"/>
        <w:keepLines w:val="0"/>
        <w:pageBreakBefore w:val="0"/>
        <w:wordWrap w:val="0"/>
        <w:overflowPunct/>
        <w:topLinePunct w:val="0"/>
        <w:bidi w:val="0"/>
        <w:spacing w:line="254" w:lineRule="auto"/>
        <w:jc w:val="right"/>
        <w:rPr>
          <w:rFonts w:hint="eastAsia" w:ascii="宋体" w:hAnsi="宋体" w:eastAsia="宋体" w:cs="宋体"/>
          <w:color w:val="auto"/>
          <w:spacing w:val="0"/>
          <w:highlight w:val="none"/>
        </w:rPr>
      </w:pP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年</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月</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日</w:t>
      </w:r>
    </w:p>
    <w:p w14:paraId="1643DD42">
      <w:pPr>
        <w:keepNext w:val="0"/>
        <w:keepLines w:val="0"/>
        <w:pageBreakBefore w:val="0"/>
        <w:wordWrap w:val="0"/>
        <w:overflowPunct/>
        <w:topLinePunct w:val="0"/>
        <w:bidi w:val="0"/>
        <w:spacing w:line="220" w:lineRule="auto"/>
        <w:rPr>
          <w:rFonts w:hint="eastAsia" w:ascii="宋体" w:hAnsi="宋体" w:eastAsia="宋体" w:cs="宋体"/>
          <w:color w:val="auto"/>
          <w:spacing w:val="0"/>
          <w:sz w:val="24"/>
          <w:szCs w:val="24"/>
          <w:highlight w:val="none"/>
        </w:rPr>
        <w:sectPr>
          <w:footerReference r:id="rId21"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641B8666">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auto"/>
          <w:spacing w:val="0"/>
          <w:sz w:val="24"/>
          <w:szCs w:val="24"/>
          <w:highlight w:val="none"/>
        </w:rPr>
      </w:pPr>
      <w:bookmarkStart w:id="242" w:name="_Toc13288"/>
      <w:r>
        <w:rPr>
          <w:rFonts w:hint="eastAsia" w:ascii="宋体" w:hAnsi="宋体" w:eastAsia="宋体" w:cs="宋体"/>
          <w:b/>
          <w:bCs/>
          <w:color w:val="auto"/>
          <w:spacing w:val="0"/>
          <w:sz w:val="24"/>
          <w:szCs w:val="24"/>
          <w:highlight w:val="none"/>
        </w:rPr>
        <w:t>格式十 项目技术负责人简历表</w:t>
      </w:r>
      <w:bookmarkEnd w:id="242"/>
    </w:p>
    <w:p w14:paraId="66BF14F1">
      <w:pPr>
        <w:pStyle w:val="6"/>
        <w:keepNext w:val="0"/>
        <w:keepLines w:val="0"/>
        <w:pageBreakBefore w:val="0"/>
        <w:wordWrap w:val="0"/>
        <w:overflowPunct/>
        <w:topLinePunct w:val="0"/>
        <w:bidi w:val="0"/>
        <w:spacing w:line="444" w:lineRule="auto"/>
        <w:rPr>
          <w:rFonts w:hint="eastAsia" w:ascii="宋体" w:hAnsi="宋体" w:eastAsia="宋体" w:cs="宋体"/>
          <w:color w:val="auto"/>
          <w:spacing w:val="0"/>
          <w:highlight w:val="none"/>
        </w:rPr>
      </w:pPr>
    </w:p>
    <w:p w14:paraId="3F00164A">
      <w:pPr>
        <w:keepNext w:val="0"/>
        <w:keepLines w:val="0"/>
        <w:pageBreakBefore w:val="0"/>
        <w:wordWrap w:val="0"/>
        <w:overflowPunct/>
        <w:topLinePunct w:val="0"/>
        <w:bidi w:val="0"/>
        <w:spacing w:before="97" w:line="219" w:lineRule="auto"/>
        <w:ind w:left="3087"/>
        <w:outlineLvl w:val="9"/>
        <w:rPr>
          <w:rFonts w:hint="eastAsia" w:ascii="宋体" w:hAnsi="宋体" w:eastAsia="宋体" w:cs="宋体"/>
          <w:color w:val="auto"/>
          <w:spacing w:val="0"/>
          <w:sz w:val="30"/>
          <w:szCs w:val="30"/>
          <w:highlight w:val="none"/>
        </w:rPr>
      </w:pPr>
      <w:bookmarkStart w:id="243" w:name="_Toc1553"/>
      <w:bookmarkStart w:id="244" w:name="_Toc25712"/>
      <w:r>
        <w:rPr>
          <w:rFonts w:hint="eastAsia" w:ascii="宋体" w:hAnsi="宋体" w:eastAsia="宋体" w:cs="宋体"/>
          <w:b/>
          <w:bCs/>
          <w:color w:val="auto"/>
          <w:spacing w:val="0"/>
          <w:sz w:val="30"/>
          <w:szCs w:val="30"/>
          <w:highlight w:val="none"/>
        </w:rPr>
        <w:t>项目技术负责人简历表</w:t>
      </w:r>
      <w:bookmarkEnd w:id="243"/>
      <w:bookmarkEnd w:id="244"/>
    </w:p>
    <w:p w14:paraId="1FD9F1C4">
      <w:pPr>
        <w:keepNext w:val="0"/>
        <w:keepLines w:val="0"/>
        <w:pageBreakBefore w:val="0"/>
        <w:wordWrap w:val="0"/>
        <w:overflowPunct/>
        <w:topLinePunct w:val="0"/>
        <w:bidi w:val="0"/>
        <w:spacing w:line="240" w:lineRule="exact"/>
        <w:rPr>
          <w:rFonts w:hint="eastAsia" w:ascii="宋体" w:hAnsi="宋体" w:eastAsia="宋体" w:cs="宋体"/>
          <w:color w:val="auto"/>
          <w:spacing w:val="0"/>
          <w:highlight w:val="none"/>
        </w:rPr>
      </w:pPr>
    </w:p>
    <w:tbl>
      <w:tblPr>
        <w:tblStyle w:val="17"/>
        <w:tblW w:w="9657"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0"/>
        <w:gridCol w:w="1003"/>
        <w:gridCol w:w="607"/>
        <w:gridCol w:w="675"/>
        <w:gridCol w:w="1346"/>
        <w:gridCol w:w="2047"/>
        <w:gridCol w:w="1783"/>
        <w:gridCol w:w="1386"/>
      </w:tblGrid>
      <w:tr w14:paraId="1F027B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jc w:val="center"/>
        </w:trPr>
        <w:tc>
          <w:tcPr>
            <w:tcW w:w="1813" w:type="dxa"/>
            <w:gridSpan w:val="2"/>
            <w:vAlign w:val="center"/>
          </w:tcPr>
          <w:p w14:paraId="1D778A15">
            <w:pPr>
              <w:keepNext w:val="0"/>
              <w:keepLines w:val="0"/>
              <w:pageBreakBefore w:val="0"/>
              <w:widowControl/>
              <w:kinsoku w:val="0"/>
              <w:wordWrap w:val="0"/>
              <w:overflowPunct/>
              <w:topLinePunct w:val="0"/>
              <w:autoSpaceDE w:val="0"/>
              <w:autoSpaceDN w:val="0"/>
              <w:bidi w:val="0"/>
              <w:adjustRightInd w:val="0"/>
              <w:snapToGrid w:val="0"/>
              <w:spacing w:before="177" w:line="228"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姓   名</w:t>
            </w:r>
          </w:p>
        </w:tc>
        <w:tc>
          <w:tcPr>
            <w:tcW w:w="1282" w:type="dxa"/>
            <w:gridSpan w:val="2"/>
            <w:vAlign w:val="center"/>
          </w:tcPr>
          <w:p w14:paraId="299728D9">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default" w:ascii="宋体" w:hAnsi="宋体" w:eastAsia="宋体" w:cs="宋体"/>
                <w:color w:val="auto"/>
                <w:spacing w:val="0"/>
                <w:sz w:val="24"/>
                <w:szCs w:val="24"/>
                <w:highlight w:val="none"/>
                <w:lang w:val="en-US" w:eastAsia="zh-CN"/>
              </w:rPr>
            </w:pPr>
          </w:p>
        </w:tc>
        <w:tc>
          <w:tcPr>
            <w:tcW w:w="1346" w:type="dxa"/>
            <w:vAlign w:val="center"/>
          </w:tcPr>
          <w:p w14:paraId="12D06A1E">
            <w:pPr>
              <w:keepNext w:val="0"/>
              <w:keepLines w:val="0"/>
              <w:pageBreakBefore w:val="0"/>
              <w:widowControl/>
              <w:kinsoku w:val="0"/>
              <w:wordWrap w:val="0"/>
              <w:overflowPunct/>
              <w:topLinePunct w:val="0"/>
              <w:autoSpaceDE w:val="0"/>
              <w:autoSpaceDN w:val="0"/>
              <w:bidi w:val="0"/>
              <w:adjustRightInd w:val="0"/>
              <w:snapToGrid w:val="0"/>
              <w:spacing w:before="177" w:line="229"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性  别</w:t>
            </w:r>
          </w:p>
        </w:tc>
        <w:tc>
          <w:tcPr>
            <w:tcW w:w="2047" w:type="dxa"/>
            <w:vAlign w:val="center"/>
          </w:tcPr>
          <w:p w14:paraId="44BA0D44">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783" w:type="dxa"/>
            <w:vAlign w:val="center"/>
          </w:tcPr>
          <w:p w14:paraId="5513DC19">
            <w:pPr>
              <w:keepNext w:val="0"/>
              <w:keepLines w:val="0"/>
              <w:pageBreakBefore w:val="0"/>
              <w:widowControl/>
              <w:kinsoku w:val="0"/>
              <w:wordWrap w:val="0"/>
              <w:overflowPunct/>
              <w:topLinePunct w:val="0"/>
              <w:autoSpaceDE w:val="0"/>
              <w:autoSpaceDN w:val="0"/>
              <w:bidi w:val="0"/>
              <w:adjustRightInd w:val="0"/>
              <w:snapToGrid w:val="0"/>
              <w:spacing w:before="177" w:line="228"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年   龄</w:t>
            </w:r>
          </w:p>
        </w:tc>
        <w:tc>
          <w:tcPr>
            <w:tcW w:w="1386" w:type="dxa"/>
            <w:vAlign w:val="center"/>
          </w:tcPr>
          <w:p w14:paraId="2BE78AAB">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r w14:paraId="54D85E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jc w:val="center"/>
        </w:trPr>
        <w:tc>
          <w:tcPr>
            <w:tcW w:w="1813" w:type="dxa"/>
            <w:gridSpan w:val="2"/>
            <w:vAlign w:val="center"/>
          </w:tcPr>
          <w:p w14:paraId="5B23145B">
            <w:pPr>
              <w:keepNext w:val="0"/>
              <w:keepLines w:val="0"/>
              <w:pageBreakBefore w:val="0"/>
              <w:widowControl/>
              <w:kinsoku w:val="0"/>
              <w:wordWrap w:val="0"/>
              <w:overflowPunct/>
              <w:topLinePunct w:val="0"/>
              <w:autoSpaceDE w:val="0"/>
              <w:autoSpaceDN w:val="0"/>
              <w:bidi w:val="0"/>
              <w:adjustRightInd w:val="0"/>
              <w:snapToGrid w:val="0"/>
              <w:spacing w:before="175" w:line="228"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职   务</w:t>
            </w:r>
          </w:p>
        </w:tc>
        <w:tc>
          <w:tcPr>
            <w:tcW w:w="1282" w:type="dxa"/>
            <w:gridSpan w:val="2"/>
            <w:vAlign w:val="center"/>
          </w:tcPr>
          <w:p w14:paraId="55206871">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346" w:type="dxa"/>
            <w:vAlign w:val="center"/>
          </w:tcPr>
          <w:p w14:paraId="26F7D6C6">
            <w:pPr>
              <w:keepNext w:val="0"/>
              <w:keepLines w:val="0"/>
              <w:pageBreakBefore w:val="0"/>
              <w:widowControl/>
              <w:kinsoku w:val="0"/>
              <w:wordWrap w:val="0"/>
              <w:overflowPunct/>
              <w:topLinePunct w:val="0"/>
              <w:autoSpaceDE w:val="0"/>
              <w:autoSpaceDN w:val="0"/>
              <w:bidi w:val="0"/>
              <w:adjustRightInd w:val="0"/>
              <w:snapToGrid w:val="0"/>
              <w:spacing w:before="174" w:line="231"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职  称</w:t>
            </w:r>
          </w:p>
        </w:tc>
        <w:tc>
          <w:tcPr>
            <w:tcW w:w="2047" w:type="dxa"/>
            <w:vAlign w:val="center"/>
          </w:tcPr>
          <w:p w14:paraId="7CD43279">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783" w:type="dxa"/>
            <w:vAlign w:val="center"/>
          </w:tcPr>
          <w:p w14:paraId="46D420FD">
            <w:pPr>
              <w:keepNext w:val="0"/>
              <w:keepLines w:val="0"/>
              <w:pageBreakBefore w:val="0"/>
              <w:widowControl/>
              <w:kinsoku w:val="0"/>
              <w:wordWrap w:val="0"/>
              <w:overflowPunct/>
              <w:topLinePunct w:val="0"/>
              <w:autoSpaceDE w:val="0"/>
              <w:autoSpaceDN w:val="0"/>
              <w:bidi w:val="0"/>
              <w:adjustRightInd w:val="0"/>
              <w:snapToGrid w:val="0"/>
              <w:spacing w:before="175" w:line="230"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学   历</w:t>
            </w:r>
          </w:p>
        </w:tc>
        <w:tc>
          <w:tcPr>
            <w:tcW w:w="1386" w:type="dxa"/>
            <w:vAlign w:val="center"/>
          </w:tcPr>
          <w:p w14:paraId="3B55D9BF">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r w14:paraId="4B053A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7" w:hRule="atLeast"/>
          <w:jc w:val="center"/>
        </w:trPr>
        <w:tc>
          <w:tcPr>
            <w:tcW w:w="1813" w:type="dxa"/>
            <w:gridSpan w:val="2"/>
            <w:vAlign w:val="center"/>
          </w:tcPr>
          <w:p w14:paraId="72CB30A2">
            <w:pPr>
              <w:keepNext w:val="0"/>
              <w:keepLines w:val="0"/>
              <w:pageBreakBefore w:val="0"/>
              <w:widowControl/>
              <w:kinsoku w:val="0"/>
              <w:wordWrap w:val="0"/>
              <w:overflowPunct/>
              <w:topLinePunct w:val="0"/>
              <w:autoSpaceDE w:val="0"/>
              <w:autoSpaceDN w:val="0"/>
              <w:bidi w:val="0"/>
              <w:adjustRightInd w:val="0"/>
              <w:snapToGrid w:val="0"/>
              <w:spacing w:before="175" w:line="229"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参加工作时间</w:t>
            </w:r>
          </w:p>
        </w:tc>
        <w:tc>
          <w:tcPr>
            <w:tcW w:w="2628" w:type="dxa"/>
            <w:gridSpan w:val="3"/>
            <w:vAlign w:val="center"/>
          </w:tcPr>
          <w:p w14:paraId="707A3B8C">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3830" w:type="dxa"/>
            <w:gridSpan w:val="2"/>
            <w:vAlign w:val="center"/>
          </w:tcPr>
          <w:p w14:paraId="6824BB6C">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从事工程建设项目管理工作年限</w:t>
            </w:r>
          </w:p>
        </w:tc>
        <w:tc>
          <w:tcPr>
            <w:tcW w:w="1386" w:type="dxa"/>
            <w:vAlign w:val="center"/>
          </w:tcPr>
          <w:p w14:paraId="54C55DED">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r w14:paraId="40C0D8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jc w:val="center"/>
        </w:trPr>
        <w:tc>
          <w:tcPr>
            <w:tcW w:w="9657" w:type="dxa"/>
            <w:gridSpan w:val="8"/>
            <w:vAlign w:val="center"/>
          </w:tcPr>
          <w:p w14:paraId="708FE913">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以项目技术负责人身份参与过的主要业绩（已完工项目）</w:t>
            </w:r>
          </w:p>
        </w:tc>
      </w:tr>
      <w:tr w14:paraId="785258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7" w:hRule="atLeast"/>
          <w:jc w:val="center"/>
        </w:trPr>
        <w:tc>
          <w:tcPr>
            <w:tcW w:w="810" w:type="dxa"/>
            <w:vAlign w:val="center"/>
          </w:tcPr>
          <w:p w14:paraId="26404383">
            <w:pPr>
              <w:keepNext w:val="0"/>
              <w:keepLines w:val="0"/>
              <w:pageBreakBefore w:val="0"/>
              <w:widowControl/>
              <w:kinsoku w:val="0"/>
              <w:wordWrap w:val="0"/>
              <w:overflowPunct/>
              <w:topLinePunct w:val="0"/>
              <w:autoSpaceDE w:val="0"/>
              <w:autoSpaceDN w:val="0"/>
              <w:bidi w:val="0"/>
              <w:adjustRightInd w:val="0"/>
              <w:snapToGrid w:val="0"/>
              <w:spacing w:before="176" w:line="230"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序号</w:t>
            </w:r>
          </w:p>
        </w:tc>
        <w:tc>
          <w:tcPr>
            <w:tcW w:w="1610" w:type="dxa"/>
            <w:gridSpan w:val="2"/>
            <w:vAlign w:val="center"/>
          </w:tcPr>
          <w:p w14:paraId="15E89794">
            <w:pPr>
              <w:keepNext w:val="0"/>
              <w:keepLines w:val="0"/>
              <w:pageBreakBefore w:val="0"/>
              <w:widowControl/>
              <w:kinsoku w:val="0"/>
              <w:wordWrap w:val="0"/>
              <w:overflowPunct/>
              <w:topLinePunct w:val="0"/>
              <w:autoSpaceDE w:val="0"/>
              <w:autoSpaceDN w:val="0"/>
              <w:bidi w:val="0"/>
              <w:adjustRightInd w:val="0"/>
              <w:snapToGrid w:val="0"/>
              <w:spacing w:before="176" w:line="229"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项目名称</w:t>
            </w:r>
          </w:p>
        </w:tc>
        <w:tc>
          <w:tcPr>
            <w:tcW w:w="2021" w:type="dxa"/>
            <w:gridSpan w:val="2"/>
            <w:vAlign w:val="center"/>
          </w:tcPr>
          <w:p w14:paraId="1C11C662">
            <w:pPr>
              <w:keepNext w:val="0"/>
              <w:keepLines w:val="0"/>
              <w:pageBreakBefore w:val="0"/>
              <w:widowControl/>
              <w:kinsoku w:val="0"/>
              <w:wordWrap w:val="0"/>
              <w:overflowPunct/>
              <w:topLinePunct w:val="0"/>
              <w:autoSpaceDE w:val="0"/>
              <w:autoSpaceDN w:val="0"/>
              <w:bidi w:val="0"/>
              <w:adjustRightInd w:val="0"/>
              <w:snapToGrid w:val="0"/>
              <w:spacing w:before="176" w:line="229"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建设单位</w:t>
            </w:r>
          </w:p>
        </w:tc>
        <w:tc>
          <w:tcPr>
            <w:tcW w:w="2047" w:type="dxa"/>
            <w:vAlign w:val="center"/>
          </w:tcPr>
          <w:p w14:paraId="28993321">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建设内容和规模</w:t>
            </w:r>
          </w:p>
        </w:tc>
        <w:tc>
          <w:tcPr>
            <w:tcW w:w="1783" w:type="dxa"/>
            <w:vAlign w:val="center"/>
          </w:tcPr>
          <w:p w14:paraId="6E795AC7">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开、竣工日期</w:t>
            </w:r>
          </w:p>
        </w:tc>
        <w:tc>
          <w:tcPr>
            <w:tcW w:w="1386" w:type="dxa"/>
            <w:vAlign w:val="center"/>
          </w:tcPr>
          <w:p w14:paraId="1DC17D88">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质量等级</w:t>
            </w:r>
          </w:p>
        </w:tc>
      </w:tr>
      <w:tr w14:paraId="05D25E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jc w:val="center"/>
        </w:trPr>
        <w:tc>
          <w:tcPr>
            <w:tcW w:w="810" w:type="dxa"/>
            <w:vAlign w:val="center"/>
          </w:tcPr>
          <w:p w14:paraId="257F03BC">
            <w:pPr>
              <w:keepNext w:val="0"/>
              <w:keepLines w:val="0"/>
              <w:pageBreakBefore w:val="0"/>
              <w:widowControl/>
              <w:kinsoku w:val="0"/>
              <w:wordWrap w:val="0"/>
              <w:overflowPunct/>
              <w:topLinePunct w:val="0"/>
              <w:autoSpaceDE w:val="0"/>
              <w:autoSpaceDN w:val="0"/>
              <w:bidi w:val="0"/>
              <w:adjustRightInd w:val="0"/>
              <w:snapToGrid w:val="0"/>
              <w:spacing w:before="214" w:line="195"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w:t>
            </w:r>
          </w:p>
        </w:tc>
        <w:tc>
          <w:tcPr>
            <w:tcW w:w="1610" w:type="dxa"/>
            <w:gridSpan w:val="2"/>
            <w:vAlign w:val="center"/>
          </w:tcPr>
          <w:p w14:paraId="349F1906">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2021" w:type="dxa"/>
            <w:gridSpan w:val="2"/>
            <w:vAlign w:val="center"/>
          </w:tcPr>
          <w:p w14:paraId="656BD2BB">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2047" w:type="dxa"/>
            <w:vAlign w:val="center"/>
          </w:tcPr>
          <w:p w14:paraId="31406948">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783" w:type="dxa"/>
            <w:vAlign w:val="center"/>
          </w:tcPr>
          <w:p w14:paraId="3D21EC5E">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386" w:type="dxa"/>
            <w:vAlign w:val="center"/>
          </w:tcPr>
          <w:p w14:paraId="48DF6AC6">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r w14:paraId="7ED678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jc w:val="center"/>
        </w:trPr>
        <w:tc>
          <w:tcPr>
            <w:tcW w:w="810" w:type="dxa"/>
            <w:vAlign w:val="center"/>
          </w:tcPr>
          <w:p w14:paraId="5E1C0939">
            <w:pPr>
              <w:keepNext w:val="0"/>
              <w:keepLines w:val="0"/>
              <w:pageBreakBefore w:val="0"/>
              <w:widowControl/>
              <w:kinsoku w:val="0"/>
              <w:wordWrap w:val="0"/>
              <w:overflowPunct/>
              <w:topLinePunct w:val="0"/>
              <w:autoSpaceDE w:val="0"/>
              <w:autoSpaceDN w:val="0"/>
              <w:bidi w:val="0"/>
              <w:adjustRightInd w:val="0"/>
              <w:snapToGrid w:val="0"/>
              <w:spacing w:before="213" w:line="195"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w:t>
            </w:r>
          </w:p>
        </w:tc>
        <w:tc>
          <w:tcPr>
            <w:tcW w:w="1610" w:type="dxa"/>
            <w:gridSpan w:val="2"/>
            <w:vAlign w:val="center"/>
          </w:tcPr>
          <w:p w14:paraId="1D0981BE">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2021" w:type="dxa"/>
            <w:gridSpan w:val="2"/>
            <w:vAlign w:val="center"/>
          </w:tcPr>
          <w:p w14:paraId="79F0F0E7">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2047" w:type="dxa"/>
            <w:vAlign w:val="center"/>
          </w:tcPr>
          <w:p w14:paraId="68EB32B5">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783" w:type="dxa"/>
            <w:vAlign w:val="center"/>
          </w:tcPr>
          <w:p w14:paraId="6D0A980D">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386" w:type="dxa"/>
            <w:vAlign w:val="center"/>
          </w:tcPr>
          <w:p w14:paraId="7A2310C0">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r w14:paraId="10F35C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jc w:val="center"/>
        </w:trPr>
        <w:tc>
          <w:tcPr>
            <w:tcW w:w="810" w:type="dxa"/>
            <w:vAlign w:val="center"/>
          </w:tcPr>
          <w:p w14:paraId="44AA20FE">
            <w:pPr>
              <w:keepNext w:val="0"/>
              <w:keepLines w:val="0"/>
              <w:pageBreakBefore w:val="0"/>
              <w:widowControl/>
              <w:kinsoku w:val="0"/>
              <w:wordWrap w:val="0"/>
              <w:overflowPunct/>
              <w:topLinePunct w:val="0"/>
              <w:autoSpaceDE w:val="0"/>
              <w:autoSpaceDN w:val="0"/>
              <w:bidi w:val="0"/>
              <w:adjustRightInd w:val="0"/>
              <w:snapToGrid w:val="0"/>
              <w:spacing w:before="178" w:line="324" w:lineRule="exact"/>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position w:val="3"/>
                <w:sz w:val="24"/>
                <w:szCs w:val="24"/>
                <w:highlight w:val="none"/>
              </w:rPr>
              <w:t>……</w:t>
            </w:r>
          </w:p>
        </w:tc>
        <w:tc>
          <w:tcPr>
            <w:tcW w:w="1610" w:type="dxa"/>
            <w:gridSpan w:val="2"/>
            <w:vAlign w:val="center"/>
          </w:tcPr>
          <w:p w14:paraId="7DC45A57">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2021" w:type="dxa"/>
            <w:gridSpan w:val="2"/>
            <w:vAlign w:val="center"/>
          </w:tcPr>
          <w:p w14:paraId="7A140330">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2047" w:type="dxa"/>
            <w:vAlign w:val="center"/>
          </w:tcPr>
          <w:p w14:paraId="362F1B11">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783" w:type="dxa"/>
            <w:vAlign w:val="center"/>
          </w:tcPr>
          <w:p w14:paraId="2F603991">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386" w:type="dxa"/>
            <w:vAlign w:val="center"/>
          </w:tcPr>
          <w:p w14:paraId="68EB3F1D">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r w14:paraId="41CC10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jc w:val="center"/>
        </w:trPr>
        <w:tc>
          <w:tcPr>
            <w:tcW w:w="810" w:type="dxa"/>
            <w:vAlign w:val="center"/>
          </w:tcPr>
          <w:p w14:paraId="163AEEEB">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610" w:type="dxa"/>
            <w:gridSpan w:val="2"/>
            <w:vAlign w:val="center"/>
          </w:tcPr>
          <w:p w14:paraId="54A32375">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2021" w:type="dxa"/>
            <w:gridSpan w:val="2"/>
            <w:vAlign w:val="center"/>
          </w:tcPr>
          <w:p w14:paraId="3948D4BC">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2047" w:type="dxa"/>
            <w:vAlign w:val="center"/>
          </w:tcPr>
          <w:p w14:paraId="31056108">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783" w:type="dxa"/>
            <w:vAlign w:val="center"/>
          </w:tcPr>
          <w:p w14:paraId="7DC223FF">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386" w:type="dxa"/>
            <w:vAlign w:val="center"/>
          </w:tcPr>
          <w:p w14:paraId="25D66F59">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r w14:paraId="582B3F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jc w:val="center"/>
        </w:trPr>
        <w:tc>
          <w:tcPr>
            <w:tcW w:w="810" w:type="dxa"/>
            <w:vAlign w:val="center"/>
          </w:tcPr>
          <w:p w14:paraId="56869B58">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610" w:type="dxa"/>
            <w:gridSpan w:val="2"/>
            <w:vAlign w:val="center"/>
          </w:tcPr>
          <w:p w14:paraId="79A10BEA">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2021" w:type="dxa"/>
            <w:gridSpan w:val="2"/>
            <w:vAlign w:val="center"/>
          </w:tcPr>
          <w:p w14:paraId="565B3A00">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2047" w:type="dxa"/>
            <w:vAlign w:val="center"/>
          </w:tcPr>
          <w:p w14:paraId="7446F128">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783" w:type="dxa"/>
            <w:vAlign w:val="center"/>
          </w:tcPr>
          <w:p w14:paraId="57E3E60A">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386" w:type="dxa"/>
            <w:vAlign w:val="center"/>
          </w:tcPr>
          <w:p w14:paraId="42D08749">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bl>
    <w:p w14:paraId="10C8611B">
      <w:pPr>
        <w:pStyle w:val="6"/>
        <w:keepNext w:val="0"/>
        <w:keepLines w:val="0"/>
        <w:pageBreakBefore w:val="0"/>
        <w:wordWrap w:val="0"/>
        <w:overflowPunct/>
        <w:topLinePunct w:val="0"/>
        <w:bidi w:val="0"/>
        <w:spacing w:line="314" w:lineRule="auto"/>
        <w:rPr>
          <w:rFonts w:hint="eastAsia" w:ascii="宋体" w:hAnsi="宋体" w:eastAsia="宋体" w:cs="宋体"/>
          <w:color w:val="auto"/>
          <w:spacing w:val="0"/>
          <w:sz w:val="24"/>
          <w:szCs w:val="24"/>
          <w:highlight w:val="none"/>
        </w:rPr>
      </w:pPr>
    </w:p>
    <w:p w14:paraId="6CA0C3BE">
      <w:pPr>
        <w:pStyle w:val="6"/>
        <w:keepNext w:val="0"/>
        <w:keepLines w:val="0"/>
        <w:pageBreakBefore w:val="0"/>
        <w:wordWrap w:val="0"/>
        <w:overflowPunct/>
        <w:topLinePunct w:val="0"/>
        <w:bidi w:val="0"/>
        <w:spacing w:line="315" w:lineRule="auto"/>
        <w:rPr>
          <w:rFonts w:hint="eastAsia" w:ascii="宋体" w:hAnsi="宋体" w:eastAsia="宋体" w:cs="宋体"/>
          <w:color w:val="auto"/>
          <w:spacing w:val="0"/>
          <w:sz w:val="24"/>
          <w:szCs w:val="24"/>
          <w:highlight w:val="none"/>
        </w:rPr>
      </w:pPr>
    </w:p>
    <w:p w14:paraId="26C8EDD6">
      <w:pPr>
        <w:keepNext w:val="0"/>
        <w:keepLines w:val="0"/>
        <w:pageBreakBefore w:val="0"/>
        <w:wordWrap w:val="0"/>
        <w:overflowPunct/>
        <w:topLinePunct w:val="0"/>
        <w:bidi w:val="0"/>
        <w:spacing w:before="78" w:line="220" w:lineRule="auto"/>
        <w:ind w:left="5165"/>
        <w:jc w:val="right"/>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项目技术负责人：</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rPr>
        <w:t>（签字）</w:t>
      </w:r>
    </w:p>
    <w:p w14:paraId="5CB91B72">
      <w:pPr>
        <w:pStyle w:val="6"/>
        <w:keepNext w:val="0"/>
        <w:keepLines w:val="0"/>
        <w:pageBreakBefore w:val="0"/>
        <w:wordWrap w:val="0"/>
        <w:overflowPunct/>
        <w:topLinePunct w:val="0"/>
        <w:bidi w:val="0"/>
        <w:spacing w:line="256" w:lineRule="auto"/>
        <w:jc w:val="right"/>
        <w:rPr>
          <w:rFonts w:hint="eastAsia" w:ascii="宋体" w:hAnsi="宋体" w:eastAsia="宋体" w:cs="宋体"/>
          <w:color w:val="auto"/>
          <w:spacing w:val="0"/>
          <w:sz w:val="24"/>
          <w:szCs w:val="24"/>
          <w:highlight w:val="none"/>
        </w:rPr>
      </w:pPr>
    </w:p>
    <w:p w14:paraId="05878782">
      <w:pPr>
        <w:pStyle w:val="6"/>
        <w:keepNext w:val="0"/>
        <w:keepLines w:val="0"/>
        <w:pageBreakBefore w:val="0"/>
        <w:wordWrap w:val="0"/>
        <w:overflowPunct/>
        <w:topLinePunct w:val="0"/>
        <w:bidi w:val="0"/>
        <w:spacing w:line="257" w:lineRule="auto"/>
        <w:jc w:val="right"/>
        <w:rPr>
          <w:rFonts w:hint="eastAsia" w:ascii="宋体" w:hAnsi="宋体" w:eastAsia="宋体" w:cs="宋体"/>
          <w:color w:val="auto"/>
          <w:spacing w:val="0"/>
          <w:sz w:val="24"/>
          <w:szCs w:val="24"/>
          <w:highlight w:val="none"/>
        </w:rPr>
      </w:pPr>
    </w:p>
    <w:p w14:paraId="74CB0BB3">
      <w:pPr>
        <w:pStyle w:val="6"/>
        <w:keepNext w:val="0"/>
        <w:keepLines w:val="0"/>
        <w:pageBreakBefore w:val="0"/>
        <w:wordWrap w:val="0"/>
        <w:overflowPunct/>
        <w:topLinePunct w:val="0"/>
        <w:bidi w:val="0"/>
        <w:spacing w:line="254" w:lineRule="auto"/>
        <w:jc w:val="right"/>
        <w:rPr>
          <w:rFonts w:hint="eastAsia" w:ascii="宋体" w:hAnsi="宋体" w:eastAsia="宋体" w:cs="宋体"/>
          <w:color w:val="auto"/>
          <w:spacing w:val="0"/>
          <w:highlight w:val="none"/>
        </w:rPr>
      </w:pP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年</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月</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日</w:t>
      </w:r>
    </w:p>
    <w:p w14:paraId="3C4E92B4">
      <w:pPr>
        <w:keepNext w:val="0"/>
        <w:keepLines w:val="0"/>
        <w:pageBreakBefore w:val="0"/>
        <w:widowControl/>
        <w:kinsoku w:val="0"/>
        <w:wordWrap w:val="0"/>
        <w:overflowPunct/>
        <w:topLinePunct w:val="0"/>
        <w:autoSpaceDE w:val="0"/>
        <w:autoSpaceDN w:val="0"/>
        <w:bidi w:val="0"/>
        <w:adjustRightInd/>
        <w:snapToGrid/>
        <w:spacing w:before="65" w:line="360" w:lineRule="auto"/>
        <w:ind w:left="0" w:right="0" w:firstLine="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说明：《项目技术负责人简历表》后应附拟派项目技术负责人以下资料：</w:t>
      </w:r>
    </w:p>
    <w:p w14:paraId="5709B0E0">
      <w:pPr>
        <w:keepNext w:val="0"/>
        <w:keepLines w:val="0"/>
        <w:pageBreakBefore w:val="0"/>
        <w:widowControl/>
        <w:kinsoku w:val="0"/>
        <w:wordWrap w:val="0"/>
        <w:overflowPunct/>
        <w:topLinePunct w:val="0"/>
        <w:autoSpaceDE w:val="0"/>
        <w:autoSpaceDN w:val="0"/>
        <w:bidi w:val="0"/>
        <w:adjustRightInd/>
        <w:snapToGrid/>
        <w:spacing w:before="155" w:line="360" w:lineRule="auto"/>
        <w:ind w:left="0" w:right="0" w:firstLine="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 ．身份证彩色扫描件；</w:t>
      </w:r>
    </w:p>
    <w:p w14:paraId="472AC9EE">
      <w:pPr>
        <w:keepNext w:val="0"/>
        <w:keepLines w:val="0"/>
        <w:pageBreakBefore w:val="0"/>
        <w:widowControl/>
        <w:kinsoku w:val="0"/>
        <w:wordWrap w:val="0"/>
        <w:overflowPunct/>
        <w:topLinePunct w:val="0"/>
        <w:autoSpaceDE w:val="0"/>
        <w:autoSpaceDN w:val="0"/>
        <w:bidi w:val="0"/>
        <w:adjustRightInd/>
        <w:snapToGrid/>
        <w:spacing w:before="151" w:line="360" w:lineRule="auto"/>
        <w:ind w:left="0" w:right="0" w:firstLine="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 ．职称证彩色扫描件；</w:t>
      </w:r>
    </w:p>
    <w:p w14:paraId="3B26F81D">
      <w:pPr>
        <w:keepNext w:val="0"/>
        <w:keepLines w:val="0"/>
        <w:pageBreakBefore w:val="0"/>
        <w:widowControl/>
        <w:kinsoku w:val="0"/>
        <w:wordWrap w:val="0"/>
        <w:overflowPunct/>
        <w:topLinePunct w:val="0"/>
        <w:autoSpaceDE w:val="0"/>
        <w:autoSpaceDN w:val="0"/>
        <w:bidi w:val="0"/>
        <w:adjustRightInd/>
        <w:snapToGrid/>
        <w:spacing w:before="153" w:line="360" w:lineRule="auto"/>
        <w:ind w:left="0" w:right="0" w:firstLine="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 ．在本单位缴纳社保的证明（</w:t>
      </w:r>
      <w:r>
        <w:rPr>
          <w:rFonts w:hint="eastAsia" w:ascii="宋体" w:hAnsi="宋体" w:eastAsia="宋体" w:cs="宋体"/>
          <w:color w:val="auto"/>
          <w:spacing w:val="0"/>
          <w:sz w:val="24"/>
          <w:szCs w:val="24"/>
          <w:highlight w:val="none"/>
          <w:lang w:eastAsia="zh-CN"/>
        </w:rPr>
        <w:t>至少</w:t>
      </w:r>
      <w:r>
        <w:rPr>
          <w:rFonts w:hint="eastAsia" w:ascii="宋体" w:hAnsi="宋体" w:eastAsia="宋体" w:cs="宋体"/>
          <w:color w:val="auto"/>
          <w:spacing w:val="0"/>
          <w:sz w:val="24"/>
          <w:szCs w:val="24"/>
          <w:highlight w:val="none"/>
          <w:lang w:val="en-US" w:eastAsia="zh-CN"/>
        </w:rPr>
        <w:t>2</w:t>
      </w:r>
      <w:r>
        <w:rPr>
          <w:rFonts w:hint="eastAsia" w:ascii="宋体" w:hAnsi="宋体" w:eastAsia="宋体" w:cs="宋体"/>
          <w:color w:val="auto"/>
          <w:spacing w:val="0"/>
          <w:sz w:val="24"/>
          <w:szCs w:val="24"/>
          <w:highlight w:val="none"/>
          <w:lang w:eastAsia="zh-CN"/>
        </w:rPr>
        <w:t>个月</w:t>
      </w:r>
      <w:r>
        <w:rPr>
          <w:rFonts w:hint="eastAsia" w:ascii="宋体" w:hAnsi="宋体" w:eastAsia="宋体" w:cs="宋体"/>
          <w:color w:val="auto"/>
          <w:spacing w:val="0"/>
          <w:sz w:val="24"/>
          <w:szCs w:val="24"/>
          <w:highlight w:val="none"/>
        </w:rPr>
        <w:t>，</w:t>
      </w:r>
      <w:r>
        <w:rPr>
          <w:rFonts w:hint="eastAsia" w:ascii="宋体" w:hAnsi="宋体" w:eastAsia="宋体" w:cs="宋体"/>
          <w:color w:val="auto"/>
          <w:spacing w:val="0"/>
          <w:sz w:val="24"/>
          <w:szCs w:val="24"/>
          <w:highlight w:val="none"/>
          <w:lang w:eastAsia="zh-CN"/>
        </w:rPr>
        <w:t>其中必须有 2026年</w:t>
      </w:r>
      <w:r>
        <w:rPr>
          <w:rFonts w:hint="eastAsia" w:ascii="宋体" w:hAnsi="宋体" w:eastAsia="宋体" w:cs="宋体"/>
          <w:color w:val="auto"/>
          <w:spacing w:val="0"/>
          <w:sz w:val="24"/>
          <w:szCs w:val="24"/>
          <w:highlight w:val="none"/>
          <w:lang w:val="en-US" w:eastAsia="zh-CN"/>
        </w:rPr>
        <w:t>9</w:t>
      </w:r>
      <w:r>
        <w:rPr>
          <w:rFonts w:hint="eastAsia" w:ascii="宋体" w:hAnsi="宋体" w:eastAsia="宋体" w:cs="宋体"/>
          <w:color w:val="auto"/>
          <w:spacing w:val="0"/>
          <w:sz w:val="24"/>
          <w:szCs w:val="24"/>
          <w:highlight w:val="none"/>
          <w:lang w:eastAsia="zh-CN"/>
        </w:rPr>
        <w:t>月</w:t>
      </w:r>
      <w:r>
        <w:rPr>
          <w:rFonts w:hint="eastAsia" w:ascii="宋体" w:hAnsi="宋体" w:eastAsia="宋体" w:cs="宋体"/>
          <w:color w:val="auto"/>
          <w:spacing w:val="0"/>
          <w:sz w:val="24"/>
          <w:szCs w:val="24"/>
          <w:highlight w:val="none"/>
        </w:rPr>
        <w:t>）扫描件</w:t>
      </w:r>
      <w:r>
        <w:rPr>
          <w:rFonts w:hint="eastAsia" w:ascii="宋体" w:hAnsi="宋体" w:eastAsia="宋体" w:cs="宋体"/>
          <w:color w:val="auto"/>
          <w:spacing w:val="0"/>
          <w:sz w:val="24"/>
          <w:szCs w:val="24"/>
          <w:highlight w:val="none"/>
          <w:lang w:val="en-US" w:eastAsia="zh-CN"/>
        </w:rPr>
        <w:t>或打印件</w:t>
      </w:r>
      <w:r>
        <w:rPr>
          <w:rFonts w:hint="eastAsia" w:ascii="宋体" w:hAnsi="宋体" w:eastAsia="宋体" w:cs="宋体"/>
          <w:color w:val="auto"/>
          <w:spacing w:val="0"/>
          <w:sz w:val="24"/>
          <w:szCs w:val="24"/>
          <w:highlight w:val="none"/>
        </w:rPr>
        <w:t>。 拟派项目技术负责人为退休返聘人员无法提供社保证明的，提供退休证和劳动合同彩色扫描件。</w:t>
      </w:r>
    </w:p>
    <w:p w14:paraId="0E586B8B">
      <w:pPr>
        <w:keepNext w:val="0"/>
        <w:keepLines w:val="0"/>
        <w:pageBreakBefore w:val="0"/>
        <w:widowControl/>
        <w:kinsoku w:val="0"/>
        <w:wordWrap w:val="0"/>
        <w:overflowPunct/>
        <w:topLinePunct w:val="0"/>
        <w:autoSpaceDE w:val="0"/>
        <w:autoSpaceDN w:val="0"/>
        <w:bidi w:val="0"/>
        <w:adjustRightInd/>
        <w:snapToGrid/>
        <w:spacing w:before="153" w:line="360" w:lineRule="auto"/>
        <w:ind w:left="0" w:right="0" w:firstLine="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 ．“进粤企业和人员诚信信息登记平台 ”个人信息情况截图。（适用于省外建筑企业）</w:t>
      </w:r>
    </w:p>
    <w:p w14:paraId="6646FB4B">
      <w:pPr>
        <w:keepNext w:val="0"/>
        <w:keepLines w:val="0"/>
        <w:pageBreakBefore w:val="0"/>
        <w:wordWrap w:val="0"/>
        <w:overflowPunct/>
        <w:topLinePunct w:val="0"/>
        <w:bidi w:val="0"/>
        <w:spacing w:line="228" w:lineRule="auto"/>
        <w:rPr>
          <w:rFonts w:hint="eastAsia" w:ascii="宋体" w:hAnsi="宋体" w:eastAsia="宋体" w:cs="宋体"/>
          <w:color w:val="auto"/>
          <w:spacing w:val="0"/>
          <w:sz w:val="20"/>
          <w:szCs w:val="20"/>
          <w:highlight w:val="none"/>
        </w:rPr>
        <w:sectPr>
          <w:footerReference r:id="rId22"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0037AA81">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auto"/>
          <w:spacing w:val="0"/>
          <w:sz w:val="24"/>
          <w:szCs w:val="24"/>
          <w:highlight w:val="none"/>
        </w:rPr>
      </w:pPr>
      <w:bookmarkStart w:id="245" w:name="_Toc27504"/>
      <w:r>
        <w:rPr>
          <w:rFonts w:hint="eastAsia" w:ascii="宋体" w:hAnsi="宋体" w:eastAsia="宋体" w:cs="宋体"/>
          <w:b/>
          <w:bCs/>
          <w:color w:val="auto"/>
          <w:spacing w:val="0"/>
          <w:sz w:val="24"/>
          <w:szCs w:val="24"/>
          <w:highlight w:val="none"/>
        </w:rPr>
        <w:t>格式十一 项目管理机构组成表</w:t>
      </w:r>
      <w:bookmarkEnd w:id="245"/>
    </w:p>
    <w:p w14:paraId="08526269">
      <w:pPr>
        <w:pStyle w:val="6"/>
        <w:keepNext w:val="0"/>
        <w:keepLines w:val="0"/>
        <w:pageBreakBefore w:val="0"/>
        <w:wordWrap w:val="0"/>
        <w:overflowPunct/>
        <w:topLinePunct w:val="0"/>
        <w:bidi w:val="0"/>
        <w:spacing w:line="351" w:lineRule="auto"/>
        <w:rPr>
          <w:rFonts w:hint="eastAsia" w:ascii="宋体" w:hAnsi="宋体" w:eastAsia="宋体" w:cs="宋体"/>
          <w:color w:val="auto"/>
          <w:spacing w:val="0"/>
          <w:highlight w:val="none"/>
        </w:rPr>
      </w:pPr>
    </w:p>
    <w:p w14:paraId="798F4C90">
      <w:pPr>
        <w:pStyle w:val="6"/>
        <w:keepNext w:val="0"/>
        <w:keepLines w:val="0"/>
        <w:pageBreakBefore w:val="0"/>
        <w:wordWrap w:val="0"/>
        <w:overflowPunct/>
        <w:topLinePunct w:val="0"/>
        <w:bidi w:val="0"/>
        <w:spacing w:line="351" w:lineRule="auto"/>
        <w:rPr>
          <w:rFonts w:hint="eastAsia" w:ascii="宋体" w:hAnsi="宋体" w:eastAsia="宋体" w:cs="宋体"/>
          <w:color w:val="auto"/>
          <w:spacing w:val="0"/>
          <w:highlight w:val="none"/>
        </w:rPr>
      </w:pPr>
    </w:p>
    <w:p w14:paraId="3C82E5D1">
      <w:pPr>
        <w:keepNext w:val="0"/>
        <w:keepLines w:val="0"/>
        <w:pageBreakBefore w:val="0"/>
        <w:wordWrap w:val="0"/>
        <w:overflowPunct/>
        <w:topLinePunct w:val="0"/>
        <w:bidi w:val="0"/>
        <w:spacing w:before="97" w:line="219" w:lineRule="auto"/>
        <w:ind w:left="3200"/>
        <w:outlineLvl w:val="9"/>
        <w:rPr>
          <w:rFonts w:hint="eastAsia" w:ascii="宋体" w:hAnsi="宋体" w:eastAsia="宋体" w:cs="宋体"/>
          <w:color w:val="auto"/>
          <w:spacing w:val="0"/>
          <w:sz w:val="30"/>
          <w:szCs w:val="30"/>
          <w:highlight w:val="none"/>
        </w:rPr>
      </w:pPr>
      <w:bookmarkStart w:id="246" w:name="bookmark158"/>
      <w:bookmarkEnd w:id="246"/>
      <w:bookmarkStart w:id="247" w:name="_Toc19973"/>
      <w:bookmarkStart w:id="248" w:name="_Toc28765"/>
      <w:r>
        <w:rPr>
          <w:rFonts w:hint="eastAsia" w:ascii="宋体" w:hAnsi="宋体" w:eastAsia="宋体" w:cs="宋体"/>
          <w:b/>
          <w:bCs/>
          <w:color w:val="auto"/>
          <w:spacing w:val="0"/>
          <w:sz w:val="30"/>
          <w:szCs w:val="30"/>
          <w:highlight w:val="none"/>
        </w:rPr>
        <w:t>项目管理机构组成表</w:t>
      </w:r>
      <w:bookmarkEnd w:id="247"/>
      <w:bookmarkEnd w:id="248"/>
    </w:p>
    <w:p w14:paraId="7FAD46E5">
      <w:pPr>
        <w:keepNext w:val="0"/>
        <w:keepLines w:val="0"/>
        <w:pageBreakBefore w:val="0"/>
        <w:wordWrap w:val="0"/>
        <w:overflowPunct/>
        <w:topLinePunct w:val="0"/>
        <w:bidi w:val="0"/>
        <w:spacing w:before="7"/>
        <w:rPr>
          <w:rFonts w:hint="eastAsia" w:ascii="宋体" w:hAnsi="宋体" w:eastAsia="宋体" w:cs="宋体"/>
          <w:color w:val="auto"/>
          <w:spacing w:val="0"/>
          <w:highlight w:val="none"/>
        </w:rPr>
      </w:pPr>
    </w:p>
    <w:tbl>
      <w:tblPr>
        <w:tblStyle w:val="17"/>
        <w:tblW w:w="963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4"/>
        <w:gridCol w:w="1939"/>
        <w:gridCol w:w="1567"/>
        <w:gridCol w:w="1017"/>
        <w:gridCol w:w="1002"/>
        <w:gridCol w:w="1551"/>
        <w:gridCol w:w="1926"/>
      </w:tblGrid>
      <w:tr w14:paraId="3638A1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7" w:hRule="atLeast"/>
          <w:jc w:val="center"/>
        </w:trPr>
        <w:tc>
          <w:tcPr>
            <w:tcW w:w="634" w:type="dxa"/>
            <w:vAlign w:val="center"/>
          </w:tcPr>
          <w:p w14:paraId="0263869D">
            <w:pPr>
              <w:keepNext w:val="0"/>
              <w:keepLines w:val="0"/>
              <w:pageBreakBefore w:val="0"/>
              <w:widowControl/>
              <w:kinsoku w:val="0"/>
              <w:wordWrap w:val="0"/>
              <w:overflowPunct/>
              <w:topLinePunct w:val="0"/>
              <w:autoSpaceDE w:val="0"/>
              <w:autoSpaceDN w:val="0"/>
              <w:bidi w:val="0"/>
              <w:adjustRightInd w:val="0"/>
              <w:snapToGrid w:val="0"/>
              <w:spacing w:before="229" w:line="231" w:lineRule="auto"/>
              <w:ind w:left="0"/>
              <w:jc w:val="center"/>
              <w:textAlignment w:val="baseline"/>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rPr>
              <w:t>序号</w:t>
            </w:r>
          </w:p>
        </w:tc>
        <w:tc>
          <w:tcPr>
            <w:tcW w:w="1939" w:type="dxa"/>
            <w:vAlign w:val="center"/>
          </w:tcPr>
          <w:p w14:paraId="7FFD8306">
            <w:pPr>
              <w:keepNext w:val="0"/>
              <w:keepLines w:val="0"/>
              <w:pageBreakBefore w:val="0"/>
              <w:widowControl/>
              <w:kinsoku w:val="0"/>
              <w:wordWrap w:val="0"/>
              <w:overflowPunct/>
              <w:topLinePunct w:val="0"/>
              <w:autoSpaceDE w:val="0"/>
              <w:autoSpaceDN w:val="0"/>
              <w:bidi w:val="0"/>
              <w:adjustRightInd w:val="0"/>
              <w:snapToGrid w:val="0"/>
              <w:spacing w:before="228" w:line="231" w:lineRule="auto"/>
              <w:ind w:left="0"/>
              <w:jc w:val="center"/>
              <w:textAlignment w:val="baseline"/>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rPr>
              <w:t>岗位</w:t>
            </w:r>
          </w:p>
        </w:tc>
        <w:tc>
          <w:tcPr>
            <w:tcW w:w="1567" w:type="dxa"/>
            <w:vAlign w:val="center"/>
          </w:tcPr>
          <w:p w14:paraId="28E4BC8E">
            <w:pPr>
              <w:keepNext w:val="0"/>
              <w:keepLines w:val="0"/>
              <w:pageBreakBefore w:val="0"/>
              <w:widowControl/>
              <w:kinsoku w:val="0"/>
              <w:wordWrap w:val="0"/>
              <w:overflowPunct/>
              <w:topLinePunct w:val="0"/>
              <w:autoSpaceDE w:val="0"/>
              <w:autoSpaceDN w:val="0"/>
              <w:bidi w:val="0"/>
              <w:adjustRightInd w:val="0"/>
              <w:snapToGrid w:val="0"/>
              <w:spacing w:before="228" w:line="231" w:lineRule="auto"/>
              <w:ind w:left="0"/>
              <w:jc w:val="center"/>
              <w:textAlignment w:val="baseline"/>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rPr>
              <w:t>姓名</w:t>
            </w:r>
          </w:p>
        </w:tc>
        <w:tc>
          <w:tcPr>
            <w:tcW w:w="1017" w:type="dxa"/>
            <w:vAlign w:val="center"/>
          </w:tcPr>
          <w:p w14:paraId="1E39FA5D">
            <w:pPr>
              <w:keepNext w:val="0"/>
              <w:keepLines w:val="0"/>
              <w:pageBreakBefore w:val="0"/>
              <w:widowControl/>
              <w:kinsoku w:val="0"/>
              <w:wordWrap w:val="0"/>
              <w:overflowPunct/>
              <w:topLinePunct w:val="0"/>
              <w:autoSpaceDE w:val="0"/>
              <w:autoSpaceDN w:val="0"/>
              <w:bidi w:val="0"/>
              <w:adjustRightInd w:val="0"/>
              <w:snapToGrid w:val="0"/>
              <w:spacing w:before="228" w:line="230" w:lineRule="auto"/>
              <w:ind w:left="0"/>
              <w:jc w:val="center"/>
              <w:textAlignment w:val="baseline"/>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rPr>
              <w:t>性别</w:t>
            </w:r>
          </w:p>
        </w:tc>
        <w:tc>
          <w:tcPr>
            <w:tcW w:w="1002" w:type="dxa"/>
            <w:vAlign w:val="center"/>
          </w:tcPr>
          <w:p w14:paraId="2785FE94">
            <w:pPr>
              <w:keepNext w:val="0"/>
              <w:keepLines w:val="0"/>
              <w:pageBreakBefore w:val="0"/>
              <w:widowControl/>
              <w:kinsoku w:val="0"/>
              <w:wordWrap w:val="0"/>
              <w:overflowPunct/>
              <w:topLinePunct w:val="0"/>
              <w:autoSpaceDE w:val="0"/>
              <w:autoSpaceDN w:val="0"/>
              <w:bidi w:val="0"/>
              <w:adjustRightInd w:val="0"/>
              <w:snapToGrid w:val="0"/>
              <w:spacing w:before="229" w:line="231" w:lineRule="auto"/>
              <w:ind w:left="0"/>
              <w:jc w:val="center"/>
              <w:textAlignment w:val="baseline"/>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rPr>
              <w:t>年龄</w:t>
            </w:r>
          </w:p>
        </w:tc>
        <w:tc>
          <w:tcPr>
            <w:tcW w:w="1551" w:type="dxa"/>
            <w:vAlign w:val="center"/>
          </w:tcPr>
          <w:p w14:paraId="77FF9A98">
            <w:pPr>
              <w:keepNext w:val="0"/>
              <w:keepLines w:val="0"/>
              <w:pageBreakBefore w:val="0"/>
              <w:widowControl/>
              <w:kinsoku w:val="0"/>
              <w:wordWrap w:val="0"/>
              <w:overflowPunct/>
              <w:topLinePunct w:val="0"/>
              <w:autoSpaceDE w:val="0"/>
              <w:autoSpaceDN w:val="0"/>
              <w:bidi w:val="0"/>
              <w:adjustRightInd w:val="0"/>
              <w:snapToGrid w:val="0"/>
              <w:spacing w:before="228" w:line="230" w:lineRule="auto"/>
              <w:ind w:left="0"/>
              <w:jc w:val="center"/>
              <w:textAlignment w:val="baseline"/>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rPr>
              <w:t>职称</w:t>
            </w:r>
          </w:p>
        </w:tc>
        <w:tc>
          <w:tcPr>
            <w:tcW w:w="1926" w:type="dxa"/>
            <w:vAlign w:val="center"/>
          </w:tcPr>
          <w:p w14:paraId="66FB549B">
            <w:pPr>
              <w:keepNext w:val="0"/>
              <w:keepLines w:val="0"/>
              <w:pageBreakBefore w:val="0"/>
              <w:widowControl/>
              <w:kinsoku w:val="0"/>
              <w:wordWrap w:val="0"/>
              <w:overflowPunct/>
              <w:topLinePunct w:val="0"/>
              <w:autoSpaceDE w:val="0"/>
              <w:autoSpaceDN w:val="0"/>
              <w:bidi w:val="0"/>
              <w:adjustRightInd w:val="0"/>
              <w:snapToGrid w:val="0"/>
              <w:spacing w:before="228" w:line="230" w:lineRule="auto"/>
              <w:ind w:left="0"/>
              <w:jc w:val="center"/>
              <w:textAlignment w:val="baseline"/>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rPr>
              <w:t>备注</w:t>
            </w:r>
          </w:p>
        </w:tc>
      </w:tr>
      <w:tr w14:paraId="11D00E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jc w:val="center"/>
        </w:trPr>
        <w:tc>
          <w:tcPr>
            <w:tcW w:w="634" w:type="dxa"/>
            <w:vAlign w:val="center"/>
          </w:tcPr>
          <w:p w14:paraId="3FE9C8D6">
            <w:pPr>
              <w:keepNext w:val="0"/>
              <w:keepLines w:val="0"/>
              <w:pageBreakBefore w:val="0"/>
              <w:widowControl/>
              <w:kinsoku w:val="0"/>
              <w:wordWrap w:val="0"/>
              <w:overflowPunct/>
              <w:topLinePunct w:val="0"/>
              <w:autoSpaceDE w:val="0"/>
              <w:autoSpaceDN w:val="0"/>
              <w:bidi w:val="0"/>
              <w:adjustRightInd w:val="0"/>
              <w:snapToGrid w:val="0"/>
              <w:spacing w:before="185" w:line="195"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w:t>
            </w:r>
          </w:p>
        </w:tc>
        <w:tc>
          <w:tcPr>
            <w:tcW w:w="1939" w:type="dxa"/>
            <w:vAlign w:val="center"/>
          </w:tcPr>
          <w:p w14:paraId="6883A2B0">
            <w:pPr>
              <w:keepNext w:val="0"/>
              <w:keepLines w:val="0"/>
              <w:pageBreakBefore w:val="0"/>
              <w:widowControl/>
              <w:kinsoku w:val="0"/>
              <w:wordWrap w:val="0"/>
              <w:overflowPunct/>
              <w:topLinePunct w:val="0"/>
              <w:autoSpaceDE w:val="0"/>
              <w:autoSpaceDN w:val="0"/>
              <w:bidi w:val="0"/>
              <w:adjustRightInd w:val="0"/>
              <w:snapToGrid w:val="0"/>
              <w:spacing w:before="150" w:line="229"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项目经理</w:t>
            </w:r>
          </w:p>
        </w:tc>
        <w:tc>
          <w:tcPr>
            <w:tcW w:w="1567" w:type="dxa"/>
            <w:vAlign w:val="center"/>
          </w:tcPr>
          <w:p w14:paraId="401967DC">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017" w:type="dxa"/>
            <w:vAlign w:val="center"/>
          </w:tcPr>
          <w:p w14:paraId="40871FA9">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002" w:type="dxa"/>
            <w:vAlign w:val="center"/>
          </w:tcPr>
          <w:p w14:paraId="467AF594">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551" w:type="dxa"/>
            <w:vAlign w:val="center"/>
          </w:tcPr>
          <w:p w14:paraId="0B6C63F5">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926" w:type="dxa"/>
            <w:vAlign w:val="center"/>
          </w:tcPr>
          <w:p w14:paraId="355E19F8">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r w14:paraId="061639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3" w:hRule="atLeast"/>
          <w:jc w:val="center"/>
        </w:trPr>
        <w:tc>
          <w:tcPr>
            <w:tcW w:w="634" w:type="dxa"/>
            <w:vAlign w:val="center"/>
          </w:tcPr>
          <w:p w14:paraId="68620F79">
            <w:pPr>
              <w:keepNext w:val="0"/>
              <w:keepLines w:val="0"/>
              <w:pageBreakBefore w:val="0"/>
              <w:widowControl/>
              <w:kinsoku w:val="0"/>
              <w:wordWrap w:val="0"/>
              <w:overflowPunct/>
              <w:topLinePunct w:val="0"/>
              <w:autoSpaceDE w:val="0"/>
              <w:autoSpaceDN w:val="0"/>
              <w:bidi w:val="0"/>
              <w:adjustRightInd w:val="0"/>
              <w:snapToGrid w:val="0"/>
              <w:spacing w:before="187" w:line="195"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w:t>
            </w:r>
          </w:p>
        </w:tc>
        <w:tc>
          <w:tcPr>
            <w:tcW w:w="1939" w:type="dxa"/>
            <w:vAlign w:val="center"/>
          </w:tcPr>
          <w:p w14:paraId="05029BA3">
            <w:pPr>
              <w:keepNext w:val="0"/>
              <w:keepLines w:val="0"/>
              <w:pageBreakBefore w:val="0"/>
              <w:widowControl/>
              <w:kinsoku w:val="0"/>
              <w:wordWrap w:val="0"/>
              <w:overflowPunct/>
              <w:topLinePunct w:val="0"/>
              <w:autoSpaceDE w:val="0"/>
              <w:autoSpaceDN w:val="0"/>
              <w:bidi w:val="0"/>
              <w:adjustRightInd w:val="0"/>
              <w:snapToGrid w:val="0"/>
              <w:spacing w:before="152" w:line="228"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项目技术负责人</w:t>
            </w:r>
          </w:p>
        </w:tc>
        <w:tc>
          <w:tcPr>
            <w:tcW w:w="1567" w:type="dxa"/>
            <w:vAlign w:val="center"/>
          </w:tcPr>
          <w:p w14:paraId="4191B557">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017" w:type="dxa"/>
            <w:vAlign w:val="center"/>
          </w:tcPr>
          <w:p w14:paraId="062F1AA4">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002" w:type="dxa"/>
            <w:vAlign w:val="center"/>
          </w:tcPr>
          <w:p w14:paraId="602E94E0">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551" w:type="dxa"/>
            <w:vAlign w:val="center"/>
          </w:tcPr>
          <w:p w14:paraId="6B4779C2">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926" w:type="dxa"/>
            <w:vAlign w:val="center"/>
          </w:tcPr>
          <w:p w14:paraId="324CD02A">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r w14:paraId="4295EA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jc w:val="center"/>
        </w:trPr>
        <w:tc>
          <w:tcPr>
            <w:tcW w:w="634" w:type="dxa"/>
            <w:vAlign w:val="center"/>
          </w:tcPr>
          <w:p w14:paraId="000BFF33">
            <w:pPr>
              <w:keepNext w:val="0"/>
              <w:keepLines w:val="0"/>
              <w:pageBreakBefore w:val="0"/>
              <w:widowControl/>
              <w:kinsoku w:val="0"/>
              <w:wordWrap w:val="0"/>
              <w:overflowPunct/>
              <w:topLinePunct w:val="0"/>
              <w:autoSpaceDE w:val="0"/>
              <w:autoSpaceDN w:val="0"/>
              <w:bidi w:val="0"/>
              <w:adjustRightInd w:val="0"/>
              <w:snapToGrid w:val="0"/>
              <w:spacing w:before="189" w:line="195" w:lineRule="auto"/>
              <w:ind w:left="0"/>
              <w:jc w:val="center"/>
              <w:textAlignment w:val="baseline"/>
              <w:rPr>
                <w:rFonts w:hint="eastAsia" w:ascii="宋体" w:hAnsi="宋体" w:eastAsia="宋体" w:cs="宋体"/>
                <w:color w:val="auto"/>
                <w:spacing w:val="0"/>
                <w:sz w:val="24"/>
                <w:szCs w:val="24"/>
                <w:highlight w:val="none"/>
                <w:lang w:val="en-US" w:eastAsia="zh-CN"/>
              </w:rPr>
            </w:pPr>
            <w:r>
              <w:rPr>
                <w:rFonts w:hint="eastAsia" w:ascii="宋体" w:hAnsi="宋体" w:eastAsia="宋体" w:cs="宋体"/>
                <w:color w:val="auto"/>
                <w:spacing w:val="0"/>
                <w:sz w:val="24"/>
                <w:szCs w:val="24"/>
                <w:highlight w:val="none"/>
                <w:lang w:val="en-US" w:eastAsia="zh-CN"/>
              </w:rPr>
              <w:t>3</w:t>
            </w:r>
          </w:p>
        </w:tc>
        <w:tc>
          <w:tcPr>
            <w:tcW w:w="1939" w:type="dxa"/>
            <w:vAlign w:val="center"/>
          </w:tcPr>
          <w:p w14:paraId="1F16E17D">
            <w:pPr>
              <w:keepNext w:val="0"/>
              <w:keepLines w:val="0"/>
              <w:pageBreakBefore w:val="0"/>
              <w:widowControl/>
              <w:kinsoku w:val="0"/>
              <w:wordWrap w:val="0"/>
              <w:overflowPunct/>
              <w:topLinePunct w:val="0"/>
              <w:autoSpaceDE w:val="0"/>
              <w:autoSpaceDN w:val="0"/>
              <w:bidi w:val="0"/>
              <w:adjustRightInd w:val="0"/>
              <w:snapToGrid w:val="0"/>
              <w:spacing w:before="153" w:line="229"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专职安全员</w:t>
            </w:r>
          </w:p>
        </w:tc>
        <w:tc>
          <w:tcPr>
            <w:tcW w:w="1567" w:type="dxa"/>
            <w:vAlign w:val="center"/>
          </w:tcPr>
          <w:p w14:paraId="1D6C11D2">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017" w:type="dxa"/>
            <w:vAlign w:val="center"/>
          </w:tcPr>
          <w:p w14:paraId="6EB3CEA1">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002" w:type="dxa"/>
            <w:vAlign w:val="center"/>
          </w:tcPr>
          <w:p w14:paraId="7586767E">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551" w:type="dxa"/>
            <w:vAlign w:val="center"/>
          </w:tcPr>
          <w:p w14:paraId="6C8F7DA8">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926" w:type="dxa"/>
            <w:vAlign w:val="center"/>
          </w:tcPr>
          <w:p w14:paraId="69D4107D">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r w14:paraId="4517C4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jc w:val="center"/>
        </w:trPr>
        <w:tc>
          <w:tcPr>
            <w:tcW w:w="634" w:type="dxa"/>
            <w:vAlign w:val="center"/>
          </w:tcPr>
          <w:p w14:paraId="798A74E6">
            <w:pPr>
              <w:keepNext w:val="0"/>
              <w:keepLines w:val="0"/>
              <w:pageBreakBefore w:val="0"/>
              <w:widowControl/>
              <w:kinsoku w:val="0"/>
              <w:wordWrap w:val="0"/>
              <w:overflowPunct/>
              <w:topLinePunct w:val="0"/>
              <w:autoSpaceDE w:val="0"/>
              <w:autoSpaceDN w:val="0"/>
              <w:bidi w:val="0"/>
              <w:adjustRightInd w:val="0"/>
              <w:snapToGrid w:val="0"/>
              <w:spacing w:before="188" w:line="195"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w:t>
            </w:r>
          </w:p>
        </w:tc>
        <w:tc>
          <w:tcPr>
            <w:tcW w:w="1939" w:type="dxa"/>
            <w:vAlign w:val="center"/>
          </w:tcPr>
          <w:p w14:paraId="58074A79">
            <w:pPr>
              <w:keepNext w:val="0"/>
              <w:keepLines w:val="0"/>
              <w:pageBreakBefore w:val="0"/>
              <w:widowControl/>
              <w:kinsoku w:val="0"/>
              <w:wordWrap w:val="0"/>
              <w:overflowPunct/>
              <w:topLinePunct w:val="0"/>
              <w:autoSpaceDE w:val="0"/>
              <w:autoSpaceDN w:val="0"/>
              <w:bidi w:val="0"/>
              <w:adjustRightInd w:val="0"/>
              <w:snapToGrid w:val="0"/>
              <w:spacing w:before="152" w:line="230"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施工员</w:t>
            </w:r>
          </w:p>
        </w:tc>
        <w:tc>
          <w:tcPr>
            <w:tcW w:w="1567" w:type="dxa"/>
            <w:vAlign w:val="center"/>
          </w:tcPr>
          <w:p w14:paraId="43526926">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017" w:type="dxa"/>
            <w:vAlign w:val="center"/>
          </w:tcPr>
          <w:p w14:paraId="2160B657">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002" w:type="dxa"/>
            <w:vAlign w:val="center"/>
          </w:tcPr>
          <w:p w14:paraId="69EBDE1E">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551" w:type="dxa"/>
            <w:vAlign w:val="center"/>
          </w:tcPr>
          <w:p w14:paraId="0737C7A9">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926" w:type="dxa"/>
            <w:vAlign w:val="center"/>
          </w:tcPr>
          <w:p w14:paraId="559957FA">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r w14:paraId="4F12F2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jc w:val="center"/>
        </w:trPr>
        <w:tc>
          <w:tcPr>
            <w:tcW w:w="634" w:type="dxa"/>
            <w:vAlign w:val="center"/>
          </w:tcPr>
          <w:p w14:paraId="2994AE2F">
            <w:pPr>
              <w:keepNext w:val="0"/>
              <w:keepLines w:val="0"/>
              <w:pageBreakBefore w:val="0"/>
              <w:widowControl/>
              <w:kinsoku w:val="0"/>
              <w:wordWrap w:val="0"/>
              <w:overflowPunct/>
              <w:topLinePunct w:val="0"/>
              <w:autoSpaceDE w:val="0"/>
              <w:autoSpaceDN w:val="0"/>
              <w:bidi w:val="0"/>
              <w:adjustRightInd w:val="0"/>
              <w:snapToGrid w:val="0"/>
              <w:spacing w:before="193" w:line="192"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w:t>
            </w:r>
          </w:p>
        </w:tc>
        <w:tc>
          <w:tcPr>
            <w:tcW w:w="1939" w:type="dxa"/>
            <w:vAlign w:val="center"/>
          </w:tcPr>
          <w:p w14:paraId="50C84A66">
            <w:pPr>
              <w:keepNext w:val="0"/>
              <w:keepLines w:val="0"/>
              <w:pageBreakBefore w:val="0"/>
              <w:widowControl/>
              <w:kinsoku w:val="0"/>
              <w:wordWrap w:val="0"/>
              <w:overflowPunct/>
              <w:topLinePunct w:val="0"/>
              <w:autoSpaceDE w:val="0"/>
              <w:autoSpaceDN w:val="0"/>
              <w:bidi w:val="0"/>
              <w:adjustRightInd w:val="0"/>
              <w:snapToGrid w:val="0"/>
              <w:spacing w:before="154" w:line="229"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质量员</w:t>
            </w:r>
          </w:p>
        </w:tc>
        <w:tc>
          <w:tcPr>
            <w:tcW w:w="1567" w:type="dxa"/>
            <w:vAlign w:val="center"/>
          </w:tcPr>
          <w:p w14:paraId="52E3B862">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017" w:type="dxa"/>
            <w:vAlign w:val="center"/>
          </w:tcPr>
          <w:p w14:paraId="59E760C9">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002" w:type="dxa"/>
            <w:vAlign w:val="center"/>
          </w:tcPr>
          <w:p w14:paraId="13E1C0D5">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551" w:type="dxa"/>
            <w:vAlign w:val="center"/>
          </w:tcPr>
          <w:p w14:paraId="5E5CE7A8">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926" w:type="dxa"/>
            <w:vAlign w:val="center"/>
          </w:tcPr>
          <w:p w14:paraId="68A6B015">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r w14:paraId="4CA39D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jc w:val="center"/>
        </w:trPr>
        <w:tc>
          <w:tcPr>
            <w:tcW w:w="634" w:type="dxa"/>
            <w:vAlign w:val="center"/>
          </w:tcPr>
          <w:p w14:paraId="57CDFDDA">
            <w:pPr>
              <w:keepNext w:val="0"/>
              <w:keepLines w:val="0"/>
              <w:pageBreakBefore w:val="0"/>
              <w:widowControl/>
              <w:kinsoku w:val="0"/>
              <w:wordWrap w:val="0"/>
              <w:overflowPunct/>
              <w:topLinePunct w:val="0"/>
              <w:autoSpaceDE w:val="0"/>
              <w:autoSpaceDN w:val="0"/>
              <w:bidi w:val="0"/>
              <w:adjustRightInd w:val="0"/>
              <w:snapToGrid w:val="0"/>
              <w:spacing w:before="191" w:line="195"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6</w:t>
            </w:r>
          </w:p>
        </w:tc>
        <w:tc>
          <w:tcPr>
            <w:tcW w:w="1939" w:type="dxa"/>
            <w:vAlign w:val="center"/>
          </w:tcPr>
          <w:p w14:paraId="7160662F">
            <w:pPr>
              <w:keepNext w:val="0"/>
              <w:keepLines w:val="0"/>
              <w:pageBreakBefore w:val="0"/>
              <w:widowControl/>
              <w:kinsoku w:val="0"/>
              <w:wordWrap w:val="0"/>
              <w:overflowPunct/>
              <w:topLinePunct w:val="0"/>
              <w:autoSpaceDE w:val="0"/>
              <w:autoSpaceDN w:val="0"/>
              <w:bidi w:val="0"/>
              <w:adjustRightInd w:val="0"/>
              <w:snapToGrid w:val="0"/>
              <w:spacing w:before="155" w:line="228"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材料员</w:t>
            </w:r>
          </w:p>
        </w:tc>
        <w:tc>
          <w:tcPr>
            <w:tcW w:w="1567" w:type="dxa"/>
            <w:vAlign w:val="center"/>
          </w:tcPr>
          <w:p w14:paraId="1921FADE">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017" w:type="dxa"/>
            <w:vAlign w:val="center"/>
          </w:tcPr>
          <w:p w14:paraId="14FE5E70">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002" w:type="dxa"/>
            <w:vAlign w:val="center"/>
          </w:tcPr>
          <w:p w14:paraId="0D758E1A">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551" w:type="dxa"/>
            <w:vAlign w:val="center"/>
          </w:tcPr>
          <w:p w14:paraId="7AAFDC93">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926" w:type="dxa"/>
            <w:vAlign w:val="center"/>
          </w:tcPr>
          <w:p w14:paraId="5B3CDA8E">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r w14:paraId="65E229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jc w:val="center"/>
        </w:trPr>
        <w:tc>
          <w:tcPr>
            <w:tcW w:w="634" w:type="dxa"/>
            <w:vAlign w:val="center"/>
          </w:tcPr>
          <w:p w14:paraId="5AC9C1EC">
            <w:pPr>
              <w:keepNext w:val="0"/>
              <w:keepLines w:val="0"/>
              <w:pageBreakBefore w:val="0"/>
              <w:widowControl/>
              <w:kinsoku w:val="0"/>
              <w:wordWrap w:val="0"/>
              <w:overflowPunct/>
              <w:topLinePunct w:val="0"/>
              <w:autoSpaceDE w:val="0"/>
              <w:autoSpaceDN w:val="0"/>
              <w:bidi w:val="0"/>
              <w:adjustRightInd w:val="0"/>
              <w:snapToGrid w:val="0"/>
              <w:spacing w:before="192" w:line="192"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7</w:t>
            </w:r>
          </w:p>
        </w:tc>
        <w:tc>
          <w:tcPr>
            <w:tcW w:w="1939" w:type="dxa"/>
            <w:vAlign w:val="center"/>
          </w:tcPr>
          <w:p w14:paraId="21D63094">
            <w:pPr>
              <w:keepNext w:val="0"/>
              <w:keepLines w:val="0"/>
              <w:pageBreakBefore w:val="0"/>
              <w:widowControl/>
              <w:kinsoku w:val="0"/>
              <w:wordWrap w:val="0"/>
              <w:overflowPunct/>
              <w:topLinePunct w:val="0"/>
              <w:autoSpaceDE w:val="0"/>
              <w:autoSpaceDN w:val="0"/>
              <w:bidi w:val="0"/>
              <w:adjustRightInd w:val="0"/>
              <w:snapToGrid w:val="0"/>
              <w:spacing w:before="154" w:line="229"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资料员</w:t>
            </w:r>
          </w:p>
        </w:tc>
        <w:tc>
          <w:tcPr>
            <w:tcW w:w="1567" w:type="dxa"/>
            <w:vAlign w:val="center"/>
          </w:tcPr>
          <w:p w14:paraId="5EDAFDFF">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017" w:type="dxa"/>
            <w:vAlign w:val="center"/>
          </w:tcPr>
          <w:p w14:paraId="517542D7">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002" w:type="dxa"/>
            <w:vAlign w:val="center"/>
          </w:tcPr>
          <w:p w14:paraId="2F43316E">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551" w:type="dxa"/>
            <w:vAlign w:val="center"/>
          </w:tcPr>
          <w:p w14:paraId="2CECC7E5">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926" w:type="dxa"/>
            <w:vAlign w:val="center"/>
          </w:tcPr>
          <w:p w14:paraId="32FD4CB7">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r w14:paraId="5A324A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9" w:hRule="atLeast"/>
          <w:jc w:val="center"/>
        </w:trPr>
        <w:tc>
          <w:tcPr>
            <w:tcW w:w="634" w:type="dxa"/>
            <w:vAlign w:val="center"/>
          </w:tcPr>
          <w:p w14:paraId="1A5B5290">
            <w:pPr>
              <w:keepNext w:val="0"/>
              <w:keepLines w:val="0"/>
              <w:pageBreakBefore w:val="0"/>
              <w:widowControl/>
              <w:kinsoku w:val="0"/>
              <w:wordWrap w:val="0"/>
              <w:overflowPunct/>
              <w:topLinePunct w:val="0"/>
              <w:autoSpaceDE w:val="0"/>
              <w:autoSpaceDN w:val="0"/>
              <w:bidi w:val="0"/>
              <w:adjustRightInd w:val="0"/>
              <w:snapToGrid w:val="0"/>
              <w:spacing w:before="154" w:line="325" w:lineRule="exact"/>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position w:val="3"/>
                <w:sz w:val="24"/>
                <w:szCs w:val="24"/>
                <w:highlight w:val="none"/>
              </w:rPr>
              <w:t>……</w:t>
            </w:r>
          </w:p>
        </w:tc>
        <w:tc>
          <w:tcPr>
            <w:tcW w:w="1939" w:type="dxa"/>
            <w:vAlign w:val="center"/>
          </w:tcPr>
          <w:p w14:paraId="657E3F01">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567" w:type="dxa"/>
            <w:vAlign w:val="center"/>
          </w:tcPr>
          <w:p w14:paraId="5097AB5D">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017" w:type="dxa"/>
            <w:vAlign w:val="center"/>
          </w:tcPr>
          <w:p w14:paraId="560AF8D6">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002" w:type="dxa"/>
            <w:vAlign w:val="center"/>
          </w:tcPr>
          <w:p w14:paraId="726D0D79">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551" w:type="dxa"/>
            <w:vAlign w:val="center"/>
          </w:tcPr>
          <w:p w14:paraId="29860857">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926" w:type="dxa"/>
            <w:vAlign w:val="center"/>
          </w:tcPr>
          <w:p w14:paraId="799E2375">
            <w:pPr>
              <w:pStyle w:val="32"/>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bl>
    <w:p w14:paraId="332C386F">
      <w:pPr>
        <w:pStyle w:val="6"/>
        <w:keepNext w:val="0"/>
        <w:keepLines w:val="0"/>
        <w:pageBreakBefore w:val="0"/>
        <w:wordWrap w:val="0"/>
        <w:overflowPunct/>
        <w:topLinePunct w:val="0"/>
        <w:bidi w:val="0"/>
        <w:spacing w:line="395" w:lineRule="auto"/>
        <w:rPr>
          <w:rFonts w:hint="eastAsia" w:ascii="宋体" w:hAnsi="宋体" w:eastAsia="宋体" w:cs="宋体"/>
          <w:color w:val="auto"/>
          <w:spacing w:val="0"/>
          <w:sz w:val="24"/>
          <w:szCs w:val="24"/>
          <w:highlight w:val="none"/>
        </w:rPr>
      </w:pPr>
    </w:p>
    <w:p w14:paraId="30CECD1B">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80" w:firstLineChars="20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说明：</w:t>
      </w:r>
    </w:p>
    <w:p w14:paraId="58C432A1">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80" w:firstLineChars="200"/>
        <w:jc w:val="left"/>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 ．《项目管理机构组成表》后应附表中拟派人员（项目经理、项目技术负责人除外）以下资料：</w:t>
      </w:r>
    </w:p>
    <w:p w14:paraId="17C80B60">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80" w:firstLineChars="200"/>
        <w:jc w:val="left"/>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lang w:val="en-US" w:eastAsia="zh-CN"/>
        </w:rPr>
        <w:t>1</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身份证彩色扫描件；</w:t>
      </w:r>
    </w:p>
    <w:p w14:paraId="3D0FC51B">
      <w:pPr>
        <w:keepNext w:val="0"/>
        <w:keepLines w:val="0"/>
        <w:pageBreakBefore w:val="0"/>
        <w:widowControl/>
        <w:kinsoku w:val="0"/>
        <w:wordWrap w:val="0"/>
        <w:overflowPunct/>
        <w:topLinePunct w:val="0"/>
        <w:autoSpaceDE w:val="0"/>
        <w:autoSpaceDN w:val="0"/>
        <w:bidi w:val="0"/>
        <w:adjustRightInd/>
        <w:snapToGrid/>
        <w:spacing w:line="360" w:lineRule="auto"/>
        <w:ind w:left="0" w:leftChars="0" w:right="0" w:firstLine="480" w:firstLineChars="20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lang w:val="en-US" w:eastAsia="zh-CN"/>
        </w:rPr>
        <w:t>2</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专职安全员须提供C类安全生产考核合格证书扫描件或“建筑施工企业管理人员安全生产考核信息系统”考核合格信息扫描件；施工员、质量员、材料员、资料员附岗位证书或培训证书彩色扫描件或打印件；</w:t>
      </w:r>
    </w:p>
    <w:p w14:paraId="6A683D07">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80" w:firstLineChars="20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lang w:val="en-US" w:eastAsia="zh-CN"/>
        </w:rPr>
        <w:t>3</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在本单位缴纳社保的证明（</w:t>
      </w:r>
      <w:r>
        <w:rPr>
          <w:rFonts w:hint="eastAsia" w:ascii="宋体" w:hAnsi="宋体" w:eastAsia="宋体" w:cs="宋体"/>
          <w:color w:val="auto"/>
          <w:spacing w:val="0"/>
          <w:sz w:val="24"/>
          <w:szCs w:val="24"/>
          <w:highlight w:val="none"/>
          <w:lang w:eastAsia="zh-CN"/>
        </w:rPr>
        <w:t>至少</w:t>
      </w:r>
      <w:r>
        <w:rPr>
          <w:rFonts w:hint="eastAsia" w:ascii="宋体" w:hAnsi="宋体" w:eastAsia="宋体" w:cs="宋体"/>
          <w:color w:val="auto"/>
          <w:spacing w:val="0"/>
          <w:sz w:val="24"/>
          <w:szCs w:val="24"/>
          <w:highlight w:val="none"/>
          <w:lang w:val="en-US" w:eastAsia="zh-CN"/>
        </w:rPr>
        <w:t>2</w:t>
      </w:r>
      <w:r>
        <w:rPr>
          <w:rFonts w:hint="eastAsia" w:ascii="宋体" w:hAnsi="宋体" w:eastAsia="宋体" w:cs="宋体"/>
          <w:color w:val="auto"/>
          <w:spacing w:val="0"/>
          <w:sz w:val="24"/>
          <w:szCs w:val="24"/>
          <w:highlight w:val="none"/>
          <w:lang w:eastAsia="zh-CN"/>
        </w:rPr>
        <w:t>个月，其中必须有2026 年</w:t>
      </w:r>
      <w:r>
        <w:rPr>
          <w:rFonts w:hint="eastAsia" w:ascii="宋体" w:hAnsi="宋体" w:eastAsia="宋体" w:cs="宋体"/>
          <w:color w:val="auto"/>
          <w:spacing w:val="0"/>
          <w:sz w:val="24"/>
          <w:szCs w:val="24"/>
          <w:highlight w:val="none"/>
          <w:lang w:val="en-US" w:eastAsia="zh-CN"/>
        </w:rPr>
        <w:t>9</w:t>
      </w:r>
      <w:r>
        <w:rPr>
          <w:rFonts w:hint="eastAsia" w:ascii="宋体" w:hAnsi="宋体" w:eastAsia="宋体" w:cs="宋体"/>
          <w:color w:val="auto"/>
          <w:spacing w:val="0"/>
          <w:sz w:val="24"/>
          <w:szCs w:val="24"/>
          <w:highlight w:val="none"/>
          <w:lang w:eastAsia="zh-CN"/>
        </w:rPr>
        <w:t>月</w:t>
      </w:r>
      <w:r>
        <w:rPr>
          <w:rFonts w:hint="eastAsia" w:ascii="宋体" w:hAnsi="宋体" w:eastAsia="宋体" w:cs="宋体"/>
          <w:color w:val="auto"/>
          <w:spacing w:val="0"/>
          <w:sz w:val="24"/>
          <w:szCs w:val="24"/>
          <w:highlight w:val="none"/>
        </w:rPr>
        <w:t>）扫描件</w:t>
      </w:r>
      <w:r>
        <w:rPr>
          <w:rFonts w:hint="eastAsia" w:ascii="宋体" w:hAnsi="宋体" w:eastAsia="宋体" w:cs="宋体"/>
          <w:color w:val="auto"/>
          <w:spacing w:val="0"/>
          <w:sz w:val="24"/>
          <w:szCs w:val="24"/>
          <w:highlight w:val="none"/>
          <w:lang w:val="en-US" w:eastAsia="zh-CN"/>
        </w:rPr>
        <w:t>或打印件</w:t>
      </w:r>
      <w:r>
        <w:rPr>
          <w:rFonts w:hint="eastAsia" w:ascii="宋体" w:hAnsi="宋体" w:eastAsia="宋体" w:cs="宋体"/>
          <w:color w:val="auto"/>
          <w:spacing w:val="0"/>
          <w:sz w:val="24"/>
          <w:szCs w:val="24"/>
          <w:highlight w:val="none"/>
        </w:rPr>
        <w:t>。拟派</w:t>
      </w:r>
      <w:r>
        <w:rPr>
          <w:rFonts w:hint="eastAsia" w:ascii="宋体" w:hAnsi="宋体" w:eastAsia="宋体" w:cs="宋体"/>
          <w:color w:val="auto"/>
          <w:spacing w:val="0"/>
          <w:sz w:val="24"/>
          <w:szCs w:val="24"/>
          <w:highlight w:val="none"/>
          <w:lang w:val="en-US" w:eastAsia="zh-CN"/>
        </w:rPr>
        <w:t>人员</w:t>
      </w:r>
      <w:r>
        <w:rPr>
          <w:rFonts w:hint="eastAsia" w:ascii="宋体" w:hAnsi="宋体" w:eastAsia="宋体" w:cs="宋体"/>
          <w:color w:val="auto"/>
          <w:spacing w:val="0"/>
          <w:sz w:val="24"/>
          <w:szCs w:val="24"/>
          <w:highlight w:val="none"/>
        </w:rPr>
        <w:t>为退休返聘人员无法提供社保证明的，提供退休证和劳动合同彩色扫描件。</w:t>
      </w:r>
    </w:p>
    <w:p w14:paraId="448F9734">
      <w:pPr>
        <w:keepNext w:val="0"/>
        <w:keepLines w:val="0"/>
        <w:pageBreakBefore w:val="0"/>
        <w:widowControl/>
        <w:kinsoku w:val="0"/>
        <w:wordWrap w:val="0"/>
        <w:overflowPunct/>
        <w:topLinePunct w:val="0"/>
        <w:autoSpaceDE w:val="0"/>
        <w:autoSpaceDN w:val="0"/>
        <w:bidi w:val="0"/>
        <w:adjustRightInd/>
        <w:snapToGrid/>
        <w:spacing w:line="360" w:lineRule="auto"/>
        <w:ind w:left="0" w:leftChars="0" w:right="0" w:firstLine="480" w:firstLineChars="20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（4）“进粤企业和人员诚信信息登记平台 ”个人信息情况截图。（适用于省外建筑企业）</w:t>
      </w:r>
    </w:p>
    <w:p w14:paraId="79AB5B57">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80" w:firstLineChars="20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lang w:val="en-US" w:eastAsia="zh-CN"/>
        </w:rPr>
        <w:t>2.</w:t>
      </w:r>
      <w:r>
        <w:rPr>
          <w:rFonts w:hint="eastAsia" w:ascii="宋体" w:hAnsi="宋体" w:eastAsia="宋体" w:cs="宋体"/>
          <w:color w:val="auto"/>
          <w:spacing w:val="0"/>
          <w:sz w:val="24"/>
          <w:szCs w:val="24"/>
          <w:highlight w:val="none"/>
        </w:rPr>
        <w:t>联合体投标的，《项目管理机构组成表》应包括联合体成员单位参与项目管理机构的人员，并提供以上所需资料。</w:t>
      </w:r>
    </w:p>
    <w:p w14:paraId="44728B67">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auto"/>
          <w:spacing w:val="0"/>
          <w:sz w:val="24"/>
          <w:szCs w:val="24"/>
          <w:highlight w:val="none"/>
        </w:rPr>
      </w:pPr>
      <w:bookmarkStart w:id="249" w:name="_Toc3573"/>
      <w:r>
        <w:rPr>
          <w:rFonts w:hint="eastAsia" w:ascii="宋体" w:hAnsi="宋体" w:eastAsia="宋体" w:cs="宋体"/>
          <w:b/>
          <w:bCs/>
          <w:color w:val="auto"/>
          <w:spacing w:val="0"/>
          <w:sz w:val="24"/>
          <w:szCs w:val="24"/>
          <w:highlight w:val="none"/>
        </w:rPr>
        <w:t>格式十二 建造师查询页（有效期+建造师签字）</w:t>
      </w:r>
      <w:bookmarkEnd w:id="249"/>
    </w:p>
    <w:p w14:paraId="3E76FE56">
      <w:pPr>
        <w:keepNext w:val="0"/>
        <w:keepLines w:val="0"/>
        <w:pageBreakBefore w:val="0"/>
        <w:wordWrap w:val="0"/>
        <w:overflowPunct/>
        <w:topLinePunct w:val="0"/>
        <w:bidi w:val="0"/>
        <w:outlineLvl w:val="9"/>
        <w:rPr>
          <w:rFonts w:hint="eastAsia" w:ascii="宋体" w:hAnsi="宋体" w:eastAsia="宋体" w:cs="宋体"/>
          <w:color w:val="auto"/>
          <w:spacing w:val="0"/>
          <w:highlight w:val="none"/>
        </w:rPr>
      </w:pPr>
      <w:r>
        <w:rPr>
          <w:rFonts w:hint="eastAsia" w:ascii="宋体" w:hAnsi="宋体" w:eastAsia="宋体" w:cs="宋体"/>
          <w:color w:val="auto"/>
          <w:spacing w:val="0"/>
          <w:position w:val="-235"/>
          <w:highlight w:val="none"/>
        </w:rPr>
        <w:drawing>
          <wp:inline distT="0" distB="0" distL="114300" distR="114300">
            <wp:extent cx="6239510" cy="8013700"/>
            <wp:effectExtent l="0" t="0" r="8890" b="6350"/>
            <wp:docPr id="6" name="图片 8"/>
            <wp:cNvGraphicFramePr/>
            <a:graphic xmlns:a="http://schemas.openxmlformats.org/drawingml/2006/main">
              <a:graphicData uri="http://schemas.openxmlformats.org/drawingml/2006/picture">
                <pic:pic xmlns:pic="http://schemas.openxmlformats.org/drawingml/2006/picture">
                  <pic:nvPicPr>
                    <pic:cNvPr id="6" name="图片 8"/>
                    <pic:cNvPicPr/>
                  </pic:nvPicPr>
                  <pic:blipFill>
                    <a:blip r:embed="rId56"/>
                    <a:stretch>
                      <a:fillRect/>
                    </a:stretch>
                  </pic:blipFill>
                  <pic:spPr>
                    <a:xfrm>
                      <a:off x="0" y="0"/>
                      <a:ext cx="6239510" cy="8013700"/>
                    </a:xfrm>
                    <a:prstGeom prst="rect">
                      <a:avLst/>
                    </a:prstGeom>
                    <a:noFill/>
                    <a:ln>
                      <a:noFill/>
                    </a:ln>
                  </pic:spPr>
                </pic:pic>
              </a:graphicData>
            </a:graphic>
          </wp:inline>
        </w:drawing>
      </w:r>
    </w:p>
    <w:p w14:paraId="4900E673">
      <w:pPr>
        <w:keepNext w:val="0"/>
        <w:keepLines w:val="0"/>
        <w:pageBreakBefore w:val="0"/>
        <w:wordWrap w:val="0"/>
        <w:overflowPunct/>
        <w:topLinePunct w:val="0"/>
        <w:bidi w:val="0"/>
        <w:spacing w:line="220" w:lineRule="auto"/>
        <w:rPr>
          <w:rFonts w:hint="eastAsia" w:ascii="宋体" w:hAnsi="宋体" w:eastAsia="宋体" w:cs="宋体"/>
          <w:color w:val="auto"/>
          <w:spacing w:val="0"/>
          <w:sz w:val="24"/>
          <w:szCs w:val="24"/>
          <w:highlight w:val="none"/>
        </w:rPr>
        <w:sectPr>
          <w:footerReference r:id="rId23"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042EAAE2">
      <w:pPr>
        <w:keepNext w:val="0"/>
        <w:keepLines w:val="0"/>
        <w:pageBreakBefore w:val="0"/>
        <w:wordWrap w:val="0"/>
        <w:overflowPunct/>
        <w:topLinePunct w:val="0"/>
        <w:bidi w:val="0"/>
        <w:spacing w:line="10744" w:lineRule="exact"/>
        <w:rPr>
          <w:rFonts w:hint="eastAsia" w:ascii="宋体" w:hAnsi="宋体" w:eastAsia="宋体" w:cs="宋体"/>
          <w:color w:val="auto"/>
          <w:spacing w:val="0"/>
          <w:highlight w:val="none"/>
        </w:rPr>
      </w:pPr>
      <w:r>
        <w:rPr>
          <w:rFonts w:hint="eastAsia" w:ascii="宋体" w:hAnsi="宋体" w:eastAsia="宋体" w:cs="宋体"/>
          <w:color w:val="auto"/>
          <w:spacing w:val="0"/>
          <w:position w:val="-214"/>
          <w:highlight w:val="none"/>
        </w:rPr>
        <w:drawing>
          <wp:inline distT="0" distB="0" distL="114300" distR="114300">
            <wp:extent cx="6285865" cy="6925310"/>
            <wp:effectExtent l="0" t="0" r="635" b="8890"/>
            <wp:docPr id="4" name="图片 9"/>
            <wp:cNvGraphicFramePr/>
            <a:graphic xmlns:a="http://schemas.openxmlformats.org/drawingml/2006/main">
              <a:graphicData uri="http://schemas.openxmlformats.org/drawingml/2006/picture">
                <pic:pic xmlns:pic="http://schemas.openxmlformats.org/drawingml/2006/picture">
                  <pic:nvPicPr>
                    <pic:cNvPr id="4" name="图片 9"/>
                    <pic:cNvPicPr/>
                  </pic:nvPicPr>
                  <pic:blipFill>
                    <a:blip r:embed="rId57"/>
                    <a:stretch>
                      <a:fillRect/>
                    </a:stretch>
                  </pic:blipFill>
                  <pic:spPr>
                    <a:xfrm>
                      <a:off x="0" y="0"/>
                      <a:ext cx="6285865" cy="6925310"/>
                    </a:xfrm>
                    <a:prstGeom prst="rect">
                      <a:avLst/>
                    </a:prstGeom>
                    <a:noFill/>
                    <a:ln>
                      <a:noFill/>
                    </a:ln>
                  </pic:spPr>
                </pic:pic>
              </a:graphicData>
            </a:graphic>
          </wp:inline>
        </w:drawing>
      </w:r>
    </w:p>
    <w:p w14:paraId="27D63D64">
      <w:pPr>
        <w:keepNext w:val="0"/>
        <w:keepLines w:val="0"/>
        <w:pageBreakBefore w:val="0"/>
        <w:wordWrap w:val="0"/>
        <w:overflowPunct/>
        <w:topLinePunct w:val="0"/>
        <w:bidi w:val="0"/>
        <w:spacing w:line="10744" w:lineRule="exact"/>
        <w:rPr>
          <w:rFonts w:hint="eastAsia" w:ascii="宋体" w:hAnsi="宋体" w:eastAsia="宋体" w:cs="宋体"/>
          <w:color w:val="auto"/>
          <w:spacing w:val="0"/>
          <w:highlight w:val="none"/>
        </w:rPr>
        <w:sectPr>
          <w:footerReference r:id="rId24"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292C1CE6">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auto"/>
          <w:spacing w:val="0"/>
          <w:sz w:val="24"/>
          <w:szCs w:val="24"/>
          <w:highlight w:val="none"/>
        </w:rPr>
      </w:pPr>
      <w:bookmarkStart w:id="250" w:name="_Toc23166"/>
      <w:r>
        <w:rPr>
          <w:rFonts w:hint="eastAsia" w:ascii="宋体" w:hAnsi="宋体" w:eastAsia="宋体" w:cs="宋体"/>
          <w:b/>
          <w:bCs/>
          <w:color w:val="auto"/>
          <w:spacing w:val="0"/>
          <w:sz w:val="24"/>
          <w:szCs w:val="24"/>
          <w:highlight w:val="none"/>
        </w:rPr>
        <w:t>格式十三</w:t>
      </w:r>
      <w:r>
        <w:rPr>
          <w:rFonts w:hint="eastAsia" w:ascii="宋体" w:hAnsi="宋体" w:eastAsia="宋体" w:cs="宋体"/>
          <w:b/>
          <w:bCs/>
          <w:color w:val="auto"/>
          <w:spacing w:val="0"/>
          <w:sz w:val="24"/>
          <w:szCs w:val="24"/>
          <w:highlight w:val="none"/>
          <w:lang w:val="en-US" w:eastAsia="zh-CN"/>
        </w:rPr>
        <w:t xml:space="preserve"> </w:t>
      </w:r>
      <w:r>
        <w:rPr>
          <w:rFonts w:hint="eastAsia" w:ascii="宋体" w:hAnsi="宋体" w:eastAsia="宋体" w:cs="宋体"/>
          <w:b/>
          <w:bCs/>
          <w:color w:val="auto"/>
          <w:spacing w:val="0"/>
          <w:sz w:val="22"/>
          <w:szCs w:val="22"/>
          <w:highlight w:val="none"/>
        </w:rPr>
        <w:t>危险性较大的分部分项工程清单及超过一定规模的危险性较大的分部分项工程清单</w:t>
      </w:r>
      <w:bookmarkEnd w:id="250"/>
    </w:p>
    <w:p w14:paraId="441846A0">
      <w:pPr>
        <w:pStyle w:val="6"/>
        <w:keepNext w:val="0"/>
        <w:keepLines w:val="0"/>
        <w:pageBreakBefore w:val="0"/>
        <w:wordWrap w:val="0"/>
        <w:overflowPunct/>
        <w:topLinePunct w:val="0"/>
        <w:bidi w:val="0"/>
        <w:spacing w:line="269" w:lineRule="auto"/>
        <w:rPr>
          <w:rFonts w:hint="eastAsia" w:ascii="宋体" w:hAnsi="宋体" w:eastAsia="宋体" w:cs="宋体"/>
          <w:color w:val="auto"/>
          <w:spacing w:val="0"/>
          <w:highlight w:val="none"/>
        </w:rPr>
      </w:pPr>
    </w:p>
    <w:p w14:paraId="3D7CF0D9">
      <w:pPr>
        <w:keepNext w:val="0"/>
        <w:keepLines w:val="0"/>
        <w:pageBreakBefore w:val="0"/>
        <w:tabs>
          <w:tab w:val="left" w:pos="2940"/>
        </w:tabs>
        <w:wordWrap w:val="0"/>
        <w:overflowPunct/>
        <w:topLinePunct w:val="0"/>
        <w:bidi w:val="0"/>
        <w:spacing w:before="101" w:line="377" w:lineRule="auto"/>
        <w:ind w:left="3179" w:leftChars="0" w:right="41" w:hanging="3133" w:firstLineChars="0"/>
        <w:rPr>
          <w:rFonts w:hint="eastAsia" w:ascii="宋体" w:hAnsi="宋体" w:eastAsia="宋体" w:cs="宋体"/>
          <w:color w:val="auto"/>
          <w:spacing w:val="0"/>
          <w:sz w:val="31"/>
          <w:szCs w:val="31"/>
          <w:highlight w:val="none"/>
        </w:rPr>
      </w:pPr>
      <w:bookmarkStart w:id="251" w:name="bookmark160"/>
      <w:bookmarkEnd w:id="251"/>
      <w:bookmarkStart w:id="252" w:name="OLE_LINK41"/>
      <w:r>
        <w:rPr>
          <w:rFonts w:hint="eastAsia" w:ascii="宋体" w:hAnsi="宋体" w:eastAsia="宋体" w:cs="宋体"/>
          <w:b/>
          <w:bCs/>
          <w:color w:val="auto"/>
          <w:spacing w:val="0"/>
          <w:sz w:val="31"/>
          <w:szCs w:val="31"/>
          <w:highlight w:val="none"/>
        </w:rPr>
        <w:t>危险性较大的分部分项工程清单及超过一定规模的危险性较大的分部分项工程清单</w:t>
      </w:r>
    </w:p>
    <w:bookmarkEnd w:id="252"/>
    <w:p w14:paraId="060B41DF">
      <w:pPr>
        <w:keepNext w:val="0"/>
        <w:keepLines w:val="0"/>
        <w:pageBreakBefore w:val="0"/>
        <w:wordWrap w:val="0"/>
        <w:overflowPunct/>
        <w:topLinePunct w:val="0"/>
        <w:bidi w:val="0"/>
        <w:spacing w:before="6" w:line="326" w:lineRule="auto"/>
        <w:ind w:left="5" w:firstLine="492"/>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1、根据中华人民共和国住房和城乡建设部令第37号《危险性较大的分部分项工程安全管理规定》（以下简称“37号文 ”），投标人在投标时须补充完善危大工程清单并明确相应的安全管理措施。</w:t>
      </w:r>
    </w:p>
    <w:p w14:paraId="2FBDB821">
      <w:pPr>
        <w:keepNext w:val="0"/>
        <w:keepLines w:val="0"/>
        <w:pageBreakBefore w:val="0"/>
        <w:wordWrap w:val="0"/>
        <w:overflowPunct/>
        <w:topLinePunct w:val="0"/>
        <w:bidi w:val="0"/>
        <w:spacing w:before="208" w:line="326" w:lineRule="auto"/>
        <w:ind w:left="1" w:firstLine="48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2、招标人根据设计文件的要求及37号文、粤建规范〔2019〕2号文的规定列出“危险性较大的分部分项工程清单及超过一定规模的危险性较大的分部分项工程清单 ”中与 本招标项目相关的清单项，具体详见第5点“打 √ ”标识。</w:t>
      </w:r>
    </w:p>
    <w:p w14:paraId="6E3A97FC">
      <w:pPr>
        <w:keepNext w:val="0"/>
        <w:keepLines w:val="0"/>
        <w:pageBreakBefore w:val="0"/>
        <w:wordWrap w:val="0"/>
        <w:overflowPunct/>
        <w:topLinePunct w:val="0"/>
        <w:bidi w:val="0"/>
        <w:spacing w:before="209" w:line="299" w:lineRule="auto"/>
        <w:ind w:left="3" w:right="72" w:firstLine="488"/>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（1）投标单位同意建设单位在清单中标识的该项请在对应项打“ √ ”标识，并与投标文件中提供相应的安全管理措施。</w:t>
      </w:r>
    </w:p>
    <w:p w14:paraId="357880F3">
      <w:pPr>
        <w:keepNext w:val="0"/>
        <w:keepLines w:val="0"/>
        <w:pageBreakBefore w:val="0"/>
        <w:wordWrap w:val="0"/>
        <w:overflowPunct/>
        <w:topLinePunct w:val="0"/>
        <w:bidi w:val="0"/>
        <w:spacing w:before="208" w:line="299" w:lineRule="auto"/>
        <w:ind w:left="2" w:right="72" w:firstLine="48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（2）投标单位对清单中认为需要补充的该项请在对应项打“ √ ”标识，并与投标文件中提供相应的安全管理措施。</w:t>
      </w:r>
    </w:p>
    <w:p w14:paraId="05CB1DAA">
      <w:pPr>
        <w:keepNext w:val="0"/>
        <w:keepLines w:val="0"/>
        <w:pageBreakBefore w:val="0"/>
        <w:wordWrap w:val="0"/>
        <w:overflowPunct/>
        <w:topLinePunct w:val="0"/>
        <w:bidi w:val="0"/>
        <w:spacing w:before="210" w:line="300" w:lineRule="auto"/>
        <w:ind w:right="72" w:firstLine="492"/>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（3）投标单位不同意建设单位在清单中标识的该项请在对应项打“ × ”标识，并在备注栏填上相关说明。</w:t>
      </w:r>
    </w:p>
    <w:p w14:paraId="70BD67E9">
      <w:pPr>
        <w:keepNext w:val="0"/>
        <w:keepLines w:val="0"/>
        <w:pageBreakBefore w:val="0"/>
        <w:wordWrap w:val="0"/>
        <w:overflowPunct/>
        <w:topLinePunct w:val="0"/>
        <w:bidi w:val="0"/>
        <w:spacing w:before="207" w:line="371" w:lineRule="auto"/>
        <w:ind w:firstLine="484"/>
        <w:jc w:val="both"/>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u w:val="single"/>
        </w:rPr>
        <w:t>3、投标单位应当在投标时根据招标人提供的下述第5点清单，在投标施工组织中回应建设单位提供的危大工程清单，补充相应的安全管理措施。（为减轻标书编制的工作量，投标单位回应的危大工程清单该部分的页数应控制在3页内）</w:t>
      </w:r>
    </w:p>
    <w:p w14:paraId="44960060">
      <w:pPr>
        <w:keepNext w:val="0"/>
        <w:keepLines w:val="0"/>
        <w:pageBreakBefore w:val="0"/>
        <w:wordWrap w:val="0"/>
        <w:overflowPunct/>
        <w:topLinePunct w:val="0"/>
        <w:bidi w:val="0"/>
        <w:spacing w:before="33" w:line="326" w:lineRule="auto"/>
        <w:ind w:left="1" w:firstLine="478"/>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对于超过一定规模的危大工程，中标单位应当组织召开专家论证会对专项施工方案进行论证。实行施工总承包的，由施工总承包单位组织召开专家论证会。专家论证前专项施工方案应当通过施工总承包单位审核和总监理工程师审查。</w:t>
      </w:r>
    </w:p>
    <w:p w14:paraId="1BE3BC04">
      <w:pPr>
        <w:keepNext w:val="0"/>
        <w:keepLines w:val="0"/>
        <w:pageBreakBefore w:val="0"/>
        <w:wordWrap w:val="0"/>
        <w:overflowPunct/>
        <w:topLinePunct w:val="0"/>
        <w:bidi w:val="0"/>
        <w:spacing w:before="208" w:line="301" w:lineRule="auto"/>
        <w:ind w:firstLine="484"/>
        <w:rPr>
          <w:rFonts w:hint="eastAsia" w:ascii="宋体" w:hAnsi="宋体" w:eastAsia="宋体" w:cs="宋体"/>
          <w:color w:val="auto"/>
          <w:spacing w:val="0"/>
          <w:highlight w:val="none"/>
        </w:rPr>
      </w:pPr>
      <w:r>
        <w:rPr>
          <w:rFonts w:hint="eastAsia" w:ascii="宋体" w:hAnsi="宋体" w:eastAsia="宋体" w:cs="宋体"/>
          <w:color w:val="auto"/>
          <w:spacing w:val="0"/>
          <w:sz w:val="24"/>
          <w:szCs w:val="24"/>
          <w:highlight w:val="none"/>
        </w:rPr>
        <w:t>5、危险性较大的分部分项工程清单及超过一定规模的危险性较大的分部分项工程清单</w:t>
      </w:r>
    </w:p>
    <w:p w14:paraId="4B480E35">
      <w:pPr>
        <w:keepNext w:val="0"/>
        <w:keepLines w:val="0"/>
        <w:pageBreakBefore w:val="0"/>
        <w:wordWrap w:val="0"/>
        <w:overflowPunct/>
        <w:topLinePunct w:val="0"/>
        <w:bidi w:val="0"/>
        <w:spacing w:before="40"/>
        <w:rPr>
          <w:rFonts w:hint="eastAsia" w:ascii="宋体" w:hAnsi="宋体" w:eastAsia="宋体" w:cs="宋体"/>
          <w:color w:val="auto"/>
          <w:spacing w:val="0"/>
          <w:highlight w:val="none"/>
        </w:rPr>
      </w:pPr>
    </w:p>
    <w:tbl>
      <w:tblPr>
        <w:tblStyle w:val="17"/>
        <w:tblW w:w="9947" w:type="dxa"/>
        <w:tblInd w:w="-6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
        <w:gridCol w:w="2"/>
        <w:gridCol w:w="4862"/>
        <w:gridCol w:w="1294"/>
        <w:gridCol w:w="1294"/>
        <w:gridCol w:w="2428"/>
      </w:tblGrid>
      <w:tr w14:paraId="6E4DD8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2"/>
          <w:wBefore w:w="69" w:type="dxa"/>
          <w:trHeight w:val="0" w:hRule="atLeast"/>
        </w:trPr>
        <w:tc>
          <w:tcPr>
            <w:tcW w:w="4862" w:type="dxa"/>
            <w:vAlign w:val="top"/>
          </w:tcPr>
          <w:p w14:paraId="68074175">
            <w:pPr>
              <w:keepNext w:val="0"/>
              <w:keepLines w:val="0"/>
              <w:pageBreakBefore w:val="0"/>
              <w:wordWrap w:val="0"/>
              <w:overflowPunct/>
              <w:topLinePunct w:val="0"/>
              <w:bidi w:val="0"/>
              <w:spacing w:before="133" w:line="220" w:lineRule="auto"/>
              <w:ind w:firstLine="241" w:firstLineChars="100"/>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一、危险性较大的分部分项工程清单</w:t>
            </w:r>
          </w:p>
        </w:tc>
        <w:tc>
          <w:tcPr>
            <w:tcW w:w="1294" w:type="dxa"/>
            <w:vAlign w:val="top"/>
          </w:tcPr>
          <w:p w14:paraId="65BFE1EE">
            <w:pPr>
              <w:keepNext w:val="0"/>
              <w:keepLines w:val="0"/>
              <w:pageBreakBefore w:val="0"/>
              <w:wordWrap w:val="0"/>
              <w:overflowPunct/>
              <w:topLinePunct w:val="0"/>
              <w:bidi w:val="0"/>
              <w:spacing w:before="133" w:line="221" w:lineRule="auto"/>
              <w:ind w:left="206" w:leftChars="0"/>
              <w:rPr>
                <w:rFonts w:hint="eastAsia" w:ascii="宋体" w:hAnsi="宋体" w:eastAsia="宋体" w:cs="宋体"/>
                <w:color w:val="auto"/>
                <w:spacing w:val="0"/>
                <w:w w:val="94"/>
                <w:sz w:val="24"/>
                <w:szCs w:val="24"/>
                <w:highlight w:val="none"/>
              </w:rPr>
            </w:pPr>
            <w:r>
              <w:rPr>
                <w:rFonts w:hint="eastAsia" w:ascii="宋体" w:hAnsi="宋体" w:eastAsia="宋体" w:cs="宋体"/>
                <w:color w:val="auto"/>
                <w:spacing w:val="0"/>
                <w:sz w:val="24"/>
                <w:szCs w:val="24"/>
                <w:highlight w:val="none"/>
              </w:rPr>
              <w:t>建设单位</w:t>
            </w:r>
          </w:p>
        </w:tc>
        <w:tc>
          <w:tcPr>
            <w:tcW w:w="1294" w:type="dxa"/>
            <w:vAlign w:val="top"/>
          </w:tcPr>
          <w:p w14:paraId="04F276DF">
            <w:pPr>
              <w:keepNext w:val="0"/>
              <w:keepLines w:val="0"/>
              <w:pageBreakBefore w:val="0"/>
              <w:wordWrap w:val="0"/>
              <w:overflowPunct/>
              <w:topLinePunct w:val="0"/>
              <w:bidi w:val="0"/>
              <w:spacing w:before="133" w:line="221" w:lineRule="auto"/>
              <w:ind w:left="205" w:leftChars="0"/>
              <w:rPr>
                <w:rFonts w:hint="eastAsia" w:ascii="宋体" w:hAnsi="宋体" w:eastAsia="宋体" w:cs="宋体"/>
                <w:color w:val="auto"/>
                <w:spacing w:val="0"/>
                <w:w w:val="94"/>
                <w:sz w:val="24"/>
                <w:szCs w:val="24"/>
                <w:highlight w:val="none"/>
              </w:rPr>
            </w:pPr>
            <w:r>
              <w:rPr>
                <w:rFonts w:hint="eastAsia" w:ascii="宋体" w:hAnsi="宋体" w:eastAsia="宋体" w:cs="宋体"/>
                <w:b/>
                <w:bCs/>
                <w:color w:val="auto"/>
                <w:spacing w:val="0"/>
                <w:sz w:val="24"/>
                <w:szCs w:val="24"/>
                <w:highlight w:val="none"/>
              </w:rPr>
              <w:t>投标单位</w:t>
            </w:r>
          </w:p>
        </w:tc>
        <w:tc>
          <w:tcPr>
            <w:tcW w:w="2428" w:type="dxa"/>
            <w:vAlign w:val="top"/>
          </w:tcPr>
          <w:p w14:paraId="767885ED">
            <w:pPr>
              <w:keepNext w:val="0"/>
              <w:keepLines w:val="0"/>
              <w:pageBreakBefore w:val="0"/>
              <w:wordWrap w:val="0"/>
              <w:overflowPunct/>
              <w:topLinePunct w:val="0"/>
              <w:bidi w:val="0"/>
              <w:spacing w:before="133" w:line="222" w:lineRule="auto"/>
              <w:ind w:left="360" w:leftChars="0"/>
              <w:rPr>
                <w:rFonts w:hint="eastAsia" w:ascii="宋体" w:hAnsi="宋体" w:eastAsia="宋体" w:cs="宋体"/>
                <w:color w:val="auto"/>
                <w:spacing w:val="0"/>
                <w:highlight w:val="none"/>
              </w:rPr>
            </w:pPr>
            <w:r>
              <w:rPr>
                <w:rFonts w:hint="eastAsia" w:ascii="宋体" w:hAnsi="宋体" w:eastAsia="宋体" w:cs="宋体"/>
                <w:color w:val="auto"/>
                <w:spacing w:val="0"/>
                <w:sz w:val="24"/>
                <w:szCs w:val="24"/>
                <w:highlight w:val="none"/>
              </w:rPr>
              <w:t>备注</w:t>
            </w:r>
          </w:p>
        </w:tc>
      </w:tr>
      <w:tr w14:paraId="15ABD6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2"/>
          <w:wBefore w:w="69" w:type="dxa"/>
          <w:trHeight w:val="0" w:hRule="atLeast"/>
        </w:trPr>
        <w:tc>
          <w:tcPr>
            <w:tcW w:w="4862" w:type="dxa"/>
            <w:vAlign w:val="top"/>
          </w:tcPr>
          <w:p w14:paraId="18D15421">
            <w:pPr>
              <w:keepNext w:val="0"/>
              <w:keepLines w:val="0"/>
              <w:pageBreakBefore w:val="0"/>
              <w:wordWrap w:val="0"/>
              <w:overflowPunct/>
              <w:topLinePunct w:val="0"/>
              <w:bidi w:val="0"/>
              <w:spacing w:before="128" w:line="221" w:lineRule="auto"/>
              <w:ind w:left="120" w:leftChars="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一、基坑支护</w:t>
            </w:r>
          </w:p>
        </w:tc>
        <w:tc>
          <w:tcPr>
            <w:tcW w:w="1294" w:type="dxa"/>
            <w:vAlign w:val="top"/>
          </w:tcPr>
          <w:p w14:paraId="66E78AD9">
            <w:pPr>
              <w:keepNext w:val="0"/>
              <w:keepLines w:val="0"/>
              <w:pageBreakBefore w:val="0"/>
              <w:wordWrap w:val="0"/>
              <w:overflowPunct/>
              <w:topLinePunct w:val="0"/>
              <w:bidi w:val="0"/>
              <w:spacing w:before="128" w:line="223" w:lineRule="auto"/>
              <w:jc w:val="center"/>
              <w:rPr>
                <w:rFonts w:hint="eastAsia" w:ascii="宋体" w:hAnsi="宋体" w:eastAsia="宋体" w:cs="宋体"/>
                <w:color w:val="auto"/>
                <w:spacing w:val="0"/>
                <w:w w:val="94"/>
                <w:sz w:val="24"/>
                <w:szCs w:val="24"/>
                <w:highlight w:val="none"/>
              </w:rPr>
            </w:pPr>
            <w:r>
              <w:rPr>
                <w:rFonts w:hint="eastAsia" w:ascii="宋体" w:hAnsi="宋体" w:eastAsia="宋体" w:cs="宋体"/>
                <w:color w:val="auto"/>
                <w:spacing w:val="0"/>
                <w:w w:val="94"/>
                <w:sz w:val="24"/>
                <w:szCs w:val="24"/>
                <w:highlight w:val="none"/>
              </w:rPr>
              <w:t>(</w:t>
            </w:r>
            <w:bookmarkStart w:id="253" w:name="OLE_LINK39"/>
            <w:r>
              <w:rPr>
                <w:rFonts w:hint="eastAsia" w:ascii="宋体" w:hAnsi="宋体" w:eastAsia="宋体" w:cs="宋体"/>
                <w:color w:val="auto"/>
                <w:spacing w:val="0"/>
                <w:sz w:val="24"/>
                <w:szCs w:val="24"/>
                <w:highlight w:val="none"/>
              </w:rPr>
              <w:t xml:space="preserve">  </w:t>
            </w:r>
            <w:bookmarkEnd w:id="253"/>
            <w:r>
              <w:rPr>
                <w:rFonts w:hint="eastAsia" w:ascii="宋体" w:hAnsi="宋体" w:eastAsia="宋体" w:cs="宋体"/>
                <w:color w:val="auto"/>
                <w:spacing w:val="0"/>
                <w:w w:val="94"/>
                <w:sz w:val="24"/>
                <w:szCs w:val="24"/>
                <w:highlight w:val="none"/>
              </w:rPr>
              <w:t>)</w:t>
            </w:r>
          </w:p>
        </w:tc>
        <w:tc>
          <w:tcPr>
            <w:tcW w:w="1294" w:type="dxa"/>
            <w:vAlign w:val="top"/>
          </w:tcPr>
          <w:p w14:paraId="0D7DC056">
            <w:pPr>
              <w:keepNext w:val="0"/>
              <w:keepLines w:val="0"/>
              <w:pageBreakBefore w:val="0"/>
              <w:wordWrap w:val="0"/>
              <w:overflowPunct/>
              <w:topLinePunct w:val="0"/>
              <w:bidi w:val="0"/>
              <w:spacing w:before="128" w:line="223" w:lineRule="auto"/>
              <w:ind w:left="367" w:leftChars="0"/>
              <w:rPr>
                <w:rFonts w:hint="eastAsia" w:ascii="宋体" w:hAnsi="宋体" w:eastAsia="宋体" w:cs="宋体"/>
                <w:color w:val="auto"/>
                <w:spacing w:val="0"/>
                <w:w w:val="94"/>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1C93A539">
            <w:pPr>
              <w:pStyle w:val="32"/>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4FB1E6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2"/>
          <w:wBefore w:w="69" w:type="dxa"/>
          <w:trHeight w:val="0" w:hRule="atLeast"/>
        </w:trPr>
        <w:tc>
          <w:tcPr>
            <w:tcW w:w="4862" w:type="dxa"/>
            <w:vAlign w:val="top"/>
          </w:tcPr>
          <w:p w14:paraId="761F078A">
            <w:pPr>
              <w:keepNext w:val="0"/>
              <w:keepLines w:val="0"/>
              <w:pageBreakBefore w:val="0"/>
              <w:wordWrap w:val="0"/>
              <w:overflowPunct/>
              <w:topLinePunct w:val="0"/>
              <w:bidi w:val="0"/>
              <w:spacing w:before="129" w:line="328" w:lineRule="auto"/>
              <w:ind w:left="135" w:leftChars="0" w:right="68" w:rightChars="0" w:hanging="8" w:firstLineChars="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（一）开挖深度超过 3m（含 3m）的基坑（槽） 的土方开挖、支护、降水工程。</w:t>
            </w:r>
          </w:p>
        </w:tc>
        <w:tc>
          <w:tcPr>
            <w:tcW w:w="1294" w:type="dxa"/>
            <w:vAlign w:val="top"/>
          </w:tcPr>
          <w:p w14:paraId="542E60B9">
            <w:pPr>
              <w:pStyle w:val="32"/>
              <w:keepNext w:val="0"/>
              <w:keepLines w:val="0"/>
              <w:pageBreakBefore w:val="0"/>
              <w:wordWrap w:val="0"/>
              <w:overflowPunct/>
              <w:topLinePunct w:val="0"/>
              <w:bidi w:val="0"/>
              <w:spacing w:line="297" w:lineRule="auto"/>
              <w:rPr>
                <w:rFonts w:hint="eastAsia" w:ascii="宋体" w:hAnsi="宋体" w:eastAsia="宋体" w:cs="宋体"/>
                <w:color w:val="auto"/>
                <w:spacing w:val="0"/>
                <w:highlight w:val="none"/>
              </w:rPr>
            </w:pPr>
          </w:p>
          <w:p w14:paraId="440C62F7">
            <w:pPr>
              <w:keepNext w:val="0"/>
              <w:keepLines w:val="0"/>
              <w:pageBreakBefore w:val="0"/>
              <w:wordWrap w:val="0"/>
              <w:overflowPunct/>
              <w:topLinePunct w:val="0"/>
              <w:bidi w:val="0"/>
              <w:spacing w:before="78" w:line="223" w:lineRule="auto"/>
              <w:ind w:left="396" w:leftChars="0"/>
              <w:rPr>
                <w:rFonts w:hint="eastAsia" w:ascii="宋体" w:hAnsi="宋体" w:eastAsia="宋体" w:cs="宋体"/>
                <w:color w:val="auto"/>
                <w:spacing w:val="0"/>
                <w:w w:val="94"/>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5B67053D">
            <w:pPr>
              <w:pStyle w:val="32"/>
              <w:keepNext w:val="0"/>
              <w:keepLines w:val="0"/>
              <w:pageBreakBefore w:val="0"/>
              <w:wordWrap w:val="0"/>
              <w:overflowPunct/>
              <w:topLinePunct w:val="0"/>
              <w:bidi w:val="0"/>
              <w:spacing w:line="297" w:lineRule="auto"/>
              <w:rPr>
                <w:rFonts w:hint="eastAsia" w:ascii="宋体" w:hAnsi="宋体" w:eastAsia="宋体" w:cs="宋体"/>
                <w:color w:val="auto"/>
                <w:spacing w:val="0"/>
                <w:highlight w:val="none"/>
              </w:rPr>
            </w:pPr>
          </w:p>
          <w:p w14:paraId="5B2661D1">
            <w:pPr>
              <w:keepNext w:val="0"/>
              <w:keepLines w:val="0"/>
              <w:pageBreakBefore w:val="0"/>
              <w:wordWrap w:val="0"/>
              <w:overflowPunct/>
              <w:topLinePunct w:val="0"/>
              <w:bidi w:val="0"/>
              <w:spacing w:before="78" w:line="223" w:lineRule="auto"/>
              <w:ind w:left="367" w:leftChars="0"/>
              <w:rPr>
                <w:rFonts w:hint="eastAsia" w:ascii="宋体" w:hAnsi="宋体" w:eastAsia="宋体" w:cs="宋体"/>
                <w:color w:val="auto"/>
                <w:spacing w:val="0"/>
                <w:w w:val="94"/>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0EAA5844">
            <w:pPr>
              <w:pStyle w:val="32"/>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7ED42B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2"/>
          <w:wBefore w:w="69" w:type="dxa"/>
          <w:trHeight w:val="0" w:hRule="atLeast"/>
        </w:trPr>
        <w:tc>
          <w:tcPr>
            <w:tcW w:w="4862" w:type="dxa"/>
            <w:vAlign w:val="top"/>
          </w:tcPr>
          <w:p w14:paraId="3E14C905">
            <w:pPr>
              <w:keepNext w:val="0"/>
              <w:keepLines w:val="0"/>
              <w:pageBreakBefore w:val="0"/>
              <w:wordWrap w:val="0"/>
              <w:overflowPunct/>
              <w:topLinePunct w:val="0"/>
              <w:bidi w:val="0"/>
              <w:spacing w:before="132" w:line="354" w:lineRule="auto"/>
              <w:ind w:left="116" w:right="108" w:firstLine="11"/>
              <w:jc w:val="both"/>
              <w:rPr>
                <w:rFonts w:hint="eastAsia" w:ascii="宋体" w:hAnsi="宋体" w:eastAsia="宋体" w:cs="宋体"/>
                <w:color w:val="auto"/>
                <w:spacing w:val="0"/>
                <w:sz w:val="24"/>
                <w:szCs w:val="24"/>
                <w:highlight w:val="none"/>
              </w:rPr>
            </w:pPr>
            <w:bookmarkStart w:id="254" w:name="bookmark161"/>
            <w:bookmarkEnd w:id="254"/>
            <w:r>
              <w:rPr>
                <w:rFonts w:hint="eastAsia" w:ascii="宋体" w:hAnsi="宋体" w:eastAsia="宋体" w:cs="宋体"/>
                <w:color w:val="auto"/>
                <w:spacing w:val="0"/>
                <w:sz w:val="24"/>
                <w:szCs w:val="24"/>
                <w:highlight w:val="none"/>
              </w:rPr>
              <w:t>（二）开挖深度虽未超过 3m，但地质条件、周 围环境和地下管线复杂，或影响毗邻建、构筑 物安全的基坑（槽）的土方开挖、支护、降水 工程。</w:t>
            </w:r>
          </w:p>
        </w:tc>
        <w:tc>
          <w:tcPr>
            <w:tcW w:w="1294" w:type="dxa"/>
            <w:vAlign w:val="top"/>
          </w:tcPr>
          <w:p w14:paraId="2E91F67B">
            <w:pPr>
              <w:pStyle w:val="32"/>
              <w:keepNext w:val="0"/>
              <w:keepLines w:val="0"/>
              <w:pageBreakBefore w:val="0"/>
              <w:wordWrap w:val="0"/>
              <w:overflowPunct/>
              <w:topLinePunct w:val="0"/>
              <w:bidi w:val="0"/>
              <w:spacing w:line="263" w:lineRule="auto"/>
              <w:rPr>
                <w:rFonts w:hint="eastAsia" w:ascii="宋体" w:hAnsi="宋体" w:eastAsia="宋体" w:cs="宋体"/>
                <w:color w:val="auto"/>
                <w:spacing w:val="0"/>
                <w:highlight w:val="none"/>
              </w:rPr>
            </w:pPr>
          </w:p>
          <w:p w14:paraId="404B205C">
            <w:pPr>
              <w:pStyle w:val="32"/>
              <w:keepNext w:val="0"/>
              <w:keepLines w:val="0"/>
              <w:pageBreakBefore w:val="0"/>
              <w:wordWrap w:val="0"/>
              <w:overflowPunct/>
              <w:topLinePunct w:val="0"/>
              <w:bidi w:val="0"/>
              <w:spacing w:line="263" w:lineRule="auto"/>
              <w:rPr>
                <w:rFonts w:hint="eastAsia" w:ascii="宋体" w:hAnsi="宋体" w:eastAsia="宋体" w:cs="宋体"/>
                <w:color w:val="auto"/>
                <w:spacing w:val="0"/>
                <w:highlight w:val="none"/>
              </w:rPr>
            </w:pPr>
          </w:p>
          <w:p w14:paraId="04A1DDA0">
            <w:pPr>
              <w:pStyle w:val="32"/>
              <w:keepNext w:val="0"/>
              <w:keepLines w:val="0"/>
              <w:pageBreakBefore w:val="0"/>
              <w:wordWrap w:val="0"/>
              <w:overflowPunct/>
              <w:topLinePunct w:val="0"/>
              <w:bidi w:val="0"/>
              <w:spacing w:line="264" w:lineRule="auto"/>
              <w:rPr>
                <w:rFonts w:hint="eastAsia" w:ascii="宋体" w:hAnsi="宋体" w:eastAsia="宋体" w:cs="宋体"/>
                <w:color w:val="auto"/>
                <w:spacing w:val="0"/>
                <w:highlight w:val="none"/>
              </w:rPr>
            </w:pPr>
          </w:p>
          <w:p w14:paraId="06F55681">
            <w:pPr>
              <w:keepNext w:val="0"/>
              <w:keepLines w:val="0"/>
              <w:pageBreakBefore w:val="0"/>
              <w:wordWrap w:val="0"/>
              <w:overflowPunct/>
              <w:topLinePunct w:val="0"/>
              <w:bidi w:val="0"/>
              <w:spacing w:before="78"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bookmarkStart w:id="255" w:name="OLE_LINK40"/>
            <w:r>
              <w:rPr>
                <w:rFonts w:hint="eastAsia" w:ascii="宋体" w:hAnsi="宋体" w:eastAsia="宋体" w:cs="宋体"/>
                <w:color w:val="auto"/>
                <w:spacing w:val="0"/>
                <w:sz w:val="24"/>
                <w:szCs w:val="24"/>
                <w:highlight w:val="none"/>
              </w:rPr>
              <w:t xml:space="preserve">     </w:t>
            </w:r>
            <w:bookmarkEnd w:id="255"/>
            <w:r>
              <w:rPr>
                <w:rFonts w:hint="eastAsia" w:ascii="宋体" w:hAnsi="宋体" w:eastAsia="宋体" w:cs="宋体"/>
                <w:color w:val="auto"/>
                <w:spacing w:val="0"/>
                <w:w w:val="94"/>
                <w:sz w:val="24"/>
                <w:szCs w:val="24"/>
                <w:highlight w:val="none"/>
              </w:rPr>
              <w:t>)</w:t>
            </w:r>
          </w:p>
        </w:tc>
        <w:tc>
          <w:tcPr>
            <w:tcW w:w="1294" w:type="dxa"/>
            <w:vAlign w:val="top"/>
          </w:tcPr>
          <w:p w14:paraId="40DAFB71">
            <w:pPr>
              <w:pStyle w:val="32"/>
              <w:keepNext w:val="0"/>
              <w:keepLines w:val="0"/>
              <w:pageBreakBefore w:val="0"/>
              <w:wordWrap w:val="0"/>
              <w:overflowPunct/>
              <w:topLinePunct w:val="0"/>
              <w:bidi w:val="0"/>
              <w:spacing w:line="263" w:lineRule="auto"/>
              <w:rPr>
                <w:rFonts w:hint="eastAsia" w:ascii="宋体" w:hAnsi="宋体" w:eastAsia="宋体" w:cs="宋体"/>
                <w:color w:val="auto"/>
                <w:spacing w:val="0"/>
                <w:highlight w:val="none"/>
              </w:rPr>
            </w:pPr>
          </w:p>
          <w:p w14:paraId="772B8172">
            <w:pPr>
              <w:pStyle w:val="32"/>
              <w:keepNext w:val="0"/>
              <w:keepLines w:val="0"/>
              <w:pageBreakBefore w:val="0"/>
              <w:wordWrap w:val="0"/>
              <w:overflowPunct/>
              <w:topLinePunct w:val="0"/>
              <w:bidi w:val="0"/>
              <w:spacing w:line="263" w:lineRule="auto"/>
              <w:rPr>
                <w:rFonts w:hint="eastAsia" w:ascii="宋体" w:hAnsi="宋体" w:eastAsia="宋体" w:cs="宋体"/>
                <w:color w:val="auto"/>
                <w:spacing w:val="0"/>
                <w:highlight w:val="none"/>
              </w:rPr>
            </w:pPr>
          </w:p>
          <w:p w14:paraId="63E011F5">
            <w:pPr>
              <w:pStyle w:val="32"/>
              <w:keepNext w:val="0"/>
              <w:keepLines w:val="0"/>
              <w:pageBreakBefore w:val="0"/>
              <w:wordWrap w:val="0"/>
              <w:overflowPunct/>
              <w:topLinePunct w:val="0"/>
              <w:bidi w:val="0"/>
              <w:spacing w:line="264" w:lineRule="auto"/>
              <w:rPr>
                <w:rFonts w:hint="eastAsia" w:ascii="宋体" w:hAnsi="宋体" w:eastAsia="宋体" w:cs="宋体"/>
                <w:color w:val="auto"/>
                <w:spacing w:val="0"/>
                <w:highlight w:val="none"/>
              </w:rPr>
            </w:pPr>
          </w:p>
          <w:p w14:paraId="1672892B">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52B74216">
            <w:pPr>
              <w:pStyle w:val="32"/>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024870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2"/>
          <w:wBefore w:w="69" w:type="dxa"/>
          <w:trHeight w:val="0" w:hRule="atLeast"/>
        </w:trPr>
        <w:tc>
          <w:tcPr>
            <w:tcW w:w="4862" w:type="dxa"/>
            <w:vAlign w:val="top"/>
          </w:tcPr>
          <w:p w14:paraId="57BFB2E8">
            <w:pPr>
              <w:keepNext w:val="0"/>
              <w:keepLines w:val="0"/>
              <w:pageBreakBefore w:val="0"/>
              <w:wordWrap w:val="0"/>
              <w:overflowPunct/>
              <w:topLinePunct w:val="0"/>
              <w:bidi w:val="0"/>
              <w:spacing w:before="128" w:line="219" w:lineRule="auto"/>
              <w:ind w:left="12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二、模板工程及支撑体系</w:t>
            </w:r>
          </w:p>
        </w:tc>
        <w:tc>
          <w:tcPr>
            <w:tcW w:w="1294" w:type="dxa"/>
            <w:vAlign w:val="top"/>
          </w:tcPr>
          <w:p w14:paraId="02627DAA">
            <w:pPr>
              <w:keepNext w:val="0"/>
              <w:keepLines w:val="0"/>
              <w:pageBreakBefore w:val="0"/>
              <w:wordWrap w:val="0"/>
              <w:overflowPunct/>
              <w:topLinePunct w:val="0"/>
              <w:bidi w:val="0"/>
              <w:spacing w:before="128"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2C0A0B1B">
            <w:pPr>
              <w:keepNext w:val="0"/>
              <w:keepLines w:val="0"/>
              <w:pageBreakBefore w:val="0"/>
              <w:wordWrap w:val="0"/>
              <w:overflowPunct/>
              <w:topLinePunct w:val="0"/>
              <w:bidi w:val="0"/>
              <w:spacing w:before="12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3C9671CC">
            <w:pPr>
              <w:pStyle w:val="32"/>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2C99A3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2"/>
          <w:wBefore w:w="69" w:type="dxa"/>
          <w:trHeight w:val="0" w:hRule="atLeast"/>
        </w:trPr>
        <w:tc>
          <w:tcPr>
            <w:tcW w:w="4862" w:type="dxa"/>
            <w:vAlign w:val="top"/>
          </w:tcPr>
          <w:p w14:paraId="0EB6756C">
            <w:pPr>
              <w:keepNext w:val="0"/>
              <w:keepLines w:val="0"/>
              <w:pageBreakBefore w:val="0"/>
              <w:wordWrap w:val="0"/>
              <w:overflowPunct/>
              <w:topLinePunct w:val="0"/>
              <w:bidi w:val="0"/>
              <w:spacing w:before="128" w:line="328" w:lineRule="auto"/>
              <w:ind w:left="123" w:right="25" w:firstLine="4"/>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（一）各类工具式模板工程：包括滑模、爬模、 飞模、隧道模等工程。</w:t>
            </w:r>
          </w:p>
        </w:tc>
        <w:tc>
          <w:tcPr>
            <w:tcW w:w="1294" w:type="dxa"/>
            <w:vAlign w:val="top"/>
          </w:tcPr>
          <w:p w14:paraId="015741C6">
            <w:pPr>
              <w:pStyle w:val="32"/>
              <w:keepNext w:val="0"/>
              <w:keepLines w:val="0"/>
              <w:pageBreakBefore w:val="0"/>
              <w:wordWrap w:val="0"/>
              <w:overflowPunct/>
              <w:topLinePunct w:val="0"/>
              <w:bidi w:val="0"/>
              <w:spacing w:line="293" w:lineRule="auto"/>
              <w:rPr>
                <w:rFonts w:hint="eastAsia" w:ascii="宋体" w:hAnsi="宋体" w:eastAsia="宋体" w:cs="宋体"/>
                <w:color w:val="auto"/>
                <w:spacing w:val="0"/>
                <w:highlight w:val="none"/>
              </w:rPr>
            </w:pPr>
          </w:p>
          <w:p w14:paraId="38127084">
            <w:pPr>
              <w:keepNext w:val="0"/>
              <w:keepLines w:val="0"/>
              <w:pageBreakBefore w:val="0"/>
              <w:wordWrap w:val="0"/>
              <w:overflowPunct/>
              <w:topLinePunct w:val="0"/>
              <w:bidi w:val="0"/>
              <w:spacing w:before="78"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1193CA91">
            <w:pPr>
              <w:pStyle w:val="32"/>
              <w:keepNext w:val="0"/>
              <w:keepLines w:val="0"/>
              <w:pageBreakBefore w:val="0"/>
              <w:wordWrap w:val="0"/>
              <w:overflowPunct/>
              <w:topLinePunct w:val="0"/>
              <w:bidi w:val="0"/>
              <w:spacing w:line="293" w:lineRule="auto"/>
              <w:rPr>
                <w:rFonts w:hint="eastAsia" w:ascii="宋体" w:hAnsi="宋体" w:eastAsia="宋体" w:cs="宋体"/>
                <w:color w:val="auto"/>
                <w:spacing w:val="0"/>
                <w:highlight w:val="none"/>
              </w:rPr>
            </w:pPr>
          </w:p>
          <w:p w14:paraId="75C950CE">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4599051D">
            <w:pPr>
              <w:pStyle w:val="32"/>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0FE564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931" w:type="dxa"/>
            <w:gridSpan w:val="3"/>
            <w:vAlign w:val="top"/>
          </w:tcPr>
          <w:p w14:paraId="61704577">
            <w:pPr>
              <w:keepNext w:val="0"/>
              <w:keepLines w:val="0"/>
              <w:pageBreakBefore w:val="0"/>
              <w:wordWrap w:val="0"/>
              <w:overflowPunct/>
              <w:topLinePunct w:val="0"/>
              <w:bidi w:val="0"/>
              <w:spacing w:before="131" w:line="362" w:lineRule="auto"/>
              <w:ind w:left="115" w:right="105" w:firstLine="12"/>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（二）混凝土模板支撑工程：搭设高度 5m 及以 上，或搭设跨度 10m 及以上，或施工总荷载（荷 载效应基本组合的设计值，以下简称设计值） 10kN/m2 及以上，或集中线荷载（设计值）15kN/m 及以上，或高度大于支撑水平投影宽度且相对 独立无联系构件的混凝土模板支撑工程。</w:t>
            </w:r>
          </w:p>
        </w:tc>
        <w:tc>
          <w:tcPr>
            <w:tcW w:w="1294" w:type="dxa"/>
            <w:vAlign w:val="top"/>
          </w:tcPr>
          <w:p w14:paraId="247D0155">
            <w:pPr>
              <w:pStyle w:val="32"/>
              <w:keepNext w:val="0"/>
              <w:keepLines w:val="0"/>
              <w:pageBreakBefore w:val="0"/>
              <w:wordWrap w:val="0"/>
              <w:overflowPunct/>
              <w:topLinePunct w:val="0"/>
              <w:bidi w:val="0"/>
              <w:spacing w:line="255" w:lineRule="auto"/>
              <w:rPr>
                <w:rFonts w:hint="eastAsia" w:ascii="宋体" w:hAnsi="宋体" w:eastAsia="宋体" w:cs="宋体"/>
                <w:color w:val="auto"/>
                <w:spacing w:val="0"/>
                <w:highlight w:val="none"/>
              </w:rPr>
            </w:pPr>
          </w:p>
          <w:p w14:paraId="626D4DF6">
            <w:pPr>
              <w:pStyle w:val="32"/>
              <w:keepNext w:val="0"/>
              <w:keepLines w:val="0"/>
              <w:pageBreakBefore w:val="0"/>
              <w:wordWrap w:val="0"/>
              <w:overflowPunct/>
              <w:topLinePunct w:val="0"/>
              <w:bidi w:val="0"/>
              <w:spacing w:line="255" w:lineRule="auto"/>
              <w:rPr>
                <w:rFonts w:hint="eastAsia" w:ascii="宋体" w:hAnsi="宋体" w:eastAsia="宋体" w:cs="宋体"/>
                <w:color w:val="auto"/>
                <w:spacing w:val="0"/>
                <w:highlight w:val="none"/>
              </w:rPr>
            </w:pPr>
          </w:p>
          <w:p w14:paraId="547A64D8">
            <w:pPr>
              <w:pStyle w:val="32"/>
              <w:keepNext w:val="0"/>
              <w:keepLines w:val="0"/>
              <w:pageBreakBefore w:val="0"/>
              <w:wordWrap w:val="0"/>
              <w:overflowPunct/>
              <w:topLinePunct w:val="0"/>
              <w:bidi w:val="0"/>
              <w:spacing w:line="255" w:lineRule="auto"/>
              <w:rPr>
                <w:rFonts w:hint="eastAsia" w:ascii="宋体" w:hAnsi="宋体" w:eastAsia="宋体" w:cs="宋体"/>
                <w:color w:val="auto"/>
                <w:spacing w:val="0"/>
                <w:highlight w:val="none"/>
              </w:rPr>
            </w:pPr>
          </w:p>
          <w:p w14:paraId="360FD2CC">
            <w:pPr>
              <w:pStyle w:val="32"/>
              <w:keepNext w:val="0"/>
              <w:keepLines w:val="0"/>
              <w:pageBreakBefore w:val="0"/>
              <w:wordWrap w:val="0"/>
              <w:overflowPunct/>
              <w:topLinePunct w:val="0"/>
              <w:bidi w:val="0"/>
              <w:spacing w:line="255" w:lineRule="auto"/>
              <w:rPr>
                <w:rFonts w:hint="eastAsia" w:ascii="宋体" w:hAnsi="宋体" w:eastAsia="宋体" w:cs="宋体"/>
                <w:color w:val="auto"/>
                <w:spacing w:val="0"/>
                <w:highlight w:val="none"/>
              </w:rPr>
            </w:pPr>
          </w:p>
          <w:p w14:paraId="4DFA3409">
            <w:pPr>
              <w:pStyle w:val="32"/>
              <w:keepNext w:val="0"/>
              <w:keepLines w:val="0"/>
              <w:pageBreakBefore w:val="0"/>
              <w:wordWrap w:val="0"/>
              <w:overflowPunct/>
              <w:topLinePunct w:val="0"/>
              <w:bidi w:val="0"/>
              <w:spacing w:line="256" w:lineRule="auto"/>
              <w:rPr>
                <w:rFonts w:hint="eastAsia" w:ascii="宋体" w:hAnsi="宋体" w:eastAsia="宋体" w:cs="宋体"/>
                <w:color w:val="auto"/>
                <w:spacing w:val="0"/>
                <w:highlight w:val="none"/>
              </w:rPr>
            </w:pPr>
          </w:p>
          <w:p w14:paraId="5665B106">
            <w:pPr>
              <w:keepNext w:val="0"/>
              <w:keepLines w:val="0"/>
              <w:pageBreakBefore w:val="0"/>
              <w:wordWrap w:val="0"/>
              <w:overflowPunct/>
              <w:topLinePunct w:val="0"/>
              <w:bidi w:val="0"/>
              <w:spacing w:before="78" w:line="223" w:lineRule="auto"/>
              <w:ind w:left="42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w w:val="94"/>
                <w:sz w:val="24"/>
                <w:szCs w:val="24"/>
                <w:highlight w:val="none"/>
                <w:lang w:val="en-US" w:eastAsia="zh-CN"/>
              </w:rPr>
              <w:t xml:space="preserve"> </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57E55AFC">
            <w:pPr>
              <w:pStyle w:val="32"/>
              <w:keepNext w:val="0"/>
              <w:keepLines w:val="0"/>
              <w:pageBreakBefore w:val="0"/>
              <w:wordWrap w:val="0"/>
              <w:overflowPunct/>
              <w:topLinePunct w:val="0"/>
              <w:bidi w:val="0"/>
              <w:spacing w:line="255" w:lineRule="auto"/>
              <w:rPr>
                <w:rFonts w:hint="eastAsia" w:ascii="宋体" w:hAnsi="宋体" w:eastAsia="宋体" w:cs="宋体"/>
                <w:color w:val="auto"/>
                <w:spacing w:val="0"/>
                <w:highlight w:val="none"/>
              </w:rPr>
            </w:pPr>
          </w:p>
          <w:p w14:paraId="3B0413F5">
            <w:pPr>
              <w:pStyle w:val="32"/>
              <w:keepNext w:val="0"/>
              <w:keepLines w:val="0"/>
              <w:pageBreakBefore w:val="0"/>
              <w:wordWrap w:val="0"/>
              <w:overflowPunct/>
              <w:topLinePunct w:val="0"/>
              <w:bidi w:val="0"/>
              <w:spacing w:line="255" w:lineRule="auto"/>
              <w:rPr>
                <w:rFonts w:hint="eastAsia" w:ascii="宋体" w:hAnsi="宋体" w:eastAsia="宋体" w:cs="宋体"/>
                <w:color w:val="auto"/>
                <w:spacing w:val="0"/>
                <w:highlight w:val="none"/>
              </w:rPr>
            </w:pPr>
          </w:p>
          <w:p w14:paraId="1242C478">
            <w:pPr>
              <w:pStyle w:val="32"/>
              <w:keepNext w:val="0"/>
              <w:keepLines w:val="0"/>
              <w:pageBreakBefore w:val="0"/>
              <w:wordWrap w:val="0"/>
              <w:overflowPunct/>
              <w:topLinePunct w:val="0"/>
              <w:bidi w:val="0"/>
              <w:spacing w:line="255" w:lineRule="auto"/>
              <w:rPr>
                <w:rFonts w:hint="eastAsia" w:ascii="宋体" w:hAnsi="宋体" w:eastAsia="宋体" w:cs="宋体"/>
                <w:color w:val="auto"/>
                <w:spacing w:val="0"/>
                <w:highlight w:val="none"/>
              </w:rPr>
            </w:pPr>
          </w:p>
          <w:p w14:paraId="5F0C040F">
            <w:pPr>
              <w:pStyle w:val="32"/>
              <w:keepNext w:val="0"/>
              <w:keepLines w:val="0"/>
              <w:pageBreakBefore w:val="0"/>
              <w:wordWrap w:val="0"/>
              <w:overflowPunct/>
              <w:topLinePunct w:val="0"/>
              <w:bidi w:val="0"/>
              <w:spacing w:line="255" w:lineRule="auto"/>
              <w:rPr>
                <w:rFonts w:hint="eastAsia" w:ascii="宋体" w:hAnsi="宋体" w:eastAsia="宋体" w:cs="宋体"/>
                <w:color w:val="auto"/>
                <w:spacing w:val="0"/>
                <w:highlight w:val="none"/>
              </w:rPr>
            </w:pPr>
          </w:p>
          <w:p w14:paraId="22B84484">
            <w:pPr>
              <w:pStyle w:val="32"/>
              <w:keepNext w:val="0"/>
              <w:keepLines w:val="0"/>
              <w:pageBreakBefore w:val="0"/>
              <w:wordWrap w:val="0"/>
              <w:overflowPunct/>
              <w:topLinePunct w:val="0"/>
              <w:bidi w:val="0"/>
              <w:spacing w:line="256" w:lineRule="auto"/>
              <w:rPr>
                <w:rFonts w:hint="eastAsia" w:ascii="宋体" w:hAnsi="宋体" w:eastAsia="宋体" w:cs="宋体"/>
                <w:color w:val="auto"/>
                <w:spacing w:val="0"/>
                <w:highlight w:val="none"/>
              </w:rPr>
            </w:pPr>
          </w:p>
          <w:p w14:paraId="622046EC">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4F35CF34">
            <w:pPr>
              <w:pStyle w:val="32"/>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3EDCA6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931" w:type="dxa"/>
            <w:gridSpan w:val="3"/>
            <w:vAlign w:val="top"/>
          </w:tcPr>
          <w:p w14:paraId="169E7F26">
            <w:pPr>
              <w:keepNext w:val="0"/>
              <w:keepLines w:val="0"/>
              <w:pageBreakBefore w:val="0"/>
              <w:wordWrap w:val="0"/>
              <w:overflowPunct/>
              <w:topLinePunct w:val="0"/>
              <w:bidi w:val="0"/>
              <w:spacing w:before="130" w:line="327" w:lineRule="auto"/>
              <w:ind w:left="117" w:right="168" w:firstLine="1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（三）承重支撑体系：用于钢结构安装等满堂 支撑体系。</w:t>
            </w:r>
          </w:p>
        </w:tc>
        <w:tc>
          <w:tcPr>
            <w:tcW w:w="1294" w:type="dxa"/>
            <w:vAlign w:val="top"/>
          </w:tcPr>
          <w:p w14:paraId="6469A954">
            <w:pPr>
              <w:pStyle w:val="32"/>
              <w:keepNext w:val="0"/>
              <w:keepLines w:val="0"/>
              <w:pageBreakBefore w:val="0"/>
              <w:wordWrap w:val="0"/>
              <w:overflowPunct/>
              <w:topLinePunct w:val="0"/>
              <w:bidi w:val="0"/>
              <w:spacing w:line="296" w:lineRule="auto"/>
              <w:rPr>
                <w:rFonts w:hint="eastAsia" w:ascii="宋体" w:hAnsi="宋体" w:eastAsia="宋体" w:cs="宋体"/>
                <w:color w:val="auto"/>
                <w:spacing w:val="0"/>
                <w:highlight w:val="none"/>
              </w:rPr>
            </w:pPr>
          </w:p>
          <w:p w14:paraId="27FAD3E2">
            <w:pPr>
              <w:keepNext w:val="0"/>
              <w:keepLines w:val="0"/>
              <w:pageBreakBefore w:val="0"/>
              <w:wordWrap w:val="0"/>
              <w:overflowPunct/>
              <w:topLinePunct w:val="0"/>
              <w:bidi w:val="0"/>
              <w:spacing w:before="78" w:line="223" w:lineRule="auto"/>
              <w:ind w:left="30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4C4BCB16">
            <w:pPr>
              <w:pStyle w:val="32"/>
              <w:keepNext w:val="0"/>
              <w:keepLines w:val="0"/>
              <w:pageBreakBefore w:val="0"/>
              <w:wordWrap w:val="0"/>
              <w:overflowPunct/>
              <w:topLinePunct w:val="0"/>
              <w:bidi w:val="0"/>
              <w:spacing w:line="296" w:lineRule="auto"/>
              <w:rPr>
                <w:rFonts w:hint="eastAsia" w:ascii="宋体" w:hAnsi="宋体" w:eastAsia="宋体" w:cs="宋体"/>
                <w:color w:val="auto"/>
                <w:spacing w:val="0"/>
                <w:highlight w:val="none"/>
              </w:rPr>
            </w:pPr>
          </w:p>
          <w:p w14:paraId="2267236D">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256DE12C">
            <w:pPr>
              <w:pStyle w:val="32"/>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07BEA3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931" w:type="dxa"/>
            <w:gridSpan w:val="3"/>
            <w:vAlign w:val="top"/>
          </w:tcPr>
          <w:p w14:paraId="019591CD">
            <w:pPr>
              <w:keepNext w:val="0"/>
              <w:keepLines w:val="0"/>
              <w:pageBreakBefore w:val="0"/>
              <w:wordWrap w:val="0"/>
              <w:overflowPunct/>
              <w:topLinePunct w:val="0"/>
              <w:bidi w:val="0"/>
              <w:spacing w:before="130" w:line="219" w:lineRule="auto"/>
              <w:ind w:left="356"/>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三、起重吊装及起重机械安装拆卸工程</w:t>
            </w:r>
          </w:p>
        </w:tc>
        <w:tc>
          <w:tcPr>
            <w:tcW w:w="1294" w:type="dxa"/>
            <w:vAlign w:val="top"/>
          </w:tcPr>
          <w:p w14:paraId="62866AB8">
            <w:pPr>
              <w:keepNext w:val="0"/>
              <w:keepLines w:val="0"/>
              <w:pageBreakBefore w:val="0"/>
              <w:wordWrap w:val="0"/>
              <w:overflowPunct/>
              <w:topLinePunct w:val="0"/>
              <w:bidi w:val="0"/>
              <w:spacing w:before="129"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117DB6C6">
            <w:pPr>
              <w:keepNext w:val="0"/>
              <w:keepLines w:val="0"/>
              <w:pageBreakBefore w:val="0"/>
              <w:wordWrap w:val="0"/>
              <w:overflowPunct/>
              <w:topLinePunct w:val="0"/>
              <w:bidi w:val="0"/>
              <w:spacing w:before="129"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736A55C5">
            <w:pPr>
              <w:pStyle w:val="32"/>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7D0765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931" w:type="dxa"/>
            <w:gridSpan w:val="3"/>
            <w:vAlign w:val="top"/>
          </w:tcPr>
          <w:p w14:paraId="2D1F7B20">
            <w:pPr>
              <w:keepNext w:val="0"/>
              <w:keepLines w:val="0"/>
              <w:pageBreakBefore w:val="0"/>
              <w:wordWrap w:val="0"/>
              <w:overflowPunct/>
              <w:topLinePunct w:val="0"/>
              <w:bidi w:val="0"/>
              <w:spacing w:before="131" w:line="327" w:lineRule="auto"/>
              <w:ind w:left="144" w:right="168" w:hanging="1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（一）采用非常规起重设备、方法，且单件起 吊重量在 10kN 及以上的起重吊装工程。</w:t>
            </w:r>
          </w:p>
        </w:tc>
        <w:tc>
          <w:tcPr>
            <w:tcW w:w="1294" w:type="dxa"/>
            <w:vAlign w:val="top"/>
          </w:tcPr>
          <w:p w14:paraId="5B860060">
            <w:pPr>
              <w:pStyle w:val="32"/>
              <w:keepNext w:val="0"/>
              <w:keepLines w:val="0"/>
              <w:pageBreakBefore w:val="0"/>
              <w:wordWrap w:val="0"/>
              <w:overflowPunct/>
              <w:topLinePunct w:val="0"/>
              <w:bidi w:val="0"/>
              <w:spacing w:line="297" w:lineRule="auto"/>
              <w:rPr>
                <w:rFonts w:hint="eastAsia" w:ascii="宋体" w:hAnsi="宋体" w:eastAsia="宋体" w:cs="宋体"/>
                <w:color w:val="auto"/>
                <w:spacing w:val="0"/>
                <w:highlight w:val="none"/>
              </w:rPr>
            </w:pPr>
          </w:p>
          <w:p w14:paraId="4698CBBD">
            <w:pPr>
              <w:keepNext w:val="0"/>
              <w:keepLines w:val="0"/>
              <w:pageBreakBefore w:val="0"/>
              <w:wordWrap w:val="0"/>
              <w:overflowPunct/>
              <w:topLinePunct w:val="0"/>
              <w:bidi w:val="0"/>
              <w:spacing w:before="78"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18B3DB9F">
            <w:pPr>
              <w:pStyle w:val="32"/>
              <w:keepNext w:val="0"/>
              <w:keepLines w:val="0"/>
              <w:pageBreakBefore w:val="0"/>
              <w:wordWrap w:val="0"/>
              <w:overflowPunct/>
              <w:topLinePunct w:val="0"/>
              <w:bidi w:val="0"/>
              <w:spacing w:line="297" w:lineRule="auto"/>
              <w:rPr>
                <w:rFonts w:hint="eastAsia" w:ascii="宋体" w:hAnsi="宋体" w:eastAsia="宋体" w:cs="宋体"/>
                <w:color w:val="auto"/>
                <w:spacing w:val="0"/>
                <w:highlight w:val="none"/>
              </w:rPr>
            </w:pPr>
          </w:p>
          <w:p w14:paraId="3EA0F6E9">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46C497C6">
            <w:pPr>
              <w:pStyle w:val="32"/>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0859A7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931" w:type="dxa"/>
            <w:gridSpan w:val="3"/>
            <w:vAlign w:val="top"/>
          </w:tcPr>
          <w:p w14:paraId="3842A4F1">
            <w:pPr>
              <w:keepNext w:val="0"/>
              <w:keepLines w:val="0"/>
              <w:pageBreakBefore w:val="0"/>
              <w:wordWrap w:val="0"/>
              <w:overflowPunct/>
              <w:topLinePunct w:val="0"/>
              <w:bidi w:val="0"/>
              <w:spacing w:before="132" w:line="219" w:lineRule="auto"/>
              <w:ind w:left="12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（二）采用起重机械进行安装的工程。</w:t>
            </w:r>
          </w:p>
        </w:tc>
        <w:tc>
          <w:tcPr>
            <w:tcW w:w="1294" w:type="dxa"/>
            <w:vAlign w:val="top"/>
          </w:tcPr>
          <w:p w14:paraId="23D8C378">
            <w:pPr>
              <w:keepNext w:val="0"/>
              <w:keepLines w:val="0"/>
              <w:pageBreakBefore w:val="0"/>
              <w:wordWrap w:val="0"/>
              <w:overflowPunct/>
              <w:topLinePunct w:val="0"/>
              <w:bidi w:val="0"/>
              <w:spacing w:before="131" w:line="223" w:lineRule="auto"/>
              <w:ind w:left="30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w w:val="94"/>
                <w:sz w:val="24"/>
                <w:szCs w:val="24"/>
                <w:highlight w:val="none"/>
                <w:lang w:val="en-US" w:eastAsia="zh-CN"/>
              </w:rPr>
              <w:t xml:space="preserve"> </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23863335">
            <w:pPr>
              <w:keepNext w:val="0"/>
              <w:keepLines w:val="0"/>
              <w:pageBreakBefore w:val="0"/>
              <w:wordWrap w:val="0"/>
              <w:overflowPunct/>
              <w:topLinePunct w:val="0"/>
              <w:bidi w:val="0"/>
              <w:spacing w:before="131"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1EAF0C73">
            <w:pPr>
              <w:pStyle w:val="32"/>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56EE7B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931" w:type="dxa"/>
            <w:gridSpan w:val="3"/>
            <w:vAlign w:val="top"/>
          </w:tcPr>
          <w:p w14:paraId="4F4CAABE">
            <w:pPr>
              <w:keepNext w:val="0"/>
              <w:keepLines w:val="0"/>
              <w:pageBreakBefore w:val="0"/>
              <w:wordWrap w:val="0"/>
              <w:overflowPunct/>
              <w:topLinePunct w:val="0"/>
              <w:bidi w:val="0"/>
              <w:spacing w:before="130" w:line="219" w:lineRule="auto"/>
              <w:ind w:left="12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（三）起重机械安装和拆卸工程。</w:t>
            </w:r>
          </w:p>
        </w:tc>
        <w:tc>
          <w:tcPr>
            <w:tcW w:w="1294" w:type="dxa"/>
            <w:vAlign w:val="top"/>
          </w:tcPr>
          <w:p w14:paraId="79B50D3B">
            <w:pPr>
              <w:keepNext w:val="0"/>
              <w:keepLines w:val="0"/>
              <w:pageBreakBefore w:val="0"/>
              <w:wordWrap w:val="0"/>
              <w:overflowPunct/>
              <w:topLinePunct w:val="0"/>
              <w:bidi w:val="0"/>
              <w:spacing w:before="129" w:line="223" w:lineRule="auto"/>
              <w:ind w:left="30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5EE54568">
            <w:pPr>
              <w:keepNext w:val="0"/>
              <w:keepLines w:val="0"/>
              <w:pageBreakBefore w:val="0"/>
              <w:wordWrap w:val="0"/>
              <w:overflowPunct/>
              <w:topLinePunct w:val="0"/>
              <w:bidi w:val="0"/>
              <w:spacing w:before="129"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2F08A59B">
            <w:pPr>
              <w:pStyle w:val="32"/>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53A739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931" w:type="dxa"/>
            <w:gridSpan w:val="3"/>
            <w:vAlign w:val="top"/>
          </w:tcPr>
          <w:p w14:paraId="3464DC43">
            <w:pPr>
              <w:keepNext w:val="0"/>
              <w:keepLines w:val="0"/>
              <w:pageBreakBefore w:val="0"/>
              <w:wordWrap w:val="0"/>
              <w:overflowPunct/>
              <w:topLinePunct w:val="0"/>
              <w:bidi w:val="0"/>
              <w:spacing w:before="131" w:line="219" w:lineRule="auto"/>
              <w:ind w:left="138"/>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四、脚手架工程</w:t>
            </w:r>
          </w:p>
        </w:tc>
        <w:tc>
          <w:tcPr>
            <w:tcW w:w="1294" w:type="dxa"/>
            <w:vAlign w:val="top"/>
          </w:tcPr>
          <w:p w14:paraId="7B33409C">
            <w:pPr>
              <w:keepNext w:val="0"/>
              <w:keepLines w:val="0"/>
              <w:pageBreakBefore w:val="0"/>
              <w:wordWrap w:val="0"/>
              <w:overflowPunct/>
              <w:topLinePunct w:val="0"/>
              <w:bidi w:val="0"/>
              <w:spacing w:before="130" w:line="223" w:lineRule="auto"/>
              <w:ind w:left="48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sz w:val="24"/>
                <w:szCs w:val="24"/>
                <w:highlight w:val="none"/>
                <w:lang w:val="en-US" w:eastAsia="zh-CN"/>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5B4FFF9B">
            <w:pPr>
              <w:keepNext w:val="0"/>
              <w:keepLines w:val="0"/>
              <w:pageBreakBefore w:val="0"/>
              <w:wordWrap w:val="0"/>
              <w:overflowPunct/>
              <w:topLinePunct w:val="0"/>
              <w:bidi w:val="0"/>
              <w:spacing w:before="130"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4E446862">
            <w:pPr>
              <w:pStyle w:val="32"/>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5FEE59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931" w:type="dxa"/>
            <w:gridSpan w:val="3"/>
            <w:vAlign w:val="top"/>
          </w:tcPr>
          <w:p w14:paraId="636C8F45">
            <w:pPr>
              <w:keepNext w:val="0"/>
              <w:keepLines w:val="0"/>
              <w:pageBreakBefore w:val="0"/>
              <w:wordWrap w:val="0"/>
              <w:overflowPunct/>
              <w:topLinePunct w:val="0"/>
              <w:bidi w:val="0"/>
              <w:spacing w:before="130" w:line="327" w:lineRule="auto"/>
              <w:ind w:left="117" w:right="168" w:firstLine="1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（一）搭设高度 24m 及以上的落地式钢管脚手 架工程（包括采光井、电梯井脚手架）。</w:t>
            </w:r>
          </w:p>
        </w:tc>
        <w:tc>
          <w:tcPr>
            <w:tcW w:w="1294" w:type="dxa"/>
            <w:vAlign w:val="top"/>
          </w:tcPr>
          <w:p w14:paraId="057B75F1">
            <w:pPr>
              <w:pStyle w:val="32"/>
              <w:keepNext w:val="0"/>
              <w:keepLines w:val="0"/>
              <w:pageBreakBefore w:val="0"/>
              <w:wordWrap w:val="0"/>
              <w:overflowPunct/>
              <w:topLinePunct w:val="0"/>
              <w:bidi w:val="0"/>
              <w:spacing w:line="297" w:lineRule="auto"/>
              <w:rPr>
                <w:rFonts w:hint="eastAsia" w:ascii="宋体" w:hAnsi="宋体" w:eastAsia="宋体" w:cs="宋体"/>
                <w:color w:val="auto"/>
                <w:spacing w:val="0"/>
                <w:highlight w:val="none"/>
              </w:rPr>
            </w:pPr>
          </w:p>
          <w:p w14:paraId="22AD09D1">
            <w:pPr>
              <w:keepNext w:val="0"/>
              <w:keepLines w:val="0"/>
              <w:pageBreakBefore w:val="0"/>
              <w:wordWrap w:val="0"/>
              <w:overflowPunct/>
              <w:topLinePunct w:val="0"/>
              <w:bidi w:val="0"/>
              <w:spacing w:before="78" w:line="223" w:lineRule="auto"/>
              <w:ind w:left="42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4999CAB9">
            <w:pPr>
              <w:pStyle w:val="32"/>
              <w:keepNext w:val="0"/>
              <w:keepLines w:val="0"/>
              <w:pageBreakBefore w:val="0"/>
              <w:wordWrap w:val="0"/>
              <w:overflowPunct/>
              <w:topLinePunct w:val="0"/>
              <w:bidi w:val="0"/>
              <w:spacing w:line="297" w:lineRule="auto"/>
              <w:rPr>
                <w:rFonts w:hint="eastAsia" w:ascii="宋体" w:hAnsi="宋体" w:eastAsia="宋体" w:cs="宋体"/>
                <w:color w:val="auto"/>
                <w:spacing w:val="0"/>
                <w:highlight w:val="none"/>
              </w:rPr>
            </w:pPr>
          </w:p>
          <w:p w14:paraId="112BA02A">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3A67D55E">
            <w:pPr>
              <w:pStyle w:val="32"/>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0900BC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931" w:type="dxa"/>
            <w:gridSpan w:val="3"/>
            <w:vAlign w:val="top"/>
          </w:tcPr>
          <w:p w14:paraId="4B158E39">
            <w:pPr>
              <w:keepNext w:val="0"/>
              <w:keepLines w:val="0"/>
              <w:pageBreakBefore w:val="0"/>
              <w:wordWrap w:val="0"/>
              <w:overflowPunct/>
              <w:topLinePunct w:val="0"/>
              <w:bidi w:val="0"/>
              <w:spacing w:before="131" w:line="219" w:lineRule="auto"/>
              <w:ind w:left="12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（二）附着式升降脚手架工程。</w:t>
            </w:r>
          </w:p>
        </w:tc>
        <w:tc>
          <w:tcPr>
            <w:tcW w:w="1294" w:type="dxa"/>
            <w:vAlign w:val="top"/>
          </w:tcPr>
          <w:p w14:paraId="59E640C6">
            <w:pPr>
              <w:keepNext w:val="0"/>
              <w:keepLines w:val="0"/>
              <w:pageBreakBefore w:val="0"/>
              <w:wordWrap w:val="0"/>
              <w:overflowPunct/>
              <w:topLinePunct w:val="0"/>
              <w:bidi w:val="0"/>
              <w:spacing w:before="130" w:line="223" w:lineRule="auto"/>
              <w:ind w:left="24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14DC10E0">
            <w:pPr>
              <w:keepNext w:val="0"/>
              <w:keepLines w:val="0"/>
              <w:pageBreakBefore w:val="0"/>
              <w:wordWrap w:val="0"/>
              <w:overflowPunct/>
              <w:topLinePunct w:val="0"/>
              <w:bidi w:val="0"/>
              <w:spacing w:before="130"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69A7CA4E">
            <w:pPr>
              <w:pStyle w:val="32"/>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20BDF9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931" w:type="dxa"/>
            <w:gridSpan w:val="3"/>
            <w:vAlign w:val="top"/>
          </w:tcPr>
          <w:p w14:paraId="46900A87">
            <w:pPr>
              <w:keepNext w:val="0"/>
              <w:keepLines w:val="0"/>
              <w:pageBreakBefore w:val="0"/>
              <w:wordWrap w:val="0"/>
              <w:overflowPunct/>
              <w:topLinePunct w:val="0"/>
              <w:bidi w:val="0"/>
              <w:spacing w:before="132" w:line="219" w:lineRule="auto"/>
              <w:ind w:left="12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（三）悬挑式脚手架工程。</w:t>
            </w:r>
          </w:p>
        </w:tc>
        <w:tc>
          <w:tcPr>
            <w:tcW w:w="1294" w:type="dxa"/>
            <w:vAlign w:val="top"/>
          </w:tcPr>
          <w:p w14:paraId="0B1D0B41">
            <w:pPr>
              <w:keepNext w:val="0"/>
              <w:keepLines w:val="0"/>
              <w:pageBreakBefore w:val="0"/>
              <w:wordWrap w:val="0"/>
              <w:overflowPunct/>
              <w:topLinePunct w:val="0"/>
              <w:bidi w:val="0"/>
              <w:spacing w:before="131" w:line="223" w:lineRule="auto"/>
              <w:ind w:left="24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0FA66A9B">
            <w:pPr>
              <w:keepNext w:val="0"/>
              <w:keepLines w:val="0"/>
              <w:pageBreakBefore w:val="0"/>
              <w:wordWrap w:val="0"/>
              <w:overflowPunct/>
              <w:topLinePunct w:val="0"/>
              <w:bidi w:val="0"/>
              <w:spacing w:before="131"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7614681A">
            <w:pPr>
              <w:pStyle w:val="32"/>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1EE45D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931" w:type="dxa"/>
            <w:gridSpan w:val="3"/>
            <w:vAlign w:val="top"/>
          </w:tcPr>
          <w:p w14:paraId="26EDC9E8">
            <w:pPr>
              <w:keepNext w:val="0"/>
              <w:keepLines w:val="0"/>
              <w:pageBreakBefore w:val="0"/>
              <w:wordWrap w:val="0"/>
              <w:overflowPunct/>
              <w:topLinePunct w:val="0"/>
              <w:bidi w:val="0"/>
              <w:spacing w:before="131" w:line="220" w:lineRule="auto"/>
              <w:ind w:left="12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（四）高处作业吊篮。</w:t>
            </w:r>
          </w:p>
        </w:tc>
        <w:tc>
          <w:tcPr>
            <w:tcW w:w="1294" w:type="dxa"/>
            <w:vAlign w:val="top"/>
          </w:tcPr>
          <w:p w14:paraId="6579E26E">
            <w:pPr>
              <w:keepNext w:val="0"/>
              <w:keepLines w:val="0"/>
              <w:pageBreakBefore w:val="0"/>
              <w:wordWrap w:val="0"/>
              <w:overflowPunct/>
              <w:topLinePunct w:val="0"/>
              <w:bidi w:val="0"/>
              <w:spacing w:before="131"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w w:val="94"/>
                <w:sz w:val="24"/>
                <w:szCs w:val="24"/>
                <w:highlight w:val="none"/>
                <w:lang w:val="en-US" w:eastAsia="zh-CN"/>
              </w:rPr>
              <w:t xml:space="preserve">  </w:t>
            </w:r>
            <w:r>
              <w:rPr>
                <w:rFonts w:hint="eastAsia" w:ascii="宋体" w:hAnsi="宋体" w:eastAsia="宋体" w:cs="宋体"/>
                <w:color w:val="auto"/>
                <w:spacing w:val="0"/>
                <w:sz w:val="24"/>
                <w:szCs w:val="24"/>
                <w:highlight w:val="none"/>
                <w:lang w:val="en-US" w:eastAsia="zh-CN"/>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220274D8">
            <w:pPr>
              <w:keepNext w:val="0"/>
              <w:keepLines w:val="0"/>
              <w:pageBreakBefore w:val="0"/>
              <w:wordWrap w:val="0"/>
              <w:overflowPunct/>
              <w:topLinePunct w:val="0"/>
              <w:bidi w:val="0"/>
              <w:spacing w:before="131"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2A546CE0">
            <w:pPr>
              <w:pStyle w:val="32"/>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437C6C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931" w:type="dxa"/>
            <w:gridSpan w:val="3"/>
            <w:vAlign w:val="top"/>
          </w:tcPr>
          <w:p w14:paraId="097C39A1">
            <w:pPr>
              <w:keepNext w:val="0"/>
              <w:keepLines w:val="0"/>
              <w:pageBreakBefore w:val="0"/>
              <w:wordWrap w:val="0"/>
              <w:overflowPunct/>
              <w:topLinePunct w:val="0"/>
              <w:bidi w:val="0"/>
              <w:spacing w:before="132" w:line="220" w:lineRule="auto"/>
              <w:ind w:left="12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（五）卸料平台、操作平台工程。</w:t>
            </w:r>
          </w:p>
        </w:tc>
        <w:tc>
          <w:tcPr>
            <w:tcW w:w="1294" w:type="dxa"/>
            <w:vAlign w:val="top"/>
          </w:tcPr>
          <w:p w14:paraId="7B13A9B2">
            <w:pPr>
              <w:keepNext w:val="0"/>
              <w:keepLines w:val="0"/>
              <w:pageBreakBefore w:val="0"/>
              <w:wordWrap w:val="0"/>
              <w:overflowPunct/>
              <w:topLinePunct w:val="0"/>
              <w:bidi w:val="0"/>
              <w:spacing w:before="132" w:line="223" w:lineRule="auto"/>
              <w:ind w:left="24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65B99D1E">
            <w:pPr>
              <w:keepNext w:val="0"/>
              <w:keepLines w:val="0"/>
              <w:pageBreakBefore w:val="0"/>
              <w:wordWrap w:val="0"/>
              <w:overflowPunct/>
              <w:topLinePunct w:val="0"/>
              <w:bidi w:val="0"/>
              <w:spacing w:before="132"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76AF6571">
            <w:pPr>
              <w:pStyle w:val="32"/>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7BB30E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931" w:type="dxa"/>
            <w:gridSpan w:val="3"/>
            <w:vAlign w:val="top"/>
          </w:tcPr>
          <w:p w14:paraId="2A646A71">
            <w:pPr>
              <w:keepNext w:val="0"/>
              <w:keepLines w:val="0"/>
              <w:pageBreakBefore w:val="0"/>
              <w:wordWrap w:val="0"/>
              <w:overflowPunct/>
              <w:topLinePunct w:val="0"/>
              <w:bidi w:val="0"/>
              <w:spacing w:before="133" w:line="219" w:lineRule="auto"/>
              <w:ind w:left="12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（六）异型脚手架工程。</w:t>
            </w:r>
          </w:p>
        </w:tc>
        <w:tc>
          <w:tcPr>
            <w:tcW w:w="1294" w:type="dxa"/>
            <w:vAlign w:val="top"/>
          </w:tcPr>
          <w:p w14:paraId="0B638011">
            <w:pPr>
              <w:keepNext w:val="0"/>
              <w:keepLines w:val="0"/>
              <w:pageBreakBefore w:val="0"/>
              <w:wordWrap w:val="0"/>
              <w:overflowPunct/>
              <w:topLinePunct w:val="0"/>
              <w:bidi w:val="0"/>
              <w:spacing w:before="132"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58BF9C93">
            <w:pPr>
              <w:keepNext w:val="0"/>
              <w:keepLines w:val="0"/>
              <w:pageBreakBefore w:val="0"/>
              <w:wordWrap w:val="0"/>
              <w:overflowPunct/>
              <w:topLinePunct w:val="0"/>
              <w:bidi w:val="0"/>
              <w:spacing w:before="132"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0A800856">
            <w:pPr>
              <w:pStyle w:val="32"/>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3417B4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4883ED99">
            <w:pPr>
              <w:keepNext w:val="0"/>
              <w:keepLines w:val="0"/>
              <w:pageBreakBefore w:val="0"/>
              <w:wordWrap w:val="0"/>
              <w:overflowPunct/>
              <w:topLinePunct w:val="0"/>
              <w:bidi w:val="0"/>
              <w:spacing w:before="131" w:line="220" w:lineRule="auto"/>
              <w:ind w:left="120"/>
              <w:rPr>
                <w:rFonts w:hint="eastAsia" w:ascii="宋体" w:hAnsi="宋体" w:eastAsia="宋体" w:cs="宋体"/>
                <w:color w:val="auto"/>
                <w:spacing w:val="0"/>
                <w:sz w:val="24"/>
                <w:szCs w:val="24"/>
                <w:highlight w:val="none"/>
              </w:rPr>
            </w:pPr>
            <w:bookmarkStart w:id="256" w:name="bookmark162"/>
            <w:bookmarkEnd w:id="256"/>
            <w:r>
              <w:rPr>
                <w:rFonts w:hint="eastAsia" w:ascii="宋体" w:hAnsi="宋体" w:eastAsia="宋体" w:cs="宋体"/>
                <w:color w:val="auto"/>
                <w:spacing w:val="0"/>
                <w:sz w:val="24"/>
                <w:szCs w:val="24"/>
                <w:highlight w:val="none"/>
              </w:rPr>
              <w:t>五、拆除工程</w:t>
            </w:r>
          </w:p>
        </w:tc>
        <w:tc>
          <w:tcPr>
            <w:tcW w:w="1294" w:type="dxa"/>
            <w:vAlign w:val="top"/>
          </w:tcPr>
          <w:p w14:paraId="7709AB64">
            <w:pPr>
              <w:keepNext w:val="0"/>
              <w:keepLines w:val="0"/>
              <w:pageBreakBefore w:val="0"/>
              <w:wordWrap w:val="0"/>
              <w:overflowPunct/>
              <w:topLinePunct w:val="0"/>
              <w:bidi w:val="0"/>
              <w:spacing w:before="131" w:line="223" w:lineRule="auto"/>
              <w:ind w:left="48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63598739">
            <w:pPr>
              <w:keepNext w:val="0"/>
              <w:keepLines w:val="0"/>
              <w:pageBreakBefore w:val="0"/>
              <w:wordWrap w:val="0"/>
              <w:overflowPunct/>
              <w:topLinePunct w:val="0"/>
              <w:bidi w:val="0"/>
              <w:spacing w:before="131"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01961694">
            <w:pPr>
              <w:pStyle w:val="32"/>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31EF1A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49CFF783">
            <w:pPr>
              <w:keepNext w:val="0"/>
              <w:keepLines w:val="0"/>
              <w:pageBreakBefore w:val="0"/>
              <w:wordWrap w:val="0"/>
              <w:overflowPunct/>
              <w:topLinePunct w:val="0"/>
              <w:bidi w:val="0"/>
              <w:spacing w:before="126" w:line="329" w:lineRule="auto"/>
              <w:ind w:left="117" w:right="168"/>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可能影响行人、交通、电力设施、通讯设施或 其它建、构筑物安全的拆除工程。</w:t>
            </w:r>
          </w:p>
        </w:tc>
        <w:tc>
          <w:tcPr>
            <w:tcW w:w="1294" w:type="dxa"/>
            <w:vAlign w:val="top"/>
          </w:tcPr>
          <w:p w14:paraId="103A187B">
            <w:pPr>
              <w:pStyle w:val="32"/>
              <w:keepNext w:val="0"/>
              <w:keepLines w:val="0"/>
              <w:pageBreakBefore w:val="0"/>
              <w:wordWrap w:val="0"/>
              <w:overflowPunct/>
              <w:topLinePunct w:val="0"/>
              <w:bidi w:val="0"/>
              <w:spacing w:line="294" w:lineRule="auto"/>
              <w:rPr>
                <w:rFonts w:hint="eastAsia" w:ascii="宋体" w:hAnsi="宋体" w:eastAsia="宋体" w:cs="宋体"/>
                <w:color w:val="auto"/>
                <w:spacing w:val="0"/>
                <w:highlight w:val="none"/>
              </w:rPr>
            </w:pPr>
          </w:p>
          <w:p w14:paraId="7366302E">
            <w:pPr>
              <w:keepNext w:val="0"/>
              <w:keepLines w:val="0"/>
              <w:pageBreakBefore w:val="0"/>
              <w:wordWrap w:val="0"/>
              <w:overflowPunct/>
              <w:topLinePunct w:val="0"/>
              <w:bidi w:val="0"/>
              <w:spacing w:before="78" w:line="223" w:lineRule="auto"/>
              <w:ind w:left="30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27B5E327">
            <w:pPr>
              <w:pStyle w:val="32"/>
              <w:keepNext w:val="0"/>
              <w:keepLines w:val="0"/>
              <w:pageBreakBefore w:val="0"/>
              <w:wordWrap w:val="0"/>
              <w:overflowPunct/>
              <w:topLinePunct w:val="0"/>
              <w:bidi w:val="0"/>
              <w:spacing w:line="294" w:lineRule="auto"/>
              <w:rPr>
                <w:rFonts w:hint="eastAsia" w:ascii="宋体" w:hAnsi="宋体" w:eastAsia="宋体" w:cs="宋体"/>
                <w:color w:val="auto"/>
                <w:spacing w:val="0"/>
                <w:highlight w:val="none"/>
              </w:rPr>
            </w:pPr>
          </w:p>
          <w:p w14:paraId="7B9B1CB4">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22772A2E">
            <w:pPr>
              <w:pStyle w:val="32"/>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4E2371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7B8F3CD2">
            <w:pPr>
              <w:keepNext w:val="0"/>
              <w:keepLines w:val="0"/>
              <w:pageBreakBefore w:val="0"/>
              <w:wordWrap w:val="0"/>
              <w:overflowPunct/>
              <w:topLinePunct w:val="0"/>
              <w:bidi w:val="0"/>
              <w:spacing w:before="126" w:line="221" w:lineRule="auto"/>
              <w:ind w:left="358"/>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六、暗挖工程</w:t>
            </w:r>
          </w:p>
        </w:tc>
        <w:tc>
          <w:tcPr>
            <w:tcW w:w="1294" w:type="dxa"/>
            <w:vAlign w:val="top"/>
          </w:tcPr>
          <w:p w14:paraId="68459BF2">
            <w:pPr>
              <w:keepNext w:val="0"/>
              <w:keepLines w:val="0"/>
              <w:pageBreakBefore w:val="0"/>
              <w:wordWrap w:val="0"/>
              <w:overflowPunct/>
              <w:topLinePunct w:val="0"/>
              <w:bidi w:val="0"/>
              <w:spacing w:before="126"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324D7661">
            <w:pPr>
              <w:keepNext w:val="0"/>
              <w:keepLines w:val="0"/>
              <w:pageBreakBefore w:val="0"/>
              <w:wordWrap w:val="0"/>
              <w:overflowPunct/>
              <w:topLinePunct w:val="0"/>
              <w:bidi w:val="0"/>
              <w:spacing w:before="126"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1610397E">
            <w:pPr>
              <w:pStyle w:val="32"/>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077D2F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1977E66D">
            <w:pPr>
              <w:keepNext w:val="0"/>
              <w:keepLines w:val="0"/>
              <w:pageBreakBefore w:val="0"/>
              <w:wordWrap w:val="0"/>
              <w:overflowPunct/>
              <w:topLinePunct w:val="0"/>
              <w:bidi w:val="0"/>
              <w:spacing w:before="128" w:line="328" w:lineRule="auto"/>
              <w:ind w:left="119" w:right="168" w:hanging="4"/>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采用矿山法、盾构法、顶管法施工的隧道、洞 室工程。</w:t>
            </w:r>
          </w:p>
        </w:tc>
        <w:tc>
          <w:tcPr>
            <w:tcW w:w="1294" w:type="dxa"/>
            <w:vAlign w:val="top"/>
          </w:tcPr>
          <w:p w14:paraId="061AB1C5">
            <w:pPr>
              <w:pStyle w:val="32"/>
              <w:keepNext w:val="0"/>
              <w:keepLines w:val="0"/>
              <w:pageBreakBefore w:val="0"/>
              <w:wordWrap w:val="0"/>
              <w:overflowPunct/>
              <w:topLinePunct w:val="0"/>
              <w:bidi w:val="0"/>
              <w:spacing w:line="294" w:lineRule="auto"/>
              <w:rPr>
                <w:rFonts w:hint="eastAsia" w:ascii="宋体" w:hAnsi="宋体" w:eastAsia="宋体" w:cs="宋体"/>
                <w:color w:val="auto"/>
                <w:spacing w:val="0"/>
                <w:highlight w:val="none"/>
              </w:rPr>
            </w:pPr>
          </w:p>
          <w:p w14:paraId="642F7F26">
            <w:pPr>
              <w:keepNext w:val="0"/>
              <w:keepLines w:val="0"/>
              <w:pageBreakBefore w:val="0"/>
              <w:wordWrap w:val="0"/>
              <w:overflowPunct/>
              <w:topLinePunct w:val="0"/>
              <w:bidi w:val="0"/>
              <w:spacing w:before="78"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437977D9">
            <w:pPr>
              <w:pStyle w:val="32"/>
              <w:keepNext w:val="0"/>
              <w:keepLines w:val="0"/>
              <w:pageBreakBefore w:val="0"/>
              <w:wordWrap w:val="0"/>
              <w:overflowPunct/>
              <w:topLinePunct w:val="0"/>
              <w:bidi w:val="0"/>
              <w:spacing w:line="294" w:lineRule="auto"/>
              <w:rPr>
                <w:rFonts w:hint="eastAsia" w:ascii="宋体" w:hAnsi="宋体" w:eastAsia="宋体" w:cs="宋体"/>
                <w:color w:val="auto"/>
                <w:spacing w:val="0"/>
                <w:highlight w:val="none"/>
              </w:rPr>
            </w:pPr>
          </w:p>
          <w:p w14:paraId="3FBBE952">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67D5F969">
            <w:pPr>
              <w:pStyle w:val="32"/>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7565AA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713B3AAA">
            <w:pPr>
              <w:keepNext w:val="0"/>
              <w:keepLines w:val="0"/>
              <w:pageBreakBefore w:val="0"/>
              <w:wordWrap w:val="0"/>
              <w:overflowPunct/>
              <w:topLinePunct w:val="0"/>
              <w:bidi w:val="0"/>
              <w:spacing w:before="129" w:line="222" w:lineRule="auto"/>
              <w:ind w:left="11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七、其它</w:t>
            </w:r>
          </w:p>
        </w:tc>
        <w:tc>
          <w:tcPr>
            <w:tcW w:w="1294" w:type="dxa"/>
            <w:vAlign w:val="top"/>
          </w:tcPr>
          <w:p w14:paraId="2638F5FA">
            <w:pPr>
              <w:keepNext w:val="0"/>
              <w:keepLines w:val="0"/>
              <w:pageBreakBefore w:val="0"/>
              <w:wordWrap w:val="0"/>
              <w:overflowPunct/>
              <w:topLinePunct w:val="0"/>
              <w:bidi w:val="0"/>
              <w:spacing w:before="129"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4076743A">
            <w:pPr>
              <w:keepNext w:val="0"/>
              <w:keepLines w:val="0"/>
              <w:pageBreakBefore w:val="0"/>
              <w:wordWrap w:val="0"/>
              <w:overflowPunct/>
              <w:topLinePunct w:val="0"/>
              <w:bidi w:val="0"/>
              <w:spacing w:before="129"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7677A442">
            <w:pPr>
              <w:pStyle w:val="32"/>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0E278D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62828B16">
            <w:pPr>
              <w:keepNext w:val="0"/>
              <w:keepLines w:val="0"/>
              <w:pageBreakBefore w:val="0"/>
              <w:wordWrap w:val="0"/>
              <w:overflowPunct/>
              <w:topLinePunct w:val="0"/>
              <w:bidi w:val="0"/>
              <w:spacing w:before="128" w:line="219" w:lineRule="auto"/>
              <w:ind w:left="12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（一）建筑幕墙安装工程。</w:t>
            </w:r>
          </w:p>
        </w:tc>
        <w:tc>
          <w:tcPr>
            <w:tcW w:w="1294" w:type="dxa"/>
            <w:vAlign w:val="top"/>
          </w:tcPr>
          <w:p w14:paraId="4E3D917A">
            <w:pPr>
              <w:keepNext w:val="0"/>
              <w:keepLines w:val="0"/>
              <w:pageBreakBefore w:val="0"/>
              <w:wordWrap w:val="0"/>
              <w:overflowPunct/>
              <w:topLinePunct w:val="0"/>
              <w:bidi w:val="0"/>
              <w:spacing w:before="127"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5059A375">
            <w:pPr>
              <w:keepNext w:val="0"/>
              <w:keepLines w:val="0"/>
              <w:pageBreakBefore w:val="0"/>
              <w:wordWrap w:val="0"/>
              <w:overflowPunct/>
              <w:topLinePunct w:val="0"/>
              <w:bidi w:val="0"/>
              <w:spacing w:before="127"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25F59C13">
            <w:pPr>
              <w:pStyle w:val="32"/>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6DFB19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3BAE0648">
            <w:pPr>
              <w:keepNext w:val="0"/>
              <w:keepLines w:val="0"/>
              <w:pageBreakBefore w:val="0"/>
              <w:wordWrap w:val="0"/>
              <w:overflowPunct/>
              <w:topLinePunct w:val="0"/>
              <w:bidi w:val="0"/>
              <w:spacing w:before="128" w:line="221" w:lineRule="auto"/>
              <w:ind w:left="12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（二）钢结构、网架和索膜结构安装工程。</w:t>
            </w:r>
          </w:p>
        </w:tc>
        <w:tc>
          <w:tcPr>
            <w:tcW w:w="1294" w:type="dxa"/>
            <w:vAlign w:val="top"/>
          </w:tcPr>
          <w:p w14:paraId="39302448">
            <w:pPr>
              <w:keepNext w:val="0"/>
              <w:keepLines w:val="0"/>
              <w:pageBreakBefore w:val="0"/>
              <w:wordWrap w:val="0"/>
              <w:overflowPunct/>
              <w:topLinePunct w:val="0"/>
              <w:bidi w:val="0"/>
              <w:spacing w:before="128"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0E45DEA0">
            <w:pPr>
              <w:keepNext w:val="0"/>
              <w:keepLines w:val="0"/>
              <w:pageBreakBefore w:val="0"/>
              <w:wordWrap w:val="0"/>
              <w:overflowPunct/>
              <w:topLinePunct w:val="0"/>
              <w:bidi w:val="0"/>
              <w:spacing w:before="12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707A33D7">
            <w:pPr>
              <w:pStyle w:val="32"/>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77B57F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6950DD8F">
            <w:pPr>
              <w:keepNext w:val="0"/>
              <w:keepLines w:val="0"/>
              <w:pageBreakBefore w:val="0"/>
              <w:wordWrap w:val="0"/>
              <w:overflowPunct/>
              <w:topLinePunct w:val="0"/>
              <w:bidi w:val="0"/>
              <w:spacing w:before="128" w:line="220" w:lineRule="auto"/>
              <w:ind w:left="12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（三）人工挖孔桩工程。</w:t>
            </w:r>
          </w:p>
        </w:tc>
        <w:tc>
          <w:tcPr>
            <w:tcW w:w="1294" w:type="dxa"/>
            <w:vAlign w:val="top"/>
          </w:tcPr>
          <w:p w14:paraId="75D922E7">
            <w:pPr>
              <w:keepNext w:val="0"/>
              <w:keepLines w:val="0"/>
              <w:pageBreakBefore w:val="0"/>
              <w:wordWrap w:val="0"/>
              <w:overflowPunct/>
              <w:topLinePunct w:val="0"/>
              <w:bidi w:val="0"/>
              <w:spacing w:before="128"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65295B89">
            <w:pPr>
              <w:keepNext w:val="0"/>
              <w:keepLines w:val="0"/>
              <w:pageBreakBefore w:val="0"/>
              <w:wordWrap w:val="0"/>
              <w:overflowPunct/>
              <w:topLinePunct w:val="0"/>
              <w:bidi w:val="0"/>
              <w:spacing w:before="12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75691767">
            <w:pPr>
              <w:pStyle w:val="32"/>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3E78DE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67AB0112">
            <w:pPr>
              <w:keepNext w:val="0"/>
              <w:keepLines w:val="0"/>
              <w:pageBreakBefore w:val="0"/>
              <w:wordWrap w:val="0"/>
              <w:overflowPunct/>
              <w:topLinePunct w:val="0"/>
              <w:bidi w:val="0"/>
              <w:spacing w:before="129" w:line="220" w:lineRule="auto"/>
              <w:ind w:left="12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（四）水下作业工程。</w:t>
            </w:r>
          </w:p>
        </w:tc>
        <w:tc>
          <w:tcPr>
            <w:tcW w:w="1294" w:type="dxa"/>
            <w:vAlign w:val="top"/>
          </w:tcPr>
          <w:p w14:paraId="3E53F0E4">
            <w:pPr>
              <w:keepNext w:val="0"/>
              <w:keepLines w:val="0"/>
              <w:pageBreakBefore w:val="0"/>
              <w:wordWrap w:val="0"/>
              <w:overflowPunct/>
              <w:topLinePunct w:val="0"/>
              <w:bidi w:val="0"/>
              <w:spacing w:before="129"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5F9B54D1">
            <w:pPr>
              <w:keepNext w:val="0"/>
              <w:keepLines w:val="0"/>
              <w:pageBreakBefore w:val="0"/>
              <w:wordWrap w:val="0"/>
              <w:overflowPunct/>
              <w:topLinePunct w:val="0"/>
              <w:bidi w:val="0"/>
              <w:spacing w:before="129"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63F25DA0">
            <w:pPr>
              <w:pStyle w:val="32"/>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66546D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3CE62B07">
            <w:pPr>
              <w:keepNext w:val="0"/>
              <w:keepLines w:val="0"/>
              <w:pageBreakBefore w:val="0"/>
              <w:wordWrap w:val="0"/>
              <w:overflowPunct/>
              <w:topLinePunct w:val="0"/>
              <w:bidi w:val="0"/>
              <w:spacing w:before="129" w:line="220" w:lineRule="auto"/>
              <w:ind w:left="12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（五）装配式建筑混凝土预制构件安装工程。</w:t>
            </w:r>
          </w:p>
        </w:tc>
        <w:tc>
          <w:tcPr>
            <w:tcW w:w="1294" w:type="dxa"/>
            <w:vAlign w:val="top"/>
          </w:tcPr>
          <w:p w14:paraId="3636F5E8">
            <w:pPr>
              <w:keepNext w:val="0"/>
              <w:keepLines w:val="0"/>
              <w:pageBreakBefore w:val="0"/>
              <w:wordWrap w:val="0"/>
              <w:overflowPunct/>
              <w:topLinePunct w:val="0"/>
              <w:bidi w:val="0"/>
              <w:spacing w:before="129"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w w:val="94"/>
                <w:sz w:val="24"/>
                <w:szCs w:val="24"/>
                <w:highlight w:val="none"/>
                <w:lang w:val="en-US" w:eastAsia="zh-CN"/>
              </w:rPr>
              <w:t xml:space="preserve">   </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7E4077FA">
            <w:pPr>
              <w:keepNext w:val="0"/>
              <w:keepLines w:val="0"/>
              <w:pageBreakBefore w:val="0"/>
              <w:wordWrap w:val="0"/>
              <w:overflowPunct/>
              <w:topLinePunct w:val="0"/>
              <w:bidi w:val="0"/>
              <w:spacing w:before="129"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2EEFFF85">
            <w:pPr>
              <w:pStyle w:val="32"/>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235DEE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27043FFE">
            <w:pPr>
              <w:keepNext w:val="0"/>
              <w:keepLines w:val="0"/>
              <w:pageBreakBefore w:val="0"/>
              <w:wordWrap w:val="0"/>
              <w:overflowPunct/>
              <w:topLinePunct w:val="0"/>
              <w:bidi w:val="0"/>
              <w:spacing w:before="129" w:line="345" w:lineRule="auto"/>
              <w:ind w:left="117" w:right="168" w:firstLine="1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（六）采用新技术、新工艺、新材料、新设备 可能影响工程施工安全，尚无国家、行业及地 方技术标准的分部分项工程。</w:t>
            </w:r>
          </w:p>
        </w:tc>
        <w:tc>
          <w:tcPr>
            <w:tcW w:w="1294" w:type="dxa"/>
            <w:vAlign w:val="top"/>
          </w:tcPr>
          <w:p w14:paraId="496692A9">
            <w:pPr>
              <w:pStyle w:val="32"/>
              <w:keepNext w:val="0"/>
              <w:keepLines w:val="0"/>
              <w:pageBreakBefore w:val="0"/>
              <w:wordWrap w:val="0"/>
              <w:overflowPunct/>
              <w:topLinePunct w:val="0"/>
              <w:bidi w:val="0"/>
              <w:spacing w:line="270" w:lineRule="auto"/>
              <w:rPr>
                <w:rFonts w:hint="eastAsia" w:ascii="宋体" w:hAnsi="宋体" w:eastAsia="宋体" w:cs="宋体"/>
                <w:color w:val="auto"/>
                <w:spacing w:val="0"/>
                <w:highlight w:val="none"/>
              </w:rPr>
            </w:pPr>
          </w:p>
          <w:p w14:paraId="38DE7E46">
            <w:pPr>
              <w:pStyle w:val="32"/>
              <w:keepNext w:val="0"/>
              <w:keepLines w:val="0"/>
              <w:pageBreakBefore w:val="0"/>
              <w:wordWrap w:val="0"/>
              <w:overflowPunct/>
              <w:topLinePunct w:val="0"/>
              <w:bidi w:val="0"/>
              <w:spacing w:line="271" w:lineRule="auto"/>
              <w:rPr>
                <w:rFonts w:hint="eastAsia" w:ascii="宋体" w:hAnsi="宋体" w:eastAsia="宋体" w:cs="宋体"/>
                <w:color w:val="auto"/>
                <w:spacing w:val="0"/>
                <w:highlight w:val="none"/>
              </w:rPr>
            </w:pPr>
          </w:p>
          <w:p w14:paraId="63D1A279">
            <w:pPr>
              <w:keepNext w:val="0"/>
              <w:keepLines w:val="0"/>
              <w:pageBreakBefore w:val="0"/>
              <w:wordWrap w:val="0"/>
              <w:overflowPunct/>
              <w:topLinePunct w:val="0"/>
              <w:bidi w:val="0"/>
              <w:spacing w:before="78"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420C6D37">
            <w:pPr>
              <w:pStyle w:val="32"/>
              <w:keepNext w:val="0"/>
              <w:keepLines w:val="0"/>
              <w:pageBreakBefore w:val="0"/>
              <w:wordWrap w:val="0"/>
              <w:overflowPunct/>
              <w:topLinePunct w:val="0"/>
              <w:bidi w:val="0"/>
              <w:spacing w:line="270" w:lineRule="auto"/>
              <w:rPr>
                <w:rFonts w:hint="eastAsia" w:ascii="宋体" w:hAnsi="宋体" w:eastAsia="宋体" w:cs="宋体"/>
                <w:color w:val="auto"/>
                <w:spacing w:val="0"/>
                <w:highlight w:val="none"/>
              </w:rPr>
            </w:pPr>
          </w:p>
          <w:p w14:paraId="00661ED9">
            <w:pPr>
              <w:pStyle w:val="32"/>
              <w:keepNext w:val="0"/>
              <w:keepLines w:val="0"/>
              <w:pageBreakBefore w:val="0"/>
              <w:wordWrap w:val="0"/>
              <w:overflowPunct/>
              <w:topLinePunct w:val="0"/>
              <w:bidi w:val="0"/>
              <w:spacing w:line="271" w:lineRule="auto"/>
              <w:rPr>
                <w:rFonts w:hint="eastAsia" w:ascii="宋体" w:hAnsi="宋体" w:eastAsia="宋体" w:cs="宋体"/>
                <w:color w:val="auto"/>
                <w:spacing w:val="0"/>
                <w:highlight w:val="none"/>
              </w:rPr>
            </w:pPr>
          </w:p>
          <w:p w14:paraId="0CFA74B9">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0722BE27">
            <w:pPr>
              <w:pStyle w:val="32"/>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108B21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30E6BAA6">
            <w:pPr>
              <w:keepNext w:val="0"/>
              <w:keepLines w:val="0"/>
              <w:pageBreakBefore w:val="0"/>
              <w:wordWrap w:val="0"/>
              <w:overflowPunct/>
              <w:topLinePunct w:val="0"/>
              <w:bidi w:val="0"/>
              <w:spacing w:before="129" w:line="328" w:lineRule="auto"/>
              <w:ind w:left="115" w:right="108" w:firstLine="4"/>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二、超过一定规模的危险性较大的分部分项工程清单</w:t>
            </w:r>
          </w:p>
        </w:tc>
        <w:tc>
          <w:tcPr>
            <w:tcW w:w="1294" w:type="dxa"/>
            <w:vAlign w:val="top"/>
          </w:tcPr>
          <w:p w14:paraId="2233FA0E">
            <w:pPr>
              <w:pStyle w:val="32"/>
              <w:keepNext w:val="0"/>
              <w:keepLines w:val="0"/>
              <w:pageBreakBefore w:val="0"/>
              <w:wordWrap w:val="0"/>
              <w:overflowPunct/>
              <w:topLinePunct w:val="0"/>
              <w:bidi w:val="0"/>
              <w:spacing w:line="295" w:lineRule="auto"/>
              <w:rPr>
                <w:rFonts w:hint="eastAsia" w:ascii="宋体" w:hAnsi="宋体" w:eastAsia="宋体" w:cs="宋体"/>
                <w:color w:val="auto"/>
                <w:spacing w:val="0"/>
                <w:highlight w:val="none"/>
              </w:rPr>
            </w:pPr>
          </w:p>
          <w:p w14:paraId="4CFEA93D">
            <w:pPr>
              <w:keepNext w:val="0"/>
              <w:keepLines w:val="0"/>
              <w:pageBreakBefore w:val="0"/>
              <w:wordWrap w:val="0"/>
              <w:overflowPunct/>
              <w:topLinePunct w:val="0"/>
              <w:bidi w:val="0"/>
              <w:spacing w:before="78" w:line="221" w:lineRule="auto"/>
              <w:ind w:left="206"/>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建设单位</w:t>
            </w:r>
          </w:p>
        </w:tc>
        <w:tc>
          <w:tcPr>
            <w:tcW w:w="1294" w:type="dxa"/>
            <w:vAlign w:val="top"/>
          </w:tcPr>
          <w:p w14:paraId="4200617B">
            <w:pPr>
              <w:pStyle w:val="32"/>
              <w:keepNext w:val="0"/>
              <w:keepLines w:val="0"/>
              <w:pageBreakBefore w:val="0"/>
              <w:wordWrap w:val="0"/>
              <w:overflowPunct/>
              <w:topLinePunct w:val="0"/>
              <w:bidi w:val="0"/>
              <w:spacing w:line="295" w:lineRule="auto"/>
              <w:rPr>
                <w:rFonts w:hint="eastAsia" w:ascii="宋体" w:hAnsi="宋体" w:eastAsia="宋体" w:cs="宋体"/>
                <w:color w:val="auto"/>
                <w:spacing w:val="0"/>
                <w:highlight w:val="none"/>
              </w:rPr>
            </w:pPr>
          </w:p>
          <w:p w14:paraId="3F681308">
            <w:pPr>
              <w:keepNext w:val="0"/>
              <w:keepLines w:val="0"/>
              <w:pageBreakBefore w:val="0"/>
              <w:wordWrap w:val="0"/>
              <w:overflowPunct/>
              <w:topLinePunct w:val="0"/>
              <w:bidi w:val="0"/>
              <w:spacing w:before="78" w:line="221" w:lineRule="auto"/>
              <w:ind w:left="119"/>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投标单位</w:t>
            </w:r>
          </w:p>
        </w:tc>
        <w:tc>
          <w:tcPr>
            <w:tcW w:w="2428" w:type="dxa"/>
            <w:vAlign w:val="top"/>
          </w:tcPr>
          <w:p w14:paraId="1C8AEFEE">
            <w:pPr>
              <w:pStyle w:val="32"/>
              <w:keepNext w:val="0"/>
              <w:keepLines w:val="0"/>
              <w:pageBreakBefore w:val="0"/>
              <w:wordWrap w:val="0"/>
              <w:overflowPunct/>
              <w:topLinePunct w:val="0"/>
              <w:bidi w:val="0"/>
              <w:spacing w:line="295" w:lineRule="auto"/>
              <w:rPr>
                <w:rFonts w:hint="eastAsia" w:ascii="宋体" w:hAnsi="宋体" w:eastAsia="宋体" w:cs="宋体"/>
                <w:color w:val="auto"/>
                <w:spacing w:val="0"/>
                <w:highlight w:val="none"/>
              </w:rPr>
            </w:pPr>
          </w:p>
          <w:p w14:paraId="454CF511">
            <w:pPr>
              <w:keepNext w:val="0"/>
              <w:keepLines w:val="0"/>
              <w:pageBreakBefore w:val="0"/>
              <w:wordWrap w:val="0"/>
              <w:overflowPunct/>
              <w:topLinePunct w:val="0"/>
              <w:bidi w:val="0"/>
              <w:spacing w:before="78" w:line="222" w:lineRule="auto"/>
              <w:ind w:left="30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备注</w:t>
            </w:r>
          </w:p>
        </w:tc>
      </w:tr>
      <w:tr w14:paraId="28BF75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4561F4DA">
            <w:pPr>
              <w:keepNext w:val="0"/>
              <w:keepLines w:val="0"/>
              <w:pageBreakBefore w:val="0"/>
              <w:wordWrap w:val="0"/>
              <w:overflowPunct/>
              <w:topLinePunct w:val="0"/>
              <w:bidi w:val="0"/>
              <w:spacing w:before="129" w:line="221" w:lineRule="auto"/>
              <w:ind w:left="12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一、深基坑工程</w:t>
            </w:r>
          </w:p>
        </w:tc>
        <w:tc>
          <w:tcPr>
            <w:tcW w:w="1294" w:type="dxa"/>
            <w:vAlign w:val="top"/>
          </w:tcPr>
          <w:p w14:paraId="4157D9E9">
            <w:pPr>
              <w:keepNext w:val="0"/>
              <w:keepLines w:val="0"/>
              <w:pageBreakBefore w:val="0"/>
              <w:wordWrap w:val="0"/>
              <w:overflowPunct/>
              <w:topLinePunct w:val="0"/>
              <w:bidi w:val="0"/>
              <w:spacing w:before="129" w:line="223" w:lineRule="auto"/>
              <w:ind w:left="30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sz w:val="24"/>
                <w:szCs w:val="24"/>
                <w:highlight w:val="none"/>
                <w:lang w:val="en-US" w:eastAsia="zh-CN"/>
              </w:rPr>
              <w:t xml:space="preserve"> </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59CA4FF1">
            <w:pPr>
              <w:keepNext w:val="0"/>
              <w:keepLines w:val="0"/>
              <w:pageBreakBefore w:val="0"/>
              <w:wordWrap w:val="0"/>
              <w:overflowPunct/>
              <w:topLinePunct w:val="0"/>
              <w:bidi w:val="0"/>
              <w:spacing w:before="129"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7D6141F0">
            <w:pPr>
              <w:pStyle w:val="32"/>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286478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3F55D1CB">
            <w:pPr>
              <w:keepNext w:val="0"/>
              <w:keepLines w:val="0"/>
              <w:pageBreakBefore w:val="0"/>
              <w:wordWrap w:val="0"/>
              <w:overflowPunct/>
              <w:topLinePunct w:val="0"/>
              <w:bidi w:val="0"/>
              <w:spacing w:before="131" w:line="327" w:lineRule="auto"/>
              <w:ind w:left="117" w:right="10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开挖深度超过 5m（含 5m）的基坑（槽）的土方 开挖、支护、降水工程。</w:t>
            </w:r>
          </w:p>
        </w:tc>
        <w:tc>
          <w:tcPr>
            <w:tcW w:w="1294" w:type="dxa"/>
            <w:vAlign w:val="top"/>
          </w:tcPr>
          <w:p w14:paraId="1F365243">
            <w:pPr>
              <w:pStyle w:val="32"/>
              <w:keepNext w:val="0"/>
              <w:keepLines w:val="0"/>
              <w:pageBreakBefore w:val="0"/>
              <w:wordWrap w:val="0"/>
              <w:overflowPunct/>
              <w:topLinePunct w:val="0"/>
              <w:bidi w:val="0"/>
              <w:spacing w:line="295" w:lineRule="auto"/>
              <w:rPr>
                <w:rFonts w:hint="eastAsia" w:ascii="宋体" w:hAnsi="宋体" w:eastAsia="宋体" w:cs="宋体"/>
                <w:color w:val="auto"/>
                <w:spacing w:val="0"/>
                <w:highlight w:val="none"/>
              </w:rPr>
            </w:pPr>
          </w:p>
          <w:p w14:paraId="678EAFF7">
            <w:pPr>
              <w:keepNext w:val="0"/>
              <w:keepLines w:val="0"/>
              <w:pageBreakBefore w:val="0"/>
              <w:wordWrap w:val="0"/>
              <w:overflowPunct/>
              <w:topLinePunct w:val="0"/>
              <w:bidi w:val="0"/>
              <w:spacing w:before="78" w:line="223" w:lineRule="auto"/>
              <w:ind w:left="30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sz w:val="24"/>
                <w:szCs w:val="24"/>
                <w:highlight w:val="none"/>
                <w:lang w:val="en-US" w:eastAsia="zh-CN"/>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2A60787C">
            <w:pPr>
              <w:pStyle w:val="32"/>
              <w:keepNext w:val="0"/>
              <w:keepLines w:val="0"/>
              <w:pageBreakBefore w:val="0"/>
              <w:wordWrap w:val="0"/>
              <w:overflowPunct/>
              <w:topLinePunct w:val="0"/>
              <w:bidi w:val="0"/>
              <w:spacing w:line="295" w:lineRule="auto"/>
              <w:rPr>
                <w:rFonts w:hint="eastAsia" w:ascii="宋体" w:hAnsi="宋体" w:eastAsia="宋体" w:cs="宋体"/>
                <w:color w:val="auto"/>
                <w:spacing w:val="0"/>
                <w:highlight w:val="none"/>
              </w:rPr>
            </w:pPr>
          </w:p>
          <w:p w14:paraId="002C0BDC">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6502D5FF">
            <w:pPr>
              <w:pStyle w:val="32"/>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403998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34D42E3C">
            <w:pPr>
              <w:keepNext w:val="0"/>
              <w:keepLines w:val="0"/>
              <w:pageBreakBefore w:val="0"/>
              <w:wordWrap w:val="0"/>
              <w:overflowPunct/>
              <w:topLinePunct w:val="0"/>
              <w:bidi w:val="0"/>
              <w:spacing w:before="130" w:line="219" w:lineRule="auto"/>
              <w:ind w:left="12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二、模板工程及支撑体系</w:t>
            </w:r>
          </w:p>
        </w:tc>
        <w:tc>
          <w:tcPr>
            <w:tcW w:w="1294" w:type="dxa"/>
            <w:vAlign w:val="top"/>
          </w:tcPr>
          <w:p w14:paraId="143F3324">
            <w:pPr>
              <w:keepNext w:val="0"/>
              <w:keepLines w:val="0"/>
              <w:pageBreakBefore w:val="0"/>
              <w:wordWrap w:val="0"/>
              <w:overflowPunct/>
              <w:topLinePunct w:val="0"/>
              <w:bidi w:val="0"/>
              <w:spacing w:before="129" w:line="223" w:lineRule="auto"/>
              <w:ind w:left="30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default" w:ascii="宋体" w:hAnsi="宋体" w:eastAsia="宋体" w:cs="宋体"/>
                <w:color w:val="auto"/>
                <w:spacing w:val="0"/>
                <w:sz w:val="24"/>
                <w:szCs w:val="24"/>
                <w:highlight w:val="none"/>
                <w:lang w:val="en-US"/>
              </w:rPr>
              <w:t xml:space="preserve">  </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38A10CE5">
            <w:pPr>
              <w:keepNext w:val="0"/>
              <w:keepLines w:val="0"/>
              <w:pageBreakBefore w:val="0"/>
              <w:wordWrap w:val="0"/>
              <w:overflowPunct/>
              <w:topLinePunct w:val="0"/>
              <w:bidi w:val="0"/>
              <w:spacing w:before="129"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77E45D89">
            <w:pPr>
              <w:pStyle w:val="32"/>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2ACD31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5446B718">
            <w:pPr>
              <w:keepNext w:val="0"/>
              <w:keepLines w:val="0"/>
              <w:pageBreakBefore w:val="0"/>
              <w:wordWrap w:val="0"/>
              <w:overflowPunct/>
              <w:topLinePunct w:val="0"/>
              <w:bidi w:val="0"/>
              <w:spacing w:before="130" w:line="327" w:lineRule="auto"/>
              <w:ind w:left="123" w:right="25" w:firstLine="4"/>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（一）各类工具式模板工程：包括滑模、爬模、 飞模、隧道模等工程。</w:t>
            </w:r>
          </w:p>
        </w:tc>
        <w:tc>
          <w:tcPr>
            <w:tcW w:w="1294" w:type="dxa"/>
            <w:vAlign w:val="top"/>
          </w:tcPr>
          <w:p w14:paraId="07DDBC0C">
            <w:pPr>
              <w:pStyle w:val="32"/>
              <w:keepNext w:val="0"/>
              <w:keepLines w:val="0"/>
              <w:pageBreakBefore w:val="0"/>
              <w:wordWrap w:val="0"/>
              <w:overflowPunct/>
              <w:topLinePunct w:val="0"/>
              <w:bidi w:val="0"/>
              <w:spacing w:line="294" w:lineRule="auto"/>
              <w:rPr>
                <w:rFonts w:hint="eastAsia" w:ascii="宋体" w:hAnsi="宋体" w:eastAsia="宋体" w:cs="宋体"/>
                <w:color w:val="auto"/>
                <w:spacing w:val="0"/>
                <w:highlight w:val="none"/>
              </w:rPr>
            </w:pPr>
          </w:p>
          <w:p w14:paraId="7C5CE30D">
            <w:pPr>
              <w:keepNext w:val="0"/>
              <w:keepLines w:val="0"/>
              <w:pageBreakBefore w:val="0"/>
              <w:wordWrap w:val="0"/>
              <w:overflowPunct/>
              <w:topLinePunct w:val="0"/>
              <w:bidi w:val="0"/>
              <w:spacing w:before="78" w:line="223" w:lineRule="auto"/>
              <w:ind w:left="30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76FECA32">
            <w:pPr>
              <w:pStyle w:val="32"/>
              <w:keepNext w:val="0"/>
              <w:keepLines w:val="0"/>
              <w:pageBreakBefore w:val="0"/>
              <w:wordWrap w:val="0"/>
              <w:overflowPunct/>
              <w:topLinePunct w:val="0"/>
              <w:bidi w:val="0"/>
              <w:spacing w:line="294" w:lineRule="auto"/>
              <w:rPr>
                <w:rFonts w:hint="eastAsia" w:ascii="宋体" w:hAnsi="宋体" w:eastAsia="宋体" w:cs="宋体"/>
                <w:color w:val="auto"/>
                <w:spacing w:val="0"/>
                <w:highlight w:val="none"/>
              </w:rPr>
            </w:pPr>
          </w:p>
          <w:p w14:paraId="73B26E2A">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34980E5B">
            <w:pPr>
              <w:pStyle w:val="32"/>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6C97FB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0919A13E">
            <w:pPr>
              <w:keepNext w:val="0"/>
              <w:keepLines w:val="0"/>
              <w:pageBreakBefore w:val="0"/>
              <w:wordWrap w:val="0"/>
              <w:overflowPunct/>
              <w:topLinePunct w:val="0"/>
              <w:bidi w:val="0"/>
              <w:spacing w:before="132" w:line="353" w:lineRule="auto"/>
              <w:ind w:left="116" w:right="6" w:firstLine="11"/>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（二）混凝土模板支撑工程：搭设高度8m 及以 上，或搭设跨度 18m 及以上，或施工总荷载（设计值）15kN/m2 及以上，或集中线荷载（设计值） 20kN/m 及以上。</w:t>
            </w:r>
          </w:p>
        </w:tc>
        <w:tc>
          <w:tcPr>
            <w:tcW w:w="1294" w:type="dxa"/>
            <w:vAlign w:val="top"/>
          </w:tcPr>
          <w:p w14:paraId="1C1064E2">
            <w:pPr>
              <w:pStyle w:val="32"/>
              <w:keepNext w:val="0"/>
              <w:keepLines w:val="0"/>
              <w:pageBreakBefore w:val="0"/>
              <w:wordWrap w:val="0"/>
              <w:overflowPunct/>
              <w:topLinePunct w:val="0"/>
              <w:bidi w:val="0"/>
              <w:spacing w:line="262" w:lineRule="auto"/>
              <w:rPr>
                <w:rFonts w:hint="eastAsia" w:ascii="宋体" w:hAnsi="宋体" w:eastAsia="宋体" w:cs="宋体"/>
                <w:color w:val="auto"/>
                <w:spacing w:val="0"/>
                <w:highlight w:val="none"/>
              </w:rPr>
            </w:pPr>
          </w:p>
          <w:p w14:paraId="7C7E159C">
            <w:pPr>
              <w:pStyle w:val="32"/>
              <w:keepNext w:val="0"/>
              <w:keepLines w:val="0"/>
              <w:pageBreakBefore w:val="0"/>
              <w:wordWrap w:val="0"/>
              <w:overflowPunct/>
              <w:topLinePunct w:val="0"/>
              <w:bidi w:val="0"/>
              <w:spacing w:line="263" w:lineRule="auto"/>
              <w:rPr>
                <w:rFonts w:hint="eastAsia" w:ascii="宋体" w:hAnsi="宋体" w:eastAsia="宋体" w:cs="宋体"/>
                <w:color w:val="auto"/>
                <w:spacing w:val="0"/>
                <w:highlight w:val="none"/>
              </w:rPr>
            </w:pPr>
          </w:p>
          <w:p w14:paraId="46AF38EC">
            <w:pPr>
              <w:pStyle w:val="32"/>
              <w:keepNext w:val="0"/>
              <w:keepLines w:val="0"/>
              <w:pageBreakBefore w:val="0"/>
              <w:wordWrap w:val="0"/>
              <w:overflowPunct/>
              <w:topLinePunct w:val="0"/>
              <w:bidi w:val="0"/>
              <w:spacing w:line="263" w:lineRule="auto"/>
              <w:rPr>
                <w:rFonts w:hint="eastAsia" w:ascii="宋体" w:hAnsi="宋体" w:eastAsia="宋体" w:cs="宋体"/>
                <w:color w:val="auto"/>
                <w:spacing w:val="0"/>
                <w:highlight w:val="none"/>
              </w:rPr>
            </w:pPr>
          </w:p>
          <w:p w14:paraId="18313713">
            <w:pPr>
              <w:keepNext w:val="0"/>
              <w:keepLines w:val="0"/>
              <w:pageBreakBefore w:val="0"/>
              <w:wordWrap w:val="0"/>
              <w:overflowPunct/>
              <w:topLinePunct w:val="0"/>
              <w:bidi w:val="0"/>
              <w:spacing w:before="78"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3714677D">
            <w:pPr>
              <w:pStyle w:val="32"/>
              <w:keepNext w:val="0"/>
              <w:keepLines w:val="0"/>
              <w:pageBreakBefore w:val="0"/>
              <w:wordWrap w:val="0"/>
              <w:overflowPunct/>
              <w:topLinePunct w:val="0"/>
              <w:bidi w:val="0"/>
              <w:spacing w:line="262" w:lineRule="auto"/>
              <w:rPr>
                <w:rFonts w:hint="eastAsia" w:ascii="宋体" w:hAnsi="宋体" w:eastAsia="宋体" w:cs="宋体"/>
                <w:color w:val="auto"/>
                <w:spacing w:val="0"/>
                <w:highlight w:val="none"/>
              </w:rPr>
            </w:pPr>
          </w:p>
          <w:p w14:paraId="38DD3184">
            <w:pPr>
              <w:pStyle w:val="32"/>
              <w:keepNext w:val="0"/>
              <w:keepLines w:val="0"/>
              <w:pageBreakBefore w:val="0"/>
              <w:wordWrap w:val="0"/>
              <w:overflowPunct/>
              <w:topLinePunct w:val="0"/>
              <w:bidi w:val="0"/>
              <w:spacing w:line="263" w:lineRule="auto"/>
              <w:rPr>
                <w:rFonts w:hint="eastAsia" w:ascii="宋体" w:hAnsi="宋体" w:eastAsia="宋体" w:cs="宋体"/>
                <w:color w:val="auto"/>
                <w:spacing w:val="0"/>
                <w:highlight w:val="none"/>
              </w:rPr>
            </w:pPr>
          </w:p>
          <w:p w14:paraId="17E72D0E">
            <w:pPr>
              <w:pStyle w:val="32"/>
              <w:keepNext w:val="0"/>
              <w:keepLines w:val="0"/>
              <w:pageBreakBefore w:val="0"/>
              <w:wordWrap w:val="0"/>
              <w:overflowPunct/>
              <w:topLinePunct w:val="0"/>
              <w:bidi w:val="0"/>
              <w:spacing w:line="263" w:lineRule="auto"/>
              <w:rPr>
                <w:rFonts w:hint="eastAsia" w:ascii="宋体" w:hAnsi="宋体" w:eastAsia="宋体" w:cs="宋体"/>
                <w:color w:val="auto"/>
                <w:spacing w:val="0"/>
                <w:highlight w:val="none"/>
              </w:rPr>
            </w:pPr>
          </w:p>
          <w:p w14:paraId="065B5544">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049DC789">
            <w:pPr>
              <w:pStyle w:val="32"/>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4E8C68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817" w:hRule="atLeast"/>
          <w:jc w:val="center"/>
        </w:trPr>
        <w:tc>
          <w:tcPr>
            <w:tcW w:w="4864" w:type="dxa"/>
            <w:gridSpan w:val="2"/>
            <w:vAlign w:val="top"/>
          </w:tcPr>
          <w:p w14:paraId="3D085903">
            <w:pPr>
              <w:keepNext w:val="0"/>
              <w:keepLines w:val="0"/>
              <w:pageBreakBefore w:val="0"/>
              <w:wordWrap w:val="0"/>
              <w:overflowPunct/>
              <w:topLinePunct w:val="0"/>
              <w:bidi w:val="0"/>
              <w:spacing w:before="131" w:line="220" w:lineRule="auto"/>
              <w:ind w:left="12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（三）承重支撑体系：用于钢结构安装等满堂</w:t>
            </w:r>
          </w:p>
          <w:p w14:paraId="5F7C8140">
            <w:pPr>
              <w:keepNext w:val="0"/>
              <w:keepLines w:val="0"/>
              <w:pageBreakBefore w:val="0"/>
              <w:wordWrap w:val="0"/>
              <w:overflowPunct/>
              <w:topLinePunct w:val="0"/>
              <w:bidi w:val="0"/>
              <w:spacing w:before="131" w:line="220" w:lineRule="auto"/>
              <w:ind w:left="11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支撑体系，承受单点集中荷载 7kN 及以上。</w:t>
            </w:r>
          </w:p>
        </w:tc>
        <w:tc>
          <w:tcPr>
            <w:tcW w:w="1294" w:type="dxa"/>
            <w:vAlign w:val="top"/>
          </w:tcPr>
          <w:p w14:paraId="3E25E36F">
            <w:pPr>
              <w:keepNext w:val="0"/>
              <w:keepLines w:val="0"/>
              <w:pageBreakBefore w:val="0"/>
              <w:wordWrap w:val="0"/>
              <w:overflowPunct/>
              <w:topLinePunct w:val="0"/>
              <w:bidi w:val="0"/>
              <w:spacing w:before="131"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429F6678">
            <w:pPr>
              <w:keepNext w:val="0"/>
              <w:keepLines w:val="0"/>
              <w:pageBreakBefore w:val="0"/>
              <w:wordWrap w:val="0"/>
              <w:overflowPunct/>
              <w:topLinePunct w:val="0"/>
              <w:bidi w:val="0"/>
              <w:spacing w:before="131"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46774FE2">
            <w:pPr>
              <w:pStyle w:val="32"/>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45D470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5AE597C3">
            <w:pPr>
              <w:keepNext w:val="0"/>
              <w:keepLines w:val="0"/>
              <w:pageBreakBefore w:val="0"/>
              <w:wordWrap w:val="0"/>
              <w:overflowPunct/>
              <w:topLinePunct w:val="0"/>
              <w:bidi w:val="0"/>
              <w:spacing w:before="128" w:line="219" w:lineRule="auto"/>
              <w:ind w:left="356"/>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三、起重吊装及起重机械安装拆卸工程</w:t>
            </w:r>
          </w:p>
        </w:tc>
        <w:tc>
          <w:tcPr>
            <w:tcW w:w="1294" w:type="dxa"/>
            <w:vAlign w:val="top"/>
          </w:tcPr>
          <w:p w14:paraId="68FCE30D">
            <w:pPr>
              <w:keepNext w:val="0"/>
              <w:keepLines w:val="0"/>
              <w:pageBreakBefore w:val="0"/>
              <w:wordWrap w:val="0"/>
              <w:overflowPunct/>
              <w:topLinePunct w:val="0"/>
              <w:bidi w:val="0"/>
              <w:spacing w:before="127" w:line="223" w:lineRule="auto"/>
              <w:ind w:left="42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1353FD92">
            <w:pPr>
              <w:keepNext w:val="0"/>
              <w:keepLines w:val="0"/>
              <w:pageBreakBefore w:val="0"/>
              <w:wordWrap w:val="0"/>
              <w:overflowPunct/>
              <w:topLinePunct w:val="0"/>
              <w:bidi w:val="0"/>
              <w:spacing w:before="127"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051D6EE4">
            <w:pPr>
              <w:pStyle w:val="32"/>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27B043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75A69FB1">
            <w:pPr>
              <w:keepNext w:val="0"/>
              <w:keepLines w:val="0"/>
              <w:pageBreakBefore w:val="0"/>
              <w:wordWrap w:val="0"/>
              <w:overflowPunct/>
              <w:topLinePunct w:val="0"/>
              <w:bidi w:val="0"/>
              <w:spacing w:before="129" w:line="328" w:lineRule="auto"/>
              <w:ind w:left="144" w:right="168" w:hanging="1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（一）采用非常规起重设备、方法，且单件起 吊重量在 100kN 及以上的起重吊装工程。</w:t>
            </w:r>
          </w:p>
        </w:tc>
        <w:tc>
          <w:tcPr>
            <w:tcW w:w="1294" w:type="dxa"/>
            <w:vAlign w:val="top"/>
          </w:tcPr>
          <w:p w14:paraId="28DE0DE3">
            <w:pPr>
              <w:pStyle w:val="32"/>
              <w:keepNext w:val="0"/>
              <w:keepLines w:val="0"/>
              <w:pageBreakBefore w:val="0"/>
              <w:wordWrap w:val="0"/>
              <w:overflowPunct/>
              <w:topLinePunct w:val="0"/>
              <w:bidi w:val="0"/>
              <w:spacing w:line="295" w:lineRule="auto"/>
              <w:rPr>
                <w:rFonts w:hint="eastAsia" w:ascii="宋体" w:hAnsi="宋体" w:eastAsia="宋体" w:cs="宋体"/>
                <w:color w:val="auto"/>
                <w:spacing w:val="0"/>
                <w:highlight w:val="none"/>
              </w:rPr>
            </w:pPr>
          </w:p>
          <w:p w14:paraId="1041D356">
            <w:pPr>
              <w:keepNext w:val="0"/>
              <w:keepLines w:val="0"/>
              <w:pageBreakBefore w:val="0"/>
              <w:wordWrap w:val="0"/>
              <w:overflowPunct/>
              <w:topLinePunct w:val="0"/>
              <w:bidi w:val="0"/>
              <w:spacing w:before="78"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005DBA6D">
            <w:pPr>
              <w:pStyle w:val="32"/>
              <w:keepNext w:val="0"/>
              <w:keepLines w:val="0"/>
              <w:pageBreakBefore w:val="0"/>
              <w:wordWrap w:val="0"/>
              <w:overflowPunct/>
              <w:topLinePunct w:val="0"/>
              <w:bidi w:val="0"/>
              <w:spacing w:line="295" w:lineRule="auto"/>
              <w:rPr>
                <w:rFonts w:hint="eastAsia" w:ascii="宋体" w:hAnsi="宋体" w:eastAsia="宋体" w:cs="宋体"/>
                <w:color w:val="auto"/>
                <w:spacing w:val="0"/>
                <w:highlight w:val="none"/>
              </w:rPr>
            </w:pPr>
          </w:p>
          <w:p w14:paraId="6DB415EC">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33169914">
            <w:pPr>
              <w:pStyle w:val="32"/>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676717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28527F33">
            <w:pPr>
              <w:keepNext w:val="0"/>
              <w:keepLines w:val="0"/>
              <w:pageBreakBefore w:val="0"/>
              <w:wordWrap w:val="0"/>
              <w:overflowPunct/>
              <w:topLinePunct w:val="0"/>
              <w:bidi w:val="0"/>
              <w:spacing w:before="129" w:line="345" w:lineRule="auto"/>
              <w:ind w:left="115" w:right="105" w:firstLine="12"/>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（二）起重量 300kN 及以上，或搭设总高度 200m 及以上，或搭设基础标高在 200m 及以上的起重 机械安装和拆卸工程。</w:t>
            </w:r>
          </w:p>
        </w:tc>
        <w:tc>
          <w:tcPr>
            <w:tcW w:w="1294" w:type="dxa"/>
            <w:vAlign w:val="top"/>
          </w:tcPr>
          <w:p w14:paraId="12C8F4F4">
            <w:pPr>
              <w:pStyle w:val="32"/>
              <w:keepNext w:val="0"/>
              <w:keepLines w:val="0"/>
              <w:pageBreakBefore w:val="0"/>
              <w:wordWrap w:val="0"/>
              <w:overflowPunct/>
              <w:topLinePunct w:val="0"/>
              <w:bidi w:val="0"/>
              <w:spacing w:line="270" w:lineRule="auto"/>
              <w:rPr>
                <w:rFonts w:hint="eastAsia" w:ascii="宋体" w:hAnsi="宋体" w:eastAsia="宋体" w:cs="宋体"/>
                <w:color w:val="auto"/>
                <w:spacing w:val="0"/>
                <w:highlight w:val="none"/>
              </w:rPr>
            </w:pPr>
          </w:p>
          <w:p w14:paraId="58E08781">
            <w:pPr>
              <w:pStyle w:val="32"/>
              <w:keepNext w:val="0"/>
              <w:keepLines w:val="0"/>
              <w:pageBreakBefore w:val="0"/>
              <w:wordWrap w:val="0"/>
              <w:overflowPunct/>
              <w:topLinePunct w:val="0"/>
              <w:bidi w:val="0"/>
              <w:spacing w:line="270" w:lineRule="auto"/>
              <w:rPr>
                <w:rFonts w:hint="eastAsia" w:ascii="宋体" w:hAnsi="宋体" w:eastAsia="宋体" w:cs="宋体"/>
                <w:color w:val="auto"/>
                <w:spacing w:val="0"/>
                <w:highlight w:val="none"/>
              </w:rPr>
            </w:pPr>
          </w:p>
          <w:p w14:paraId="247D4D32">
            <w:pPr>
              <w:keepNext w:val="0"/>
              <w:keepLines w:val="0"/>
              <w:pageBreakBefore w:val="0"/>
              <w:wordWrap w:val="0"/>
              <w:overflowPunct/>
              <w:topLinePunct w:val="0"/>
              <w:bidi w:val="0"/>
              <w:spacing w:before="78"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2D2FD836">
            <w:pPr>
              <w:pStyle w:val="32"/>
              <w:keepNext w:val="0"/>
              <w:keepLines w:val="0"/>
              <w:pageBreakBefore w:val="0"/>
              <w:wordWrap w:val="0"/>
              <w:overflowPunct/>
              <w:topLinePunct w:val="0"/>
              <w:bidi w:val="0"/>
              <w:spacing w:line="270" w:lineRule="auto"/>
              <w:rPr>
                <w:rFonts w:hint="eastAsia" w:ascii="宋体" w:hAnsi="宋体" w:eastAsia="宋体" w:cs="宋体"/>
                <w:color w:val="auto"/>
                <w:spacing w:val="0"/>
                <w:highlight w:val="none"/>
              </w:rPr>
            </w:pPr>
          </w:p>
          <w:p w14:paraId="36ED74ED">
            <w:pPr>
              <w:pStyle w:val="32"/>
              <w:keepNext w:val="0"/>
              <w:keepLines w:val="0"/>
              <w:pageBreakBefore w:val="0"/>
              <w:wordWrap w:val="0"/>
              <w:overflowPunct/>
              <w:topLinePunct w:val="0"/>
              <w:bidi w:val="0"/>
              <w:spacing w:line="270" w:lineRule="auto"/>
              <w:rPr>
                <w:rFonts w:hint="eastAsia" w:ascii="宋体" w:hAnsi="宋体" w:eastAsia="宋体" w:cs="宋体"/>
                <w:color w:val="auto"/>
                <w:spacing w:val="0"/>
                <w:highlight w:val="none"/>
              </w:rPr>
            </w:pPr>
          </w:p>
          <w:p w14:paraId="1201806C">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35C382E6">
            <w:pPr>
              <w:pStyle w:val="32"/>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424A9C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1ECC83AB">
            <w:pPr>
              <w:keepNext w:val="0"/>
              <w:keepLines w:val="0"/>
              <w:pageBreakBefore w:val="0"/>
              <w:wordWrap w:val="0"/>
              <w:overflowPunct/>
              <w:topLinePunct w:val="0"/>
              <w:bidi w:val="0"/>
              <w:spacing w:before="128" w:line="219" w:lineRule="auto"/>
              <w:ind w:left="138"/>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四、脚手架工程</w:t>
            </w:r>
          </w:p>
        </w:tc>
        <w:tc>
          <w:tcPr>
            <w:tcW w:w="1294" w:type="dxa"/>
            <w:vAlign w:val="top"/>
          </w:tcPr>
          <w:p w14:paraId="23D5406D">
            <w:pPr>
              <w:keepNext w:val="0"/>
              <w:keepLines w:val="0"/>
              <w:pageBreakBefore w:val="0"/>
              <w:wordWrap w:val="0"/>
              <w:overflowPunct/>
              <w:topLinePunct w:val="0"/>
              <w:bidi w:val="0"/>
              <w:spacing w:before="127"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55DAC74F">
            <w:pPr>
              <w:keepNext w:val="0"/>
              <w:keepLines w:val="0"/>
              <w:pageBreakBefore w:val="0"/>
              <w:wordWrap w:val="0"/>
              <w:overflowPunct/>
              <w:topLinePunct w:val="0"/>
              <w:bidi w:val="0"/>
              <w:spacing w:before="127"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677FA2FA">
            <w:pPr>
              <w:pStyle w:val="32"/>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7ACF71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5741E91C">
            <w:pPr>
              <w:keepNext w:val="0"/>
              <w:keepLines w:val="0"/>
              <w:pageBreakBefore w:val="0"/>
              <w:wordWrap w:val="0"/>
              <w:overflowPunct/>
              <w:topLinePunct w:val="0"/>
              <w:bidi w:val="0"/>
              <w:spacing w:before="128" w:line="328" w:lineRule="auto"/>
              <w:ind w:left="117" w:right="168" w:firstLine="1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（一）搭设高度 50m 及以上的落地式钢管脚手 架工程。</w:t>
            </w:r>
          </w:p>
        </w:tc>
        <w:tc>
          <w:tcPr>
            <w:tcW w:w="1294" w:type="dxa"/>
            <w:vAlign w:val="top"/>
          </w:tcPr>
          <w:p w14:paraId="275F8A18">
            <w:pPr>
              <w:pStyle w:val="32"/>
              <w:keepNext w:val="0"/>
              <w:keepLines w:val="0"/>
              <w:pageBreakBefore w:val="0"/>
              <w:wordWrap w:val="0"/>
              <w:overflowPunct/>
              <w:topLinePunct w:val="0"/>
              <w:bidi w:val="0"/>
              <w:spacing w:line="296" w:lineRule="auto"/>
              <w:rPr>
                <w:rFonts w:hint="eastAsia" w:ascii="宋体" w:hAnsi="宋体" w:eastAsia="宋体" w:cs="宋体"/>
                <w:color w:val="auto"/>
                <w:spacing w:val="0"/>
                <w:highlight w:val="none"/>
              </w:rPr>
            </w:pPr>
          </w:p>
          <w:p w14:paraId="1852BC2B">
            <w:pPr>
              <w:keepNext w:val="0"/>
              <w:keepLines w:val="0"/>
              <w:pageBreakBefore w:val="0"/>
              <w:wordWrap w:val="0"/>
              <w:overflowPunct/>
              <w:topLinePunct w:val="0"/>
              <w:bidi w:val="0"/>
              <w:spacing w:before="78"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56D358CB">
            <w:pPr>
              <w:pStyle w:val="32"/>
              <w:keepNext w:val="0"/>
              <w:keepLines w:val="0"/>
              <w:pageBreakBefore w:val="0"/>
              <w:wordWrap w:val="0"/>
              <w:overflowPunct/>
              <w:topLinePunct w:val="0"/>
              <w:bidi w:val="0"/>
              <w:spacing w:line="296" w:lineRule="auto"/>
              <w:rPr>
                <w:rFonts w:hint="eastAsia" w:ascii="宋体" w:hAnsi="宋体" w:eastAsia="宋体" w:cs="宋体"/>
                <w:color w:val="auto"/>
                <w:spacing w:val="0"/>
                <w:highlight w:val="none"/>
              </w:rPr>
            </w:pPr>
          </w:p>
          <w:p w14:paraId="07B1C4EB">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611DFB22">
            <w:pPr>
              <w:pStyle w:val="32"/>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0ABF3D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64B2CD7E">
            <w:pPr>
              <w:keepNext w:val="0"/>
              <w:keepLines w:val="0"/>
              <w:pageBreakBefore w:val="0"/>
              <w:wordWrap w:val="0"/>
              <w:overflowPunct/>
              <w:topLinePunct w:val="0"/>
              <w:bidi w:val="0"/>
              <w:spacing w:before="131" w:line="327" w:lineRule="auto"/>
              <w:ind w:left="116" w:right="105" w:firstLine="1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 xml:space="preserve">（二）提升高度在 </w:t>
            </w:r>
            <w:r>
              <w:rPr>
                <w:rFonts w:hint="eastAsia" w:ascii="宋体" w:hAnsi="宋体" w:eastAsia="宋体" w:cs="宋体"/>
                <w:color w:val="auto"/>
                <w:spacing w:val="0"/>
                <w:sz w:val="24"/>
                <w:szCs w:val="24"/>
                <w:highlight w:val="none"/>
                <w:lang w:eastAsia="zh-CN"/>
              </w:rPr>
              <w:t>450</w:t>
            </w:r>
            <w:r>
              <w:rPr>
                <w:rFonts w:hint="eastAsia" w:ascii="宋体" w:hAnsi="宋体" w:eastAsia="宋体" w:cs="宋体"/>
                <w:color w:val="auto"/>
                <w:spacing w:val="0"/>
                <w:sz w:val="24"/>
                <w:szCs w:val="24"/>
                <w:highlight w:val="none"/>
              </w:rPr>
              <w:t>m 及以上的附着式升降脚 手架工程或附着式升降操作平台工程。</w:t>
            </w:r>
          </w:p>
        </w:tc>
        <w:tc>
          <w:tcPr>
            <w:tcW w:w="1294" w:type="dxa"/>
            <w:vAlign w:val="top"/>
          </w:tcPr>
          <w:p w14:paraId="0108C6A4">
            <w:pPr>
              <w:pStyle w:val="32"/>
              <w:keepNext w:val="0"/>
              <w:keepLines w:val="0"/>
              <w:pageBreakBefore w:val="0"/>
              <w:wordWrap w:val="0"/>
              <w:overflowPunct/>
              <w:topLinePunct w:val="0"/>
              <w:bidi w:val="0"/>
              <w:spacing w:line="296" w:lineRule="auto"/>
              <w:rPr>
                <w:rFonts w:hint="eastAsia" w:ascii="宋体" w:hAnsi="宋体" w:eastAsia="宋体" w:cs="宋体"/>
                <w:color w:val="auto"/>
                <w:spacing w:val="0"/>
                <w:highlight w:val="none"/>
              </w:rPr>
            </w:pPr>
          </w:p>
          <w:p w14:paraId="615B44F5">
            <w:pPr>
              <w:keepNext w:val="0"/>
              <w:keepLines w:val="0"/>
              <w:pageBreakBefore w:val="0"/>
              <w:wordWrap w:val="0"/>
              <w:overflowPunct/>
              <w:topLinePunct w:val="0"/>
              <w:bidi w:val="0"/>
              <w:spacing w:before="78"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2C1A57F1">
            <w:pPr>
              <w:pStyle w:val="32"/>
              <w:keepNext w:val="0"/>
              <w:keepLines w:val="0"/>
              <w:pageBreakBefore w:val="0"/>
              <w:wordWrap w:val="0"/>
              <w:overflowPunct/>
              <w:topLinePunct w:val="0"/>
              <w:bidi w:val="0"/>
              <w:spacing w:line="296" w:lineRule="auto"/>
              <w:rPr>
                <w:rFonts w:hint="eastAsia" w:ascii="宋体" w:hAnsi="宋体" w:eastAsia="宋体" w:cs="宋体"/>
                <w:color w:val="auto"/>
                <w:spacing w:val="0"/>
                <w:highlight w:val="none"/>
              </w:rPr>
            </w:pPr>
          </w:p>
          <w:p w14:paraId="249A8D9C">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508E8D5E">
            <w:pPr>
              <w:pStyle w:val="32"/>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39A642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10670C59">
            <w:pPr>
              <w:keepNext w:val="0"/>
              <w:keepLines w:val="0"/>
              <w:pageBreakBefore w:val="0"/>
              <w:wordWrap w:val="0"/>
              <w:overflowPunct/>
              <w:topLinePunct w:val="0"/>
              <w:bidi w:val="0"/>
              <w:spacing w:before="129" w:line="328" w:lineRule="auto"/>
              <w:ind w:left="115" w:right="168" w:firstLine="12"/>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（三）分段架体搭设高度 20m 及以上的悬挑式 脚手架工程。</w:t>
            </w:r>
          </w:p>
        </w:tc>
        <w:tc>
          <w:tcPr>
            <w:tcW w:w="1294" w:type="dxa"/>
            <w:vAlign w:val="top"/>
          </w:tcPr>
          <w:p w14:paraId="3875405F">
            <w:pPr>
              <w:pStyle w:val="32"/>
              <w:keepNext w:val="0"/>
              <w:keepLines w:val="0"/>
              <w:pageBreakBefore w:val="0"/>
              <w:wordWrap w:val="0"/>
              <w:overflowPunct/>
              <w:topLinePunct w:val="0"/>
              <w:bidi w:val="0"/>
              <w:spacing w:line="297" w:lineRule="auto"/>
              <w:rPr>
                <w:rFonts w:hint="eastAsia" w:ascii="宋体" w:hAnsi="宋体" w:eastAsia="宋体" w:cs="宋体"/>
                <w:color w:val="auto"/>
                <w:spacing w:val="0"/>
                <w:highlight w:val="none"/>
              </w:rPr>
            </w:pPr>
          </w:p>
          <w:p w14:paraId="36D52BF9">
            <w:pPr>
              <w:keepNext w:val="0"/>
              <w:keepLines w:val="0"/>
              <w:pageBreakBefore w:val="0"/>
              <w:wordWrap w:val="0"/>
              <w:overflowPunct/>
              <w:topLinePunct w:val="0"/>
              <w:bidi w:val="0"/>
              <w:spacing w:before="78"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1F1A9C2C">
            <w:pPr>
              <w:pStyle w:val="32"/>
              <w:keepNext w:val="0"/>
              <w:keepLines w:val="0"/>
              <w:pageBreakBefore w:val="0"/>
              <w:wordWrap w:val="0"/>
              <w:overflowPunct/>
              <w:topLinePunct w:val="0"/>
              <w:bidi w:val="0"/>
              <w:spacing w:line="297" w:lineRule="auto"/>
              <w:rPr>
                <w:rFonts w:hint="eastAsia" w:ascii="宋体" w:hAnsi="宋体" w:eastAsia="宋体" w:cs="宋体"/>
                <w:color w:val="auto"/>
                <w:spacing w:val="0"/>
                <w:highlight w:val="none"/>
              </w:rPr>
            </w:pPr>
          </w:p>
          <w:p w14:paraId="5961FE8E">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03D3064A">
            <w:pPr>
              <w:pStyle w:val="32"/>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5A93C9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5F270589">
            <w:pPr>
              <w:keepNext w:val="0"/>
              <w:keepLines w:val="0"/>
              <w:pageBreakBefore w:val="0"/>
              <w:wordWrap w:val="0"/>
              <w:overflowPunct/>
              <w:topLinePunct w:val="0"/>
              <w:bidi w:val="0"/>
              <w:spacing w:before="131" w:line="220" w:lineRule="auto"/>
              <w:ind w:left="12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五、拆除工程</w:t>
            </w:r>
          </w:p>
        </w:tc>
        <w:tc>
          <w:tcPr>
            <w:tcW w:w="1294" w:type="dxa"/>
            <w:vAlign w:val="top"/>
          </w:tcPr>
          <w:p w14:paraId="3B2E8C69">
            <w:pPr>
              <w:keepNext w:val="0"/>
              <w:keepLines w:val="0"/>
              <w:pageBreakBefore w:val="0"/>
              <w:wordWrap w:val="0"/>
              <w:overflowPunct/>
              <w:topLinePunct w:val="0"/>
              <w:bidi w:val="0"/>
              <w:spacing w:before="158" w:line="223" w:lineRule="auto"/>
              <w:ind w:left="42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1927FD35">
            <w:pPr>
              <w:keepNext w:val="0"/>
              <w:keepLines w:val="0"/>
              <w:pageBreakBefore w:val="0"/>
              <w:wordWrap w:val="0"/>
              <w:overflowPunct/>
              <w:topLinePunct w:val="0"/>
              <w:bidi w:val="0"/>
              <w:spacing w:before="15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57635C50">
            <w:pPr>
              <w:pStyle w:val="32"/>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566EC2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5451D690">
            <w:pPr>
              <w:keepNext w:val="0"/>
              <w:keepLines w:val="0"/>
              <w:pageBreakBefore w:val="0"/>
              <w:wordWrap w:val="0"/>
              <w:overflowPunct/>
              <w:topLinePunct w:val="0"/>
              <w:bidi w:val="0"/>
              <w:spacing w:before="132" w:line="353" w:lineRule="auto"/>
              <w:ind w:left="115" w:right="168" w:firstLine="12"/>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（一）码头、桥梁、高架、烟囱、水塔或拆除 中容易引起有毒有害气（液）体或粉尘扩散、 易燃易爆事故发生的特殊建、构筑物的拆除工 程。</w:t>
            </w:r>
          </w:p>
        </w:tc>
        <w:tc>
          <w:tcPr>
            <w:tcW w:w="1294" w:type="dxa"/>
            <w:vAlign w:val="top"/>
          </w:tcPr>
          <w:p w14:paraId="320C4735">
            <w:pPr>
              <w:pStyle w:val="32"/>
              <w:keepNext w:val="0"/>
              <w:keepLines w:val="0"/>
              <w:pageBreakBefore w:val="0"/>
              <w:wordWrap w:val="0"/>
              <w:overflowPunct/>
              <w:topLinePunct w:val="0"/>
              <w:bidi w:val="0"/>
              <w:spacing w:line="262" w:lineRule="auto"/>
              <w:rPr>
                <w:rFonts w:hint="eastAsia" w:ascii="宋体" w:hAnsi="宋体" w:eastAsia="宋体" w:cs="宋体"/>
                <w:color w:val="auto"/>
                <w:spacing w:val="0"/>
                <w:highlight w:val="none"/>
              </w:rPr>
            </w:pPr>
          </w:p>
          <w:p w14:paraId="4DB66496">
            <w:pPr>
              <w:pStyle w:val="32"/>
              <w:keepNext w:val="0"/>
              <w:keepLines w:val="0"/>
              <w:pageBreakBefore w:val="0"/>
              <w:wordWrap w:val="0"/>
              <w:overflowPunct/>
              <w:topLinePunct w:val="0"/>
              <w:bidi w:val="0"/>
              <w:spacing w:line="262" w:lineRule="auto"/>
              <w:rPr>
                <w:rFonts w:hint="eastAsia" w:ascii="宋体" w:hAnsi="宋体" w:eastAsia="宋体" w:cs="宋体"/>
                <w:color w:val="auto"/>
                <w:spacing w:val="0"/>
                <w:highlight w:val="none"/>
              </w:rPr>
            </w:pPr>
          </w:p>
          <w:p w14:paraId="0C8F378F">
            <w:pPr>
              <w:pStyle w:val="32"/>
              <w:keepNext w:val="0"/>
              <w:keepLines w:val="0"/>
              <w:pageBreakBefore w:val="0"/>
              <w:wordWrap w:val="0"/>
              <w:overflowPunct/>
              <w:topLinePunct w:val="0"/>
              <w:bidi w:val="0"/>
              <w:spacing w:line="262" w:lineRule="auto"/>
              <w:rPr>
                <w:rFonts w:hint="eastAsia" w:ascii="宋体" w:hAnsi="宋体" w:eastAsia="宋体" w:cs="宋体"/>
                <w:color w:val="auto"/>
                <w:spacing w:val="0"/>
                <w:highlight w:val="none"/>
              </w:rPr>
            </w:pPr>
          </w:p>
          <w:p w14:paraId="03824C5C">
            <w:pPr>
              <w:keepNext w:val="0"/>
              <w:keepLines w:val="0"/>
              <w:pageBreakBefore w:val="0"/>
              <w:wordWrap w:val="0"/>
              <w:overflowPunct/>
              <w:topLinePunct w:val="0"/>
              <w:bidi w:val="0"/>
              <w:spacing w:before="78"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3BE453BB">
            <w:pPr>
              <w:pStyle w:val="32"/>
              <w:keepNext w:val="0"/>
              <w:keepLines w:val="0"/>
              <w:pageBreakBefore w:val="0"/>
              <w:wordWrap w:val="0"/>
              <w:overflowPunct/>
              <w:topLinePunct w:val="0"/>
              <w:bidi w:val="0"/>
              <w:spacing w:line="262" w:lineRule="auto"/>
              <w:rPr>
                <w:rFonts w:hint="eastAsia" w:ascii="宋体" w:hAnsi="宋体" w:eastAsia="宋体" w:cs="宋体"/>
                <w:color w:val="auto"/>
                <w:spacing w:val="0"/>
                <w:highlight w:val="none"/>
              </w:rPr>
            </w:pPr>
          </w:p>
          <w:p w14:paraId="47490F27">
            <w:pPr>
              <w:pStyle w:val="32"/>
              <w:keepNext w:val="0"/>
              <w:keepLines w:val="0"/>
              <w:pageBreakBefore w:val="0"/>
              <w:wordWrap w:val="0"/>
              <w:overflowPunct/>
              <w:topLinePunct w:val="0"/>
              <w:bidi w:val="0"/>
              <w:spacing w:line="262" w:lineRule="auto"/>
              <w:rPr>
                <w:rFonts w:hint="eastAsia" w:ascii="宋体" w:hAnsi="宋体" w:eastAsia="宋体" w:cs="宋体"/>
                <w:color w:val="auto"/>
                <w:spacing w:val="0"/>
                <w:highlight w:val="none"/>
              </w:rPr>
            </w:pPr>
          </w:p>
          <w:p w14:paraId="3846335E">
            <w:pPr>
              <w:pStyle w:val="32"/>
              <w:keepNext w:val="0"/>
              <w:keepLines w:val="0"/>
              <w:pageBreakBefore w:val="0"/>
              <w:wordWrap w:val="0"/>
              <w:overflowPunct/>
              <w:topLinePunct w:val="0"/>
              <w:bidi w:val="0"/>
              <w:spacing w:line="262" w:lineRule="auto"/>
              <w:rPr>
                <w:rFonts w:hint="eastAsia" w:ascii="宋体" w:hAnsi="宋体" w:eastAsia="宋体" w:cs="宋体"/>
                <w:color w:val="auto"/>
                <w:spacing w:val="0"/>
                <w:highlight w:val="none"/>
              </w:rPr>
            </w:pPr>
          </w:p>
          <w:p w14:paraId="5FC9D833">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27A8466E">
            <w:pPr>
              <w:pStyle w:val="32"/>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2A1C0B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71FB86FB">
            <w:pPr>
              <w:keepNext w:val="0"/>
              <w:keepLines w:val="0"/>
              <w:pageBreakBefore w:val="0"/>
              <w:wordWrap w:val="0"/>
              <w:overflowPunct/>
              <w:topLinePunct w:val="0"/>
              <w:bidi w:val="0"/>
              <w:spacing w:before="131" w:line="327" w:lineRule="auto"/>
              <w:ind w:left="117" w:right="168" w:firstLine="1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（二）文物保护建筑、优秀历史建筑或历史文 化风貌区影响范围内的拆除工程。</w:t>
            </w:r>
          </w:p>
        </w:tc>
        <w:tc>
          <w:tcPr>
            <w:tcW w:w="1294" w:type="dxa"/>
            <w:vAlign w:val="top"/>
          </w:tcPr>
          <w:p w14:paraId="4228C2EA">
            <w:pPr>
              <w:pStyle w:val="32"/>
              <w:keepNext w:val="0"/>
              <w:keepLines w:val="0"/>
              <w:pageBreakBefore w:val="0"/>
              <w:wordWrap w:val="0"/>
              <w:overflowPunct/>
              <w:topLinePunct w:val="0"/>
              <w:bidi w:val="0"/>
              <w:spacing w:line="297" w:lineRule="auto"/>
              <w:rPr>
                <w:rFonts w:hint="eastAsia" w:ascii="宋体" w:hAnsi="宋体" w:eastAsia="宋体" w:cs="宋体"/>
                <w:color w:val="auto"/>
                <w:spacing w:val="0"/>
                <w:highlight w:val="none"/>
              </w:rPr>
            </w:pPr>
          </w:p>
          <w:p w14:paraId="05D3EA69">
            <w:pPr>
              <w:keepNext w:val="0"/>
              <w:keepLines w:val="0"/>
              <w:pageBreakBefore w:val="0"/>
              <w:wordWrap w:val="0"/>
              <w:overflowPunct/>
              <w:topLinePunct w:val="0"/>
              <w:bidi w:val="0"/>
              <w:spacing w:before="78"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30A7C9A9">
            <w:pPr>
              <w:pStyle w:val="32"/>
              <w:keepNext w:val="0"/>
              <w:keepLines w:val="0"/>
              <w:pageBreakBefore w:val="0"/>
              <w:wordWrap w:val="0"/>
              <w:overflowPunct/>
              <w:topLinePunct w:val="0"/>
              <w:bidi w:val="0"/>
              <w:spacing w:line="297" w:lineRule="auto"/>
              <w:rPr>
                <w:rFonts w:hint="eastAsia" w:ascii="宋体" w:hAnsi="宋体" w:eastAsia="宋体" w:cs="宋体"/>
                <w:color w:val="auto"/>
                <w:spacing w:val="0"/>
                <w:highlight w:val="none"/>
              </w:rPr>
            </w:pPr>
          </w:p>
          <w:p w14:paraId="24240670">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010FFB2C">
            <w:pPr>
              <w:pStyle w:val="32"/>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09C3E9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09FF5F96">
            <w:pPr>
              <w:keepNext w:val="0"/>
              <w:keepLines w:val="0"/>
              <w:pageBreakBefore w:val="0"/>
              <w:wordWrap w:val="0"/>
              <w:overflowPunct/>
              <w:topLinePunct w:val="0"/>
              <w:bidi w:val="0"/>
              <w:spacing w:before="131" w:line="221" w:lineRule="auto"/>
              <w:ind w:left="118"/>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六、暗挖工程</w:t>
            </w:r>
          </w:p>
        </w:tc>
        <w:tc>
          <w:tcPr>
            <w:tcW w:w="1294" w:type="dxa"/>
            <w:vAlign w:val="top"/>
          </w:tcPr>
          <w:p w14:paraId="6F958215">
            <w:pPr>
              <w:keepNext w:val="0"/>
              <w:keepLines w:val="0"/>
              <w:pageBreakBefore w:val="0"/>
              <w:wordWrap w:val="0"/>
              <w:overflowPunct/>
              <w:topLinePunct w:val="0"/>
              <w:bidi w:val="0"/>
              <w:spacing w:before="140"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763ECD32">
            <w:pPr>
              <w:keepNext w:val="0"/>
              <w:keepLines w:val="0"/>
              <w:pageBreakBefore w:val="0"/>
              <w:wordWrap w:val="0"/>
              <w:overflowPunct/>
              <w:topLinePunct w:val="0"/>
              <w:bidi w:val="0"/>
              <w:spacing w:before="140"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0EEB564A">
            <w:pPr>
              <w:pStyle w:val="32"/>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28C85B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79C35EAF">
            <w:pPr>
              <w:keepNext w:val="0"/>
              <w:keepLines w:val="0"/>
              <w:pageBreakBefore w:val="0"/>
              <w:wordWrap w:val="0"/>
              <w:overflowPunct/>
              <w:topLinePunct w:val="0"/>
              <w:bidi w:val="0"/>
              <w:spacing w:before="131" w:line="327" w:lineRule="auto"/>
              <w:ind w:left="119" w:right="168" w:hanging="4"/>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采用矿山法、盾构法、顶管法施工的隧道、洞 室工程。</w:t>
            </w:r>
          </w:p>
        </w:tc>
        <w:tc>
          <w:tcPr>
            <w:tcW w:w="1294" w:type="dxa"/>
            <w:vAlign w:val="top"/>
          </w:tcPr>
          <w:p w14:paraId="50668461">
            <w:pPr>
              <w:pStyle w:val="32"/>
              <w:keepNext w:val="0"/>
              <w:keepLines w:val="0"/>
              <w:pageBreakBefore w:val="0"/>
              <w:wordWrap w:val="0"/>
              <w:overflowPunct/>
              <w:topLinePunct w:val="0"/>
              <w:bidi w:val="0"/>
              <w:spacing w:line="298" w:lineRule="auto"/>
              <w:rPr>
                <w:rFonts w:hint="eastAsia" w:ascii="宋体" w:hAnsi="宋体" w:eastAsia="宋体" w:cs="宋体"/>
                <w:color w:val="auto"/>
                <w:spacing w:val="0"/>
                <w:highlight w:val="none"/>
              </w:rPr>
            </w:pPr>
          </w:p>
          <w:p w14:paraId="609DA607">
            <w:pPr>
              <w:keepNext w:val="0"/>
              <w:keepLines w:val="0"/>
              <w:pageBreakBefore w:val="0"/>
              <w:wordWrap w:val="0"/>
              <w:overflowPunct/>
              <w:topLinePunct w:val="0"/>
              <w:bidi w:val="0"/>
              <w:spacing w:before="78"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096154CC">
            <w:pPr>
              <w:pStyle w:val="32"/>
              <w:keepNext w:val="0"/>
              <w:keepLines w:val="0"/>
              <w:pageBreakBefore w:val="0"/>
              <w:wordWrap w:val="0"/>
              <w:overflowPunct/>
              <w:topLinePunct w:val="0"/>
              <w:bidi w:val="0"/>
              <w:spacing w:line="298" w:lineRule="auto"/>
              <w:rPr>
                <w:rFonts w:hint="eastAsia" w:ascii="宋体" w:hAnsi="宋体" w:eastAsia="宋体" w:cs="宋体"/>
                <w:color w:val="auto"/>
                <w:spacing w:val="0"/>
                <w:highlight w:val="none"/>
              </w:rPr>
            </w:pPr>
          </w:p>
          <w:p w14:paraId="4A70DCF7">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442143F2">
            <w:pPr>
              <w:pStyle w:val="32"/>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114478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67BF2DC1">
            <w:pPr>
              <w:keepNext w:val="0"/>
              <w:keepLines w:val="0"/>
              <w:pageBreakBefore w:val="0"/>
              <w:wordWrap w:val="0"/>
              <w:overflowPunct/>
              <w:topLinePunct w:val="0"/>
              <w:bidi w:val="0"/>
              <w:spacing w:before="130" w:line="222" w:lineRule="auto"/>
              <w:ind w:left="11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七、其它</w:t>
            </w:r>
          </w:p>
        </w:tc>
        <w:tc>
          <w:tcPr>
            <w:tcW w:w="1294" w:type="dxa"/>
            <w:vAlign w:val="top"/>
          </w:tcPr>
          <w:p w14:paraId="6DECB635">
            <w:pPr>
              <w:keepNext w:val="0"/>
              <w:keepLines w:val="0"/>
              <w:pageBreakBefore w:val="0"/>
              <w:wordWrap w:val="0"/>
              <w:overflowPunct/>
              <w:topLinePunct w:val="0"/>
              <w:bidi w:val="0"/>
              <w:spacing w:before="130"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73EC9942">
            <w:pPr>
              <w:keepNext w:val="0"/>
              <w:keepLines w:val="0"/>
              <w:pageBreakBefore w:val="0"/>
              <w:wordWrap w:val="0"/>
              <w:overflowPunct/>
              <w:topLinePunct w:val="0"/>
              <w:bidi w:val="0"/>
              <w:spacing w:before="130"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065D1581">
            <w:pPr>
              <w:pStyle w:val="32"/>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2D4101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6F7AABEE">
            <w:pPr>
              <w:keepNext w:val="0"/>
              <w:keepLines w:val="0"/>
              <w:pageBreakBefore w:val="0"/>
              <w:wordWrap w:val="0"/>
              <w:overflowPunct/>
              <w:topLinePunct w:val="0"/>
              <w:bidi w:val="0"/>
              <w:spacing w:before="130" w:line="327" w:lineRule="auto"/>
              <w:ind w:left="115" w:right="168" w:firstLine="12"/>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（一）施工高度 50m 及以上的建筑幕墙安装工 程。</w:t>
            </w:r>
          </w:p>
        </w:tc>
        <w:tc>
          <w:tcPr>
            <w:tcW w:w="1294" w:type="dxa"/>
            <w:vAlign w:val="top"/>
          </w:tcPr>
          <w:p w14:paraId="01678D77">
            <w:pPr>
              <w:pStyle w:val="32"/>
              <w:keepNext w:val="0"/>
              <w:keepLines w:val="0"/>
              <w:pageBreakBefore w:val="0"/>
              <w:wordWrap w:val="0"/>
              <w:overflowPunct/>
              <w:topLinePunct w:val="0"/>
              <w:bidi w:val="0"/>
              <w:spacing w:line="297" w:lineRule="auto"/>
              <w:rPr>
                <w:rFonts w:hint="eastAsia" w:ascii="宋体" w:hAnsi="宋体" w:eastAsia="宋体" w:cs="宋体"/>
                <w:color w:val="auto"/>
                <w:spacing w:val="0"/>
                <w:highlight w:val="none"/>
              </w:rPr>
            </w:pPr>
          </w:p>
          <w:p w14:paraId="20CF5E7D">
            <w:pPr>
              <w:keepNext w:val="0"/>
              <w:keepLines w:val="0"/>
              <w:pageBreakBefore w:val="0"/>
              <w:wordWrap w:val="0"/>
              <w:overflowPunct/>
              <w:topLinePunct w:val="0"/>
              <w:bidi w:val="0"/>
              <w:spacing w:before="78"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08771E11">
            <w:pPr>
              <w:pStyle w:val="32"/>
              <w:keepNext w:val="0"/>
              <w:keepLines w:val="0"/>
              <w:pageBreakBefore w:val="0"/>
              <w:wordWrap w:val="0"/>
              <w:overflowPunct/>
              <w:topLinePunct w:val="0"/>
              <w:bidi w:val="0"/>
              <w:spacing w:line="297" w:lineRule="auto"/>
              <w:rPr>
                <w:rFonts w:hint="eastAsia" w:ascii="宋体" w:hAnsi="宋体" w:eastAsia="宋体" w:cs="宋体"/>
                <w:color w:val="auto"/>
                <w:spacing w:val="0"/>
                <w:highlight w:val="none"/>
              </w:rPr>
            </w:pPr>
          </w:p>
          <w:p w14:paraId="3C38F7C2">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17E6D748">
            <w:pPr>
              <w:pStyle w:val="32"/>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088948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5AB5304A">
            <w:pPr>
              <w:keepNext w:val="0"/>
              <w:keepLines w:val="0"/>
              <w:pageBreakBefore w:val="0"/>
              <w:wordWrap w:val="0"/>
              <w:overflowPunct/>
              <w:topLinePunct w:val="0"/>
              <w:bidi w:val="0"/>
              <w:spacing w:before="130" w:line="221" w:lineRule="auto"/>
              <w:ind w:left="12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（二）跨度 36m 及以上的钢结构安装工程，或</w:t>
            </w:r>
          </w:p>
        </w:tc>
        <w:tc>
          <w:tcPr>
            <w:tcW w:w="1294" w:type="dxa"/>
            <w:vAlign w:val="top"/>
          </w:tcPr>
          <w:p w14:paraId="017C94D6">
            <w:pPr>
              <w:keepNext w:val="0"/>
              <w:keepLines w:val="0"/>
              <w:pageBreakBefore w:val="0"/>
              <w:wordWrap w:val="0"/>
              <w:overflowPunct/>
              <w:topLinePunct w:val="0"/>
              <w:bidi w:val="0"/>
              <w:spacing w:before="130"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61EF5DA7">
            <w:pPr>
              <w:keepNext w:val="0"/>
              <w:keepLines w:val="0"/>
              <w:pageBreakBefore w:val="0"/>
              <w:wordWrap w:val="0"/>
              <w:overflowPunct/>
              <w:topLinePunct w:val="0"/>
              <w:bidi w:val="0"/>
              <w:spacing w:before="130"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68CDDB3C">
            <w:pPr>
              <w:pStyle w:val="32"/>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6A6382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78229F96">
            <w:pPr>
              <w:keepNext w:val="0"/>
              <w:keepLines w:val="0"/>
              <w:pageBreakBefore w:val="0"/>
              <w:wordWrap w:val="0"/>
              <w:overflowPunct/>
              <w:topLinePunct w:val="0"/>
              <w:bidi w:val="0"/>
              <w:spacing w:before="131" w:line="221" w:lineRule="auto"/>
              <w:ind w:left="116"/>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跨度 60m 及以上的网架和索膜结构安装工程。</w:t>
            </w:r>
          </w:p>
        </w:tc>
        <w:tc>
          <w:tcPr>
            <w:tcW w:w="1294" w:type="dxa"/>
            <w:vAlign w:val="top"/>
          </w:tcPr>
          <w:p w14:paraId="03059F62">
            <w:pPr>
              <w:pStyle w:val="32"/>
              <w:keepNext w:val="0"/>
              <w:keepLines w:val="0"/>
              <w:pageBreakBefore w:val="0"/>
              <w:wordWrap w:val="0"/>
              <w:overflowPunct/>
              <w:topLinePunct w:val="0"/>
              <w:bidi w:val="0"/>
              <w:rPr>
                <w:rFonts w:hint="eastAsia" w:ascii="宋体" w:hAnsi="宋体" w:eastAsia="宋体" w:cs="宋体"/>
                <w:color w:val="auto"/>
                <w:spacing w:val="0"/>
                <w:highlight w:val="none"/>
              </w:rPr>
            </w:pPr>
          </w:p>
        </w:tc>
        <w:tc>
          <w:tcPr>
            <w:tcW w:w="1294" w:type="dxa"/>
            <w:vAlign w:val="top"/>
          </w:tcPr>
          <w:p w14:paraId="5DB7079F">
            <w:pPr>
              <w:pStyle w:val="32"/>
              <w:keepNext w:val="0"/>
              <w:keepLines w:val="0"/>
              <w:pageBreakBefore w:val="0"/>
              <w:wordWrap w:val="0"/>
              <w:overflowPunct/>
              <w:topLinePunct w:val="0"/>
              <w:bidi w:val="0"/>
              <w:rPr>
                <w:rFonts w:hint="eastAsia" w:ascii="宋体" w:hAnsi="宋体" w:eastAsia="宋体" w:cs="宋体"/>
                <w:color w:val="auto"/>
                <w:spacing w:val="0"/>
                <w:highlight w:val="none"/>
              </w:rPr>
            </w:pPr>
          </w:p>
        </w:tc>
        <w:tc>
          <w:tcPr>
            <w:tcW w:w="2428" w:type="dxa"/>
            <w:vAlign w:val="top"/>
          </w:tcPr>
          <w:p w14:paraId="32495FAA">
            <w:pPr>
              <w:pStyle w:val="32"/>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351FC8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4563A86E">
            <w:pPr>
              <w:keepNext w:val="0"/>
              <w:keepLines w:val="0"/>
              <w:pageBreakBefore w:val="0"/>
              <w:wordWrap w:val="0"/>
              <w:overflowPunct/>
              <w:topLinePunct w:val="0"/>
              <w:bidi w:val="0"/>
              <w:spacing w:before="127" w:line="220" w:lineRule="auto"/>
              <w:jc w:val="right"/>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（三）开挖深度 16m 及以上的人工挖孔桩工程。</w:t>
            </w:r>
          </w:p>
        </w:tc>
        <w:tc>
          <w:tcPr>
            <w:tcW w:w="1294" w:type="dxa"/>
            <w:vAlign w:val="top"/>
          </w:tcPr>
          <w:p w14:paraId="78822A11">
            <w:pPr>
              <w:keepNext w:val="0"/>
              <w:keepLines w:val="0"/>
              <w:pageBreakBefore w:val="0"/>
              <w:wordWrap w:val="0"/>
              <w:overflowPunct/>
              <w:topLinePunct w:val="0"/>
              <w:bidi w:val="0"/>
              <w:spacing w:before="127"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5378A8A2">
            <w:pPr>
              <w:keepNext w:val="0"/>
              <w:keepLines w:val="0"/>
              <w:pageBreakBefore w:val="0"/>
              <w:wordWrap w:val="0"/>
              <w:overflowPunct/>
              <w:topLinePunct w:val="0"/>
              <w:bidi w:val="0"/>
              <w:spacing w:before="127"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5E5EE443">
            <w:pPr>
              <w:pStyle w:val="32"/>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295ACD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0749C73F">
            <w:pPr>
              <w:keepNext w:val="0"/>
              <w:keepLines w:val="0"/>
              <w:pageBreakBefore w:val="0"/>
              <w:wordWrap w:val="0"/>
              <w:overflowPunct/>
              <w:topLinePunct w:val="0"/>
              <w:bidi w:val="0"/>
              <w:spacing w:before="129" w:line="220" w:lineRule="auto"/>
              <w:ind w:left="12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（四）水下作业工程。</w:t>
            </w:r>
          </w:p>
        </w:tc>
        <w:tc>
          <w:tcPr>
            <w:tcW w:w="1294" w:type="dxa"/>
            <w:vAlign w:val="top"/>
          </w:tcPr>
          <w:p w14:paraId="28EEBE7C">
            <w:pPr>
              <w:keepNext w:val="0"/>
              <w:keepLines w:val="0"/>
              <w:pageBreakBefore w:val="0"/>
              <w:wordWrap w:val="0"/>
              <w:overflowPunct/>
              <w:topLinePunct w:val="0"/>
              <w:bidi w:val="0"/>
              <w:spacing w:before="163"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55C5FF16">
            <w:pPr>
              <w:keepNext w:val="0"/>
              <w:keepLines w:val="0"/>
              <w:pageBreakBefore w:val="0"/>
              <w:wordWrap w:val="0"/>
              <w:overflowPunct/>
              <w:topLinePunct w:val="0"/>
              <w:bidi w:val="0"/>
              <w:spacing w:before="163"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098D5A4A">
            <w:pPr>
              <w:pStyle w:val="32"/>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73414F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7ADC1135">
            <w:pPr>
              <w:keepNext w:val="0"/>
              <w:keepLines w:val="0"/>
              <w:pageBreakBefore w:val="0"/>
              <w:wordWrap w:val="0"/>
              <w:overflowPunct/>
              <w:topLinePunct w:val="0"/>
              <w:bidi w:val="0"/>
              <w:spacing w:before="130" w:line="327" w:lineRule="auto"/>
              <w:ind w:left="115" w:right="25" w:firstLine="12"/>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（五）重量 1000kN及以上的大型结构整体顶升、 平移、转体等施工工艺。</w:t>
            </w:r>
          </w:p>
        </w:tc>
        <w:tc>
          <w:tcPr>
            <w:tcW w:w="1294" w:type="dxa"/>
            <w:vAlign w:val="top"/>
          </w:tcPr>
          <w:p w14:paraId="4CF6C6F7">
            <w:pPr>
              <w:pStyle w:val="32"/>
              <w:keepNext w:val="0"/>
              <w:keepLines w:val="0"/>
              <w:pageBreakBefore w:val="0"/>
              <w:wordWrap w:val="0"/>
              <w:overflowPunct/>
              <w:topLinePunct w:val="0"/>
              <w:bidi w:val="0"/>
              <w:spacing w:line="296" w:lineRule="auto"/>
              <w:rPr>
                <w:rFonts w:hint="eastAsia" w:ascii="宋体" w:hAnsi="宋体" w:eastAsia="宋体" w:cs="宋体"/>
                <w:color w:val="auto"/>
                <w:spacing w:val="0"/>
                <w:highlight w:val="none"/>
              </w:rPr>
            </w:pPr>
          </w:p>
          <w:p w14:paraId="3AEF87E5">
            <w:pPr>
              <w:keepNext w:val="0"/>
              <w:keepLines w:val="0"/>
              <w:pageBreakBefore w:val="0"/>
              <w:wordWrap w:val="0"/>
              <w:overflowPunct/>
              <w:topLinePunct w:val="0"/>
              <w:bidi w:val="0"/>
              <w:spacing w:before="78"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08F1BD85">
            <w:pPr>
              <w:pStyle w:val="32"/>
              <w:keepNext w:val="0"/>
              <w:keepLines w:val="0"/>
              <w:pageBreakBefore w:val="0"/>
              <w:wordWrap w:val="0"/>
              <w:overflowPunct/>
              <w:topLinePunct w:val="0"/>
              <w:bidi w:val="0"/>
              <w:spacing w:line="296" w:lineRule="auto"/>
              <w:rPr>
                <w:rFonts w:hint="eastAsia" w:ascii="宋体" w:hAnsi="宋体" w:eastAsia="宋体" w:cs="宋体"/>
                <w:color w:val="auto"/>
                <w:spacing w:val="0"/>
                <w:highlight w:val="none"/>
              </w:rPr>
            </w:pPr>
          </w:p>
          <w:p w14:paraId="12CDA036">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4228F4B7">
            <w:pPr>
              <w:pStyle w:val="32"/>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351A77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0846874F">
            <w:pPr>
              <w:keepNext w:val="0"/>
              <w:keepLines w:val="0"/>
              <w:pageBreakBefore w:val="0"/>
              <w:wordWrap w:val="0"/>
              <w:overflowPunct/>
              <w:topLinePunct w:val="0"/>
              <w:bidi w:val="0"/>
              <w:spacing w:before="129" w:line="346" w:lineRule="auto"/>
              <w:ind w:left="117" w:right="168" w:firstLine="1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（六）采用新技术、新工艺、新材料、新设备 可能影响工程施工安全，尚无国家、行业及地 方技术标准的分部分项工程。</w:t>
            </w:r>
          </w:p>
        </w:tc>
        <w:tc>
          <w:tcPr>
            <w:tcW w:w="1294" w:type="dxa"/>
            <w:vAlign w:val="top"/>
          </w:tcPr>
          <w:p w14:paraId="25DA2AA4">
            <w:pPr>
              <w:pStyle w:val="32"/>
              <w:keepNext w:val="0"/>
              <w:keepLines w:val="0"/>
              <w:pageBreakBefore w:val="0"/>
              <w:wordWrap w:val="0"/>
              <w:overflowPunct/>
              <w:topLinePunct w:val="0"/>
              <w:bidi w:val="0"/>
              <w:spacing w:line="272" w:lineRule="auto"/>
              <w:rPr>
                <w:rFonts w:hint="eastAsia" w:ascii="宋体" w:hAnsi="宋体" w:eastAsia="宋体" w:cs="宋体"/>
                <w:color w:val="auto"/>
                <w:spacing w:val="0"/>
                <w:highlight w:val="none"/>
              </w:rPr>
            </w:pPr>
          </w:p>
          <w:p w14:paraId="5108AB4C">
            <w:pPr>
              <w:pStyle w:val="32"/>
              <w:keepNext w:val="0"/>
              <w:keepLines w:val="0"/>
              <w:pageBreakBefore w:val="0"/>
              <w:wordWrap w:val="0"/>
              <w:overflowPunct/>
              <w:topLinePunct w:val="0"/>
              <w:bidi w:val="0"/>
              <w:spacing w:line="272" w:lineRule="auto"/>
              <w:rPr>
                <w:rFonts w:hint="eastAsia" w:ascii="宋体" w:hAnsi="宋体" w:eastAsia="宋体" w:cs="宋体"/>
                <w:color w:val="auto"/>
                <w:spacing w:val="0"/>
                <w:highlight w:val="none"/>
              </w:rPr>
            </w:pPr>
          </w:p>
          <w:p w14:paraId="18710EAD">
            <w:pPr>
              <w:keepNext w:val="0"/>
              <w:keepLines w:val="0"/>
              <w:pageBreakBefore w:val="0"/>
              <w:wordWrap w:val="0"/>
              <w:overflowPunct/>
              <w:topLinePunct w:val="0"/>
              <w:bidi w:val="0"/>
              <w:spacing w:before="78"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6A43C45F">
            <w:pPr>
              <w:pStyle w:val="32"/>
              <w:keepNext w:val="0"/>
              <w:keepLines w:val="0"/>
              <w:pageBreakBefore w:val="0"/>
              <w:wordWrap w:val="0"/>
              <w:overflowPunct/>
              <w:topLinePunct w:val="0"/>
              <w:bidi w:val="0"/>
              <w:spacing w:line="272" w:lineRule="auto"/>
              <w:rPr>
                <w:rFonts w:hint="eastAsia" w:ascii="宋体" w:hAnsi="宋体" w:eastAsia="宋体" w:cs="宋体"/>
                <w:color w:val="auto"/>
                <w:spacing w:val="0"/>
                <w:highlight w:val="none"/>
              </w:rPr>
            </w:pPr>
          </w:p>
          <w:p w14:paraId="42F7C057">
            <w:pPr>
              <w:pStyle w:val="32"/>
              <w:keepNext w:val="0"/>
              <w:keepLines w:val="0"/>
              <w:pageBreakBefore w:val="0"/>
              <w:wordWrap w:val="0"/>
              <w:overflowPunct/>
              <w:topLinePunct w:val="0"/>
              <w:bidi w:val="0"/>
              <w:spacing w:line="272" w:lineRule="auto"/>
              <w:rPr>
                <w:rFonts w:hint="eastAsia" w:ascii="宋体" w:hAnsi="宋体" w:eastAsia="宋体" w:cs="宋体"/>
                <w:color w:val="auto"/>
                <w:spacing w:val="0"/>
                <w:highlight w:val="none"/>
              </w:rPr>
            </w:pPr>
          </w:p>
          <w:p w14:paraId="2259D89D">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685E539C">
            <w:pPr>
              <w:pStyle w:val="32"/>
              <w:keepNext w:val="0"/>
              <w:keepLines w:val="0"/>
              <w:pageBreakBefore w:val="0"/>
              <w:wordWrap w:val="0"/>
              <w:overflowPunct/>
              <w:topLinePunct w:val="0"/>
              <w:bidi w:val="0"/>
              <w:rPr>
                <w:rFonts w:hint="eastAsia" w:ascii="宋体" w:hAnsi="宋体" w:eastAsia="宋体" w:cs="宋体"/>
                <w:color w:val="auto"/>
                <w:spacing w:val="0"/>
                <w:highlight w:val="none"/>
              </w:rPr>
            </w:pPr>
          </w:p>
        </w:tc>
      </w:tr>
    </w:tbl>
    <w:p w14:paraId="53F8CCDF">
      <w:pPr>
        <w:pStyle w:val="6"/>
        <w:keepNext w:val="0"/>
        <w:keepLines w:val="0"/>
        <w:pageBreakBefore w:val="0"/>
        <w:wordWrap w:val="0"/>
        <w:overflowPunct/>
        <w:topLinePunct w:val="0"/>
        <w:bidi w:val="0"/>
        <w:spacing w:line="288" w:lineRule="auto"/>
        <w:rPr>
          <w:rFonts w:hint="eastAsia" w:ascii="宋体" w:hAnsi="宋体" w:eastAsia="宋体" w:cs="宋体"/>
          <w:color w:val="auto"/>
          <w:spacing w:val="0"/>
          <w:highlight w:val="none"/>
        </w:rPr>
      </w:pPr>
    </w:p>
    <w:p w14:paraId="4AC09F5B">
      <w:pPr>
        <w:pStyle w:val="6"/>
        <w:keepNext w:val="0"/>
        <w:keepLines w:val="0"/>
        <w:pageBreakBefore w:val="0"/>
        <w:wordWrap w:val="0"/>
        <w:overflowPunct/>
        <w:topLinePunct w:val="0"/>
        <w:bidi w:val="0"/>
        <w:spacing w:line="288" w:lineRule="auto"/>
        <w:rPr>
          <w:rFonts w:hint="eastAsia" w:ascii="宋体" w:hAnsi="宋体" w:eastAsia="宋体" w:cs="宋体"/>
          <w:color w:val="auto"/>
          <w:spacing w:val="0"/>
          <w:highlight w:val="none"/>
        </w:rPr>
      </w:pPr>
    </w:p>
    <w:p w14:paraId="24721282">
      <w:pPr>
        <w:keepNext w:val="0"/>
        <w:keepLines w:val="0"/>
        <w:pageBreakBefore w:val="0"/>
        <w:wordWrap w:val="0"/>
        <w:overflowPunct/>
        <w:topLinePunct w:val="0"/>
        <w:bidi w:val="0"/>
        <w:spacing w:before="21" w:line="360" w:lineRule="auto"/>
        <w:ind w:firstLine="420" w:firstLineChars="200"/>
        <w:rPr>
          <w:rFonts w:hint="eastAsia" w:ascii="宋体" w:hAnsi="宋体" w:eastAsia="宋体" w:cs="宋体"/>
          <w:color w:val="auto"/>
          <w:spacing w:val="0"/>
          <w:sz w:val="21"/>
          <w:szCs w:val="21"/>
          <w:highlight w:val="none"/>
          <w:lang w:eastAsia="zh-CN"/>
        </w:rPr>
      </w:pPr>
      <w:r>
        <w:rPr>
          <w:rFonts w:hint="eastAsia" w:ascii="宋体" w:hAnsi="宋体" w:eastAsia="宋体" w:cs="宋体"/>
          <w:color w:val="auto"/>
          <w:spacing w:val="0"/>
          <w:sz w:val="21"/>
          <w:szCs w:val="21"/>
          <w:highlight w:val="none"/>
        </w:rPr>
        <w:t>备注：1.根据《危险性较大的分部分项工程安全管理规定》，该《危险性较大的分部分项工程清单及超过一定规模的危险性较大的分部分项工程清单》</w:t>
      </w:r>
      <w:r>
        <w:rPr>
          <w:rFonts w:hint="eastAsia" w:ascii="宋体" w:hAnsi="宋体" w:eastAsia="宋体" w:cs="宋体"/>
          <w:color w:val="auto"/>
          <w:spacing w:val="0"/>
          <w:sz w:val="21"/>
          <w:szCs w:val="21"/>
          <w:highlight w:val="none"/>
          <w:lang w:eastAsia="zh-CN"/>
        </w:rPr>
        <w:t>应由建设单位组织勘察、设计等单位在招标文件中“勾选（对应项打“√”标识”危险性较大的分部分项工程。</w:t>
      </w:r>
    </w:p>
    <w:p w14:paraId="273857CE">
      <w:pPr>
        <w:keepNext w:val="0"/>
        <w:keepLines w:val="0"/>
        <w:pageBreakBefore w:val="0"/>
        <w:wordWrap w:val="0"/>
        <w:overflowPunct/>
        <w:topLinePunct w:val="0"/>
        <w:bidi w:val="0"/>
        <w:spacing w:before="21" w:line="360" w:lineRule="auto"/>
        <w:ind w:firstLine="420" w:firstLineChars="200"/>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2.该《危险性较大的分部分项工程清单及超过一定规模的危险性较大的分部分项工程清单》在办理建设项目施工许可时必须提供，且各地建设行政主管部门可按照《广东省建设工程项目招标中标后监督 检查办法》相关规定开展检查。</w:t>
      </w:r>
    </w:p>
    <w:p w14:paraId="38E68F6D">
      <w:pPr>
        <w:keepNext w:val="0"/>
        <w:keepLines w:val="0"/>
        <w:pageBreakBefore w:val="0"/>
        <w:wordWrap w:val="0"/>
        <w:overflowPunct/>
        <w:topLinePunct w:val="0"/>
        <w:bidi w:val="0"/>
        <w:spacing w:before="28" w:line="360" w:lineRule="auto"/>
        <w:ind w:left="545" w:leftChars="244" w:hanging="33" w:hangingChars="16"/>
        <w:rPr>
          <w:rFonts w:hint="eastAsia" w:ascii="宋体" w:hAnsi="宋体" w:eastAsia="宋体" w:cs="宋体"/>
          <w:color w:val="auto"/>
          <w:spacing w:val="0"/>
          <w:sz w:val="21"/>
          <w:szCs w:val="21"/>
          <w:highlight w:val="none"/>
          <w:lang w:eastAsia="zh-CN"/>
        </w:rPr>
      </w:pPr>
      <w:r>
        <w:rPr>
          <w:rFonts w:hint="eastAsia" w:ascii="宋体" w:hAnsi="宋体" w:eastAsia="宋体" w:cs="宋体"/>
          <w:color w:val="auto"/>
          <w:spacing w:val="0"/>
          <w:sz w:val="21"/>
          <w:szCs w:val="21"/>
          <w:highlight w:val="none"/>
        </w:rPr>
        <w:t>3.如果需要（如需要通过计算编制专项方案，或者需要专家论证），可中标后提供</w:t>
      </w:r>
      <w:r>
        <w:rPr>
          <w:rFonts w:hint="eastAsia" w:ascii="宋体" w:hAnsi="宋体" w:eastAsia="宋体" w:cs="宋体"/>
          <w:color w:val="auto"/>
          <w:spacing w:val="0"/>
          <w:sz w:val="21"/>
          <w:szCs w:val="21"/>
          <w:highlight w:val="none"/>
          <w:lang w:eastAsia="zh-CN"/>
        </w:rPr>
        <w:t>详细版。</w:t>
      </w:r>
    </w:p>
    <w:p w14:paraId="272D4653">
      <w:pPr>
        <w:keepNext w:val="0"/>
        <w:keepLines w:val="0"/>
        <w:pageBreakBefore w:val="0"/>
        <w:wordWrap w:val="0"/>
        <w:overflowPunct/>
        <w:topLinePunct w:val="0"/>
        <w:bidi w:val="0"/>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rPr>
        <w:br w:type="page"/>
      </w:r>
    </w:p>
    <w:p w14:paraId="7560E29F">
      <w:pPr>
        <w:keepNext w:val="0"/>
        <w:keepLines w:val="0"/>
        <w:pageBreakBefore w:val="0"/>
        <w:wordWrap w:val="0"/>
        <w:overflowPunct/>
        <w:topLinePunct w:val="0"/>
        <w:bidi w:val="0"/>
        <w:spacing w:before="78" w:line="220" w:lineRule="auto"/>
        <w:jc w:val="both"/>
        <w:outlineLvl w:val="2"/>
        <w:rPr>
          <w:rFonts w:hint="default" w:ascii="宋体" w:hAnsi="宋体" w:eastAsia="宋体" w:cs="宋体"/>
          <w:b/>
          <w:bCs/>
          <w:color w:val="auto"/>
          <w:spacing w:val="0"/>
          <w:sz w:val="24"/>
          <w:szCs w:val="24"/>
          <w:highlight w:val="none"/>
          <w:lang w:val="en-US" w:eastAsia="zh-CN"/>
        </w:rPr>
      </w:pPr>
      <w:bookmarkStart w:id="257" w:name="_Toc27207"/>
      <w:r>
        <w:rPr>
          <w:rFonts w:hint="eastAsia" w:ascii="宋体" w:hAnsi="宋体" w:eastAsia="宋体" w:cs="宋体"/>
          <w:b/>
          <w:bCs/>
          <w:color w:val="auto"/>
          <w:spacing w:val="0"/>
          <w:sz w:val="24"/>
          <w:szCs w:val="24"/>
          <w:highlight w:val="none"/>
        </w:rPr>
        <w:t>格式十四</w:t>
      </w:r>
      <w:r>
        <w:rPr>
          <w:rFonts w:hint="eastAsia" w:ascii="宋体" w:hAnsi="宋体" w:eastAsia="宋体" w:cs="宋体"/>
          <w:b/>
          <w:bCs/>
          <w:color w:val="auto"/>
          <w:spacing w:val="0"/>
          <w:sz w:val="24"/>
          <w:szCs w:val="24"/>
          <w:highlight w:val="none"/>
          <w:lang w:val="en-US" w:eastAsia="zh-CN"/>
        </w:rPr>
        <w:t xml:space="preserve">  </w:t>
      </w:r>
      <w:r>
        <w:rPr>
          <w:rFonts w:hint="eastAsia" w:ascii="宋体" w:hAnsi="宋体" w:eastAsia="宋体" w:cs="宋体"/>
          <w:b/>
          <w:bCs/>
          <w:color w:val="auto"/>
          <w:spacing w:val="0"/>
          <w:position w:val="3"/>
          <w:sz w:val="21"/>
          <w:szCs w:val="21"/>
          <w:highlight w:val="none"/>
        </w:rPr>
        <w:t>投标保证金信用承诺函</w:t>
      </w:r>
      <w:bookmarkEnd w:id="257"/>
    </w:p>
    <w:p w14:paraId="3F7A77B3">
      <w:pPr>
        <w:keepNext w:val="0"/>
        <w:keepLines w:val="0"/>
        <w:pageBreakBefore w:val="0"/>
        <w:wordWrap w:val="0"/>
        <w:overflowPunct/>
        <w:topLinePunct w:val="0"/>
        <w:bidi w:val="0"/>
        <w:spacing w:before="140" w:line="604" w:lineRule="exact"/>
        <w:jc w:val="center"/>
        <w:rPr>
          <w:rFonts w:hint="eastAsia" w:ascii="宋体" w:hAnsi="宋体" w:eastAsia="宋体" w:cs="宋体"/>
          <w:color w:val="auto"/>
          <w:spacing w:val="0"/>
          <w:sz w:val="28"/>
          <w:szCs w:val="28"/>
          <w:highlight w:val="none"/>
        </w:rPr>
      </w:pPr>
      <w:r>
        <w:rPr>
          <w:rFonts w:hint="eastAsia" w:ascii="宋体" w:hAnsi="宋体" w:eastAsia="宋体" w:cs="宋体"/>
          <w:b/>
          <w:bCs/>
          <w:color w:val="auto"/>
          <w:spacing w:val="0"/>
          <w:position w:val="3"/>
          <w:sz w:val="28"/>
          <w:szCs w:val="28"/>
          <w:highlight w:val="none"/>
        </w:rPr>
        <w:t>投标保证金信用承诺函</w:t>
      </w:r>
    </w:p>
    <w:p w14:paraId="4B698219">
      <w:pPr>
        <w:pStyle w:val="6"/>
        <w:keepNext w:val="0"/>
        <w:keepLines w:val="0"/>
        <w:pageBreakBefore w:val="0"/>
        <w:wordWrap w:val="0"/>
        <w:overflowPunct/>
        <w:topLinePunct w:val="0"/>
        <w:bidi w:val="0"/>
        <w:spacing w:line="408" w:lineRule="auto"/>
        <w:rPr>
          <w:rFonts w:hint="eastAsia" w:ascii="宋体" w:hAnsi="宋体" w:eastAsia="宋体" w:cs="宋体"/>
          <w:color w:val="auto"/>
          <w:spacing w:val="0"/>
          <w:highlight w:val="none"/>
        </w:rPr>
      </w:pPr>
    </w:p>
    <w:p w14:paraId="7099FAE2">
      <w:pPr>
        <w:keepNext w:val="0"/>
        <w:keepLines w:val="0"/>
        <w:pageBreakBefore w:val="0"/>
        <w:wordWrap w:val="0"/>
        <w:overflowPunct/>
        <w:topLinePunct w:val="0"/>
        <w:bidi w:val="0"/>
        <w:spacing w:before="101" w:line="257" w:lineRule="auto"/>
        <w:ind w:left="3" w:firstLine="965"/>
        <w:jc w:val="both"/>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一、</w:t>
      </w:r>
      <w:r>
        <w:rPr>
          <w:rFonts w:hint="eastAsia" w:ascii="宋体" w:hAnsi="宋体" w:eastAsia="宋体" w:cs="宋体"/>
          <w:color w:val="auto"/>
          <w:spacing w:val="0"/>
          <w:sz w:val="24"/>
          <w:szCs w:val="24"/>
          <w:highlight w:val="none"/>
        </w:rPr>
        <w:t>我单位参加</w:t>
      </w:r>
      <w:r>
        <w:rPr>
          <w:rFonts w:hint="eastAsia" w:ascii="宋体" w:hAnsi="宋体" w:eastAsia="宋体" w:cs="宋体"/>
          <w:color w:val="auto"/>
          <w:spacing w:val="0"/>
          <w:sz w:val="24"/>
          <w:szCs w:val="24"/>
          <w:highlight w:val="none"/>
          <w:u w:val="single"/>
        </w:rPr>
        <w:t xml:space="preserve">  （工程项目名称）  </w:t>
      </w:r>
      <w:r>
        <w:rPr>
          <w:rFonts w:hint="eastAsia" w:ascii="宋体" w:hAnsi="宋体" w:eastAsia="宋体" w:cs="宋体"/>
          <w:color w:val="auto"/>
          <w:spacing w:val="0"/>
          <w:sz w:val="24"/>
          <w:szCs w:val="24"/>
          <w:highlight w:val="none"/>
        </w:rPr>
        <w:t xml:space="preserve"> 的投标活动，现承诺：将严格按照法律法规规定参与交易活动，按照招标文件要求 依法履行投标人义务；我方若出现违反《中华人民共和国招标投标法》、《中华人民共和国招标投标法实施条例》、《电子招标 投标办法》等有关法律法规的行为，将于投标有效期内全额付清 招标文件规定的投标保证金 </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rPr>
        <w:t xml:space="preserve"> 元。</w:t>
      </w:r>
    </w:p>
    <w:p w14:paraId="5F266B3C">
      <w:pPr>
        <w:keepNext w:val="0"/>
        <w:keepLines w:val="0"/>
        <w:pageBreakBefore w:val="0"/>
        <w:wordWrap w:val="0"/>
        <w:overflowPunct/>
        <w:topLinePunct w:val="0"/>
        <w:bidi w:val="0"/>
        <w:spacing w:before="48" w:line="252" w:lineRule="auto"/>
        <w:ind w:left="1" w:firstLine="647"/>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二、至投标文件提交当天，本公司无严重不良信用记录或存在曾作出虚假承诺的情形，且不属于韶关市建筑市场信用管理平 台公布的信用等级为 B 级、C 级、D 级的企业。</w:t>
      </w:r>
    </w:p>
    <w:p w14:paraId="66D61BBF">
      <w:pPr>
        <w:keepNext w:val="0"/>
        <w:keepLines w:val="0"/>
        <w:pageBreakBefore w:val="0"/>
        <w:wordWrap w:val="0"/>
        <w:overflowPunct/>
        <w:topLinePunct w:val="0"/>
        <w:bidi w:val="0"/>
        <w:spacing w:before="52" w:line="247" w:lineRule="auto"/>
        <w:ind w:left="6" w:right="2" w:firstLine="638"/>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本企业对以上承诺和声明负责。如有虚假，愿接受行政主管部门作出的处罚，并承担以下后果：</w:t>
      </w:r>
    </w:p>
    <w:p w14:paraId="52A9EE96">
      <w:pPr>
        <w:keepNext w:val="0"/>
        <w:keepLines w:val="0"/>
        <w:pageBreakBefore w:val="0"/>
        <w:wordWrap w:val="0"/>
        <w:overflowPunct/>
        <w:topLinePunct w:val="0"/>
        <w:bidi w:val="0"/>
        <w:spacing w:before="48" w:line="225" w:lineRule="auto"/>
        <w:ind w:left="656"/>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（一）取消本单位在本项目中的投标资格或中标资格；</w:t>
      </w:r>
    </w:p>
    <w:p w14:paraId="13D5FE71">
      <w:pPr>
        <w:keepNext w:val="0"/>
        <w:keepLines w:val="0"/>
        <w:pageBreakBefore w:val="0"/>
        <w:wordWrap w:val="0"/>
        <w:overflowPunct/>
        <w:topLinePunct w:val="0"/>
        <w:bidi w:val="0"/>
        <w:spacing w:before="64" w:line="225" w:lineRule="auto"/>
        <w:ind w:left="656"/>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（二）将本单位不良行为纳入信用信息管理系统；</w:t>
      </w:r>
    </w:p>
    <w:p w14:paraId="1014A70B">
      <w:pPr>
        <w:keepNext w:val="0"/>
        <w:keepLines w:val="0"/>
        <w:pageBreakBefore w:val="0"/>
        <w:wordWrap w:val="0"/>
        <w:overflowPunct/>
        <w:topLinePunct w:val="0"/>
        <w:bidi w:val="0"/>
        <w:spacing w:before="60" w:line="244" w:lineRule="auto"/>
        <w:ind w:left="41" w:right="2" w:firstLine="61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（三）主动在产生不良行为所在的各县（市、区）行政区域内不参加房建市政工程项目的投标活动一年；</w:t>
      </w:r>
    </w:p>
    <w:p w14:paraId="38A67F8C">
      <w:pPr>
        <w:keepNext w:val="0"/>
        <w:keepLines w:val="0"/>
        <w:pageBreakBefore w:val="0"/>
        <w:wordWrap w:val="0"/>
        <w:overflowPunct/>
        <w:topLinePunct w:val="0"/>
        <w:bidi w:val="0"/>
        <w:spacing w:before="63" w:line="225" w:lineRule="auto"/>
        <w:ind w:left="656"/>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（四）应付的赔偿责任和相应法律责任。</w:t>
      </w:r>
    </w:p>
    <w:p w14:paraId="773734C1">
      <w:pPr>
        <w:pStyle w:val="6"/>
        <w:keepNext w:val="0"/>
        <w:keepLines w:val="0"/>
        <w:pageBreakBefore w:val="0"/>
        <w:wordWrap w:val="0"/>
        <w:overflowPunct/>
        <w:topLinePunct w:val="0"/>
        <w:bidi w:val="0"/>
        <w:spacing w:line="329" w:lineRule="auto"/>
        <w:rPr>
          <w:rFonts w:hint="eastAsia" w:ascii="宋体" w:hAnsi="宋体" w:eastAsia="宋体" w:cs="宋体"/>
          <w:color w:val="auto"/>
          <w:spacing w:val="0"/>
          <w:sz w:val="24"/>
          <w:szCs w:val="24"/>
          <w:highlight w:val="none"/>
        </w:rPr>
      </w:pPr>
    </w:p>
    <w:p w14:paraId="1B44E999">
      <w:pPr>
        <w:keepNext w:val="0"/>
        <w:keepLines w:val="0"/>
        <w:pageBreakBefore w:val="0"/>
        <w:wordWrap w:val="0"/>
        <w:overflowPunct/>
        <w:topLinePunct w:val="0"/>
        <w:bidi w:val="0"/>
        <w:spacing w:before="102" w:line="225" w:lineRule="auto"/>
        <w:ind w:left="84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单位名称（公章）：</w:t>
      </w:r>
    </w:p>
    <w:p w14:paraId="45885EE3">
      <w:pPr>
        <w:pStyle w:val="6"/>
        <w:keepNext w:val="0"/>
        <w:keepLines w:val="0"/>
        <w:pageBreakBefore w:val="0"/>
        <w:wordWrap w:val="0"/>
        <w:overflowPunct/>
        <w:topLinePunct w:val="0"/>
        <w:bidi w:val="0"/>
        <w:spacing w:line="457" w:lineRule="auto"/>
        <w:rPr>
          <w:rFonts w:hint="eastAsia" w:ascii="宋体" w:hAnsi="宋体" w:eastAsia="宋体" w:cs="宋体"/>
          <w:color w:val="auto"/>
          <w:spacing w:val="0"/>
          <w:sz w:val="24"/>
          <w:szCs w:val="24"/>
          <w:highlight w:val="none"/>
        </w:rPr>
      </w:pPr>
    </w:p>
    <w:p w14:paraId="366E595D">
      <w:pPr>
        <w:keepNext w:val="0"/>
        <w:keepLines w:val="0"/>
        <w:pageBreakBefore w:val="0"/>
        <w:wordWrap w:val="0"/>
        <w:overflowPunct/>
        <w:topLinePunct w:val="0"/>
        <w:bidi w:val="0"/>
        <w:spacing w:before="100" w:line="225" w:lineRule="auto"/>
        <w:ind w:left="85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统一社会信用代码：</w:t>
      </w:r>
    </w:p>
    <w:p w14:paraId="53D0C488">
      <w:pPr>
        <w:pStyle w:val="6"/>
        <w:keepNext w:val="0"/>
        <w:keepLines w:val="0"/>
        <w:pageBreakBefore w:val="0"/>
        <w:wordWrap w:val="0"/>
        <w:overflowPunct/>
        <w:topLinePunct w:val="0"/>
        <w:bidi w:val="0"/>
        <w:spacing w:line="457" w:lineRule="auto"/>
        <w:rPr>
          <w:rFonts w:hint="eastAsia" w:ascii="宋体" w:hAnsi="宋体" w:eastAsia="宋体" w:cs="宋体"/>
          <w:color w:val="auto"/>
          <w:spacing w:val="0"/>
          <w:sz w:val="24"/>
          <w:szCs w:val="24"/>
          <w:highlight w:val="none"/>
        </w:rPr>
      </w:pPr>
    </w:p>
    <w:p w14:paraId="7D904952">
      <w:pPr>
        <w:keepNext w:val="0"/>
        <w:keepLines w:val="0"/>
        <w:pageBreakBefore w:val="0"/>
        <w:wordWrap w:val="0"/>
        <w:overflowPunct/>
        <w:topLinePunct w:val="0"/>
        <w:bidi w:val="0"/>
        <w:spacing w:before="102" w:line="543" w:lineRule="auto"/>
        <w:ind w:left="844" w:right="500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法定代表人（签字）：</w:t>
      </w:r>
    </w:p>
    <w:p w14:paraId="1BA72711">
      <w:pPr>
        <w:keepNext w:val="0"/>
        <w:keepLines w:val="0"/>
        <w:pageBreakBefore w:val="0"/>
        <w:wordWrap w:val="0"/>
        <w:overflowPunct/>
        <w:topLinePunct w:val="0"/>
        <w:bidi w:val="0"/>
        <w:spacing w:before="102" w:line="543" w:lineRule="auto"/>
        <w:ind w:left="844" w:right="500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 xml:space="preserve"> 年   月 </w:t>
      </w:r>
      <w:r>
        <w:rPr>
          <w:rFonts w:hint="eastAsia" w:ascii="宋体" w:hAnsi="宋体" w:eastAsia="宋体" w:cs="宋体"/>
          <w:color w:val="auto"/>
          <w:spacing w:val="0"/>
          <w:sz w:val="24"/>
          <w:szCs w:val="24"/>
          <w:highlight w:val="none"/>
          <w:lang w:val="en-US" w:eastAsia="zh-CN"/>
        </w:rPr>
        <w:t xml:space="preserve">  </w:t>
      </w:r>
      <w:r>
        <w:rPr>
          <w:rFonts w:hint="eastAsia" w:ascii="宋体" w:hAnsi="宋体" w:eastAsia="宋体" w:cs="宋体"/>
          <w:color w:val="auto"/>
          <w:spacing w:val="0"/>
          <w:sz w:val="24"/>
          <w:szCs w:val="24"/>
          <w:highlight w:val="none"/>
        </w:rPr>
        <w:t>日</w:t>
      </w:r>
    </w:p>
    <w:p w14:paraId="26FC3EF4">
      <w:pPr>
        <w:pStyle w:val="15"/>
        <w:keepNext w:val="0"/>
        <w:keepLines w:val="0"/>
        <w:pageBreakBefore w:val="0"/>
        <w:wordWrap w:val="0"/>
        <w:overflowPunct/>
        <w:topLinePunct w:val="0"/>
        <w:bidi w:val="0"/>
        <w:rPr>
          <w:rFonts w:hint="eastAsia" w:ascii="宋体" w:hAnsi="宋体" w:eastAsia="宋体" w:cs="宋体"/>
          <w:color w:val="auto"/>
          <w:spacing w:val="0"/>
          <w:highlight w:val="none"/>
        </w:rPr>
      </w:pPr>
    </w:p>
    <w:p w14:paraId="2306A2B0">
      <w:pPr>
        <w:pStyle w:val="15"/>
        <w:keepNext w:val="0"/>
        <w:keepLines w:val="0"/>
        <w:pageBreakBefore w:val="0"/>
        <w:wordWrap w:val="0"/>
        <w:overflowPunct/>
        <w:topLinePunct w:val="0"/>
        <w:bidi w:val="0"/>
        <w:rPr>
          <w:rFonts w:hint="eastAsia" w:ascii="宋体" w:hAnsi="宋体" w:eastAsia="宋体" w:cs="宋体"/>
          <w:color w:val="auto"/>
          <w:spacing w:val="0"/>
          <w:sz w:val="24"/>
          <w:szCs w:val="24"/>
          <w:highlight w:val="none"/>
          <w:lang w:eastAsia="zh-CN"/>
        </w:rPr>
        <w:sectPr>
          <w:footerReference r:id="rId25"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29F47F17">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auto"/>
          <w:spacing w:val="0"/>
          <w:sz w:val="24"/>
          <w:szCs w:val="24"/>
          <w:highlight w:val="none"/>
        </w:rPr>
      </w:pPr>
      <w:bookmarkStart w:id="258" w:name="_Toc26027"/>
      <w:r>
        <w:rPr>
          <w:rFonts w:hint="eastAsia" w:ascii="宋体" w:hAnsi="宋体" w:eastAsia="宋体" w:cs="宋体"/>
          <w:b/>
          <w:bCs/>
          <w:color w:val="auto"/>
          <w:spacing w:val="0"/>
          <w:sz w:val="24"/>
          <w:szCs w:val="24"/>
          <w:highlight w:val="none"/>
        </w:rPr>
        <w:t>格式十</w:t>
      </w:r>
      <w:r>
        <w:rPr>
          <w:rFonts w:hint="eastAsia" w:ascii="宋体" w:hAnsi="宋体" w:eastAsia="宋体" w:cs="宋体"/>
          <w:b/>
          <w:bCs/>
          <w:color w:val="auto"/>
          <w:spacing w:val="0"/>
          <w:sz w:val="24"/>
          <w:szCs w:val="24"/>
          <w:highlight w:val="none"/>
          <w:lang w:eastAsia="zh-CN"/>
        </w:rPr>
        <w:t>五</w:t>
      </w:r>
      <w:r>
        <w:rPr>
          <w:rFonts w:hint="eastAsia" w:ascii="宋体" w:hAnsi="宋体" w:eastAsia="宋体" w:cs="宋体"/>
          <w:b/>
          <w:bCs/>
          <w:color w:val="auto"/>
          <w:spacing w:val="0"/>
          <w:sz w:val="24"/>
          <w:szCs w:val="24"/>
          <w:highlight w:val="none"/>
        </w:rPr>
        <w:t xml:space="preserve">  </w:t>
      </w:r>
      <w:bookmarkEnd w:id="258"/>
      <w:r>
        <w:rPr>
          <w:rFonts w:hint="eastAsia" w:ascii="宋体" w:hAnsi="宋体" w:eastAsia="宋体" w:cs="宋体"/>
          <w:b/>
          <w:bCs/>
          <w:color w:val="auto"/>
          <w:spacing w:val="0"/>
          <w:sz w:val="24"/>
          <w:szCs w:val="24"/>
          <w:highlight w:val="none"/>
          <w:lang w:val="en-US" w:eastAsia="zh-CN"/>
        </w:rPr>
        <w:t>助力项目承诺书</w:t>
      </w:r>
    </w:p>
    <w:p w14:paraId="3FCD534D">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宋体" w:hAnsi="宋体" w:eastAsia="宋体" w:cs="宋体"/>
          <w:b/>
          <w:bCs/>
          <w:color w:val="auto"/>
          <w:sz w:val="32"/>
          <w:szCs w:val="32"/>
          <w:highlight w:val="none"/>
          <w:lang w:eastAsia="zh-CN"/>
        </w:rPr>
      </w:pPr>
      <w:r>
        <w:rPr>
          <w:rFonts w:hint="eastAsia" w:ascii="宋体" w:hAnsi="宋体" w:eastAsia="宋体" w:cs="宋体"/>
          <w:b/>
          <w:bCs/>
          <w:color w:val="auto"/>
          <w:sz w:val="32"/>
          <w:szCs w:val="32"/>
          <w:highlight w:val="none"/>
          <w:lang w:eastAsia="zh-CN"/>
        </w:rPr>
        <w:t>助力项目承诺书</w:t>
      </w:r>
    </w:p>
    <w:p w14:paraId="3DBAFA05">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宋体" w:hAnsi="宋体" w:eastAsia="宋体" w:cs="宋体"/>
          <w:color w:val="auto"/>
          <w:sz w:val="24"/>
          <w:szCs w:val="24"/>
          <w:highlight w:val="none"/>
        </w:rPr>
      </w:pPr>
    </w:p>
    <w:p w14:paraId="69DEDC48">
      <w:pPr>
        <w:keepNext w:val="0"/>
        <w:keepLines w:val="0"/>
        <w:pageBreakBefore w:val="0"/>
        <w:widowControl w:val="0"/>
        <w:kinsoku/>
        <w:wordWrap/>
        <w:overflowPunct/>
        <w:topLinePunct w:val="0"/>
        <w:autoSpaceDE/>
        <w:autoSpaceDN/>
        <w:bidi w:val="0"/>
        <w:adjustRightInd/>
        <w:snapToGrid/>
        <w:spacing w:line="400" w:lineRule="exac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致招标人：</w:t>
      </w:r>
      <w:r>
        <w:rPr>
          <w:rFonts w:hint="eastAsia" w:ascii="宋体" w:hAnsi="宋体" w:eastAsia="宋体" w:cs="宋体"/>
          <w:color w:val="auto"/>
          <w:sz w:val="24"/>
          <w:szCs w:val="24"/>
          <w:highlight w:val="none"/>
          <w:u w:val="single"/>
        </w:rPr>
        <w:t xml:space="preserve">                      </w:t>
      </w:r>
    </w:p>
    <w:p w14:paraId="1D22819B">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b w:val="0"/>
          <w:bCs w:val="0"/>
          <w:i w:val="0"/>
          <w:iCs w:val="0"/>
          <w:color w:val="auto"/>
          <w:kern w:val="2"/>
          <w:sz w:val="24"/>
          <w:szCs w:val="24"/>
          <w:highlight w:val="none"/>
          <w:vertAlign w:val="baseline"/>
          <w:lang w:val="en-US" w:eastAsia="zh-CN" w:bidi="ar-SA"/>
        </w:rPr>
        <w:t>为落实省委、省政府关于实施“百县千镇万村高质量发展工程”（以下简称“百千</w:t>
      </w:r>
      <w:r>
        <w:rPr>
          <w:rFonts w:hint="eastAsia" w:ascii="宋体" w:hAnsi="宋体" w:eastAsia="宋体" w:cs="宋体"/>
          <w:color w:val="auto"/>
          <w:sz w:val="24"/>
          <w:szCs w:val="24"/>
          <w:highlight w:val="none"/>
          <w:u w:val="none"/>
          <w:lang w:val="en-US" w:eastAsia="zh-CN"/>
        </w:rPr>
        <w:t>万工程”）工作部署以及</w:t>
      </w:r>
      <w:r>
        <w:rPr>
          <w:rFonts w:hint="eastAsia" w:ascii="宋体" w:hAnsi="宋体" w:eastAsia="宋体" w:cs="宋体"/>
          <w:b w:val="0"/>
          <w:bCs w:val="0"/>
          <w:i w:val="0"/>
          <w:iCs w:val="0"/>
          <w:color w:val="auto"/>
          <w:kern w:val="2"/>
          <w:sz w:val="24"/>
          <w:szCs w:val="24"/>
          <w:highlight w:val="none"/>
          <w:vertAlign w:val="baseline"/>
          <w:lang w:val="en-US" w:eastAsia="zh-CN" w:bidi="ar-SA"/>
        </w:rPr>
        <w:t>省“百千万工程”指挥部关于建筑业企业“微利＋公益”参与“百千万工程”建设方式和《广东省“百县千镇万村高质量发展工程”指挥部城镇建设专班办公室印发关于推动建筑业央企助力“百千万工程”工作指引的通知》（粤城镇建设</w:t>
      </w:r>
      <w:r>
        <w:rPr>
          <w:rFonts w:hint="eastAsia" w:ascii="宋体" w:hAnsi="宋体" w:eastAsia="宋体" w:cs="宋体"/>
          <w:b w:val="0"/>
          <w:bCs w:val="0"/>
          <w:i w:val="0"/>
          <w:iCs w:val="0"/>
          <w:color w:val="auto"/>
          <w:kern w:val="0"/>
          <w:sz w:val="24"/>
          <w:szCs w:val="24"/>
          <w:highlight w:val="none"/>
          <w:vertAlign w:val="baseline"/>
          <w:lang w:val="en-US" w:eastAsia="zh-CN" w:bidi="ar-SA"/>
        </w:rPr>
        <w:t>〔2024〕11号</w:t>
      </w:r>
      <w:r>
        <w:rPr>
          <w:rFonts w:hint="eastAsia" w:ascii="宋体" w:hAnsi="宋体" w:eastAsia="宋体" w:cs="宋体"/>
          <w:b w:val="0"/>
          <w:bCs w:val="0"/>
          <w:i w:val="0"/>
          <w:iCs w:val="0"/>
          <w:color w:val="auto"/>
          <w:kern w:val="2"/>
          <w:sz w:val="24"/>
          <w:szCs w:val="24"/>
          <w:highlight w:val="none"/>
          <w:vertAlign w:val="baseline"/>
          <w:lang w:val="en-US" w:eastAsia="zh-CN" w:bidi="ar-SA"/>
        </w:rPr>
        <w:t>）等工作要求，我公司将按要求完成中标项目的同时，自愿利用</w:t>
      </w:r>
      <w:r>
        <w:rPr>
          <w:rFonts w:hint="eastAsia" w:ascii="宋体" w:hAnsi="宋体" w:eastAsia="宋体" w:cs="宋体"/>
          <w:color w:val="auto"/>
          <w:sz w:val="24"/>
          <w:szCs w:val="24"/>
          <w:highlight w:val="none"/>
          <w:lang w:val="en-US" w:eastAsia="zh-CN"/>
        </w:rPr>
        <w:t>本企业的合理利润，积极做好</w:t>
      </w:r>
      <w:r>
        <w:rPr>
          <w:rFonts w:hint="eastAsia" w:ascii="宋体" w:hAnsi="宋体" w:eastAsia="宋体" w:cs="宋体"/>
          <w:color w:val="auto"/>
          <w:sz w:val="24"/>
          <w:szCs w:val="24"/>
          <w:highlight w:val="none"/>
          <w:u w:val="none"/>
          <w:lang w:val="en-US" w:eastAsia="zh-CN"/>
        </w:rPr>
        <w:t>助力项目建设，就此</w:t>
      </w:r>
      <w:r>
        <w:rPr>
          <w:rFonts w:hint="eastAsia" w:ascii="宋体" w:hAnsi="宋体" w:eastAsia="宋体" w:cs="宋体"/>
          <w:color w:val="auto"/>
          <w:sz w:val="24"/>
          <w:szCs w:val="24"/>
          <w:highlight w:val="none"/>
        </w:rPr>
        <w:t>我方承诺如下：</w:t>
      </w:r>
    </w:p>
    <w:p w14:paraId="3E4F8D6C">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outlineLvl w:val="9"/>
        <w:rPr>
          <w:rFonts w:hint="eastAsia" w:ascii="宋体" w:hAnsi="宋体" w:eastAsia="宋体" w:cs="宋体"/>
          <w:color w:val="auto"/>
          <w:sz w:val="24"/>
          <w:szCs w:val="24"/>
          <w:highlight w:val="none"/>
          <w:u w:val="none"/>
          <w:lang w:val="en-US" w:eastAsia="zh-CN"/>
        </w:rPr>
      </w:pPr>
      <w:r>
        <w:rPr>
          <w:rFonts w:hint="eastAsia" w:ascii="宋体" w:hAnsi="宋体" w:eastAsia="宋体" w:cs="宋体"/>
          <w:b w:val="0"/>
          <w:bCs w:val="0"/>
          <w:color w:val="auto"/>
          <w:sz w:val="24"/>
          <w:szCs w:val="24"/>
          <w:highlight w:val="none"/>
          <w:lang w:val="en-US" w:eastAsia="zh-CN"/>
        </w:rPr>
        <w:t>1、</w:t>
      </w:r>
      <w:r>
        <w:rPr>
          <w:rFonts w:hint="eastAsia" w:ascii="宋体" w:hAnsi="宋体" w:eastAsia="宋体" w:cs="宋体"/>
          <w:color w:val="auto"/>
          <w:sz w:val="24"/>
          <w:szCs w:val="24"/>
          <w:highlight w:val="none"/>
        </w:rPr>
        <w:t>我方愿以</w:t>
      </w:r>
      <w:r>
        <w:rPr>
          <w:rFonts w:hint="eastAsia" w:ascii="宋体" w:hAnsi="宋体" w:eastAsia="宋体" w:cs="宋体"/>
          <w:b w:val="0"/>
          <w:bCs w:val="0"/>
          <w:i w:val="0"/>
          <w:iCs w:val="0"/>
          <w:color w:val="auto"/>
          <w:kern w:val="2"/>
          <w:sz w:val="24"/>
          <w:szCs w:val="24"/>
          <w:highlight w:val="none"/>
          <w:vertAlign w:val="baseline"/>
          <w:lang w:val="en-US" w:eastAsia="zh-CN" w:bidi="ar-SA"/>
        </w:rPr>
        <w:t>本项</w:t>
      </w:r>
      <w:r>
        <w:rPr>
          <w:rFonts w:hint="eastAsia" w:ascii="宋体" w:hAnsi="宋体" w:eastAsia="宋体" w:cs="宋体"/>
          <w:color w:val="auto"/>
          <w:sz w:val="24"/>
          <w:szCs w:val="24"/>
          <w:highlight w:val="none"/>
          <w:u w:val="none"/>
          <w:lang w:val="en-US" w:eastAsia="zh-CN"/>
        </w:rPr>
        <w:t>目施工最高投标限价</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%的资金，用于助力“百千万工程”中的公益性项目建设，具体实施助力项目从各级“百千万工程”指挥部提供的项目建设清单（项目库）中选取。</w:t>
      </w:r>
    </w:p>
    <w:p w14:paraId="63857DC2">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outlineLvl w:val="9"/>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2、如我方中标，承诺完成助力项目建设所用的资金是本企业的自有资金，不使用中标项目内的资金作为助力项目建设资金。</w:t>
      </w:r>
    </w:p>
    <w:p w14:paraId="7E1F6C7A">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outlineLvl w:val="9"/>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3、如我方中标，在中标项目发出中标通知书之日起至签订中标项目承包合同前，我方将按要求与助力项目业主单位按招标文件要求签订助力协议书，确定具体助力项目、投资额度、工期进度和质量标准等内容（含折算助力项目投资金额中的预扣减或扣减额处理办法）。</w:t>
      </w:r>
    </w:p>
    <w:p w14:paraId="1A32C89B">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outlineLvl w:val="9"/>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4、如我方中标，我方将按照协议书要求做好助力项目建设工作，按时保质保量完成“百千万工程”助力任务并移交整个工程，确保助力项目质量达到合格标准，并承诺本工程的保修期按有关规定及双方签署的协议要求执行。同时，按规定做好助力项目结算工作。</w:t>
      </w:r>
    </w:p>
    <w:p w14:paraId="34133192">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outlineLvl w:val="9"/>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5、如我方中标，将严格履行助力协议。招标人或助力项目业主单位发现我方有未按协议书履行投标助力承诺行为的，愿接受有关部门对我方进行诚信扣分及将有关失信行为上传信用广东和信用中国等诚信平台；对于有严重违反投标承诺，影响助力项目建设质量、进度或损害公共利益的，我方将接受依法依规作出的处理。</w:t>
      </w:r>
    </w:p>
    <w:p w14:paraId="111E897F">
      <w:pPr>
        <w:pStyle w:val="6"/>
        <w:keepNext w:val="0"/>
        <w:keepLines w:val="0"/>
        <w:pageBreakBefore w:val="0"/>
        <w:widowControl w:val="0"/>
        <w:kinsoku/>
        <w:wordWrap/>
        <w:overflowPunct/>
        <w:topLinePunct w:val="0"/>
        <w:autoSpaceDE/>
        <w:autoSpaceDN/>
        <w:bidi w:val="0"/>
        <w:adjustRightInd/>
        <w:snapToGrid/>
        <w:spacing w:after="0" w:afterLines="0" w:line="360" w:lineRule="exact"/>
        <w:ind w:left="0" w:leftChars="0" w:right="0" w:rightChars="0"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lang w:val="en-US" w:eastAsia="zh-CN"/>
        </w:rPr>
        <w:t>6、</w:t>
      </w:r>
      <w:r>
        <w:rPr>
          <w:rFonts w:hint="eastAsia" w:ascii="宋体" w:hAnsi="宋体" w:eastAsia="宋体" w:cs="宋体"/>
          <w:color w:val="auto"/>
          <w:sz w:val="24"/>
          <w:szCs w:val="24"/>
          <w:highlight w:val="none"/>
        </w:rPr>
        <w:t>我方同意在投标人须知规定的投标有效期内严格遵守本企业投标文件的各项承诺，如有违约，愿承担相应违约责任。</w:t>
      </w:r>
    </w:p>
    <w:p w14:paraId="5473E1FD">
      <w:pPr>
        <w:pStyle w:val="6"/>
        <w:keepNext w:val="0"/>
        <w:keepLines w:val="0"/>
        <w:pageBreakBefore w:val="0"/>
        <w:widowControl w:val="0"/>
        <w:kinsoku/>
        <w:wordWrap/>
        <w:overflowPunct/>
        <w:topLinePunct w:val="0"/>
        <w:autoSpaceDE/>
        <w:autoSpaceDN/>
        <w:bidi w:val="0"/>
        <w:adjustRightInd/>
        <w:snapToGrid/>
        <w:spacing w:after="0" w:afterLines="0" w:line="360" w:lineRule="exact"/>
        <w:ind w:left="0" w:leftChars="0" w:right="0" w:rightChars="0" w:firstLine="480" w:firstLineChars="200"/>
        <w:jc w:val="both"/>
        <w:textAlignment w:val="auto"/>
        <w:outlineLvl w:val="9"/>
        <w:rPr>
          <w:rFonts w:hint="eastAsia" w:ascii="宋体" w:hAnsi="宋体" w:eastAsia="宋体" w:cs="宋体"/>
          <w:color w:val="auto"/>
          <w:sz w:val="24"/>
          <w:szCs w:val="24"/>
          <w:highlight w:val="none"/>
        </w:rPr>
      </w:pPr>
    </w:p>
    <w:p w14:paraId="23DA0EB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投标人</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(盖电子印章）</w:t>
      </w:r>
    </w:p>
    <w:p w14:paraId="77EBBA4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宋体" w:hAnsi="宋体" w:eastAsia="宋体" w:cs="宋体"/>
          <w:color w:val="auto"/>
          <w:sz w:val="24"/>
          <w:szCs w:val="24"/>
          <w:highlight w:val="none"/>
        </w:rPr>
      </w:pPr>
    </w:p>
    <w:p w14:paraId="772727B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法定代表人：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（电子签名</w:t>
      </w:r>
      <w:r>
        <w:rPr>
          <w:rFonts w:hint="eastAsia" w:ascii="宋体" w:hAnsi="宋体" w:eastAsia="宋体" w:cs="宋体"/>
          <w:color w:val="auto"/>
          <w:sz w:val="24"/>
          <w:szCs w:val="24"/>
          <w:highlight w:val="none"/>
          <w:lang w:eastAsia="zh-CN"/>
        </w:rPr>
        <w:t>或</w:t>
      </w:r>
      <w:r>
        <w:rPr>
          <w:rFonts w:hint="eastAsia" w:ascii="宋体" w:hAnsi="宋体" w:eastAsia="宋体" w:cs="宋体"/>
          <w:color w:val="auto"/>
          <w:sz w:val="24"/>
          <w:szCs w:val="24"/>
          <w:highlight w:val="none"/>
        </w:rPr>
        <w:t>盖电子印章）</w:t>
      </w:r>
    </w:p>
    <w:p w14:paraId="5912E96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宋体" w:hAnsi="宋体" w:eastAsia="宋体" w:cs="宋体"/>
          <w:color w:val="auto"/>
          <w:sz w:val="24"/>
          <w:szCs w:val="24"/>
          <w:highlight w:val="none"/>
        </w:rPr>
      </w:pPr>
    </w:p>
    <w:p w14:paraId="201D3E1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4BD82608">
      <w:pPr>
        <w:keepNext w:val="0"/>
        <w:keepLines w:val="0"/>
        <w:pageBreakBefore w:val="0"/>
        <w:widowControl w:val="0"/>
        <w:kinsoku/>
        <w:wordWrap/>
        <w:overflowPunct/>
        <w:topLinePunct w:val="0"/>
        <w:autoSpaceDE/>
        <w:autoSpaceDN/>
        <w:bidi w:val="0"/>
        <w:adjustRightInd/>
        <w:snapToGrid/>
        <w:spacing w:line="300" w:lineRule="exact"/>
        <w:textAlignment w:val="auto"/>
        <w:outlineLvl w:val="9"/>
        <w:rPr>
          <w:rFonts w:hint="eastAsia" w:ascii="宋体" w:hAnsi="宋体" w:eastAsia="宋体" w:cs="宋体"/>
          <w:color w:val="auto"/>
          <w:sz w:val="21"/>
          <w:szCs w:val="21"/>
          <w:highlight w:val="none"/>
          <w:lang w:eastAsia="zh-CN"/>
        </w:rPr>
      </w:pPr>
    </w:p>
    <w:p w14:paraId="5C6963C2">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注：上述承诺书中的</w:t>
      </w:r>
      <w:r>
        <w:rPr>
          <w:rFonts w:hint="eastAsia" w:ascii="宋体" w:hAnsi="宋体" w:eastAsia="宋体" w:cs="宋体"/>
          <w:b w:val="0"/>
          <w:bCs w:val="0"/>
          <w:i w:val="0"/>
          <w:iCs w:val="0"/>
          <w:color w:val="auto"/>
          <w:kern w:val="2"/>
          <w:sz w:val="24"/>
          <w:szCs w:val="24"/>
          <w:highlight w:val="none"/>
          <w:u w:val="none" w:color="auto"/>
          <w:vertAlign w:val="baseline"/>
          <w:lang w:val="en-US" w:eastAsia="zh-CN" w:bidi="ar-SA"/>
        </w:rPr>
        <w:t>企业社会贡献下浮率要使用阿拉伯数字填报，但不得填报负值，否则作无效投标处理。企业社会贡献下浮率没有填报任何数字的按无企业社会贡献处理，但不作无效投标处理</w:t>
      </w:r>
    </w:p>
    <w:p w14:paraId="3E4C1C13">
      <w:pPr>
        <w:rPr>
          <w:rFonts w:hint="eastAsia" w:ascii="宋体" w:hAnsi="宋体" w:eastAsia="宋体" w:cs="宋体"/>
          <w:b/>
          <w:bCs/>
          <w:color w:val="auto"/>
          <w:spacing w:val="0"/>
          <w:sz w:val="24"/>
          <w:szCs w:val="24"/>
          <w:highlight w:val="none"/>
        </w:rPr>
      </w:pPr>
    </w:p>
    <w:p w14:paraId="4C841D80">
      <w:pPr>
        <w:keepNext w:val="0"/>
        <w:keepLines w:val="0"/>
        <w:pageBreakBefore w:val="0"/>
        <w:wordWrap w:val="0"/>
        <w:overflowPunct/>
        <w:topLinePunct w:val="0"/>
        <w:bidi w:val="0"/>
        <w:spacing w:before="78" w:line="220" w:lineRule="auto"/>
        <w:outlineLvl w:val="2"/>
        <w:rPr>
          <w:rFonts w:hint="default" w:ascii="宋体" w:hAnsi="宋体" w:eastAsia="宋体" w:cs="宋体"/>
          <w:b/>
          <w:bCs/>
          <w:color w:val="auto"/>
          <w:spacing w:val="0"/>
          <w:sz w:val="24"/>
          <w:szCs w:val="24"/>
          <w:highlight w:val="none"/>
          <w:lang w:val="en-US"/>
        </w:rPr>
      </w:pPr>
      <w:r>
        <w:rPr>
          <w:rFonts w:hint="eastAsia" w:ascii="宋体" w:hAnsi="宋体" w:eastAsia="宋体" w:cs="宋体"/>
          <w:b/>
          <w:bCs/>
          <w:color w:val="auto"/>
          <w:spacing w:val="0"/>
          <w:sz w:val="24"/>
          <w:szCs w:val="24"/>
          <w:highlight w:val="none"/>
        </w:rPr>
        <w:t>格式十</w:t>
      </w:r>
      <w:r>
        <w:rPr>
          <w:rFonts w:hint="eastAsia" w:ascii="宋体" w:hAnsi="宋体" w:eastAsia="宋体" w:cs="宋体"/>
          <w:b/>
          <w:bCs/>
          <w:color w:val="auto"/>
          <w:spacing w:val="0"/>
          <w:sz w:val="24"/>
          <w:szCs w:val="24"/>
          <w:highlight w:val="none"/>
          <w:lang w:val="en-US" w:eastAsia="zh-CN"/>
        </w:rPr>
        <w:t>六</w:t>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b/>
          <w:bCs/>
          <w:color w:val="auto"/>
          <w:spacing w:val="0"/>
          <w:sz w:val="24"/>
          <w:szCs w:val="24"/>
          <w:highlight w:val="none"/>
          <w:lang w:val="en-US" w:eastAsia="zh-CN"/>
        </w:rPr>
        <w:t>原件一览表</w:t>
      </w:r>
    </w:p>
    <w:tbl>
      <w:tblPr>
        <w:tblStyle w:val="17"/>
        <w:tblW w:w="9440" w:type="dxa"/>
        <w:tblInd w:w="12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8"/>
        <w:gridCol w:w="1896"/>
        <w:gridCol w:w="1725"/>
        <w:gridCol w:w="964"/>
        <w:gridCol w:w="719"/>
        <w:gridCol w:w="780"/>
        <w:gridCol w:w="991"/>
        <w:gridCol w:w="1637"/>
      </w:tblGrid>
      <w:tr w14:paraId="3E4C51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9440" w:type="dxa"/>
            <w:gridSpan w:val="8"/>
            <w:vAlign w:val="top"/>
          </w:tcPr>
          <w:p w14:paraId="3491368D">
            <w:pPr>
              <w:keepNext w:val="0"/>
              <w:keepLines w:val="0"/>
              <w:pageBreakBefore w:val="0"/>
              <w:wordWrap w:val="0"/>
              <w:overflowPunct/>
              <w:topLinePunct w:val="0"/>
              <w:bidi w:val="0"/>
              <w:spacing w:before="132" w:line="220" w:lineRule="auto"/>
              <w:ind w:left="3965"/>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原件一览表</w:t>
            </w:r>
          </w:p>
        </w:tc>
      </w:tr>
      <w:tr w14:paraId="6C1A8D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trPr>
        <w:tc>
          <w:tcPr>
            <w:tcW w:w="2624" w:type="dxa"/>
            <w:gridSpan w:val="2"/>
            <w:vAlign w:val="center"/>
          </w:tcPr>
          <w:p w14:paraId="2C337028">
            <w:pPr>
              <w:keepNext w:val="0"/>
              <w:keepLines w:val="0"/>
              <w:pageBreakBefore w:val="0"/>
              <w:wordWrap w:val="0"/>
              <w:overflowPunct/>
              <w:topLinePunct w:val="0"/>
              <w:bidi w:val="0"/>
              <w:spacing w:before="62" w:line="230" w:lineRule="auto"/>
              <w:jc w:val="center"/>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工程名称</w:t>
            </w:r>
          </w:p>
        </w:tc>
        <w:tc>
          <w:tcPr>
            <w:tcW w:w="6816" w:type="dxa"/>
            <w:gridSpan w:val="6"/>
            <w:vAlign w:val="top"/>
          </w:tcPr>
          <w:p w14:paraId="5DC92896">
            <w:pPr>
              <w:pStyle w:val="32"/>
              <w:keepNext w:val="0"/>
              <w:keepLines w:val="0"/>
              <w:pageBreakBefore w:val="0"/>
              <w:wordWrap w:val="0"/>
              <w:overflowPunct/>
              <w:topLinePunct w:val="0"/>
              <w:bidi w:val="0"/>
              <w:rPr>
                <w:rFonts w:hint="eastAsia" w:ascii="宋体" w:hAnsi="宋体" w:eastAsia="宋体" w:cs="宋体"/>
                <w:color w:val="auto"/>
                <w:spacing w:val="0"/>
                <w:sz w:val="24"/>
                <w:szCs w:val="24"/>
                <w:highlight w:val="none"/>
              </w:rPr>
            </w:pPr>
          </w:p>
        </w:tc>
      </w:tr>
      <w:tr w14:paraId="12A9C6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0" w:hRule="atLeast"/>
        </w:trPr>
        <w:tc>
          <w:tcPr>
            <w:tcW w:w="2624" w:type="dxa"/>
            <w:gridSpan w:val="2"/>
            <w:vAlign w:val="top"/>
          </w:tcPr>
          <w:p w14:paraId="6584B431">
            <w:pPr>
              <w:keepNext w:val="0"/>
              <w:keepLines w:val="0"/>
              <w:pageBreakBefore w:val="0"/>
              <w:wordWrap w:val="0"/>
              <w:overflowPunct/>
              <w:topLinePunct w:val="0"/>
              <w:bidi w:val="0"/>
              <w:spacing w:before="150" w:line="230" w:lineRule="auto"/>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投标人名称(请务必填写单位全称)</w:t>
            </w:r>
          </w:p>
        </w:tc>
        <w:tc>
          <w:tcPr>
            <w:tcW w:w="6816" w:type="dxa"/>
            <w:gridSpan w:val="6"/>
            <w:vAlign w:val="top"/>
          </w:tcPr>
          <w:p w14:paraId="3F667B57">
            <w:pPr>
              <w:pStyle w:val="32"/>
              <w:keepNext w:val="0"/>
              <w:keepLines w:val="0"/>
              <w:pageBreakBefore w:val="0"/>
              <w:wordWrap w:val="0"/>
              <w:overflowPunct/>
              <w:topLinePunct w:val="0"/>
              <w:bidi w:val="0"/>
              <w:rPr>
                <w:rFonts w:hint="eastAsia" w:ascii="宋体" w:hAnsi="宋体" w:eastAsia="宋体" w:cs="宋体"/>
                <w:color w:val="auto"/>
                <w:spacing w:val="0"/>
                <w:sz w:val="24"/>
                <w:szCs w:val="24"/>
                <w:highlight w:val="none"/>
              </w:rPr>
            </w:pPr>
          </w:p>
        </w:tc>
      </w:tr>
      <w:tr w14:paraId="01CC3A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2624" w:type="dxa"/>
            <w:gridSpan w:val="2"/>
            <w:vAlign w:val="top"/>
          </w:tcPr>
          <w:p w14:paraId="367DD7BA">
            <w:pPr>
              <w:keepNext w:val="0"/>
              <w:keepLines w:val="0"/>
              <w:pageBreakBefore w:val="0"/>
              <w:wordWrap w:val="0"/>
              <w:overflowPunct/>
              <w:topLinePunct w:val="0"/>
              <w:bidi w:val="0"/>
              <w:spacing w:before="151"/>
              <w:ind w:right="14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投标人法定代表人或其委托代理人签名</w:t>
            </w:r>
          </w:p>
        </w:tc>
        <w:tc>
          <w:tcPr>
            <w:tcW w:w="2689" w:type="dxa"/>
            <w:gridSpan w:val="2"/>
            <w:vAlign w:val="top"/>
          </w:tcPr>
          <w:p w14:paraId="78D696D8">
            <w:pPr>
              <w:pStyle w:val="32"/>
              <w:keepNext w:val="0"/>
              <w:keepLines w:val="0"/>
              <w:pageBreakBefore w:val="0"/>
              <w:wordWrap w:val="0"/>
              <w:overflowPunct/>
              <w:topLinePunct w:val="0"/>
              <w:bidi w:val="0"/>
              <w:rPr>
                <w:rFonts w:hint="eastAsia" w:ascii="宋体" w:hAnsi="宋体" w:eastAsia="宋体" w:cs="宋体"/>
                <w:color w:val="auto"/>
                <w:spacing w:val="0"/>
                <w:sz w:val="24"/>
                <w:szCs w:val="24"/>
                <w:highlight w:val="none"/>
              </w:rPr>
            </w:pPr>
          </w:p>
        </w:tc>
        <w:tc>
          <w:tcPr>
            <w:tcW w:w="1499" w:type="dxa"/>
            <w:gridSpan w:val="2"/>
            <w:vAlign w:val="top"/>
          </w:tcPr>
          <w:p w14:paraId="450A426E">
            <w:pPr>
              <w:keepNext w:val="0"/>
              <w:keepLines w:val="0"/>
              <w:pageBreakBefore w:val="0"/>
              <w:wordWrap w:val="0"/>
              <w:overflowPunct/>
              <w:topLinePunct w:val="0"/>
              <w:bidi w:val="0"/>
              <w:spacing w:before="151" w:line="312" w:lineRule="auto"/>
              <w:ind w:right="17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手机号码</w:t>
            </w:r>
          </w:p>
        </w:tc>
        <w:tc>
          <w:tcPr>
            <w:tcW w:w="2628" w:type="dxa"/>
            <w:gridSpan w:val="2"/>
            <w:vAlign w:val="top"/>
          </w:tcPr>
          <w:p w14:paraId="3375D0A0">
            <w:pPr>
              <w:pStyle w:val="32"/>
              <w:keepNext w:val="0"/>
              <w:keepLines w:val="0"/>
              <w:pageBreakBefore w:val="0"/>
              <w:wordWrap w:val="0"/>
              <w:overflowPunct/>
              <w:topLinePunct w:val="0"/>
              <w:bidi w:val="0"/>
              <w:rPr>
                <w:rFonts w:hint="eastAsia" w:ascii="宋体" w:hAnsi="宋体" w:eastAsia="宋体" w:cs="宋体"/>
                <w:color w:val="auto"/>
                <w:spacing w:val="0"/>
                <w:sz w:val="24"/>
                <w:szCs w:val="24"/>
                <w:highlight w:val="none"/>
              </w:rPr>
            </w:pPr>
          </w:p>
        </w:tc>
      </w:tr>
      <w:tr w14:paraId="2A67D9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7" w:hRule="atLeast"/>
        </w:trPr>
        <w:tc>
          <w:tcPr>
            <w:tcW w:w="9440" w:type="dxa"/>
            <w:gridSpan w:val="8"/>
            <w:vAlign w:val="top"/>
          </w:tcPr>
          <w:p w14:paraId="7DDAA26F">
            <w:pPr>
              <w:keepNext w:val="0"/>
              <w:keepLines w:val="0"/>
              <w:pageBreakBefore w:val="0"/>
              <w:wordWrap w:val="0"/>
              <w:overflowPunct/>
              <w:topLinePunct w:val="0"/>
              <w:bidi w:val="0"/>
              <w:spacing w:before="62" w:line="228" w:lineRule="auto"/>
              <w:ind w:left="336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递交的证明材料原件如下：</w:t>
            </w:r>
          </w:p>
        </w:tc>
      </w:tr>
      <w:tr w14:paraId="30AB72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7" w:hRule="atLeast"/>
        </w:trPr>
        <w:tc>
          <w:tcPr>
            <w:tcW w:w="728" w:type="dxa"/>
            <w:vAlign w:val="top"/>
          </w:tcPr>
          <w:p w14:paraId="1BB1F723">
            <w:pPr>
              <w:pStyle w:val="32"/>
              <w:keepNext w:val="0"/>
              <w:keepLines w:val="0"/>
              <w:pageBreakBefore w:val="0"/>
              <w:wordWrap w:val="0"/>
              <w:overflowPunct/>
              <w:topLinePunct w:val="0"/>
              <w:bidi w:val="0"/>
              <w:spacing w:line="257" w:lineRule="auto"/>
              <w:rPr>
                <w:rFonts w:hint="eastAsia" w:ascii="宋体" w:hAnsi="宋体" w:eastAsia="宋体" w:cs="宋体"/>
                <w:color w:val="auto"/>
                <w:spacing w:val="0"/>
                <w:sz w:val="24"/>
                <w:szCs w:val="24"/>
                <w:highlight w:val="none"/>
              </w:rPr>
            </w:pPr>
          </w:p>
          <w:p w14:paraId="26350EE9">
            <w:pPr>
              <w:keepNext w:val="0"/>
              <w:keepLines w:val="0"/>
              <w:pageBreakBefore w:val="0"/>
              <w:wordWrap w:val="0"/>
              <w:overflowPunct/>
              <w:topLinePunct w:val="0"/>
              <w:bidi w:val="0"/>
              <w:spacing w:before="62" w:line="230" w:lineRule="auto"/>
              <w:ind w:left="15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序号</w:t>
            </w:r>
          </w:p>
        </w:tc>
        <w:tc>
          <w:tcPr>
            <w:tcW w:w="5304" w:type="dxa"/>
            <w:gridSpan w:val="4"/>
            <w:vAlign w:val="top"/>
          </w:tcPr>
          <w:p w14:paraId="3B5D10BC">
            <w:pPr>
              <w:pStyle w:val="32"/>
              <w:keepNext w:val="0"/>
              <w:keepLines w:val="0"/>
              <w:pageBreakBefore w:val="0"/>
              <w:wordWrap w:val="0"/>
              <w:overflowPunct/>
              <w:topLinePunct w:val="0"/>
              <w:bidi w:val="0"/>
              <w:spacing w:line="257" w:lineRule="auto"/>
              <w:rPr>
                <w:rFonts w:hint="eastAsia" w:ascii="宋体" w:hAnsi="宋体" w:eastAsia="宋体" w:cs="宋体"/>
                <w:color w:val="auto"/>
                <w:spacing w:val="0"/>
                <w:sz w:val="24"/>
                <w:szCs w:val="24"/>
                <w:highlight w:val="none"/>
              </w:rPr>
            </w:pPr>
          </w:p>
          <w:p w14:paraId="148EFE13">
            <w:pPr>
              <w:keepNext w:val="0"/>
              <w:keepLines w:val="0"/>
              <w:pageBreakBefore w:val="0"/>
              <w:wordWrap w:val="0"/>
              <w:overflowPunct/>
              <w:topLinePunct w:val="0"/>
              <w:bidi w:val="0"/>
              <w:spacing w:before="61" w:line="228" w:lineRule="auto"/>
              <w:ind w:left="17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证明材料原件名称</w:t>
            </w:r>
          </w:p>
        </w:tc>
        <w:tc>
          <w:tcPr>
            <w:tcW w:w="1771" w:type="dxa"/>
            <w:gridSpan w:val="2"/>
            <w:vAlign w:val="top"/>
          </w:tcPr>
          <w:p w14:paraId="319E0324">
            <w:pPr>
              <w:pStyle w:val="32"/>
              <w:keepNext w:val="0"/>
              <w:keepLines w:val="0"/>
              <w:pageBreakBefore w:val="0"/>
              <w:wordWrap w:val="0"/>
              <w:overflowPunct/>
              <w:topLinePunct w:val="0"/>
              <w:bidi w:val="0"/>
              <w:spacing w:line="256" w:lineRule="auto"/>
              <w:rPr>
                <w:rFonts w:hint="eastAsia" w:ascii="宋体" w:hAnsi="宋体" w:eastAsia="宋体" w:cs="宋体"/>
                <w:color w:val="auto"/>
                <w:spacing w:val="0"/>
                <w:sz w:val="24"/>
                <w:szCs w:val="24"/>
                <w:highlight w:val="none"/>
              </w:rPr>
            </w:pPr>
          </w:p>
          <w:p w14:paraId="16F18B9F">
            <w:pPr>
              <w:keepNext w:val="0"/>
              <w:keepLines w:val="0"/>
              <w:pageBreakBefore w:val="0"/>
              <w:wordWrap w:val="0"/>
              <w:overflowPunct/>
              <w:topLinePunct w:val="0"/>
              <w:bidi w:val="0"/>
              <w:spacing w:before="62" w:line="230" w:lineRule="auto"/>
              <w:ind w:left="664"/>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单位</w:t>
            </w:r>
          </w:p>
        </w:tc>
        <w:tc>
          <w:tcPr>
            <w:tcW w:w="1637" w:type="dxa"/>
            <w:vAlign w:val="top"/>
          </w:tcPr>
          <w:p w14:paraId="0C3CBD3D">
            <w:pPr>
              <w:pStyle w:val="32"/>
              <w:keepNext w:val="0"/>
              <w:keepLines w:val="0"/>
              <w:pageBreakBefore w:val="0"/>
              <w:wordWrap w:val="0"/>
              <w:overflowPunct/>
              <w:topLinePunct w:val="0"/>
              <w:bidi w:val="0"/>
              <w:spacing w:line="256" w:lineRule="auto"/>
              <w:rPr>
                <w:rFonts w:hint="eastAsia" w:ascii="宋体" w:hAnsi="宋体" w:eastAsia="宋体" w:cs="宋体"/>
                <w:color w:val="auto"/>
                <w:spacing w:val="0"/>
                <w:sz w:val="24"/>
                <w:szCs w:val="24"/>
                <w:highlight w:val="none"/>
              </w:rPr>
            </w:pPr>
          </w:p>
          <w:p w14:paraId="7466CAA9">
            <w:pPr>
              <w:keepNext w:val="0"/>
              <w:keepLines w:val="0"/>
              <w:pageBreakBefore w:val="0"/>
              <w:wordWrap w:val="0"/>
              <w:overflowPunct/>
              <w:topLinePunct w:val="0"/>
              <w:bidi w:val="0"/>
              <w:spacing w:before="62" w:line="229" w:lineRule="auto"/>
              <w:ind w:left="592"/>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数量</w:t>
            </w:r>
          </w:p>
        </w:tc>
      </w:tr>
      <w:tr w14:paraId="739E75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28" w:type="dxa"/>
            <w:vAlign w:val="top"/>
          </w:tcPr>
          <w:p w14:paraId="286FDBAA">
            <w:pPr>
              <w:keepNext w:val="0"/>
              <w:keepLines w:val="0"/>
              <w:pageBreakBefore w:val="0"/>
              <w:wordWrap w:val="0"/>
              <w:overflowPunct/>
              <w:topLinePunct w:val="0"/>
              <w:bidi w:val="0"/>
              <w:spacing w:before="287" w:line="184" w:lineRule="auto"/>
              <w:ind w:left="31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w:t>
            </w:r>
          </w:p>
        </w:tc>
        <w:tc>
          <w:tcPr>
            <w:tcW w:w="5304" w:type="dxa"/>
            <w:gridSpan w:val="4"/>
            <w:vAlign w:val="top"/>
          </w:tcPr>
          <w:p w14:paraId="5123F3BA">
            <w:pPr>
              <w:pStyle w:val="32"/>
              <w:keepNext w:val="0"/>
              <w:keepLines w:val="0"/>
              <w:pageBreakBefore w:val="0"/>
              <w:wordWrap w:val="0"/>
              <w:overflowPunct/>
              <w:topLinePunct w:val="0"/>
              <w:bidi w:val="0"/>
              <w:rPr>
                <w:rFonts w:hint="eastAsia" w:ascii="宋体" w:hAnsi="宋体" w:eastAsia="宋体" w:cs="宋体"/>
                <w:color w:val="auto"/>
                <w:spacing w:val="0"/>
                <w:sz w:val="24"/>
                <w:szCs w:val="24"/>
                <w:highlight w:val="none"/>
              </w:rPr>
            </w:pPr>
          </w:p>
        </w:tc>
        <w:tc>
          <w:tcPr>
            <w:tcW w:w="1771" w:type="dxa"/>
            <w:gridSpan w:val="2"/>
            <w:vAlign w:val="top"/>
          </w:tcPr>
          <w:p w14:paraId="4AB9EC8D">
            <w:pPr>
              <w:pStyle w:val="32"/>
              <w:keepNext w:val="0"/>
              <w:keepLines w:val="0"/>
              <w:pageBreakBefore w:val="0"/>
              <w:wordWrap w:val="0"/>
              <w:overflowPunct/>
              <w:topLinePunct w:val="0"/>
              <w:bidi w:val="0"/>
              <w:rPr>
                <w:rFonts w:hint="eastAsia" w:ascii="宋体" w:hAnsi="宋体" w:eastAsia="宋体" w:cs="宋体"/>
                <w:color w:val="auto"/>
                <w:spacing w:val="0"/>
                <w:sz w:val="24"/>
                <w:szCs w:val="24"/>
                <w:highlight w:val="none"/>
              </w:rPr>
            </w:pPr>
          </w:p>
        </w:tc>
        <w:tc>
          <w:tcPr>
            <w:tcW w:w="1637" w:type="dxa"/>
            <w:vAlign w:val="top"/>
          </w:tcPr>
          <w:p w14:paraId="5DCD3E99">
            <w:pPr>
              <w:pStyle w:val="32"/>
              <w:keepNext w:val="0"/>
              <w:keepLines w:val="0"/>
              <w:pageBreakBefore w:val="0"/>
              <w:wordWrap w:val="0"/>
              <w:overflowPunct/>
              <w:topLinePunct w:val="0"/>
              <w:bidi w:val="0"/>
              <w:rPr>
                <w:rFonts w:hint="eastAsia" w:ascii="宋体" w:hAnsi="宋体" w:eastAsia="宋体" w:cs="宋体"/>
                <w:color w:val="auto"/>
                <w:spacing w:val="0"/>
                <w:sz w:val="24"/>
                <w:szCs w:val="24"/>
                <w:highlight w:val="none"/>
              </w:rPr>
            </w:pPr>
          </w:p>
        </w:tc>
      </w:tr>
      <w:tr w14:paraId="468F6A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28" w:type="dxa"/>
            <w:vAlign w:val="top"/>
          </w:tcPr>
          <w:p w14:paraId="23BF47FA">
            <w:pPr>
              <w:keepNext w:val="0"/>
              <w:keepLines w:val="0"/>
              <w:pageBreakBefore w:val="0"/>
              <w:wordWrap w:val="0"/>
              <w:overflowPunct/>
              <w:topLinePunct w:val="0"/>
              <w:bidi w:val="0"/>
              <w:spacing w:before="288" w:line="183" w:lineRule="auto"/>
              <w:ind w:left="302"/>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w:t>
            </w:r>
          </w:p>
        </w:tc>
        <w:tc>
          <w:tcPr>
            <w:tcW w:w="5304" w:type="dxa"/>
            <w:gridSpan w:val="4"/>
            <w:vAlign w:val="top"/>
          </w:tcPr>
          <w:p w14:paraId="20BE1A60">
            <w:pPr>
              <w:pStyle w:val="32"/>
              <w:keepNext w:val="0"/>
              <w:keepLines w:val="0"/>
              <w:pageBreakBefore w:val="0"/>
              <w:wordWrap w:val="0"/>
              <w:overflowPunct/>
              <w:topLinePunct w:val="0"/>
              <w:bidi w:val="0"/>
              <w:rPr>
                <w:rFonts w:hint="eastAsia" w:ascii="宋体" w:hAnsi="宋体" w:eastAsia="宋体" w:cs="宋体"/>
                <w:color w:val="auto"/>
                <w:spacing w:val="0"/>
                <w:sz w:val="24"/>
                <w:szCs w:val="24"/>
                <w:highlight w:val="none"/>
              </w:rPr>
            </w:pPr>
          </w:p>
        </w:tc>
        <w:tc>
          <w:tcPr>
            <w:tcW w:w="1771" w:type="dxa"/>
            <w:gridSpan w:val="2"/>
            <w:vAlign w:val="top"/>
          </w:tcPr>
          <w:p w14:paraId="19E9E33E">
            <w:pPr>
              <w:pStyle w:val="32"/>
              <w:keepNext w:val="0"/>
              <w:keepLines w:val="0"/>
              <w:pageBreakBefore w:val="0"/>
              <w:wordWrap w:val="0"/>
              <w:overflowPunct/>
              <w:topLinePunct w:val="0"/>
              <w:bidi w:val="0"/>
              <w:rPr>
                <w:rFonts w:hint="eastAsia" w:ascii="宋体" w:hAnsi="宋体" w:eastAsia="宋体" w:cs="宋体"/>
                <w:color w:val="auto"/>
                <w:spacing w:val="0"/>
                <w:sz w:val="24"/>
                <w:szCs w:val="24"/>
                <w:highlight w:val="none"/>
              </w:rPr>
            </w:pPr>
          </w:p>
        </w:tc>
        <w:tc>
          <w:tcPr>
            <w:tcW w:w="1637" w:type="dxa"/>
            <w:vAlign w:val="top"/>
          </w:tcPr>
          <w:p w14:paraId="24203D50">
            <w:pPr>
              <w:pStyle w:val="32"/>
              <w:keepNext w:val="0"/>
              <w:keepLines w:val="0"/>
              <w:pageBreakBefore w:val="0"/>
              <w:wordWrap w:val="0"/>
              <w:overflowPunct/>
              <w:topLinePunct w:val="0"/>
              <w:bidi w:val="0"/>
              <w:rPr>
                <w:rFonts w:hint="eastAsia" w:ascii="宋体" w:hAnsi="宋体" w:eastAsia="宋体" w:cs="宋体"/>
                <w:color w:val="auto"/>
                <w:spacing w:val="0"/>
                <w:sz w:val="24"/>
                <w:szCs w:val="24"/>
                <w:highlight w:val="none"/>
              </w:rPr>
            </w:pPr>
          </w:p>
        </w:tc>
      </w:tr>
      <w:tr w14:paraId="293F8A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28" w:type="dxa"/>
            <w:vAlign w:val="top"/>
          </w:tcPr>
          <w:p w14:paraId="4B3CB9A5">
            <w:pPr>
              <w:keepNext w:val="0"/>
              <w:keepLines w:val="0"/>
              <w:pageBreakBefore w:val="0"/>
              <w:wordWrap w:val="0"/>
              <w:overflowPunct/>
              <w:topLinePunct w:val="0"/>
              <w:bidi w:val="0"/>
              <w:spacing w:before="287" w:line="183" w:lineRule="auto"/>
              <w:ind w:left="304"/>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w:t>
            </w:r>
          </w:p>
        </w:tc>
        <w:tc>
          <w:tcPr>
            <w:tcW w:w="5304" w:type="dxa"/>
            <w:gridSpan w:val="4"/>
            <w:vAlign w:val="top"/>
          </w:tcPr>
          <w:p w14:paraId="66033FF8">
            <w:pPr>
              <w:pStyle w:val="32"/>
              <w:keepNext w:val="0"/>
              <w:keepLines w:val="0"/>
              <w:pageBreakBefore w:val="0"/>
              <w:wordWrap w:val="0"/>
              <w:overflowPunct/>
              <w:topLinePunct w:val="0"/>
              <w:bidi w:val="0"/>
              <w:rPr>
                <w:rFonts w:hint="eastAsia" w:ascii="宋体" w:hAnsi="宋体" w:eastAsia="宋体" w:cs="宋体"/>
                <w:color w:val="auto"/>
                <w:spacing w:val="0"/>
                <w:sz w:val="24"/>
                <w:szCs w:val="24"/>
                <w:highlight w:val="none"/>
              </w:rPr>
            </w:pPr>
          </w:p>
        </w:tc>
        <w:tc>
          <w:tcPr>
            <w:tcW w:w="1771" w:type="dxa"/>
            <w:gridSpan w:val="2"/>
            <w:vAlign w:val="top"/>
          </w:tcPr>
          <w:p w14:paraId="65DA0EE9">
            <w:pPr>
              <w:pStyle w:val="32"/>
              <w:keepNext w:val="0"/>
              <w:keepLines w:val="0"/>
              <w:pageBreakBefore w:val="0"/>
              <w:wordWrap w:val="0"/>
              <w:overflowPunct/>
              <w:topLinePunct w:val="0"/>
              <w:bidi w:val="0"/>
              <w:rPr>
                <w:rFonts w:hint="eastAsia" w:ascii="宋体" w:hAnsi="宋体" w:eastAsia="宋体" w:cs="宋体"/>
                <w:color w:val="auto"/>
                <w:spacing w:val="0"/>
                <w:sz w:val="24"/>
                <w:szCs w:val="24"/>
                <w:highlight w:val="none"/>
              </w:rPr>
            </w:pPr>
          </w:p>
        </w:tc>
        <w:tc>
          <w:tcPr>
            <w:tcW w:w="1637" w:type="dxa"/>
            <w:vAlign w:val="top"/>
          </w:tcPr>
          <w:p w14:paraId="5D9F8AD6">
            <w:pPr>
              <w:pStyle w:val="32"/>
              <w:keepNext w:val="0"/>
              <w:keepLines w:val="0"/>
              <w:pageBreakBefore w:val="0"/>
              <w:wordWrap w:val="0"/>
              <w:overflowPunct/>
              <w:topLinePunct w:val="0"/>
              <w:bidi w:val="0"/>
              <w:rPr>
                <w:rFonts w:hint="eastAsia" w:ascii="宋体" w:hAnsi="宋体" w:eastAsia="宋体" w:cs="宋体"/>
                <w:color w:val="auto"/>
                <w:spacing w:val="0"/>
                <w:sz w:val="24"/>
                <w:szCs w:val="24"/>
                <w:highlight w:val="none"/>
              </w:rPr>
            </w:pPr>
          </w:p>
        </w:tc>
      </w:tr>
      <w:tr w14:paraId="5D534D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28" w:type="dxa"/>
            <w:vAlign w:val="top"/>
          </w:tcPr>
          <w:p w14:paraId="12D9D3F4">
            <w:pPr>
              <w:pStyle w:val="32"/>
              <w:keepNext w:val="0"/>
              <w:keepLines w:val="0"/>
              <w:pageBreakBefore w:val="0"/>
              <w:wordWrap w:val="0"/>
              <w:overflowPunct/>
              <w:topLinePunct w:val="0"/>
              <w:bidi w:val="0"/>
              <w:spacing w:line="348" w:lineRule="auto"/>
              <w:rPr>
                <w:rFonts w:hint="eastAsia" w:ascii="宋体" w:hAnsi="宋体" w:eastAsia="宋体" w:cs="宋体"/>
                <w:color w:val="auto"/>
                <w:spacing w:val="0"/>
                <w:sz w:val="24"/>
                <w:szCs w:val="24"/>
                <w:highlight w:val="none"/>
              </w:rPr>
            </w:pPr>
          </w:p>
          <w:p w14:paraId="7D3A359C">
            <w:pPr>
              <w:keepNext w:val="0"/>
              <w:keepLines w:val="0"/>
              <w:pageBreakBefore w:val="0"/>
              <w:wordWrap w:val="0"/>
              <w:overflowPunct/>
              <w:topLinePunct w:val="0"/>
              <w:bidi w:val="0"/>
              <w:spacing w:before="78" w:line="99" w:lineRule="exact"/>
              <w:ind w:left="186"/>
              <w:rPr>
                <w:rFonts w:hint="eastAsia" w:ascii="宋体" w:hAnsi="宋体" w:eastAsia="宋体" w:cs="宋体"/>
                <w:color w:val="auto"/>
                <w:spacing w:val="0"/>
                <w:sz w:val="24"/>
                <w:szCs w:val="24"/>
                <w:highlight w:val="none"/>
              </w:rPr>
            </w:pPr>
            <w:r>
              <w:rPr>
                <w:rFonts w:hint="eastAsia" w:ascii="宋体" w:hAnsi="宋体" w:eastAsia="宋体" w:cs="宋体"/>
                <w:color w:val="auto"/>
                <w:spacing w:val="0"/>
                <w:position w:val="1"/>
                <w:sz w:val="24"/>
                <w:szCs w:val="24"/>
                <w:highlight w:val="none"/>
              </w:rPr>
              <w:t>...</w:t>
            </w:r>
          </w:p>
        </w:tc>
        <w:tc>
          <w:tcPr>
            <w:tcW w:w="5304" w:type="dxa"/>
            <w:gridSpan w:val="4"/>
            <w:vAlign w:val="top"/>
          </w:tcPr>
          <w:p w14:paraId="72F96BEA">
            <w:pPr>
              <w:pStyle w:val="32"/>
              <w:keepNext w:val="0"/>
              <w:keepLines w:val="0"/>
              <w:pageBreakBefore w:val="0"/>
              <w:wordWrap w:val="0"/>
              <w:overflowPunct/>
              <w:topLinePunct w:val="0"/>
              <w:bidi w:val="0"/>
              <w:rPr>
                <w:rFonts w:hint="eastAsia" w:ascii="宋体" w:hAnsi="宋体" w:eastAsia="宋体" w:cs="宋体"/>
                <w:color w:val="auto"/>
                <w:spacing w:val="0"/>
                <w:sz w:val="24"/>
                <w:szCs w:val="24"/>
                <w:highlight w:val="none"/>
              </w:rPr>
            </w:pPr>
          </w:p>
        </w:tc>
        <w:tc>
          <w:tcPr>
            <w:tcW w:w="1771" w:type="dxa"/>
            <w:gridSpan w:val="2"/>
            <w:vAlign w:val="top"/>
          </w:tcPr>
          <w:p w14:paraId="2DA1BE2E">
            <w:pPr>
              <w:pStyle w:val="32"/>
              <w:keepNext w:val="0"/>
              <w:keepLines w:val="0"/>
              <w:pageBreakBefore w:val="0"/>
              <w:wordWrap w:val="0"/>
              <w:overflowPunct/>
              <w:topLinePunct w:val="0"/>
              <w:bidi w:val="0"/>
              <w:rPr>
                <w:rFonts w:hint="eastAsia" w:ascii="宋体" w:hAnsi="宋体" w:eastAsia="宋体" w:cs="宋体"/>
                <w:color w:val="auto"/>
                <w:spacing w:val="0"/>
                <w:sz w:val="24"/>
                <w:szCs w:val="24"/>
                <w:highlight w:val="none"/>
              </w:rPr>
            </w:pPr>
          </w:p>
        </w:tc>
        <w:tc>
          <w:tcPr>
            <w:tcW w:w="1637" w:type="dxa"/>
            <w:vAlign w:val="top"/>
          </w:tcPr>
          <w:p w14:paraId="00B9D80C">
            <w:pPr>
              <w:pStyle w:val="32"/>
              <w:keepNext w:val="0"/>
              <w:keepLines w:val="0"/>
              <w:pageBreakBefore w:val="0"/>
              <w:wordWrap w:val="0"/>
              <w:overflowPunct/>
              <w:topLinePunct w:val="0"/>
              <w:bidi w:val="0"/>
              <w:rPr>
                <w:rFonts w:hint="eastAsia" w:ascii="宋体" w:hAnsi="宋体" w:eastAsia="宋体" w:cs="宋体"/>
                <w:color w:val="auto"/>
                <w:spacing w:val="0"/>
                <w:sz w:val="24"/>
                <w:szCs w:val="24"/>
                <w:highlight w:val="none"/>
              </w:rPr>
            </w:pPr>
          </w:p>
        </w:tc>
      </w:tr>
      <w:tr w14:paraId="7C625D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97" w:hRule="atLeast"/>
        </w:trPr>
        <w:tc>
          <w:tcPr>
            <w:tcW w:w="728" w:type="dxa"/>
            <w:vAlign w:val="top"/>
          </w:tcPr>
          <w:p w14:paraId="12D2FB98">
            <w:pPr>
              <w:pStyle w:val="32"/>
              <w:keepNext w:val="0"/>
              <w:keepLines w:val="0"/>
              <w:pageBreakBefore w:val="0"/>
              <w:wordWrap w:val="0"/>
              <w:overflowPunct/>
              <w:topLinePunct w:val="0"/>
              <w:bidi w:val="0"/>
              <w:spacing w:line="274" w:lineRule="auto"/>
              <w:rPr>
                <w:rFonts w:hint="eastAsia" w:ascii="宋体" w:hAnsi="宋体" w:eastAsia="宋体" w:cs="宋体"/>
                <w:color w:val="auto"/>
                <w:spacing w:val="0"/>
                <w:sz w:val="24"/>
                <w:szCs w:val="24"/>
                <w:highlight w:val="none"/>
              </w:rPr>
            </w:pPr>
          </w:p>
          <w:p w14:paraId="75DC065D">
            <w:pPr>
              <w:pStyle w:val="32"/>
              <w:keepNext w:val="0"/>
              <w:keepLines w:val="0"/>
              <w:pageBreakBefore w:val="0"/>
              <w:wordWrap w:val="0"/>
              <w:overflowPunct/>
              <w:topLinePunct w:val="0"/>
              <w:bidi w:val="0"/>
              <w:spacing w:line="275" w:lineRule="auto"/>
              <w:rPr>
                <w:rFonts w:hint="eastAsia" w:ascii="宋体" w:hAnsi="宋体" w:eastAsia="宋体" w:cs="宋体"/>
                <w:color w:val="auto"/>
                <w:spacing w:val="0"/>
                <w:sz w:val="24"/>
                <w:szCs w:val="24"/>
                <w:highlight w:val="none"/>
              </w:rPr>
            </w:pPr>
          </w:p>
          <w:p w14:paraId="2F115AF8">
            <w:pPr>
              <w:pStyle w:val="32"/>
              <w:keepNext w:val="0"/>
              <w:keepLines w:val="0"/>
              <w:pageBreakBefore w:val="0"/>
              <w:wordWrap w:val="0"/>
              <w:overflowPunct/>
              <w:topLinePunct w:val="0"/>
              <w:bidi w:val="0"/>
              <w:spacing w:line="275" w:lineRule="auto"/>
              <w:rPr>
                <w:rFonts w:hint="eastAsia" w:ascii="宋体" w:hAnsi="宋体" w:eastAsia="宋体" w:cs="宋体"/>
                <w:color w:val="auto"/>
                <w:spacing w:val="0"/>
                <w:sz w:val="24"/>
                <w:szCs w:val="24"/>
                <w:highlight w:val="none"/>
              </w:rPr>
            </w:pPr>
          </w:p>
          <w:p w14:paraId="778318E8">
            <w:pPr>
              <w:keepNext w:val="0"/>
              <w:keepLines w:val="0"/>
              <w:pageBreakBefore w:val="0"/>
              <w:wordWrap w:val="0"/>
              <w:overflowPunct/>
              <w:topLinePunct w:val="0"/>
              <w:bidi w:val="0"/>
              <w:spacing w:before="62" w:line="233" w:lineRule="auto"/>
              <w:ind w:left="2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注意：</w:t>
            </w:r>
          </w:p>
        </w:tc>
        <w:tc>
          <w:tcPr>
            <w:tcW w:w="8712" w:type="dxa"/>
            <w:gridSpan w:val="7"/>
            <w:vAlign w:val="top"/>
          </w:tcPr>
          <w:p w14:paraId="12CF7F58">
            <w:pPr>
              <w:keepNext w:val="0"/>
              <w:keepLines w:val="0"/>
              <w:pageBreakBefore w:val="0"/>
              <w:wordWrap w:val="0"/>
              <w:overflowPunct/>
              <w:topLinePunct w:val="0"/>
              <w:bidi w:val="0"/>
              <w:spacing w:before="148"/>
              <w:ind w:left="111" w:right="107" w:firstLine="483"/>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该表一式两份，两份表格投标人均需如实填写各项内容，两份表格的填写内容应一致。一份贴于装纳原件的文件袋（箱），一份在递交文件袋（箱）时由招标代理机构、投标人签字后交招标代理机构。招标代理机构仅代签收装纳原件的文件袋（箱），而不对文件袋（箱）中资料的数量、 内容及真实性负责。</w:t>
            </w:r>
          </w:p>
        </w:tc>
      </w:tr>
      <w:tr w14:paraId="3429EB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6" w:hRule="atLeast"/>
        </w:trPr>
        <w:tc>
          <w:tcPr>
            <w:tcW w:w="2624" w:type="dxa"/>
            <w:gridSpan w:val="2"/>
            <w:vAlign w:val="top"/>
          </w:tcPr>
          <w:p w14:paraId="129394BA">
            <w:pPr>
              <w:pStyle w:val="32"/>
              <w:keepNext w:val="0"/>
              <w:keepLines w:val="0"/>
              <w:pageBreakBefore w:val="0"/>
              <w:wordWrap w:val="0"/>
              <w:overflowPunct/>
              <w:topLinePunct w:val="0"/>
              <w:bidi w:val="0"/>
              <w:spacing w:line="240" w:lineRule="auto"/>
              <w:rPr>
                <w:rFonts w:hint="eastAsia" w:ascii="宋体" w:hAnsi="宋体" w:eastAsia="宋体" w:cs="宋体"/>
                <w:color w:val="auto"/>
                <w:spacing w:val="0"/>
                <w:sz w:val="24"/>
                <w:szCs w:val="24"/>
                <w:highlight w:val="none"/>
              </w:rPr>
            </w:pPr>
          </w:p>
          <w:p w14:paraId="330A366F">
            <w:pPr>
              <w:keepNext w:val="0"/>
              <w:keepLines w:val="0"/>
              <w:pageBreakBefore w:val="0"/>
              <w:wordWrap w:val="0"/>
              <w:overflowPunct/>
              <w:topLinePunct w:val="0"/>
              <w:bidi w:val="0"/>
              <w:spacing w:before="61" w:line="240" w:lineRule="auto"/>
              <w:ind w:left="760" w:right="153" w:hanging="60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接收原件经办人</w:t>
            </w:r>
          </w:p>
          <w:p w14:paraId="690B4A57">
            <w:pPr>
              <w:keepNext w:val="0"/>
              <w:keepLines w:val="0"/>
              <w:pageBreakBefore w:val="0"/>
              <w:wordWrap w:val="0"/>
              <w:overflowPunct/>
              <w:topLinePunct w:val="0"/>
              <w:bidi w:val="0"/>
              <w:spacing w:before="61" w:line="240" w:lineRule="auto"/>
              <w:ind w:left="760" w:right="153" w:hanging="60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(招标代理)：</w:t>
            </w:r>
          </w:p>
        </w:tc>
        <w:tc>
          <w:tcPr>
            <w:tcW w:w="1725" w:type="dxa"/>
            <w:vAlign w:val="top"/>
          </w:tcPr>
          <w:p w14:paraId="06AE3C6D">
            <w:pPr>
              <w:pStyle w:val="32"/>
              <w:keepNext w:val="0"/>
              <w:keepLines w:val="0"/>
              <w:pageBreakBefore w:val="0"/>
              <w:wordWrap w:val="0"/>
              <w:overflowPunct/>
              <w:topLinePunct w:val="0"/>
              <w:bidi w:val="0"/>
              <w:rPr>
                <w:rFonts w:hint="eastAsia" w:ascii="宋体" w:hAnsi="宋体" w:eastAsia="宋体" w:cs="宋体"/>
                <w:color w:val="auto"/>
                <w:spacing w:val="0"/>
                <w:sz w:val="24"/>
                <w:szCs w:val="24"/>
                <w:highlight w:val="none"/>
              </w:rPr>
            </w:pPr>
          </w:p>
        </w:tc>
        <w:tc>
          <w:tcPr>
            <w:tcW w:w="1683" w:type="dxa"/>
            <w:gridSpan w:val="2"/>
            <w:vAlign w:val="top"/>
          </w:tcPr>
          <w:p w14:paraId="41C6DBDA">
            <w:pPr>
              <w:pStyle w:val="32"/>
              <w:keepNext w:val="0"/>
              <w:keepLines w:val="0"/>
              <w:pageBreakBefore w:val="0"/>
              <w:wordWrap w:val="0"/>
              <w:overflowPunct/>
              <w:topLinePunct w:val="0"/>
              <w:bidi w:val="0"/>
              <w:spacing w:line="288" w:lineRule="auto"/>
              <w:rPr>
                <w:rFonts w:hint="eastAsia" w:ascii="宋体" w:hAnsi="宋体" w:eastAsia="宋体" w:cs="宋体"/>
                <w:color w:val="auto"/>
                <w:spacing w:val="0"/>
                <w:sz w:val="24"/>
                <w:szCs w:val="24"/>
                <w:highlight w:val="none"/>
              </w:rPr>
            </w:pPr>
          </w:p>
          <w:p w14:paraId="13BBB104">
            <w:pPr>
              <w:pStyle w:val="32"/>
              <w:keepNext w:val="0"/>
              <w:keepLines w:val="0"/>
              <w:pageBreakBefore w:val="0"/>
              <w:wordWrap w:val="0"/>
              <w:overflowPunct/>
              <w:topLinePunct w:val="0"/>
              <w:bidi w:val="0"/>
              <w:spacing w:line="289" w:lineRule="auto"/>
              <w:rPr>
                <w:rFonts w:hint="eastAsia" w:ascii="宋体" w:hAnsi="宋体" w:eastAsia="宋体" w:cs="宋体"/>
                <w:color w:val="auto"/>
                <w:spacing w:val="0"/>
                <w:sz w:val="24"/>
                <w:szCs w:val="24"/>
                <w:highlight w:val="none"/>
              </w:rPr>
            </w:pPr>
          </w:p>
          <w:p w14:paraId="56AFB77C">
            <w:pPr>
              <w:keepNext w:val="0"/>
              <w:keepLines w:val="0"/>
              <w:pageBreakBefore w:val="0"/>
              <w:wordWrap w:val="0"/>
              <w:overflowPunct/>
              <w:topLinePunct w:val="0"/>
              <w:bidi w:val="0"/>
              <w:spacing w:before="62" w:line="229" w:lineRule="auto"/>
              <w:ind w:left="31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接收时间：</w:t>
            </w:r>
          </w:p>
        </w:tc>
        <w:tc>
          <w:tcPr>
            <w:tcW w:w="3408" w:type="dxa"/>
            <w:gridSpan w:val="3"/>
            <w:vAlign w:val="top"/>
          </w:tcPr>
          <w:p w14:paraId="57EFFBAA">
            <w:pPr>
              <w:pStyle w:val="32"/>
              <w:keepNext w:val="0"/>
              <w:keepLines w:val="0"/>
              <w:pageBreakBefore w:val="0"/>
              <w:wordWrap w:val="0"/>
              <w:overflowPunct/>
              <w:topLinePunct w:val="0"/>
              <w:bidi w:val="0"/>
              <w:spacing w:line="288" w:lineRule="auto"/>
              <w:rPr>
                <w:rFonts w:hint="eastAsia" w:ascii="宋体" w:hAnsi="宋体" w:eastAsia="宋体" w:cs="宋体"/>
                <w:color w:val="auto"/>
                <w:spacing w:val="0"/>
                <w:sz w:val="24"/>
                <w:szCs w:val="24"/>
                <w:highlight w:val="none"/>
              </w:rPr>
            </w:pPr>
          </w:p>
          <w:p w14:paraId="6B9C78A7">
            <w:pPr>
              <w:pStyle w:val="32"/>
              <w:keepNext w:val="0"/>
              <w:keepLines w:val="0"/>
              <w:pageBreakBefore w:val="0"/>
              <w:wordWrap w:val="0"/>
              <w:overflowPunct/>
              <w:topLinePunct w:val="0"/>
              <w:bidi w:val="0"/>
              <w:spacing w:line="289" w:lineRule="auto"/>
              <w:rPr>
                <w:rFonts w:hint="eastAsia" w:ascii="宋体" w:hAnsi="宋体" w:eastAsia="宋体" w:cs="宋体"/>
                <w:color w:val="auto"/>
                <w:spacing w:val="0"/>
                <w:sz w:val="24"/>
                <w:szCs w:val="24"/>
                <w:highlight w:val="none"/>
              </w:rPr>
            </w:pPr>
          </w:p>
          <w:p w14:paraId="0B247DFD">
            <w:pPr>
              <w:keepNext w:val="0"/>
              <w:keepLines w:val="0"/>
              <w:pageBreakBefore w:val="0"/>
              <w:wordWrap w:val="0"/>
              <w:overflowPunct/>
              <w:topLinePunct w:val="0"/>
              <w:bidi w:val="0"/>
              <w:spacing w:before="62" w:line="229" w:lineRule="auto"/>
              <w:ind w:firstLine="480" w:firstLineChars="20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年   月   日   时  分</w:t>
            </w:r>
          </w:p>
        </w:tc>
      </w:tr>
      <w:tr w14:paraId="63E0D1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4" w:hRule="atLeast"/>
        </w:trPr>
        <w:tc>
          <w:tcPr>
            <w:tcW w:w="2624" w:type="dxa"/>
            <w:gridSpan w:val="2"/>
            <w:vAlign w:val="top"/>
          </w:tcPr>
          <w:p w14:paraId="7789F1E5">
            <w:pPr>
              <w:keepNext w:val="0"/>
              <w:keepLines w:val="0"/>
              <w:pageBreakBefore w:val="0"/>
              <w:wordWrap w:val="0"/>
              <w:overflowPunct/>
              <w:topLinePunct w:val="0"/>
              <w:bidi w:val="0"/>
              <w:spacing w:before="155" w:line="240" w:lineRule="auto"/>
              <w:ind w:left="861" w:right="153" w:hanging="69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退还原件接收人</w:t>
            </w:r>
          </w:p>
          <w:p w14:paraId="2951D152">
            <w:pPr>
              <w:keepNext w:val="0"/>
              <w:keepLines w:val="0"/>
              <w:pageBreakBefore w:val="0"/>
              <w:wordWrap w:val="0"/>
              <w:overflowPunct/>
              <w:topLinePunct w:val="0"/>
              <w:bidi w:val="0"/>
              <w:spacing w:before="155" w:line="240" w:lineRule="auto"/>
              <w:ind w:left="861" w:right="153" w:hanging="69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(投标人)：</w:t>
            </w:r>
          </w:p>
        </w:tc>
        <w:tc>
          <w:tcPr>
            <w:tcW w:w="1725" w:type="dxa"/>
            <w:vAlign w:val="top"/>
          </w:tcPr>
          <w:p w14:paraId="0160C48F">
            <w:pPr>
              <w:pStyle w:val="32"/>
              <w:keepNext w:val="0"/>
              <w:keepLines w:val="0"/>
              <w:pageBreakBefore w:val="0"/>
              <w:wordWrap w:val="0"/>
              <w:overflowPunct/>
              <w:topLinePunct w:val="0"/>
              <w:bidi w:val="0"/>
              <w:rPr>
                <w:rFonts w:hint="eastAsia" w:ascii="宋体" w:hAnsi="宋体" w:eastAsia="宋体" w:cs="宋体"/>
                <w:color w:val="auto"/>
                <w:spacing w:val="0"/>
                <w:sz w:val="24"/>
                <w:szCs w:val="24"/>
                <w:highlight w:val="none"/>
              </w:rPr>
            </w:pPr>
          </w:p>
        </w:tc>
        <w:tc>
          <w:tcPr>
            <w:tcW w:w="1683" w:type="dxa"/>
            <w:gridSpan w:val="2"/>
            <w:vAlign w:val="top"/>
          </w:tcPr>
          <w:p w14:paraId="54C4094F">
            <w:pPr>
              <w:pStyle w:val="32"/>
              <w:keepNext w:val="0"/>
              <w:keepLines w:val="0"/>
              <w:pageBreakBefore w:val="0"/>
              <w:wordWrap w:val="0"/>
              <w:overflowPunct/>
              <w:topLinePunct w:val="0"/>
              <w:bidi w:val="0"/>
              <w:spacing w:line="336" w:lineRule="auto"/>
              <w:rPr>
                <w:rFonts w:hint="eastAsia" w:ascii="宋体" w:hAnsi="宋体" w:eastAsia="宋体" w:cs="宋体"/>
                <w:color w:val="auto"/>
                <w:spacing w:val="0"/>
                <w:sz w:val="24"/>
                <w:szCs w:val="24"/>
                <w:highlight w:val="none"/>
              </w:rPr>
            </w:pPr>
          </w:p>
          <w:p w14:paraId="22EE0F9B">
            <w:pPr>
              <w:keepNext w:val="0"/>
              <w:keepLines w:val="0"/>
              <w:pageBreakBefore w:val="0"/>
              <w:wordWrap w:val="0"/>
              <w:overflowPunct/>
              <w:topLinePunct w:val="0"/>
              <w:bidi w:val="0"/>
              <w:spacing w:before="61" w:line="231" w:lineRule="auto"/>
              <w:ind w:left="31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退还时间：</w:t>
            </w:r>
          </w:p>
        </w:tc>
        <w:tc>
          <w:tcPr>
            <w:tcW w:w="3408" w:type="dxa"/>
            <w:gridSpan w:val="3"/>
            <w:vAlign w:val="top"/>
          </w:tcPr>
          <w:p w14:paraId="0AA573BD">
            <w:pPr>
              <w:pStyle w:val="32"/>
              <w:keepNext w:val="0"/>
              <w:keepLines w:val="0"/>
              <w:pageBreakBefore w:val="0"/>
              <w:wordWrap w:val="0"/>
              <w:overflowPunct/>
              <w:topLinePunct w:val="0"/>
              <w:bidi w:val="0"/>
              <w:spacing w:line="335" w:lineRule="auto"/>
              <w:rPr>
                <w:rFonts w:hint="eastAsia" w:ascii="宋体" w:hAnsi="宋体" w:eastAsia="宋体" w:cs="宋体"/>
                <w:color w:val="auto"/>
                <w:spacing w:val="0"/>
                <w:sz w:val="24"/>
                <w:szCs w:val="24"/>
                <w:highlight w:val="none"/>
              </w:rPr>
            </w:pPr>
          </w:p>
          <w:p w14:paraId="403E3D14">
            <w:pPr>
              <w:keepNext w:val="0"/>
              <w:keepLines w:val="0"/>
              <w:pageBreakBefore w:val="0"/>
              <w:wordWrap w:val="0"/>
              <w:overflowPunct/>
              <w:topLinePunct w:val="0"/>
              <w:bidi w:val="0"/>
              <w:spacing w:before="62" w:line="229" w:lineRule="auto"/>
              <w:ind w:firstLine="480" w:firstLineChars="20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年   月   日  时   分</w:t>
            </w:r>
          </w:p>
        </w:tc>
      </w:tr>
    </w:tbl>
    <w:p w14:paraId="7E328866">
      <w:pPr>
        <w:keepNext w:val="0"/>
        <w:keepLines w:val="0"/>
        <w:pageBreakBefore w:val="0"/>
        <w:wordWrap w:val="0"/>
        <w:overflowPunct/>
        <w:topLinePunct w:val="0"/>
        <w:bidi w:val="0"/>
        <w:spacing w:before="78" w:line="220" w:lineRule="auto"/>
        <w:outlineLvl w:val="2"/>
        <w:rPr>
          <w:rFonts w:hint="eastAsia" w:ascii="宋体" w:hAnsi="宋体" w:eastAsia="宋体" w:cs="宋体"/>
          <w:color w:val="auto"/>
          <w:spacing w:val="0"/>
          <w:sz w:val="24"/>
          <w:szCs w:val="24"/>
          <w:highlight w:val="none"/>
        </w:rPr>
      </w:pPr>
      <w:bookmarkStart w:id="259" w:name="bookmark107"/>
      <w:bookmarkEnd w:id="259"/>
      <w:r>
        <w:rPr>
          <w:rFonts w:hint="eastAsia" w:ascii="宋体" w:hAnsi="宋体" w:eastAsia="宋体" w:cs="宋体"/>
          <w:b/>
          <w:bCs/>
          <w:color w:val="auto"/>
          <w:spacing w:val="0"/>
          <w:sz w:val="24"/>
          <w:szCs w:val="24"/>
          <w:highlight w:val="none"/>
        </w:rPr>
        <w:br w:type="page"/>
      </w:r>
      <w:bookmarkStart w:id="260" w:name="_Toc4725"/>
      <w:r>
        <w:rPr>
          <w:rFonts w:hint="eastAsia" w:ascii="宋体" w:hAnsi="宋体" w:eastAsia="宋体" w:cs="宋体"/>
          <w:b/>
          <w:bCs/>
          <w:color w:val="auto"/>
          <w:spacing w:val="0"/>
          <w:sz w:val="24"/>
          <w:szCs w:val="24"/>
          <w:highlight w:val="none"/>
        </w:rPr>
        <w:t>格式</w:t>
      </w:r>
      <w:r>
        <w:rPr>
          <w:rFonts w:hint="eastAsia" w:ascii="宋体" w:hAnsi="宋体" w:eastAsia="宋体" w:cs="宋体"/>
          <w:b/>
          <w:bCs/>
          <w:color w:val="auto"/>
          <w:spacing w:val="0"/>
          <w:sz w:val="24"/>
          <w:szCs w:val="24"/>
          <w:highlight w:val="none"/>
          <w:lang w:val="en-US" w:eastAsia="zh-CN"/>
        </w:rPr>
        <w:t>十七</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lang w:val="en-US" w:eastAsia="zh-CN"/>
        </w:rPr>
        <w:t>定标文件</w:t>
      </w:r>
      <w:r>
        <w:rPr>
          <w:rFonts w:hint="eastAsia" w:ascii="宋体" w:hAnsi="宋体" w:eastAsia="宋体" w:cs="宋体"/>
          <w:b/>
          <w:bCs/>
          <w:color w:val="auto"/>
          <w:spacing w:val="0"/>
          <w:sz w:val="24"/>
          <w:szCs w:val="24"/>
          <w:highlight w:val="none"/>
        </w:rPr>
        <w:t>封面</w:t>
      </w:r>
      <w:bookmarkEnd w:id="260"/>
    </w:p>
    <w:p w14:paraId="49D3E367">
      <w:pPr>
        <w:pStyle w:val="6"/>
        <w:keepNext w:val="0"/>
        <w:keepLines w:val="0"/>
        <w:pageBreakBefore w:val="0"/>
        <w:wordWrap w:val="0"/>
        <w:overflowPunct/>
        <w:topLinePunct w:val="0"/>
        <w:bidi w:val="0"/>
        <w:spacing w:line="258" w:lineRule="auto"/>
        <w:rPr>
          <w:rFonts w:hint="eastAsia" w:ascii="宋体" w:hAnsi="宋体" w:eastAsia="宋体" w:cs="宋体"/>
          <w:color w:val="auto"/>
          <w:spacing w:val="0"/>
          <w:highlight w:val="none"/>
        </w:rPr>
      </w:pPr>
    </w:p>
    <w:p w14:paraId="12C906B0">
      <w:pPr>
        <w:pStyle w:val="6"/>
        <w:keepNext w:val="0"/>
        <w:keepLines w:val="0"/>
        <w:pageBreakBefore w:val="0"/>
        <w:wordWrap w:val="0"/>
        <w:overflowPunct/>
        <w:topLinePunct w:val="0"/>
        <w:bidi w:val="0"/>
        <w:spacing w:line="259" w:lineRule="auto"/>
        <w:rPr>
          <w:rFonts w:hint="eastAsia" w:ascii="宋体" w:hAnsi="宋体" w:eastAsia="宋体" w:cs="宋体"/>
          <w:color w:val="auto"/>
          <w:spacing w:val="0"/>
          <w:highlight w:val="none"/>
        </w:rPr>
      </w:pPr>
    </w:p>
    <w:p w14:paraId="4B58B84D">
      <w:pPr>
        <w:pStyle w:val="6"/>
        <w:keepNext w:val="0"/>
        <w:keepLines w:val="0"/>
        <w:pageBreakBefore w:val="0"/>
        <w:wordWrap w:val="0"/>
        <w:overflowPunct/>
        <w:topLinePunct w:val="0"/>
        <w:bidi w:val="0"/>
        <w:spacing w:line="259" w:lineRule="auto"/>
        <w:rPr>
          <w:rFonts w:hint="eastAsia" w:ascii="宋体" w:hAnsi="宋体" w:eastAsia="宋体" w:cs="宋体"/>
          <w:color w:val="auto"/>
          <w:spacing w:val="0"/>
          <w:highlight w:val="none"/>
        </w:rPr>
      </w:pPr>
    </w:p>
    <w:p w14:paraId="6F4D7D48">
      <w:pPr>
        <w:keepNext w:val="0"/>
        <w:keepLines w:val="0"/>
        <w:pageBreakBefore w:val="0"/>
        <w:wordWrap w:val="0"/>
        <w:overflowPunct/>
        <w:topLinePunct w:val="0"/>
        <w:bidi w:val="0"/>
        <w:spacing w:before="153" w:line="225" w:lineRule="auto"/>
        <w:ind w:left="-1" w:leftChars="0" w:firstLine="0" w:firstLineChars="0"/>
        <w:jc w:val="center"/>
        <w:rPr>
          <w:rFonts w:hint="eastAsia" w:ascii="宋体" w:hAnsi="宋体" w:eastAsia="宋体" w:cs="宋体"/>
          <w:color w:val="auto"/>
          <w:spacing w:val="0"/>
          <w:sz w:val="47"/>
          <w:szCs w:val="47"/>
          <w:highlight w:val="none"/>
        </w:rPr>
      </w:pPr>
      <w:r>
        <w:rPr>
          <w:rFonts w:hint="eastAsia" w:ascii="宋体" w:hAnsi="宋体" w:eastAsia="宋体" w:cs="宋体"/>
          <w:b/>
          <w:bCs/>
          <w:color w:val="auto"/>
          <w:spacing w:val="0"/>
          <w:sz w:val="47"/>
          <w:szCs w:val="47"/>
          <w:highlight w:val="none"/>
          <w:u w:val="single"/>
          <w:lang w:val="en-US" w:eastAsia="zh-CN"/>
        </w:rPr>
        <w:t xml:space="preserve">    </w:t>
      </w:r>
      <w:r>
        <w:rPr>
          <w:rFonts w:hint="eastAsia" w:ascii="宋体" w:hAnsi="宋体" w:eastAsia="宋体" w:cs="宋体"/>
          <w:b/>
          <w:bCs/>
          <w:color w:val="auto"/>
          <w:spacing w:val="0"/>
          <w:sz w:val="47"/>
          <w:szCs w:val="47"/>
          <w:highlight w:val="none"/>
          <w:u w:val="single"/>
        </w:rPr>
        <w:t>（项目名称）</w:t>
      </w:r>
      <w:r>
        <w:rPr>
          <w:rFonts w:hint="eastAsia" w:ascii="宋体" w:hAnsi="宋体" w:eastAsia="宋体" w:cs="宋体"/>
          <w:b/>
          <w:bCs/>
          <w:color w:val="auto"/>
          <w:spacing w:val="0"/>
          <w:sz w:val="47"/>
          <w:szCs w:val="47"/>
          <w:highlight w:val="none"/>
          <w:u w:val="none"/>
          <w:lang w:val="en-US" w:eastAsia="zh-CN"/>
        </w:rPr>
        <w:t>施工</w:t>
      </w:r>
      <w:r>
        <w:rPr>
          <w:rFonts w:hint="eastAsia" w:ascii="宋体" w:hAnsi="宋体" w:eastAsia="宋体" w:cs="宋体"/>
          <w:b/>
          <w:bCs/>
          <w:color w:val="auto"/>
          <w:spacing w:val="0"/>
          <w:sz w:val="47"/>
          <w:szCs w:val="47"/>
          <w:highlight w:val="none"/>
        </w:rPr>
        <w:t>招标</w:t>
      </w:r>
    </w:p>
    <w:p w14:paraId="163CDC6B">
      <w:pPr>
        <w:pStyle w:val="6"/>
        <w:keepNext w:val="0"/>
        <w:keepLines w:val="0"/>
        <w:pageBreakBefore w:val="0"/>
        <w:wordWrap w:val="0"/>
        <w:overflowPunct/>
        <w:topLinePunct w:val="0"/>
        <w:bidi w:val="0"/>
        <w:spacing w:line="247" w:lineRule="auto"/>
        <w:rPr>
          <w:rFonts w:hint="eastAsia" w:ascii="宋体" w:hAnsi="宋体" w:eastAsia="宋体" w:cs="宋体"/>
          <w:color w:val="auto"/>
          <w:spacing w:val="0"/>
          <w:highlight w:val="none"/>
        </w:rPr>
      </w:pPr>
    </w:p>
    <w:p w14:paraId="421BED22">
      <w:pPr>
        <w:pStyle w:val="6"/>
        <w:keepNext w:val="0"/>
        <w:keepLines w:val="0"/>
        <w:pageBreakBefore w:val="0"/>
        <w:wordWrap w:val="0"/>
        <w:overflowPunct/>
        <w:topLinePunct w:val="0"/>
        <w:bidi w:val="0"/>
        <w:spacing w:line="247" w:lineRule="auto"/>
        <w:rPr>
          <w:rFonts w:hint="eastAsia" w:ascii="宋体" w:hAnsi="宋体" w:eastAsia="宋体" w:cs="宋体"/>
          <w:color w:val="auto"/>
          <w:spacing w:val="0"/>
          <w:highlight w:val="none"/>
        </w:rPr>
      </w:pPr>
    </w:p>
    <w:p w14:paraId="27CBF320">
      <w:pPr>
        <w:pStyle w:val="6"/>
        <w:keepNext w:val="0"/>
        <w:keepLines w:val="0"/>
        <w:pageBreakBefore w:val="0"/>
        <w:wordWrap w:val="0"/>
        <w:overflowPunct/>
        <w:topLinePunct w:val="0"/>
        <w:bidi w:val="0"/>
        <w:spacing w:line="247" w:lineRule="auto"/>
        <w:rPr>
          <w:rFonts w:hint="eastAsia" w:ascii="宋体" w:hAnsi="宋体" w:eastAsia="宋体" w:cs="宋体"/>
          <w:color w:val="auto"/>
          <w:spacing w:val="0"/>
          <w:highlight w:val="none"/>
        </w:rPr>
      </w:pPr>
    </w:p>
    <w:p w14:paraId="47DA797A">
      <w:pPr>
        <w:pStyle w:val="6"/>
        <w:keepNext w:val="0"/>
        <w:keepLines w:val="0"/>
        <w:pageBreakBefore w:val="0"/>
        <w:wordWrap w:val="0"/>
        <w:overflowPunct/>
        <w:topLinePunct w:val="0"/>
        <w:bidi w:val="0"/>
        <w:spacing w:line="247" w:lineRule="auto"/>
        <w:rPr>
          <w:rFonts w:hint="eastAsia" w:ascii="宋体" w:hAnsi="宋体" w:eastAsia="宋体" w:cs="宋体"/>
          <w:color w:val="auto"/>
          <w:spacing w:val="0"/>
          <w:highlight w:val="none"/>
        </w:rPr>
      </w:pPr>
    </w:p>
    <w:p w14:paraId="0CDEDA9D">
      <w:pPr>
        <w:pStyle w:val="6"/>
        <w:keepNext w:val="0"/>
        <w:keepLines w:val="0"/>
        <w:pageBreakBefore w:val="0"/>
        <w:wordWrap w:val="0"/>
        <w:overflowPunct/>
        <w:topLinePunct w:val="0"/>
        <w:bidi w:val="0"/>
        <w:spacing w:line="247" w:lineRule="auto"/>
        <w:rPr>
          <w:rFonts w:hint="eastAsia" w:ascii="宋体" w:hAnsi="宋体" w:eastAsia="宋体" w:cs="宋体"/>
          <w:color w:val="auto"/>
          <w:spacing w:val="0"/>
          <w:highlight w:val="none"/>
        </w:rPr>
      </w:pPr>
    </w:p>
    <w:p w14:paraId="08FC7F5A">
      <w:pPr>
        <w:pStyle w:val="6"/>
        <w:keepNext w:val="0"/>
        <w:keepLines w:val="0"/>
        <w:pageBreakBefore w:val="0"/>
        <w:wordWrap w:val="0"/>
        <w:overflowPunct/>
        <w:topLinePunct w:val="0"/>
        <w:bidi w:val="0"/>
        <w:spacing w:line="247" w:lineRule="auto"/>
        <w:rPr>
          <w:rFonts w:hint="eastAsia" w:ascii="宋体" w:hAnsi="宋体" w:eastAsia="宋体" w:cs="宋体"/>
          <w:color w:val="auto"/>
          <w:spacing w:val="0"/>
          <w:highlight w:val="none"/>
        </w:rPr>
      </w:pPr>
    </w:p>
    <w:p w14:paraId="3F1D7C70">
      <w:pPr>
        <w:pStyle w:val="6"/>
        <w:keepNext w:val="0"/>
        <w:keepLines w:val="0"/>
        <w:pageBreakBefore w:val="0"/>
        <w:wordWrap w:val="0"/>
        <w:overflowPunct/>
        <w:topLinePunct w:val="0"/>
        <w:bidi w:val="0"/>
        <w:spacing w:line="247" w:lineRule="auto"/>
        <w:rPr>
          <w:rFonts w:hint="eastAsia" w:ascii="宋体" w:hAnsi="宋体" w:eastAsia="宋体" w:cs="宋体"/>
          <w:color w:val="auto"/>
          <w:spacing w:val="0"/>
          <w:highlight w:val="none"/>
        </w:rPr>
      </w:pPr>
    </w:p>
    <w:p w14:paraId="0B1BF6FE">
      <w:pPr>
        <w:pStyle w:val="6"/>
        <w:keepNext w:val="0"/>
        <w:keepLines w:val="0"/>
        <w:pageBreakBefore w:val="0"/>
        <w:wordWrap w:val="0"/>
        <w:overflowPunct/>
        <w:topLinePunct w:val="0"/>
        <w:bidi w:val="0"/>
        <w:spacing w:line="247" w:lineRule="auto"/>
        <w:rPr>
          <w:rFonts w:hint="eastAsia" w:ascii="宋体" w:hAnsi="宋体" w:eastAsia="宋体" w:cs="宋体"/>
          <w:color w:val="auto"/>
          <w:spacing w:val="0"/>
          <w:highlight w:val="none"/>
        </w:rPr>
      </w:pPr>
    </w:p>
    <w:p w14:paraId="1D324516">
      <w:pPr>
        <w:pStyle w:val="6"/>
        <w:keepNext w:val="0"/>
        <w:keepLines w:val="0"/>
        <w:pageBreakBefore w:val="0"/>
        <w:wordWrap w:val="0"/>
        <w:overflowPunct/>
        <w:topLinePunct w:val="0"/>
        <w:bidi w:val="0"/>
        <w:spacing w:line="248" w:lineRule="auto"/>
        <w:rPr>
          <w:rFonts w:hint="eastAsia" w:ascii="宋体" w:hAnsi="宋体" w:eastAsia="宋体" w:cs="宋体"/>
          <w:color w:val="auto"/>
          <w:spacing w:val="0"/>
          <w:highlight w:val="none"/>
        </w:rPr>
      </w:pPr>
    </w:p>
    <w:p w14:paraId="2A311CD1">
      <w:pPr>
        <w:keepNext w:val="0"/>
        <w:keepLines w:val="0"/>
        <w:pageBreakBefore w:val="0"/>
        <w:wordWrap w:val="0"/>
        <w:overflowPunct/>
        <w:topLinePunct w:val="0"/>
        <w:bidi w:val="0"/>
        <w:spacing w:before="231" w:line="223" w:lineRule="auto"/>
        <w:jc w:val="center"/>
        <w:rPr>
          <w:rFonts w:hint="eastAsia" w:ascii="宋体" w:hAnsi="宋体" w:eastAsia="宋体" w:cs="宋体"/>
          <w:color w:val="auto"/>
          <w:spacing w:val="0"/>
          <w:sz w:val="71"/>
          <w:szCs w:val="71"/>
          <w:highlight w:val="none"/>
        </w:rPr>
      </w:pPr>
      <w:r>
        <w:rPr>
          <w:rFonts w:hint="eastAsia" w:ascii="宋体" w:hAnsi="宋体" w:eastAsia="宋体" w:cs="宋体"/>
          <w:b/>
          <w:bCs/>
          <w:color w:val="auto"/>
          <w:spacing w:val="0"/>
          <w:sz w:val="71"/>
          <w:szCs w:val="71"/>
          <w:highlight w:val="none"/>
          <w:lang w:val="en-US" w:eastAsia="zh-CN"/>
        </w:rPr>
        <w:t>定</w:t>
      </w:r>
      <w:r>
        <w:rPr>
          <w:rFonts w:hint="eastAsia" w:ascii="宋体" w:hAnsi="宋体" w:eastAsia="宋体" w:cs="宋体"/>
          <w:color w:val="auto"/>
          <w:spacing w:val="0"/>
          <w:sz w:val="71"/>
          <w:szCs w:val="71"/>
          <w:highlight w:val="none"/>
        </w:rPr>
        <w:t xml:space="preserve">  </w:t>
      </w:r>
      <w:r>
        <w:rPr>
          <w:rFonts w:hint="eastAsia" w:ascii="宋体" w:hAnsi="宋体" w:eastAsia="宋体" w:cs="宋体"/>
          <w:b/>
          <w:bCs/>
          <w:color w:val="auto"/>
          <w:spacing w:val="0"/>
          <w:sz w:val="71"/>
          <w:szCs w:val="71"/>
          <w:highlight w:val="none"/>
        </w:rPr>
        <w:t>标</w:t>
      </w:r>
      <w:r>
        <w:rPr>
          <w:rFonts w:hint="eastAsia" w:ascii="宋体" w:hAnsi="宋体" w:eastAsia="宋体" w:cs="宋体"/>
          <w:color w:val="auto"/>
          <w:spacing w:val="0"/>
          <w:sz w:val="71"/>
          <w:szCs w:val="71"/>
          <w:highlight w:val="none"/>
        </w:rPr>
        <w:t xml:space="preserve">  </w:t>
      </w:r>
      <w:r>
        <w:rPr>
          <w:rFonts w:hint="eastAsia" w:ascii="宋体" w:hAnsi="宋体" w:eastAsia="宋体" w:cs="宋体"/>
          <w:b/>
          <w:bCs/>
          <w:color w:val="auto"/>
          <w:spacing w:val="0"/>
          <w:sz w:val="71"/>
          <w:szCs w:val="71"/>
          <w:highlight w:val="none"/>
        </w:rPr>
        <w:t>文</w:t>
      </w:r>
      <w:r>
        <w:rPr>
          <w:rFonts w:hint="eastAsia" w:ascii="宋体" w:hAnsi="宋体" w:eastAsia="宋体" w:cs="宋体"/>
          <w:color w:val="auto"/>
          <w:spacing w:val="0"/>
          <w:sz w:val="71"/>
          <w:szCs w:val="71"/>
          <w:highlight w:val="none"/>
        </w:rPr>
        <w:t xml:space="preserve">  </w:t>
      </w:r>
      <w:r>
        <w:rPr>
          <w:rFonts w:hint="eastAsia" w:ascii="宋体" w:hAnsi="宋体" w:eastAsia="宋体" w:cs="宋体"/>
          <w:b/>
          <w:bCs/>
          <w:color w:val="auto"/>
          <w:spacing w:val="0"/>
          <w:sz w:val="71"/>
          <w:szCs w:val="71"/>
          <w:highlight w:val="none"/>
        </w:rPr>
        <w:t>件</w:t>
      </w:r>
    </w:p>
    <w:p w14:paraId="26F2985F">
      <w:pPr>
        <w:pStyle w:val="6"/>
        <w:keepNext w:val="0"/>
        <w:keepLines w:val="0"/>
        <w:pageBreakBefore w:val="0"/>
        <w:wordWrap w:val="0"/>
        <w:overflowPunct/>
        <w:topLinePunct w:val="0"/>
        <w:bidi w:val="0"/>
        <w:spacing w:line="293" w:lineRule="auto"/>
        <w:rPr>
          <w:rFonts w:hint="eastAsia" w:ascii="宋体" w:hAnsi="宋体" w:eastAsia="宋体" w:cs="宋体"/>
          <w:color w:val="auto"/>
          <w:spacing w:val="0"/>
          <w:highlight w:val="none"/>
        </w:rPr>
      </w:pPr>
    </w:p>
    <w:p w14:paraId="02CC4ECA">
      <w:pPr>
        <w:pStyle w:val="6"/>
        <w:keepNext w:val="0"/>
        <w:keepLines w:val="0"/>
        <w:pageBreakBefore w:val="0"/>
        <w:wordWrap w:val="0"/>
        <w:overflowPunct/>
        <w:topLinePunct w:val="0"/>
        <w:bidi w:val="0"/>
        <w:spacing w:line="293" w:lineRule="auto"/>
        <w:rPr>
          <w:rFonts w:hint="eastAsia" w:ascii="宋体" w:hAnsi="宋体" w:eastAsia="宋体" w:cs="宋体"/>
          <w:color w:val="auto"/>
          <w:spacing w:val="0"/>
          <w:highlight w:val="none"/>
        </w:rPr>
      </w:pPr>
    </w:p>
    <w:p w14:paraId="38CD4191">
      <w:pPr>
        <w:keepNext w:val="0"/>
        <w:keepLines w:val="0"/>
        <w:pageBreakBefore w:val="0"/>
        <w:wordWrap w:val="0"/>
        <w:overflowPunct/>
        <w:topLinePunct w:val="0"/>
        <w:bidi w:val="0"/>
        <w:rPr>
          <w:rFonts w:hint="eastAsia"/>
          <w:color w:val="auto"/>
          <w:spacing w:val="0"/>
          <w:highlight w:val="none"/>
        </w:rPr>
      </w:pPr>
    </w:p>
    <w:p w14:paraId="32453EE2">
      <w:pPr>
        <w:keepNext w:val="0"/>
        <w:keepLines w:val="0"/>
        <w:pageBreakBefore w:val="0"/>
        <w:wordWrap w:val="0"/>
        <w:overflowPunct/>
        <w:topLinePunct w:val="0"/>
        <w:bidi w:val="0"/>
        <w:rPr>
          <w:rFonts w:hint="eastAsia"/>
          <w:color w:val="auto"/>
          <w:spacing w:val="0"/>
          <w:highlight w:val="none"/>
        </w:rPr>
      </w:pPr>
    </w:p>
    <w:p w14:paraId="65CF63D0">
      <w:pPr>
        <w:keepNext w:val="0"/>
        <w:keepLines w:val="0"/>
        <w:pageBreakBefore w:val="0"/>
        <w:wordWrap w:val="0"/>
        <w:overflowPunct/>
        <w:topLinePunct w:val="0"/>
        <w:bidi w:val="0"/>
        <w:rPr>
          <w:rFonts w:hint="eastAsia"/>
          <w:color w:val="auto"/>
          <w:spacing w:val="0"/>
          <w:highlight w:val="none"/>
        </w:rPr>
      </w:pPr>
    </w:p>
    <w:p w14:paraId="71436365">
      <w:pPr>
        <w:keepNext w:val="0"/>
        <w:keepLines w:val="0"/>
        <w:pageBreakBefore w:val="0"/>
        <w:wordWrap w:val="0"/>
        <w:overflowPunct/>
        <w:topLinePunct w:val="0"/>
        <w:bidi w:val="0"/>
        <w:rPr>
          <w:rFonts w:hint="eastAsia"/>
          <w:color w:val="auto"/>
          <w:spacing w:val="0"/>
          <w:highlight w:val="none"/>
        </w:rPr>
      </w:pPr>
    </w:p>
    <w:p w14:paraId="653A6456">
      <w:pPr>
        <w:keepNext w:val="0"/>
        <w:keepLines w:val="0"/>
        <w:pageBreakBefore w:val="0"/>
        <w:wordWrap w:val="0"/>
        <w:overflowPunct/>
        <w:topLinePunct w:val="0"/>
        <w:bidi w:val="0"/>
        <w:rPr>
          <w:rFonts w:hint="eastAsia"/>
          <w:color w:val="auto"/>
          <w:spacing w:val="0"/>
          <w:highlight w:val="none"/>
        </w:rPr>
      </w:pPr>
    </w:p>
    <w:p w14:paraId="6D134A2A">
      <w:pPr>
        <w:keepNext w:val="0"/>
        <w:keepLines w:val="0"/>
        <w:pageBreakBefore w:val="0"/>
        <w:wordWrap w:val="0"/>
        <w:overflowPunct/>
        <w:topLinePunct w:val="0"/>
        <w:bidi w:val="0"/>
        <w:rPr>
          <w:rFonts w:hint="eastAsia"/>
          <w:color w:val="auto"/>
          <w:spacing w:val="0"/>
          <w:highlight w:val="none"/>
        </w:rPr>
      </w:pPr>
    </w:p>
    <w:p w14:paraId="65C4F42E">
      <w:pPr>
        <w:keepNext w:val="0"/>
        <w:keepLines w:val="0"/>
        <w:pageBreakBefore w:val="0"/>
        <w:wordWrap w:val="0"/>
        <w:overflowPunct/>
        <w:topLinePunct w:val="0"/>
        <w:bidi w:val="0"/>
        <w:rPr>
          <w:rFonts w:hint="eastAsia"/>
          <w:color w:val="auto"/>
          <w:spacing w:val="0"/>
          <w:highlight w:val="none"/>
        </w:rPr>
      </w:pPr>
    </w:p>
    <w:p w14:paraId="75F02A50">
      <w:pPr>
        <w:keepNext w:val="0"/>
        <w:keepLines w:val="0"/>
        <w:pageBreakBefore w:val="0"/>
        <w:wordWrap w:val="0"/>
        <w:overflowPunct/>
        <w:topLinePunct w:val="0"/>
        <w:bidi w:val="0"/>
        <w:rPr>
          <w:rFonts w:hint="eastAsia"/>
          <w:color w:val="auto"/>
          <w:spacing w:val="0"/>
          <w:highlight w:val="none"/>
        </w:rPr>
      </w:pPr>
    </w:p>
    <w:p w14:paraId="1DDF9C56">
      <w:pPr>
        <w:pStyle w:val="50"/>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Cs/>
          <w:snapToGrid w:val="0"/>
          <w:color w:val="auto"/>
          <w:spacing w:val="0"/>
          <w:sz w:val="32"/>
          <w:highlight w:val="none"/>
        </w:rPr>
      </w:pPr>
      <w:r>
        <w:rPr>
          <w:rFonts w:hint="eastAsia" w:ascii="宋体" w:hAnsi="宋体" w:eastAsia="宋体" w:cs="宋体"/>
          <w:bCs/>
          <w:snapToGrid w:val="0"/>
          <w:color w:val="auto"/>
          <w:spacing w:val="0"/>
          <w:sz w:val="32"/>
          <w:highlight w:val="none"/>
        </w:rPr>
        <w:t>投标人：</w:t>
      </w:r>
      <w:r>
        <w:rPr>
          <w:rFonts w:hint="eastAsia" w:ascii="宋体" w:hAnsi="宋体" w:eastAsia="宋体" w:cs="宋体"/>
          <w:bCs/>
          <w:snapToGrid w:val="0"/>
          <w:color w:val="auto"/>
          <w:spacing w:val="0"/>
          <w:sz w:val="32"/>
          <w:highlight w:val="none"/>
          <w:u w:val="single"/>
        </w:rPr>
        <w:t xml:space="preserve">                                    </w:t>
      </w:r>
      <w:r>
        <w:rPr>
          <w:rFonts w:hint="eastAsia" w:ascii="宋体" w:hAnsi="宋体" w:eastAsia="宋体" w:cs="宋体"/>
          <w:bCs/>
          <w:snapToGrid w:val="0"/>
          <w:color w:val="auto"/>
          <w:spacing w:val="0"/>
          <w:sz w:val="32"/>
          <w:highlight w:val="none"/>
        </w:rPr>
        <w:t>（盖单位章）</w:t>
      </w:r>
    </w:p>
    <w:p w14:paraId="775548DF">
      <w:pPr>
        <w:pStyle w:val="50"/>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Cs/>
          <w:snapToGrid w:val="0"/>
          <w:color w:val="auto"/>
          <w:spacing w:val="0"/>
          <w:sz w:val="32"/>
          <w:highlight w:val="none"/>
        </w:rPr>
      </w:pPr>
    </w:p>
    <w:p w14:paraId="7FEC0027">
      <w:pPr>
        <w:pStyle w:val="50"/>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Cs/>
          <w:snapToGrid w:val="0"/>
          <w:color w:val="auto"/>
          <w:spacing w:val="0"/>
          <w:sz w:val="32"/>
          <w:highlight w:val="none"/>
        </w:rPr>
      </w:pPr>
    </w:p>
    <w:p w14:paraId="72593576">
      <w:pPr>
        <w:pStyle w:val="50"/>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Cs/>
          <w:snapToGrid w:val="0"/>
          <w:color w:val="auto"/>
          <w:spacing w:val="0"/>
          <w:sz w:val="32"/>
          <w:highlight w:val="none"/>
        </w:rPr>
      </w:pPr>
      <w:r>
        <w:rPr>
          <w:rFonts w:hint="eastAsia" w:ascii="宋体" w:hAnsi="宋体" w:eastAsia="宋体" w:cs="宋体"/>
          <w:bCs/>
          <w:snapToGrid w:val="0"/>
          <w:color w:val="auto"/>
          <w:spacing w:val="0"/>
          <w:sz w:val="32"/>
          <w:highlight w:val="none"/>
        </w:rPr>
        <w:t>法定代表人或其委托代理人：</w:t>
      </w:r>
      <w:r>
        <w:rPr>
          <w:rFonts w:hint="eastAsia" w:ascii="宋体" w:hAnsi="宋体" w:eastAsia="宋体" w:cs="宋体"/>
          <w:bCs/>
          <w:snapToGrid w:val="0"/>
          <w:color w:val="auto"/>
          <w:spacing w:val="0"/>
          <w:sz w:val="32"/>
          <w:highlight w:val="none"/>
          <w:u w:val="single"/>
        </w:rPr>
        <w:t xml:space="preserve">                 </w:t>
      </w:r>
      <w:r>
        <w:rPr>
          <w:rFonts w:hint="eastAsia" w:ascii="宋体" w:hAnsi="宋体" w:eastAsia="宋体" w:cs="宋体"/>
          <w:bCs/>
          <w:snapToGrid w:val="0"/>
          <w:color w:val="auto"/>
          <w:spacing w:val="0"/>
          <w:sz w:val="32"/>
          <w:highlight w:val="none"/>
        </w:rPr>
        <w:t>（签字或盖章）</w:t>
      </w:r>
    </w:p>
    <w:p w14:paraId="0BA24054">
      <w:pPr>
        <w:pStyle w:val="50"/>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Cs/>
          <w:snapToGrid w:val="0"/>
          <w:color w:val="auto"/>
          <w:spacing w:val="0"/>
          <w:sz w:val="32"/>
          <w:highlight w:val="none"/>
        </w:rPr>
      </w:pPr>
    </w:p>
    <w:p w14:paraId="632F111A">
      <w:pPr>
        <w:pStyle w:val="50"/>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Cs/>
          <w:snapToGrid w:val="0"/>
          <w:color w:val="auto"/>
          <w:spacing w:val="0"/>
          <w:sz w:val="32"/>
          <w:highlight w:val="none"/>
          <w:u w:val="single"/>
        </w:rPr>
      </w:pPr>
    </w:p>
    <w:p w14:paraId="31C9B32D">
      <w:pPr>
        <w:pStyle w:val="50"/>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
          <w:snapToGrid w:val="0"/>
          <w:color w:val="auto"/>
          <w:spacing w:val="0"/>
          <w:highlight w:val="none"/>
        </w:rPr>
      </w:pPr>
      <w:r>
        <w:rPr>
          <w:rFonts w:hint="eastAsia" w:ascii="宋体" w:hAnsi="宋体" w:eastAsia="宋体" w:cs="宋体"/>
          <w:bCs/>
          <w:snapToGrid w:val="0"/>
          <w:color w:val="auto"/>
          <w:spacing w:val="0"/>
          <w:sz w:val="32"/>
          <w:highlight w:val="none"/>
          <w:u w:val="single"/>
        </w:rPr>
        <w:t xml:space="preserve">         </w:t>
      </w:r>
      <w:r>
        <w:rPr>
          <w:rFonts w:hint="eastAsia" w:ascii="宋体" w:hAnsi="宋体" w:eastAsia="宋体" w:cs="宋体"/>
          <w:bCs/>
          <w:snapToGrid w:val="0"/>
          <w:color w:val="auto"/>
          <w:spacing w:val="0"/>
          <w:sz w:val="32"/>
          <w:highlight w:val="none"/>
        </w:rPr>
        <w:t>年</w:t>
      </w:r>
      <w:r>
        <w:rPr>
          <w:rFonts w:hint="eastAsia" w:ascii="宋体" w:hAnsi="宋体" w:eastAsia="宋体" w:cs="宋体"/>
          <w:bCs/>
          <w:snapToGrid w:val="0"/>
          <w:color w:val="auto"/>
          <w:spacing w:val="0"/>
          <w:sz w:val="32"/>
          <w:highlight w:val="none"/>
          <w:u w:val="single"/>
        </w:rPr>
        <w:t xml:space="preserve">      </w:t>
      </w:r>
      <w:r>
        <w:rPr>
          <w:rFonts w:hint="eastAsia" w:ascii="宋体" w:hAnsi="宋体" w:eastAsia="宋体" w:cs="宋体"/>
          <w:bCs/>
          <w:snapToGrid w:val="0"/>
          <w:color w:val="auto"/>
          <w:spacing w:val="0"/>
          <w:sz w:val="32"/>
          <w:highlight w:val="none"/>
        </w:rPr>
        <w:t>月</w:t>
      </w:r>
      <w:r>
        <w:rPr>
          <w:rFonts w:hint="eastAsia" w:ascii="宋体" w:hAnsi="宋体" w:eastAsia="宋体" w:cs="宋体"/>
          <w:bCs/>
          <w:snapToGrid w:val="0"/>
          <w:color w:val="auto"/>
          <w:spacing w:val="0"/>
          <w:sz w:val="32"/>
          <w:highlight w:val="none"/>
          <w:u w:val="single"/>
        </w:rPr>
        <w:t xml:space="preserve">      </w:t>
      </w:r>
      <w:r>
        <w:rPr>
          <w:rFonts w:hint="eastAsia" w:ascii="宋体" w:hAnsi="宋体" w:eastAsia="宋体" w:cs="宋体"/>
          <w:bCs/>
          <w:snapToGrid w:val="0"/>
          <w:color w:val="auto"/>
          <w:spacing w:val="0"/>
          <w:sz w:val="32"/>
          <w:highlight w:val="none"/>
        </w:rPr>
        <w:t>日</w:t>
      </w:r>
    </w:p>
    <w:p w14:paraId="03AB617F">
      <w:pPr>
        <w:spacing w:line="500" w:lineRule="exact"/>
        <w:jc w:val="left"/>
        <w:outlineLvl w:val="2"/>
        <w:rPr>
          <w:rFonts w:hint="eastAsia" w:ascii="宋体" w:hAnsi="宋体" w:eastAsia="宋体" w:cs="宋体"/>
          <w:b/>
          <w:bCs/>
          <w:color w:val="auto"/>
          <w:sz w:val="30"/>
          <w:szCs w:val="30"/>
          <w:highlight w:val="none"/>
          <w:lang w:eastAsia="zh-CN"/>
        </w:rPr>
      </w:pPr>
      <w:r>
        <w:rPr>
          <w:rFonts w:hint="eastAsia" w:ascii="宋体" w:hAnsi="宋体" w:eastAsia="宋体" w:cs="宋体"/>
          <w:b/>
          <w:bCs/>
          <w:color w:val="auto"/>
          <w:spacing w:val="0"/>
          <w:sz w:val="24"/>
          <w:szCs w:val="24"/>
          <w:highlight w:val="none"/>
        </w:rPr>
        <w:br w:type="page"/>
      </w:r>
      <w:bookmarkStart w:id="261" w:name="_Toc4519"/>
      <w:r>
        <w:rPr>
          <w:rFonts w:hint="eastAsia" w:ascii="宋体" w:hAnsi="宋体" w:eastAsia="宋体" w:cs="宋体"/>
          <w:b/>
          <w:bCs/>
          <w:color w:val="auto"/>
          <w:spacing w:val="0"/>
          <w:sz w:val="24"/>
          <w:szCs w:val="24"/>
          <w:highlight w:val="none"/>
        </w:rPr>
        <w:t>格式</w:t>
      </w:r>
      <w:r>
        <w:rPr>
          <w:rFonts w:hint="eastAsia" w:ascii="宋体" w:hAnsi="宋体" w:eastAsia="宋体" w:cs="宋体"/>
          <w:b/>
          <w:bCs/>
          <w:color w:val="auto"/>
          <w:spacing w:val="0"/>
          <w:sz w:val="24"/>
          <w:szCs w:val="24"/>
          <w:highlight w:val="none"/>
          <w:lang w:val="en-US" w:eastAsia="zh-CN"/>
        </w:rPr>
        <w:t>十八</w:t>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b/>
          <w:bCs/>
          <w:color w:val="auto"/>
          <w:spacing w:val="0"/>
          <w:sz w:val="24"/>
          <w:szCs w:val="24"/>
          <w:highlight w:val="none"/>
          <w:lang w:val="en-US" w:eastAsia="zh-CN"/>
        </w:rPr>
        <w:t>定标因素评审资料</w:t>
      </w:r>
      <w:r>
        <w:rPr>
          <w:rFonts w:hint="eastAsia" w:ascii="宋体" w:hAnsi="宋体" w:eastAsia="宋体" w:cs="宋体"/>
          <w:b/>
          <w:bCs/>
          <w:color w:val="auto"/>
          <w:spacing w:val="0"/>
          <w:sz w:val="24"/>
          <w:szCs w:val="24"/>
          <w:highlight w:val="none"/>
        </w:rPr>
        <w:br w:type="textWrapping"/>
      </w:r>
      <w:r>
        <w:rPr>
          <w:rFonts w:hint="eastAsia" w:ascii="宋体" w:hAnsi="宋体" w:eastAsia="宋体" w:cs="宋体"/>
          <w:b/>
          <w:bCs/>
          <w:color w:val="auto"/>
          <w:spacing w:val="0"/>
          <w:sz w:val="24"/>
          <w:szCs w:val="24"/>
          <w:highlight w:val="none"/>
          <w:lang w:val="en-US" w:eastAsia="zh-CN"/>
        </w:rPr>
        <w:t xml:space="preserve">                             </w:t>
      </w:r>
      <w:r>
        <w:rPr>
          <w:rFonts w:hint="eastAsia" w:ascii="宋体" w:hAnsi="宋体" w:eastAsia="宋体" w:cs="宋体"/>
          <w:b/>
          <w:bCs/>
          <w:color w:val="auto"/>
          <w:sz w:val="30"/>
          <w:szCs w:val="30"/>
          <w:highlight w:val="none"/>
          <w:lang w:eastAsia="zh-CN"/>
        </w:rPr>
        <w:t>定标因素评审资料</w:t>
      </w:r>
      <w:bookmarkEnd w:id="261"/>
    </w:p>
    <w:p w14:paraId="4D09E157">
      <w:pPr>
        <w:jc w:val="left"/>
        <w:rPr>
          <w:rFonts w:hint="eastAsia" w:ascii="宋体" w:hAnsi="宋体" w:eastAsia="宋体" w:cs="宋体"/>
          <w:color w:val="auto"/>
          <w:sz w:val="24"/>
          <w:highlight w:val="none"/>
          <w:lang w:eastAsia="zh-CN"/>
        </w:rPr>
      </w:pPr>
    </w:p>
    <w:p w14:paraId="3B839193">
      <w:pPr>
        <w:spacing w:line="500" w:lineRule="exact"/>
        <w:ind w:firstLine="482" w:firstLineChars="200"/>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投标人根据“</w:t>
      </w:r>
      <w:r>
        <w:rPr>
          <w:rFonts w:hint="eastAsia" w:ascii="宋体" w:hAnsi="宋体" w:eastAsia="宋体" w:cs="宋体"/>
          <w:b/>
          <w:bCs/>
          <w:color w:val="auto"/>
          <w:sz w:val="24"/>
          <w:szCs w:val="24"/>
          <w:highlight w:val="none"/>
        </w:rPr>
        <w:t>第</w:t>
      </w:r>
      <w:r>
        <w:rPr>
          <w:rFonts w:hint="eastAsia" w:ascii="宋体" w:hAnsi="宋体" w:eastAsia="宋体" w:cs="宋体"/>
          <w:b/>
          <w:bCs/>
          <w:color w:val="auto"/>
          <w:sz w:val="24"/>
          <w:szCs w:val="24"/>
          <w:highlight w:val="none"/>
          <w:lang w:val="en-US" w:eastAsia="zh-CN"/>
        </w:rPr>
        <w:t>一</w:t>
      </w:r>
      <w:r>
        <w:rPr>
          <w:rFonts w:hint="eastAsia" w:ascii="宋体" w:hAnsi="宋体" w:eastAsia="宋体" w:cs="宋体"/>
          <w:b/>
          <w:bCs/>
          <w:color w:val="auto"/>
          <w:sz w:val="24"/>
          <w:szCs w:val="24"/>
          <w:highlight w:val="none"/>
        </w:rPr>
        <w:t xml:space="preserve">章 </w:t>
      </w:r>
      <w:r>
        <w:rPr>
          <w:rFonts w:hint="eastAsia" w:ascii="宋体" w:hAnsi="宋体" w:eastAsia="宋体" w:cs="宋体"/>
          <w:b/>
          <w:bCs/>
          <w:color w:val="auto"/>
          <w:sz w:val="24"/>
          <w:szCs w:val="24"/>
          <w:highlight w:val="none"/>
          <w:lang w:val="en-US" w:eastAsia="zh-CN"/>
        </w:rPr>
        <w:t>第三节 16.5”载明的</w:t>
      </w:r>
      <w:r>
        <w:rPr>
          <w:rFonts w:hint="eastAsia" w:ascii="宋体" w:hAnsi="宋体" w:eastAsia="宋体" w:cs="宋体"/>
          <w:b/>
          <w:bCs/>
          <w:color w:val="auto"/>
          <w:sz w:val="24"/>
          <w:szCs w:val="24"/>
          <w:highlight w:val="none"/>
          <w:lang w:eastAsia="zh-CN"/>
        </w:rPr>
        <w:t>定标因素，</w:t>
      </w:r>
      <w:r>
        <w:rPr>
          <w:rFonts w:hint="eastAsia" w:ascii="宋体" w:hAnsi="宋体" w:eastAsia="宋体" w:cs="宋体"/>
          <w:b/>
          <w:bCs/>
          <w:color w:val="auto"/>
          <w:sz w:val="24"/>
          <w:szCs w:val="24"/>
          <w:highlight w:val="none"/>
          <w:lang w:val="en-US" w:eastAsia="zh-CN"/>
        </w:rPr>
        <w:t>提交</w:t>
      </w:r>
      <w:r>
        <w:rPr>
          <w:rFonts w:hint="eastAsia" w:ascii="宋体" w:hAnsi="宋体" w:eastAsia="宋体" w:cs="宋体"/>
          <w:b/>
          <w:bCs/>
          <w:color w:val="auto"/>
          <w:sz w:val="24"/>
          <w:szCs w:val="24"/>
          <w:highlight w:val="none"/>
          <w:lang w:eastAsia="zh-CN"/>
        </w:rPr>
        <w:t>评审资料，</w:t>
      </w:r>
      <w:r>
        <w:rPr>
          <w:rFonts w:hint="eastAsia" w:ascii="宋体" w:hAnsi="宋体" w:eastAsia="宋体" w:cs="宋体"/>
          <w:b/>
          <w:bCs/>
          <w:color w:val="auto"/>
          <w:sz w:val="24"/>
          <w:szCs w:val="24"/>
          <w:highlight w:val="none"/>
          <w:lang w:val="en-US" w:eastAsia="zh-CN"/>
        </w:rPr>
        <w:t>提交的评审资料包括但不限于以下内容</w:t>
      </w:r>
      <w:r>
        <w:rPr>
          <w:rFonts w:hint="eastAsia" w:ascii="宋体" w:hAnsi="宋体" w:eastAsia="宋体" w:cs="宋体"/>
          <w:b/>
          <w:bCs/>
          <w:color w:val="auto"/>
          <w:sz w:val="24"/>
          <w:szCs w:val="24"/>
          <w:highlight w:val="none"/>
          <w:lang w:eastAsia="zh-CN"/>
        </w:rPr>
        <w:t>。</w:t>
      </w:r>
    </w:p>
    <w:p w14:paraId="2F585E1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（1）拟派团队管理能力与水平（履约能力）</w:t>
      </w:r>
    </w:p>
    <w:p w14:paraId="5FBA2D85">
      <w:pPr>
        <w:keepNext w:val="0"/>
        <w:keepLines w:val="0"/>
        <w:pageBreakBefore w:val="0"/>
        <w:widowControl w:val="0"/>
        <w:kinsoku/>
        <w:wordWrap/>
        <w:overflowPunct/>
        <w:topLinePunct w:val="0"/>
        <w:autoSpaceDE/>
        <w:autoSpaceDN/>
        <w:bidi w:val="0"/>
        <w:adjustRightInd/>
        <w:snapToGrid/>
        <w:spacing w:line="400" w:lineRule="exact"/>
        <w:ind w:left="479" w:leftChars="228" w:right="0" w:rightChars="0" w:firstLine="0" w:firstLineChars="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（2）企业信誉</w:t>
      </w:r>
      <w:r>
        <w:rPr>
          <w:rFonts w:hint="eastAsia" w:ascii="宋体" w:hAnsi="宋体" w:eastAsia="宋体" w:cs="宋体"/>
          <w:b w:val="0"/>
          <w:bCs w:val="0"/>
          <w:color w:val="auto"/>
          <w:spacing w:val="0"/>
          <w:position w:val="0"/>
          <w:sz w:val="24"/>
          <w:szCs w:val="24"/>
          <w:highlight w:val="none"/>
          <w:u w:val="none" w:color="auto"/>
          <w:lang w:val="en-US" w:eastAsia="zh-CN"/>
        </w:rPr>
        <w:br w:type="textWrapping"/>
      </w:r>
      <w:r>
        <w:rPr>
          <w:rFonts w:hint="eastAsia" w:ascii="宋体" w:hAnsi="宋体" w:eastAsia="宋体" w:cs="宋体"/>
          <w:b w:val="0"/>
          <w:bCs w:val="0"/>
          <w:color w:val="auto"/>
          <w:spacing w:val="0"/>
          <w:position w:val="0"/>
          <w:sz w:val="24"/>
          <w:szCs w:val="24"/>
          <w:highlight w:val="none"/>
          <w:u w:val="none" w:color="auto"/>
          <w:lang w:val="en-US" w:eastAsia="zh-CN"/>
        </w:rPr>
        <w:t>（3）农民工工资保障情况</w:t>
      </w:r>
      <w:r>
        <w:rPr>
          <w:rFonts w:hint="eastAsia" w:ascii="宋体" w:hAnsi="宋体" w:eastAsia="宋体" w:cs="宋体"/>
          <w:b w:val="0"/>
          <w:bCs w:val="0"/>
          <w:color w:val="auto"/>
          <w:spacing w:val="0"/>
          <w:position w:val="0"/>
          <w:sz w:val="24"/>
          <w:szCs w:val="24"/>
          <w:highlight w:val="none"/>
          <w:u w:val="none" w:color="auto"/>
          <w:lang w:val="en-US" w:eastAsia="zh-CN"/>
        </w:rPr>
        <w:br w:type="textWrapping"/>
      </w:r>
      <w:r>
        <w:rPr>
          <w:rFonts w:hint="eastAsia" w:ascii="宋体" w:hAnsi="宋体" w:eastAsia="宋体" w:cs="宋体"/>
          <w:b w:val="0"/>
          <w:bCs w:val="0"/>
          <w:color w:val="auto"/>
          <w:spacing w:val="0"/>
          <w:position w:val="0"/>
          <w:sz w:val="24"/>
          <w:szCs w:val="24"/>
          <w:highlight w:val="none"/>
          <w:u w:val="none" w:color="auto"/>
          <w:lang w:val="en-US" w:eastAsia="zh-CN"/>
        </w:rPr>
        <w:t>（4）企业实力</w:t>
      </w:r>
    </w:p>
    <w:p w14:paraId="55A69331">
      <w:pPr>
        <w:keepNext w:val="0"/>
        <w:keepLines w:val="0"/>
        <w:pageBreakBefore w:val="0"/>
        <w:widowControl w:val="0"/>
        <w:kinsoku/>
        <w:wordWrap/>
        <w:overflowPunct/>
        <w:topLinePunct w:val="0"/>
        <w:autoSpaceDE/>
        <w:autoSpaceDN/>
        <w:bidi w:val="0"/>
        <w:adjustRightInd/>
        <w:snapToGrid/>
        <w:spacing w:line="400" w:lineRule="exact"/>
        <w:ind w:left="479" w:leftChars="228" w:right="0" w:rightChars="0" w:firstLine="0" w:firstLineChars="0"/>
        <w:jc w:val="both"/>
        <w:textAlignment w:val="auto"/>
        <w:outlineLvl w:val="9"/>
        <w:rPr>
          <w:rFonts w:hint="eastAsia"/>
          <w:color w:val="auto"/>
          <w:highlight w:val="none"/>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（5）技术方案</w:t>
      </w:r>
      <w:r>
        <w:rPr>
          <w:rFonts w:hint="eastAsia" w:ascii="宋体" w:hAnsi="宋体" w:eastAsia="宋体" w:cs="宋体"/>
          <w:b w:val="0"/>
          <w:bCs w:val="0"/>
          <w:color w:val="auto"/>
          <w:spacing w:val="0"/>
          <w:position w:val="0"/>
          <w:sz w:val="24"/>
          <w:szCs w:val="24"/>
          <w:highlight w:val="none"/>
          <w:u w:val="none" w:color="auto"/>
          <w:lang w:val="en-US" w:eastAsia="zh-CN"/>
        </w:rPr>
        <w:br w:type="textWrapping"/>
      </w:r>
      <w:r>
        <w:rPr>
          <w:rFonts w:hint="eastAsia" w:ascii="宋体" w:hAnsi="宋体" w:eastAsia="宋体" w:cs="宋体"/>
          <w:b w:val="0"/>
          <w:bCs w:val="0"/>
          <w:color w:val="auto"/>
          <w:spacing w:val="0"/>
          <w:position w:val="0"/>
          <w:sz w:val="24"/>
          <w:szCs w:val="24"/>
          <w:highlight w:val="none"/>
          <w:u w:val="none" w:color="auto"/>
          <w:lang w:val="en-US" w:eastAsia="zh-CN"/>
        </w:rPr>
        <w:t>（6）</w:t>
      </w:r>
      <w:r>
        <w:rPr>
          <w:rFonts w:hint="eastAsia" w:ascii="宋体" w:hAnsi="宋体" w:eastAsia="宋体" w:cs="宋体"/>
          <w:color w:val="auto"/>
          <w:spacing w:val="0"/>
          <w:sz w:val="24"/>
          <w:szCs w:val="24"/>
          <w:highlight w:val="none"/>
        </w:rPr>
        <w:t>投标人认为有必要补充的其他资料</w:t>
      </w:r>
    </w:p>
    <w:p w14:paraId="4F4C07C0">
      <w:pPr>
        <w:spacing w:line="540" w:lineRule="exact"/>
        <w:ind w:firstLine="862" w:firstLineChars="308"/>
        <w:rPr>
          <w:rFonts w:hint="eastAsia" w:ascii="宋体" w:hAnsi="宋体" w:eastAsia="宋体" w:cs="宋体"/>
          <w:color w:val="auto"/>
          <w:sz w:val="28"/>
          <w:szCs w:val="28"/>
          <w:highlight w:val="none"/>
        </w:rPr>
      </w:pPr>
    </w:p>
    <w:p w14:paraId="7025E2A1">
      <w:pPr>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rPr>
        <w:br w:type="page"/>
      </w:r>
    </w:p>
    <w:p w14:paraId="488AB408">
      <w:pPr>
        <w:keepNext w:val="0"/>
        <w:keepLines w:val="0"/>
        <w:pageBreakBefore w:val="0"/>
        <w:wordWrap w:val="0"/>
        <w:overflowPunct/>
        <w:topLinePunct w:val="0"/>
        <w:bidi w:val="0"/>
        <w:spacing w:before="78" w:line="219" w:lineRule="auto"/>
        <w:jc w:val="center"/>
        <w:outlineLvl w:val="1"/>
        <w:rPr>
          <w:rFonts w:hint="eastAsia" w:ascii="宋体" w:hAnsi="宋体" w:eastAsia="宋体" w:cs="宋体"/>
          <w:color w:val="auto"/>
          <w:spacing w:val="0"/>
          <w:highlight w:val="none"/>
        </w:rPr>
      </w:pPr>
      <w:bookmarkStart w:id="262" w:name="_Toc7189"/>
      <w:r>
        <w:rPr>
          <w:rFonts w:hint="eastAsia" w:ascii="宋体" w:hAnsi="宋体" w:eastAsia="宋体" w:cs="宋体"/>
          <w:b/>
          <w:bCs/>
          <w:color w:val="auto"/>
          <w:spacing w:val="0"/>
          <w:sz w:val="24"/>
          <w:szCs w:val="24"/>
          <w:highlight w:val="none"/>
        </w:rPr>
        <w:t>第七章</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rPr>
        <w:t>建设工程施工合同</w:t>
      </w:r>
      <w:bookmarkEnd w:id="262"/>
    </w:p>
    <w:p w14:paraId="5666DFF5">
      <w:pPr>
        <w:pStyle w:val="6"/>
        <w:keepNext w:val="0"/>
        <w:keepLines w:val="0"/>
        <w:pageBreakBefore w:val="0"/>
        <w:wordWrap w:val="0"/>
        <w:overflowPunct/>
        <w:topLinePunct w:val="0"/>
        <w:bidi w:val="0"/>
        <w:spacing w:line="257" w:lineRule="auto"/>
        <w:rPr>
          <w:rFonts w:hint="eastAsia" w:ascii="宋体" w:hAnsi="宋体" w:eastAsia="宋体" w:cs="宋体"/>
          <w:color w:val="auto"/>
          <w:spacing w:val="0"/>
          <w:highlight w:val="none"/>
        </w:rPr>
      </w:pPr>
    </w:p>
    <w:p w14:paraId="09D5769C">
      <w:pPr>
        <w:keepNext w:val="0"/>
        <w:keepLines w:val="0"/>
        <w:pageBreakBefore w:val="0"/>
        <w:wordWrap w:val="0"/>
        <w:overflowPunct/>
        <w:topLinePunct w:val="0"/>
        <w:bidi w:val="0"/>
        <w:spacing w:before="78" w:line="324" w:lineRule="auto"/>
        <w:ind w:firstLine="48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（略），按《广东省建设工程标准施工合同》（2009 年版）或《建设工程施工合同（示范文本）》（GF—2017—0201）执行。</w:t>
      </w:r>
    </w:p>
    <w:p w14:paraId="7C5AC8D1">
      <w:pPr>
        <w:keepNext w:val="0"/>
        <w:keepLines w:val="0"/>
        <w:pageBreakBefore w:val="0"/>
        <w:wordWrap w:val="0"/>
        <w:overflowPunct/>
        <w:topLinePunct w:val="0"/>
        <w:bidi w:val="0"/>
        <w:rPr>
          <w:rFonts w:hint="eastAsia" w:ascii="宋体" w:hAnsi="宋体" w:eastAsia="宋体" w:cs="宋体"/>
          <w:color w:val="auto"/>
          <w:spacing w:val="0"/>
          <w:highlight w:val="none"/>
        </w:rPr>
      </w:pPr>
    </w:p>
    <w:sectPr>
      <w:footerReference r:id="rId26" w:type="default"/>
      <w:pgSz w:w="11906" w:h="16839"/>
      <w:pgMar w:top="1497" w:right="1080" w:bottom="1440" w:left="1140" w:header="0" w:footer="1023" w:gutter="0"/>
      <w:pgBorders>
        <w:top w:val="none" w:sz="0" w:space="0"/>
        <w:left w:val="none" w:sz="0" w:space="0"/>
        <w:bottom w:val="none" w:sz="0" w:space="0"/>
        <w:right w:val="none" w:sz="0" w:space="0"/>
      </w:pgBorders>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94AB">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858343">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0858343">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54D606">
    <w:pPr>
      <w:spacing w:line="179" w:lineRule="auto"/>
      <w:ind w:left="4353"/>
      <w:rPr>
        <w:rFonts w:ascii="宋体" w:hAnsi="宋体" w:eastAsia="宋体" w:cs="宋体"/>
        <w:sz w:val="19"/>
        <w:szCs w:val="19"/>
      </w:rPr>
    </w:pPr>
    <w:r>
      <w:rPr>
        <w:sz w:val="19"/>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E56D69">
                          <w:pPr>
                            <w:pStyle w:val="10"/>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FE56D69">
                    <w:pPr>
                      <w:pStyle w:val="10"/>
                    </w:pPr>
                    <w:r>
                      <w:fldChar w:fldCharType="begin"/>
                    </w:r>
                    <w:r>
                      <w:instrText xml:space="preserve"> PAGE  \* MERGEFORMAT </w:instrText>
                    </w:r>
                    <w:r>
                      <w:fldChar w:fldCharType="separate"/>
                    </w:r>
                    <w:r>
                      <w:t>3</w:t>
                    </w:r>
                    <w:r>
                      <w:fldChar w:fldCharType="end"/>
                    </w:r>
                  </w:p>
                </w:txbxContent>
              </v:textbox>
            </v:shape>
          </w:pict>
        </mc:Fallback>
      </mc:AlternateContent>
    </w:r>
    <w:r>
      <w:rPr>
        <w:rFonts w:hint="eastAsia" w:ascii="宋体" w:hAnsi="宋体" w:eastAsia="宋体" w:cs="宋体"/>
        <w:sz w:val="19"/>
        <w:szCs w:val="19"/>
        <w:lang w:eastAsia="zh-CN"/>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828E2">
    <w:pPr>
      <w:pStyle w:val="1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2EE4C5">
                          <w:pPr>
                            <w:pStyle w:val="10"/>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0C2EE4C5">
                    <w:pPr>
                      <w:pStyle w:val="10"/>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CA746F">
    <w:pPr>
      <w:pStyle w:val="10"/>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7A3535">
                          <w:pPr>
                            <w:pStyle w:val="10"/>
                          </w:pPr>
                          <w:r>
                            <w:fldChar w:fldCharType="begin"/>
                          </w:r>
                          <w:r>
                            <w:instrText xml:space="preserve"> PAGE  \* MERGEFORMAT </w:instrText>
                          </w:r>
                          <w:r>
                            <w:fldChar w:fldCharType="separate"/>
                          </w:r>
                          <w:r>
                            <w:t>39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157A3535">
                    <w:pPr>
                      <w:pStyle w:val="10"/>
                    </w:pPr>
                    <w:r>
                      <w:fldChar w:fldCharType="begin"/>
                    </w:r>
                    <w:r>
                      <w:instrText xml:space="preserve"> PAGE  \* MERGEFORMAT </w:instrText>
                    </w:r>
                    <w:r>
                      <w:fldChar w:fldCharType="separate"/>
                    </w:r>
                    <w:r>
                      <w:t>39</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CB16B1">
    <w:pPr>
      <w:pStyle w:val="10"/>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7A4E8E">
                          <w:pPr>
                            <w:pStyle w:val="10"/>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0E7A4E8E">
                    <w:pPr>
                      <w:pStyle w:val="10"/>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EE280C">
    <w:pPr>
      <w:pStyle w:val="10"/>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7FA8C1">
                          <w:pPr>
                            <w:pStyle w:val="10"/>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6D7FA8C1">
                    <w:pPr>
                      <w:pStyle w:val="10"/>
                    </w:pPr>
                    <w:r>
                      <w:fldChar w:fldCharType="begin"/>
                    </w:r>
                    <w:r>
                      <w:instrText xml:space="preserve"> PAGE  \* MERGEFORMAT </w:instrText>
                    </w:r>
                    <w:r>
                      <w:fldChar w:fldCharType="separate"/>
                    </w:r>
                    <w:r>
                      <w:t>59</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66C0FF">
    <w:pPr>
      <w:pStyle w:val="10"/>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A2F832">
                          <w:pPr>
                            <w:pStyle w:val="10"/>
                          </w:pPr>
                          <w:r>
                            <w:fldChar w:fldCharType="begin"/>
                          </w:r>
                          <w:r>
                            <w:instrText xml:space="preserve"> PAGE  \* MERGEFORMAT </w:instrText>
                          </w:r>
                          <w:r>
                            <w:fldChar w:fldCharType="separate"/>
                          </w:r>
                          <w:r>
                            <w:t>60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59A2F832">
                    <w:pPr>
                      <w:pStyle w:val="10"/>
                    </w:pPr>
                    <w:r>
                      <w:fldChar w:fldCharType="begin"/>
                    </w:r>
                    <w:r>
                      <w:instrText xml:space="preserve"> PAGE  \* MERGEFORMAT </w:instrText>
                    </w:r>
                    <w:r>
                      <w:fldChar w:fldCharType="separate"/>
                    </w:r>
                    <w:r>
                      <w:t>60</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A0FC53">
    <w:pPr>
      <w:pStyle w:val="10"/>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8C6512">
                          <w:pPr>
                            <w:pStyle w:val="10"/>
                          </w:pPr>
                          <w:r>
                            <w:fldChar w:fldCharType="begin"/>
                          </w:r>
                          <w:r>
                            <w:instrText xml:space="preserve"> PAGE  \* MERGEFORMAT </w:instrText>
                          </w:r>
                          <w:r>
                            <w:fldChar w:fldCharType="separate"/>
                          </w:r>
                          <w:r>
                            <w:t>61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258C6512">
                    <w:pPr>
                      <w:pStyle w:val="10"/>
                    </w:pPr>
                    <w:r>
                      <w:fldChar w:fldCharType="begin"/>
                    </w:r>
                    <w:r>
                      <w:instrText xml:space="preserve"> PAGE  \* MERGEFORMAT </w:instrText>
                    </w:r>
                    <w:r>
                      <w:fldChar w:fldCharType="separate"/>
                    </w:r>
                    <w:r>
                      <w:t>61</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D1D92E">
    <w:pPr>
      <w:pStyle w:val="10"/>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A9349C">
                          <w:pPr>
                            <w:pStyle w:val="10"/>
                          </w:pPr>
                          <w:r>
                            <w:fldChar w:fldCharType="begin"/>
                          </w:r>
                          <w:r>
                            <w:instrText xml:space="preserve"> PAGE  \* MERGEFORMAT </w:instrText>
                          </w:r>
                          <w:r>
                            <w:fldChar w:fldCharType="separate"/>
                          </w:r>
                          <w:r>
                            <w:t>62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46A9349C">
                    <w:pPr>
                      <w:pStyle w:val="10"/>
                    </w:pPr>
                    <w:r>
                      <w:fldChar w:fldCharType="begin"/>
                    </w:r>
                    <w:r>
                      <w:instrText xml:space="preserve"> PAGE  \* MERGEFORMAT </w:instrText>
                    </w:r>
                    <w:r>
                      <w:fldChar w:fldCharType="separate"/>
                    </w:r>
                    <w:r>
                      <w:t>62</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B51431">
    <w:pPr>
      <w:pStyle w:val="10"/>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C028D2">
                          <w:pPr>
                            <w:pStyle w:val="10"/>
                          </w:pPr>
                          <w:r>
                            <w:fldChar w:fldCharType="begin"/>
                          </w:r>
                          <w:r>
                            <w:instrText xml:space="preserve"> PAGE  \* MERGEFORMAT </w:instrText>
                          </w:r>
                          <w:r>
                            <w:fldChar w:fldCharType="separate"/>
                          </w:r>
                          <w:r>
                            <w:t>64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4CC028D2">
                    <w:pPr>
                      <w:pStyle w:val="10"/>
                    </w:pPr>
                    <w:r>
                      <w:fldChar w:fldCharType="begin"/>
                    </w:r>
                    <w:r>
                      <w:instrText xml:space="preserve"> PAGE  \* MERGEFORMAT </w:instrText>
                    </w:r>
                    <w:r>
                      <w:fldChar w:fldCharType="separate"/>
                    </w:r>
                    <w:r>
                      <w:t>64</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6DC4C5">
    <w:pPr>
      <w:pStyle w:val="10"/>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29471F">
                          <w:pPr>
                            <w:pStyle w:val="10"/>
                          </w:pPr>
                          <w:r>
                            <w:fldChar w:fldCharType="begin"/>
                          </w:r>
                          <w:r>
                            <w:instrText xml:space="preserve"> PAGE  \* MERGEFORMAT </w:instrText>
                          </w:r>
                          <w:r>
                            <w:fldChar w:fldCharType="separate"/>
                          </w:r>
                          <w:r>
                            <w:t>65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3229471F">
                    <w:pPr>
                      <w:pStyle w:val="10"/>
                    </w:pPr>
                    <w:r>
                      <w:fldChar w:fldCharType="begin"/>
                    </w:r>
                    <w:r>
                      <w:instrText xml:space="preserve"> PAGE  \* MERGEFORMAT </w:instrText>
                    </w:r>
                    <w:r>
                      <w:fldChar w:fldCharType="separate"/>
                    </w:r>
                    <w:r>
                      <w:t>65</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7E5E5">
    <w:pPr>
      <w:pStyle w:val="10"/>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BEE87D">
                          <w:pPr>
                            <w:pStyle w:val="10"/>
                          </w:pPr>
                          <w:r>
                            <w:fldChar w:fldCharType="begin"/>
                          </w:r>
                          <w:r>
                            <w:instrText xml:space="preserve"> PAGE  \* MERGEFORMAT </w:instrText>
                          </w:r>
                          <w:r>
                            <w:fldChar w:fldCharType="separate"/>
                          </w:r>
                          <w:r>
                            <w:t>66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4ABEE87D">
                    <w:pPr>
                      <w:pStyle w:val="10"/>
                    </w:pPr>
                    <w:r>
                      <w:fldChar w:fldCharType="begin"/>
                    </w:r>
                    <w:r>
                      <w:instrText xml:space="preserve"> PAGE  \* MERGEFORMAT </w:instrText>
                    </w:r>
                    <w:r>
                      <w:fldChar w:fldCharType="separate"/>
                    </w:r>
                    <w:r>
                      <w:t>66</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A7D217">
    <w:pPr>
      <w:pStyle w:val="10"/>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10750F">
                          <w:pPr>
                            <w:pStyle w:val="10"/>
                          </w:pPr>
                          <w:r>
                            <w:fldChar w:fldCharType="begin"/>
                          </w:r>
                          <w:r>
                            <w:instrText xml:space="preserve"> PAGE  \* MERGEFORMAT </w:instrText>
                          </w:r>
                          <w:r>
                            <w:fldChar w:fldCharType="separate"/>
                          </w:r>
                          <w:r>
                            <w:t>67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4510750F">
                    <w:pPr>
                      <w:pStyle w:val="10"/>
                    </w:pPr>
                    <w:r>
                      <w:fldChar w:fldCharType="begin"/>
                    </w:r>
                    <w:r>
                      <w:instrText xml:space="preserve"> PAGE  \* MERGEFORMAT </w:instrText>
                    </w:r>
                    <w:r>
                      <w:fldChar w:fldCharType="separate"/>
                    </w:r>
                    <w:r>
                      <w:t>67</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0A2C80">
    <w:pPr>
      <w:pStyle w:val="10"/>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70239E">
                          <w:pPr>
                            <w:pStyle w:val="10"/>
                          </w:pPr>
                          <w:r>
                            <w:fldChar w:fldCharType="begin"/>
                          </w:r>
                          <w:r>
                            <w:instrText xml:space="preserve"> PAGE  \* MERGEFORMAT </w:instrText>
                          </w:r>
                          <w:r>
                            <w:fldChar w:fldCharType="separate"/>
                          </w:r>
                          <w:r>
                            <w:t>69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5B70239E">
                    <w:pPr>
                      <w:pStyle w:val="10"/>
                    </w:pPr>
                    <w:r>
                      <w:fldChar w:fldCharType="begin"/>
                    </w:r>
                    <w:r>
                      <w:instrText xml:space="preserve"> PAGE  \* MERGEFORMAT </w:instrText>
                    </w:r>
                    <w:r>
                      <w:fldChar w:fldCharType="separate"/>
                    </w:r>
                    <w:r>
                      <w:t>69</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541144">
    <w:pPr>
      <w:pStyle w:val="10"/>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A37FCD">
                          <w:pPr>
                            <w:pStyle w:val="10"/>
                          </w:pPr>
                          <w:r>
                            <w:fldChar w:fldCharType="begin"/>
                          </w:r>
                          <w:r>
                            <w:instrText xml:space="preserve"> PAGE  \* MERGEFORMAT </w:instrText>
                          </w:r>
                          <w:r>
                            <w:fldChar w:fldCharType="separate"/>
                          </w:r>
                          <w:r>
                            <w:t>70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25A37FCD">
                    <w:pPr>
                      <w:pStyle w:val="10"/>
                    </w:pPr>
                    <w:r>
                      <w:fldChar w:fldCharType="begin"/>
                    </w:r>
                    <w:r>
                      <w:instrText xml:space="preserve"> PAGE  \* MERGEFORMAT </w:instrText>
                    </w:r>
                    <w:r>
                      <w:fldChar w:fldCharType="separate"/>
                    </w:r>
                    <w:r>
                      <w:t>70</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B24DC9">
    <w:pPr>
      <w:pStyle w:val="10"/>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A19896">
                          <w:pPr>
                            <w:pStyle w:val="10"/>
                          </w:pPr>
                          <w:r>
                            <w:fldChar w:fldCharType="begin"/>
                          </w:r>
                          <w:r>
                            <w:instrText xml:space="preserve"> PAGE  \* MERGEFORMAT </w:instrText>
                          </w:r>
                          <w:r>
                            <w:fldChar w:fldCharType="separate"/>
                          </w:r>
                          <w:r>
                            <w:t>71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19A19896">
                    <w:pPr>
                      <w:pStyle w:val="10"/>
                    </w:pPr>
                    <w:r>
                      <w:fldChar w:fldCharType="begin"/>
                    </w:r>
                    <w:r>
                      <w:instrText xml:space="preserve"> PAGE  \* MERGEFORMAT </w:instrText>
                    </w:r>
                    <w:r>
                      <w:fldChar w:fldCharType="separate"/>
                    </w:r>
                    <w:r>
                      <w:t>71</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DCE9FD">
    <w:pPr>
      <w:pStyle w:val="10"/>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6715FF">
                          <w:pPr>
                            <w:pStyle w:val="10"/>
                          </w:pPr>
                          <w:r>
                            <w:fldChar w:fldCharType="begin"/>
                          </w:r>
                          <w:r>
                            <w:instrText xml:space="preserve"> PAGE  \* MERGEFORMAT </w:instrText>
                          </w:r>
                          <w:r>
                            <w:fldChar w:fldCharType="separate"/>
                          </w:r>
                          <w:r>
                            <w:t>73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14:paraId="3E6715FF">
                    <w:pPr>
                      <w:pStyle w:val="10"/>
                    </w:pPr>
                    <w:r>
                      <w:fldChar w:fldCharType="begin"/>
                    </w:r>
                    <w:r>
                      <w:instrText xml:space="preserve"> PAGE  \* MERGEFORMAT </w:instrText>
                    </w:r>
                    <w:r>
                      <w:fldChar w:fldCharType="separate"/>
                    </w:r>
                    <w:r>
                      <w:t>73</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ADC18">
    <w:pPr>
      <w:pStyle w:val="10"/>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EEDB8E">
                          <w:pPr>
                            <w:pStyle w:val="10"/>
                          </w:pPr>
                          <w:r>
                            <w:fldChar w:fldCharType="begin"/>
                          </w:r>
                          <w:r>
                            <w:instrText xml:space="preserve"> PAGE  \* MERGEFORMAT </w:instrText>
                          </w:r>
                          <w:r>
                            <w:fldChar w:fldCharType="separate"/>
                          </w:r>
                          <w:r>
                            <w:t>74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14:paraId="43EEDB8E">
                    <w:pPr>
                      <w:pStyle w:val="10"/>
                    </w:pPr>
                    <w:r>
                      <w:fldChar w:fldCharType="begin"/>
                    </w:r>
                    <w:r>
                      <w:instrText xml:space="preserve"> PAGE  \* MERGEFORMAT </w:instrText>
                    </w:r>
                    <w:r>
                      <w:fldChar w:fldCharType="separate"/>
                    </w:r>
                    <w:r>
                      <w:t>74</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1978F7">
    <w:pPr>
      <w:pStyle w:val="10"/>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7C3896">
                          <w:pPr>
                            <w:pStyle w:val="10"/>
                          </w:pPr>
                          <w:r>
                            <w:fldChar w:fldCharType="begin"/>
                          </w:r>
                          <w:r>
                            <w:instrText xml:space="preserve"> PAGE  \* MERGEFORMAT </w:instrText>
                          </w:r>
                          <w:r>
                            <w:fldChar w:fldCharType="separate"/>
                          </w:r>
                          <w:r>
                            <w:t>80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14:paraId="507C3896">
                    <w:pPr>
                      <w:pStyle w:val="10"/>
                    </w:pPr>
                    <w:r>
                      <w:fldChar w:fldCharType="begin"/>
                    </w:r>
                    <w:r>
                      <w:instrText xml:space="preserve"> PAGE  \* MERGEFORMAT </w:instrText>
                    </w:r>
                    <w:r>
                      <w:fldChar w:fldCharType="separate"/>
                    </w:r>
                    <w:r>
                      <w:t>80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3CA924">
    <w:pPr>
      <w:pStyle w:val="6"/>
      <w:spacing w:line="50"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2D2978">
    <w:pPr>
      <w:pStyle w:val="6"/>
      <w:spacing w:line="50"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13C71F">
    <w:pPr>
      <w:pStyle w:val="6"/>
      <w:spacing w:line="50" w:lineRule="auto"/>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5F0EE3">
    <w:pPr>
      <w:pStyle w:val="6"/>
      <w:spacing w:line="14" w:lineRule="auto"/>
      <w:rPr>
        <w:sz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BE1F10">
    <w:pPr>
      <w:pStyle w:val="6"/>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D5CBB09"/>
    <w:multiLevelType w:val="singleLevel"/>
    <w:tmpl w:val="4D5CBB09"/>
    <w:lvl w:ilvl="0" w:tentative="0">
      <w:start w:val="5"/>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VkZmUxYzUwZTk0YWQ4OWIxZDY5YjRhZmIwMjUzNzMifQ=="/>
  </w:docVars>
  <w:rsids>
    <w:rsidRoot w:val="4F582EF7"/>
    <w:rsid w:val="000D6A89"/>
    <w:rsid w:val="00101AE9"/>
    <w:rsid w:val="0012211A"/>
    <w:rsid w:val="001E27A8"/>
    <w:rsid w:val="003F512F"/>
    <w:rsid w:val="00473031"/>
    <w:rsid w:val="004F4B45"/>
    <w:rsid w:val="0091073A"/>
    <w:rsid w:val="00B551EC"/>
    <w:rsid w:val="00BD0868"/>
    <w:rsid w:val="00D61DC8"/>
    <w:rsid w:val="00F661CB"/>
    <w:rsid w:val="011F0B90"/>
    <w:rsid w:val="01203FAE"/>
    <w:rsid w:val="012A2737"/>
    <w:rsid w:val="013F232E"/>
    <w:rsid w:val="014B09BB"/>
    <w:rsid w:val="014C6B51"/>
    <w:rsid w:val="016471F9"/>
    <w:rsid w:val="01916C5A"/>
    <w:rsid w:val="01B841E6"/>
    <w:rsid w:val="01C26E13"/>
    <w:rsid w:val="01D95F0B"/>
    <w:rsid w:val="02337D11"/>
    <w:rsid w:val="026E699E"/>
    <w:rsid w:val="0273635F"/>
    <w:rsid w:val="02AA30B8"/>
    <w:rsid w:val="02B7625C"/>
    <w:rsid w:val="02BF0C55"/>
    <w:rsid w:val="02C86EA8"/>
    <w:rsid w:val="02F76F90"/>
    <w:rsid w:val="03087FFD"/>
    <w:rsid w:val="03091250"/>
    <w:rsid w:val="03130FFF"/>
    <w:rsid w:val="03227E12"/>
    <w:rsid w:val="032C4E8C"/>
    <w:rsid w:val="033053FA"/>
    <w:rsid w:val="0358304C"/>
    <w:rsid w:val="03696A9E"/>
    <w:rsid w:val="037C563F"/>
    <w:rsid w:val="03920312"/>
    <w:rsid w:val="039E06FB"/>
    <w:rsid w:val="03B524C9"/>
    <w:rsid w:val="03C5042E"/>
    <w:rsid w:val="04021749"/>
    <w:rsid w:val="04115E30"/>
    <w:rsid w:val="04200D92"/>
    <w:rsid w:val="04361E9A"/>
    <w:rsid w:val="043C0BB8"/>
    <w:rsid w:val="04540333"/>
    <w:rsid w:val="048719B2"/>
    <w:rsid w:val="048E1E46"/>
    <w:rsid w:val="04B51863"/>
    <w:rsid w:val="04B67F25"/>
    <w:rsid w:val="04B91C32"/>
    <w:rsid w:val="04BF379B"/>
    <w:rsid w:val="04BF763A"/>
    <w:rsid w:val="04C07235"/>
    <w:rsid w:val="04C93D12"/>
    <w:rsid w:val="04CE00F8"/>
    <w:rsid w:val="05654685"/>
    <w:rsid w:val="05B0330E"/>
    <w:rsid w:val="05B2562E"/>
    <w:rsid w:val="05E732EC"/>
    <w:rsid w:val="05EC614B"/>
    <w:rsid w:val="05FE0636"/>
    <w:rsid w:val="06156A36"/>
    <w:rsid w:val="06342423"/>
    <w:rsid w:val="063C112F"/>
    <w:rsid w:val="066642EF"/>
    <w:rsid w:val="066C1D20"/>
    <w:rsid w:val="066E18CA"/>
    <w:rsid w:val="069A0FB1"/>
    <w:rsid w:val="069B537E"/>
    <w:rsid w:val="06B156A8"/>
    <w:rsid w:val="06C70A28"/>
    <w:rsid w:val="06C929F2"/>
    <w:rsid w:val="06E67100"/>
    <w:rsid w:val="06EE2458"/>
    <w:rsid w:val="07133987"/>
    <w:rsid w:val="073360BD"/>
    <w:rsid w:val="074B3407"/>
    <w:rsid w:val="0784404A"/>
    <w:rsid w:val="07A1396F"/>
    <w:rsid w:val="07A71DAB"/>
    <w:rsid w:val="07B90CB8"/>
    <w:rsid w:val="07C93C10"/>
    <w:rsid w:val="07E918D6"/>
    <w:rsid w:val="07EC510E"/>
    <w:rsid w:val="08000695"/>
    <w:rsid w:val="081359FC"/>
    <w:rsid w:val="082A5712"/>
    <w:rsid w:val="083D3697"/>
    <w:rsid w:val="08A01C35"/>
    <w:rsid w:val="08C55606"/>
    <w:rsid w:val="08CD7283"/>
    <w:rsid w:val="08D544D0"/>
    <w:rsid w:val="08DB07BA"/>
    <w:rsid w:val="08EB6C4F"/>
    <w:rsid w:val="090A7A31"/>
    <w:rsid w:val="09137F54"/>
    <w:rsid w:val="092D5890"/>
    <w:rsid w:val="093312D7"/>
    <w:rsid w:val="09532A47"/>
    <w:rsid w:val="09C339A8"/>
    <w:rsid w:val="09F06AB0"/>
    <w:rsid w:val="09FA34EB"/>
    <w:rsid w:val="0A182626"/>
    <w:rsid w:val="0A2763AD"/>
    <w:rsid w:val="0A62467A"/>
    <w:rsid w:val="0A7D4664"/>
    <w:rsid w:val="0A9E6021"/>
    <w:rsid w:val="0AD33307"/>
    <w:rsid w:val="0AEE3BCC"/>
    <w:rsid w:val="0AFB0342"/>
    <w:rsid w:val="0AFF69E2"/>
    <w:rsid w:val="0B3866B7"/>
    <w:rsid w:val="0B3B5F5C"/>
    <w:rsid w:val="0B644CDF"/>
    <w:rsid w:val="0B653772"/>
    <w:rsid w:val="0B822E5C"/>
    <w:rsid w:val="0B936411"/>
    <w:rsid w:val="0BAE2588"/>
    <w:rsid w:val="0BD240F7"/>
    <w:rsid w:val="0C120997"/>
    <w:rsid w:val="0C350433"/>
    <w:rsid w:val="0C3D67FB"/>
    <w:rsid w:val="0C4153D2"/>
    <w:rsid w:val="0C4E3A2A"/>
    <w:rsid w:val="0C7C281F"/>
    <w:rsid w:val="0CA07D76"/>
    <w:rsid w:val="0CA247B5"/>
    <w:rsid w:val="0CC51EAD"/>
    <w:rsid w:val="0CEB3524"/>
    <w:rsid w:val="0CFE2CC9"/>
    <w:rsid w:val="0D03679A"/>
    <w:rsid w:val="0D046532"/>
    <w:rsid w:val="0D324D1A"/>
    <w:rsid w:val="0D410E67"/>
    <w:rsid w:val="0D786450"/>
    <w:rsid w:val="0DB97443"/>
    <w:rsid w:val="0DCB0DFD"/>
    <w:rsid w:val="0DD203DE"/>
    <w:rsid w:val="0DDC125D"/>
    <w:rsid w:val="0DED346A"/>
    <w:rsid w:val="0DF525DE"/>
    <w:rsid w:val="0DF61CE0"/>
    <w:rsid w:val="0E122ED0"/>
    <w:rsid w:val="0E1E1875"/>
    <w:rsid w:val="0E8E37ED"/>
    <w:rsid w:val="0EAF2E14"/>
    <w:rsid w:val="0EAF40A4"/>
    <w:rsid w:val="0EDB59B8"/>
    <w:rsid w:val="0EF30E7F"/>
    <w:rsid w:val="0F1B4006"/>
    <w:rsid w:val="0F312AB7"/>
    <w:rsid w:val="0F7C354D"/>
    <w:rsid w:val="0FA826FB"/>
    <w:rsid w:val="0FB775B8"/>
    <w:rsid w:val="0FD56EE5"/>
    <w:rsid w:val="0FF44D8A"/>
    <w:rsid w:val="103425BC"/>
    <w:rsid w:val="10433815"/>
    <w:rsid w:val="10484987"/>
    <w:rsid w:val="105858FC"/>
    <w:rsid w:val="1069143D"/>
    <w:rsid w:val="108403E2"/>
    <w:rsid w:val="109275A9"/>
    <w:rsid w:val="10945E1E"/>
    <w:rsid w:val="10C15734"/>
    <w:rsid w:val="11010968"/>
    <w:rsid w:val="110D36CE"/>
    <w:rsid w:val="11183B29"/>
    <w:rsid w:val="11533574"/>
    <w:rsid w:val="115A0E16"/>
    <w:rsid w:val="11733C86"/>
    <w:rsid w:val="11763128"/>
    <w:rsid w:val="11785740"/>
    <w:rsid w:val="117874EE"/>
    <w:rsid w:val="11862732"/>
    <w:rsid w:val="118F278E"/>
    <w:rsid w:val="119105B0"/>
    <w:rsid w:val="11994D85"/>
    <w:rsid w:val="11A47985"/>
    <w:rsid w:val="11A830C4"/>
    <w:rsid w:val="11D80D88"/>
    <w:rsid w:val="11F50B3F"/>
    <w:rsid w:val="121D5BF1"/>
    <w:rsid w:val="123B6992"/>
    <w:rsid w:val="12411FD6"/>
    <w:rsid w:val="12771554"/>
    <w:rsid w:val="12906AB9"/>
    <w:rsid w:val="12B46AE6"/>
    <w:rsid w:val="12C7072D"/>
    <w:rsid w:val="12E7492B"/>
    <w:rsid w:val="12E74FC1"/>
    <w:rsid w:val="12F27F6E"/>
    <w:rsid w:val="12F53397"/>
    <w:rsid w:val="131A26A8"/>
    <w:rsid w:val="132A4818"/>
    <w:rsid w:val="13313DF9"/>
    <w:rsid w:val="13387C12"/>
    <w:rsid w:val="133D279D"/>
    <w:rsid w:val="13842E04"/>
    <w:rsid w:val="1385172F"/>
    <w:rsid w:val="13B36C86"/>
    <w:rsid w:val="13B67F6A"/>
    <w:rsid w:val="13C438FA"/>
    <w:rsid w:val="13E34C75"/>
    <w:rsid w:val="13E7030F"/>
    <w:rsid w:val="14141B79"/>
    <w:rsid w:val="148650F4"/>
    <w:rsid w:val="1505553D"/>
    <w:rsid w:val="150D2643"/>
    <w:rsid w:val="15192D96"/>
    <w:rsid w:val="15446098"/>
    <w:rsid w:val="155663AB"/>
    <w:rsid w:val="15674B8D"/>
    <w:rsid w:val="15793835"/>
    <w:rsid w:val="157955E3"/>
    <w:rsid w:val="15C368B9"/>
    <w:rsid w:val="15DC13FE"/>
    <w:rsid w:val="15E943C5"/>
    <w:rsid w:val="15F3699E"/>
    <w:rsid w:val="16005D04"/>
    <w:rsid w:val="161F618A"/>
    <w:rsid w:val="16223ECC"/>
    <w:rsid w:val="16351E52"/>
    <w:rsid w:val="16505471"/>
    <w:rsid w:val="16737FC1"/>
    <w:rsid w:val="16B80D6A"/>
    <w:rsid w:val="16C60CFC"/>
    <w:rsid w:val="16DF591A"/>
    <w:rsid w:val="1722468F"/>
    <w:rsid w:val="172C4685"/>
    <w:rsid w:val="173157BB"/>
    <w:rsid w:val="1767428D"/>
    <w:rsid w:val="1776627E"/>
    <w:rsid w:val="17C50FB3"/>
    <w:rsid w:val="18226406"/>
    <w:rsid w:val="182A472E"/>
    <w:rsid w:val="183D23E1"/>
    <w:rsid w:val="1862610F"/>
    <w:rsid w:val="18710487"/>
    <w:rsid w:val="1898077E"/>
    <w:rsid w:val="18C06D07"/>
    <w:rsid w:val="19045952"/>
    <w:rsid w:val="190B3062"/>
    <w:rsid w:val="19185113"/>
    <w:rsid w:val="19201067"/>
    <w:rsid w:val="19257489"/>
    <w:rsid w:val="192D6E10"/>
    <w:rsid w:val="192E77AB"/>
    <w:rsid w:val="19355CC5"/>
    <w:rsid w:val="195850DD"/>
    <w:rsid w:val="19597C05"/>
    <w:rsid w:val="1963464B"/>
    <w:rsid w:val="197764F6"/>
    <w:rsid w:val="19847A44"/>
    <w:rsid w:val="19956CD8"/>
    <w:rsid w:val="1A200723"/>
    <w:rsid w:val="1A2C70C8"/>
    <w:rsid w:val="1A3A6836"/>
    <w:rsid w:val="1A4A3FE0"/>
    <w:rsid w:val="1A5B5BFF"/>
    <w:rsid w:val="1A6040D2"/>
    <w:rsid w:val="1A8E7D82"/>
    <w:rsid w:val="1AE57555"/>
    <w:rsid w:val="1AF42245"/>
    <w:rsid w:val="1B297585"/>
    <w:rsid w:val="1B2B0B2B"/>
    <w:rsid w:val="1B707488"/>
    <w:rsid w:val="1B726CF2"/>
    <w:rsid w:val="1BB32838"/>
    <w:rsid w:val="1BC25F36"/>
    <w:rsid w:val="1BCB709E"/>
    <w:rsid w:val="1BCD48DA"/>
    <w:rsid w:val="1BF24C7D"/>
    <w:rsid w:val="1BFE2CE6"/>
    <w:rsid w:val="1C116575"/>
    <w:rsid w:val="1C2A3ADB"/>
    <w:rsid w:val="1C324211"/>
    <w:rsid w:val="1C623275"/>
    <w:rsid w:val="1C7F3E27"/>
    <w:rsid w:val="1C8938BE"/>
    <w:rsid w:val="1C977356"/>
    <w:rsid w:val="1CEE68B6"/>
    <w:rsid w:val="1CFE11EF"/>
    <w:rsid w:val="1D012A8E"/>
    <w:rsid w:val="1D1C4C74"/>
    <w:rsid w:val="1D2065A9"/>
    <w:rsid w:val="1D4666F2"/>
    <w:rsid w:val="1DB346C3"/>
    <w:rsid w:val="1DED3012"/>
    <w:rsid w:val="1DFB74DD"/>
    <w:rsid w:val="1E02178A"/>
    <w:rsid w:val="1E3B5065"/>
    <w:rsid w:val="1E3B5B2B"/>
    <w:rsid w:val="1E491296"/>
    <w:rsid w:val="1E504393"/>
    <w:rsid w:val="1E5D49E3"/>
    <w:rsid w:val="1E6432D4"/>
    <w:rsid w:val="1E9F430C"/>
    <w:rsid w:val="1EB53B18"/>
    <w:rsid w:val="1EBD4792"/>
    <w:rsid w:val="1EE461C3"/>
    <w:rsid w:val="1F187AED"/>
    <w:rsid w:val="1F2465AE"/>
    <w:rsid w:val="1F2962CC"/>
    <w:rsid w:val="1F297E9B"/>
    <w:rsid w:val="1F3C3740"/>
    <w:rsid w:val="1F487665"/>
    <w:rsid w:val="1F4E5D32"/>
    <w:rsid w:val="1F683A66"/>
    <w:rsid w:val="1F721A21"/>
    <w:rsid w:val="1F793D64"/>
    <w:rsid w:val="1F82221D"/>
    <w:rsid w:val="1F870866"/>
    <w:rsid w:val="1FA6791C"/>
    <w:rsid w:val="1FB65DB1"/>
    <w:rsid w:val="1FDA1374"/>
    <w:rsid w:val="20210F16"/>
    <w:rsid w:val="206770AC"/>
    <w:rsid w:val="208714FC"/>
    <w:rsid w:val="20AD4C4C"/>
    <w:rsid w:val="20B41F4E"/>
    <w:rsid w:val="20B73CE8"/>
    <w:rsid w:val="20CB1F07"/>
    <w:rsid w:val="20E76E0C"/>
    <w:rsid w:val="21244F9D"/>
    <w:rsid w:val="216E1E9C"/>
    <w:rsid w:val="21DE2A40"/>
    <w:rsid w:val="222C2B90"/>
    <w:rsid w:val="22457E73"/>
    <w:rsid w:val="2248233E"/>
    <w:rsid w:val="22592440"/>
    <w:rsid w:val="22657367"/>
    <w:rsid w:val="227D2BB6"/>
    <w:rsid w:val="22881D9F"/>
    <w:rsid w:val="229E3272"/>
    <w:rsid w:val="22E70030"/>
    <w:rsid w:val="22EC3898"/>
    <w:rsid w:val="22F866E1"/>
    <w:rsid w:val="23260E04"/>
    <w:rsid w:val="233953DA"/>
    <w:rsid w:val="23444509"/>
    <w:rsid w:val="234F2844"/>
    <w:rsid w:val="23515DF1"/>
    <w:rsid w:val="237613B4"/>
    <w:rsid w:val="23790749"/>
    <w:rsid w:val="237B4B25"/>
    <w:rsid w:val="2388353B"/>
    <w:rsid w:val="23931F66"/>
    <w:rsid w:val="239A2C36"/>
    <w:rsid w:val="23A208C4"/>
    <w:rsid w:val="23B52D23"/>
    <w:rsid w:val="23BC52F9"/>
    <w:rsid w:val="23D61A4F"/>
    <w:rsid w:val="243D7EC2"/>
    <w:rsid w:val="24782AD4"/>
    <w:rsid w:val="249C3951"/>
    <w:rsid w:val="249F17D3"/>
    <w:rsid w:val="24A10C0D"/>
    <w:rsid w:val="24C11F9C"/>
    <w:rsid w:val="250536B9"/>
    <w:rsid w:val="250C7A19"/>
    <w:rsid w:val="251B6E45"/>
    <w:rsid w:val="251E59E0"/>
    <w:rsid w:val="254479BB"/>
    <w:rsid w:val="254C2D14"/>
    <w:rsid w:val="25550D40"/>
    <w:rsid w:val="256D06AE"/>
    <w:rsid w:val="2582242A"/>
    <w:rsid w:val="259077D0"/>
    <w:rsid w:val="25AF7A72"/>
    <w:rsid w:val="25B20381"/>
    <w:rsid w:val="25DB33C1"/>
    <w:rsid w:val="25E42581"/>
    <w:rsid w:val="25F25669"/>
    <w:rsid w:val="260357AC"/>
    <w:rsid w:val="26081331"/>
    <w:rsid w:val="260B6FC2"/>
    <w:rsid w:val="264763B7"/>
    <w:rsid w:val="268B2A3A"/>
    <w:rsid w:val="268B3DAD"/>
    <w:rsid w:val="26A35904"/>
    <w:rsid w:val="26A61FB0"/>
    <w:rsid w:val="26B11081"/>
    <w:rsid w:val="26B13700"/>
    <w:rsid w:val="26BE379D"/>
    <w:rsid w:val="26E1530D"/>
    <w:rsid w:val="275131CB"/>
    <w:rsid w:val="27644345"/>
    <w:rsid w:val="277025E4"/>
    <w:rsid w:val="27734537"/>
    <w:rsid w:val="279B1E5B"/>
    <w:rsid w:val="282B4E63"/>
    <w:rsid w:val="282B6C11"/>
    <w:rsid w:val="28541BD2"/>
    <w:rsid w:val="28884FF7"/>
    <w:rsid w:val="28B60B0F"/>
    <w:rsid w:val="28D5162B"/>
    <w:rsid w:val="28D9041B"/>
    <w:rsid w:val="28E16404"/>
    <w:rsid w:val="28F60FCD"/>
    <w:rsid w:val="290F389D"/>
    <w:rsid w:val="291572CF"/>
    <w:rsid w:val="29181BE3"/>
    <w:rsid w:val="292D3028"/>
    <w:rsid w:val="293033DF"/>
    <w:rsid w:val="29312005"/>
    <w:rsid w:val="293D2CA4"/>
    <w:rsid w:val="293E21D3"/>
    <w:rsid w:val="29567CBD"/>
    <w:rsid w:val="2962542C"/>
    <w:rsid w:val="296F1102"/>
    <w:rsid w:val="29A9794B"/>
    <w:rsid w:val="2A533348"/>
    <w:rsid w:val="2A58372E"/>
    <w:rsid w:val="2A7052E0"/>
    <w:rsid w:val="2A7228D5"/>
    <w:rsid w:val="2A872451"/>
    <w:rsid w:val="2AD73080"/>
    <w:rsid w:val="2B160E6F"/>
    <w:rsid w:val="2B351DFD"/>
    <w:rsid w:val="2B367172"/>
    <w:rsid w:val="2B394379"/>
    <w:rsid w:val="2B4D40EB"/>
    <w:rsid w:val="2B500ACD"/>
    <w:rsid w:val="2B784A6E"/>
    <w:rsid w:val="2B790267"/>
    <w:rsid w:val="2B9A7B07"/>
    <w:rsid w:val="2BAE2033"/>
    <w:rsid w:val="2BB37649"/>
    <w:rsid w:val="2BB82A63"/>
    <w:rsid w:val="2BC730F4"/>
    <w:rsid w:val="2BDE23BD"/>
    <w:rsid w:val="2BE42462"/>
    <w:rsid w:val="2BFA2F81"/>
    <w:rsid w:val="2BFD3113"/>
    <w:rsid w:val="2BFD6B16"/>
    <w:rsid w:val="2C0003B4"/>
    <w:rsid w:val="2C15160E"/>
    <w:rsid w:val="2C3A068B"/>
    <w:rsid w:val="2CA156F3"/>
    <w:rsid w:val="2D236108"/>
    <w:rsid w:val="2D8C0151"/>
    <w:rsid w:val="2D906B09"/>
    <w:rsid w:val="2D9C5EBB"/>
    <w:rsid w:val="2DAC0A59"/>
    <w:rsid w:val="2DCE076A"/>
    <w:rsid w:val="2E4A20E0"/>
    <w:rsid w:val="2E9A689E"/>
    <w:rsid w:val="2ED7388A"/>
    <w:rsid w:val="2EDD4BB1"/>
    <w:rsid w:val="2EE212D0"/>
    <w:rsid w:val="2F244312"/>
    <w:rsid w:val="2F2729AC"/>
    <w:rsid w:val="2F3C0F4C"/>
    <w:rsid w:val="2F5A6566"/>
    <w:rsid w:val="2FAB20EE"/>
    <w:rsid w:val="2FAD2601"/>
    <w:rsid w:val="2FB82F9F"/>
    <w:rsid w:val="2FCA6D0F"/>
    <w:rsid w:val="2FE5383E"/>
    <w:rsid w:val="2FF52015"/>
    <w:rsid w:val="30E67B79"/>
    <w:rsid w:val="313C778B"/>
    <w:rsid w:val="319C13AD"/>
    <w:rsid w:val="31D9592F"/>
    <w:rsid w:val="31E85B72"/>
    <w:rsid w:val="32105FF7"/>
    <w:rsid w:val="321A2D0F"/>
    <w:rsid w:val="322E1126"/>
    <w:rsid w:val="324D664C"/>
    <w:rsid w:val="32504AC8"/>
    <w:rsid w:val="32BE6EB2"/>
    <w:rsid w:val="32C616FD"/>
    <w:rsid w:val="32C7154E"/>
    <w:rsid w:val="32D46E8A"/>
    <w:rsid w:val="3317207A"/>
    <w:rsid w:val="331A6B7B"/>
    <w:rsid w:val="33204F95"/>
    <w:rsid w:val="33396D39"/>
    <w:rsid w:val="33643EF5"/>
    <w:rsid w:val="33C5714F"/>
    <w:rsid w:val="33D80BF4"/>
    <w:rsid w:val="33E57C5B"/>
    <w:rsid w:val="34124B0B"/>
    <w:rsid w:val="346F60D7"/>
    <w:rsid w:val="348F605A"/>
    <w:rsid w:val="34A357B5"/>
    <w:rsid w:val="34AA1521"/>
    <w:rsid w:val="34B1049E"/>
    <w:rsid w:val="34C22379"/>
    <w:rsid w:val="34EF2E71"/>
    <w:rsid w:val="34F206CA"/>
    <w:rsid w:val="34F51A33"/>
    <w:rsid w:val="3505285B"/>
    <w:rsid w:val="35233259"/>
    <w:rsid w:val="357E4769"/>
    <w:rsid w:val="357F67EE"/>
    <w:rsid w:val="358636D8"/>
    <w:rsid w:val="35920826"/>
    <w:rsid w:val="35B20971"/>
    <w:rsid w:val="35F03248"/>
    <w:rsid w:val="361E1B63"/>
    <w:rsid w:val="363F7EE3"/>
    <w:rsid w:val="365D08DD"/>
    <w:rsid w:val="36767BF1"/>
    <w:rsid w:val="369E2DBA"/>
    <w:rsid w:val="369F27CF"/>
    <w:rsid w:val="36B60605"/>
    <w:rsid w:val="36C73FA8"/>
    <w:rsid w:val="36CF7301"/>
    <w:rsid w:val="36DB3EF8"/>
    <w:rsid w:val="3701395E"/>
    <w:rsid w:val="37036766"/>
    <w:rsid w:val="3727713D"/>
    <w:rsid w:val="372B6749"/>
    <w:rsid w:val="375B08FF"/>
    <w:rsid w:val="375C07A8"/>
    <w:rsid w:val="37704A11"/>
    <w:rsid w:val="379538CC"/>
    <w:rsid w:val="379D2F5B"/>
    <w:rsid w:val="37C45ACE"/>
    <w:rsid w:val="37E335F2"/>
    <w:rsid w:val="37E76AA3"/>
    <w:rsid w:val="38125B90"/>
    <w:rsid w:val="3835053A"/>
    <w:rsid w:val="387463B2"/>
    <w:rsid w:val="38BE1535"/>
    <w:rsid w:val="3955406C"/>
    <w:rsid w:val="395A2DA3"/>
    <w:rsid w:val="397A7B42"/>
    <w:rsid w:val="39B4157B"/>
    <w:rsid w:val="39DF785B"/>
    <w:rsid w:val="3A0D43C8"/>
    <w:rsid w:val="3A1A0893"/>
    <w:rsid w:val="3A4A61CE"/>
    <w:rsid w:val="3A5C534F"/>
    <w:rsid w:val="3A5E69D2"/>
    <w:rsid w:val="3A60099C"/>
    <w:rsid w:val="3A751F07"/>
    <w:rsid w:val="3A8B1791"/>
    <w:rsid w:val="3AA16B06"/>
    <w:rsid w:val="3AD969A0"/>
    <w:rsid w:val="3ADB5466"/>
    <w:rsid w:val="3B20637D"/>
    <w:rsid w:val="3B286015"/>
    <w:rsid w:val="3B2C2F74"/>
    <w:rsid w:val="3B351E28"/>
    <w:rsid w:val="3B78218B"/>
    <w:rsid w:val="3B8B205B"/>
    <w:rsid w:val="3BA174BE"/>
    <w:rsid w:val="3BAE1FDB"/>
    <w:rsid w:val="3BAE3989"/>
    <w:rsid w:val="3BC05FBD"/>
    <w:rsid w:val="3BCC3E0F"/>
    <w:rsid w:val="3BD258C9"/>
    <w:rsid w:val="3BDB4052"/>
    <w:rsid w:val="3C123FA5"/>
    <w:rsid w:val="3C242530"/>
    <w:rsid w:val="3C607CD7"/>
    <w:rsid w:val="3C7A315A"/>
    <w:rsid w:val="3C8B7826"/>
    <w:rsid w:val="3C8D17F0"/>
    <w:rsid w:val="3CA078D1"/>
    <w:rsid w:val="3CCA02B2"/>
    <w:rsid w:val="3CDB255C"/>
    <w:rsid w:val="3CE62383"/>
    <w:rsid w:val="3CEC7A2A"/>
    <w:rsid w:val="3D0433A8"/>
    <w:rsid w:val="3D15699B"/>
    <w:rsid w:val="3D6A66B2"/>
    <w:rsid w:val="3D867B10"/>
    <w:rsid w:val="3DA07301"/>
    <w:rsid w:val="3DA663C4"/>
    <w:rsid w:val="3DBF44D4"/>
    <w:rsid w:val="3DC207FD"/>
    <w:rsid w:val="3DCE35B6"/>
    <w:rsid w:val="3DD136B5"/>
    <w:rsid w:val="3DDA1126"/>
    <w:rsid w:val="3DF14E3C"/>
    <w:rsid w:val="3DFC6C2D"/>
    <w:rsid w:val="3E043D34"/>
    <w:rsid w:val="3E0A3EC6"/>
    <w:rsid w:val="3E0D6740"/>
    <w:rsid w:val="3E256F9E"/>
    <w:rsid w:val="3E2609B2"/>
    <w:rsid w:val="3E371A14"/>
    <w:rsid w:val="3E79001F"/>
    <w:rsid w:val="3E7F6463"/>
    <w:rsid w:val="3E8B628D"/>
    <w:rsid w:val="3EAF459C"/>
    <w:rsid w:val="3ECB4852"/>
    <w:rsid w:val="3EEB0292"/>
    <w:rsid w:val="3EEF6792"/>
    <w:rsid w:val="3EF142B8"/>
    <w:rsid w:val="3EF313C9"/>
    <w:rsid w:val="3F281B00"/>
    <w:rsid w:val="3F3E0C3D"/>
    <w:rsid w:val="3F4D76DD"/>
    <w:rsid w:val="3F930BE9"/>
    <w:rsid w:val="3F952DC8"/>
    <w:rsid w:val="3FA1543A"/>
    <w:rsid w:val="3FE15005"/>
    <w:rsid w:val="3FE77469"/>
    <w:rsid w:val="400E2C48"/>
    <w:rsid w:val="401B4FB0"/>
    <w:rsid w:val="401C11D4"/>
    <w:rsid w:val="40324B88"/>
    <w:rsid w:val="403D2804"/>
    <w:rsid w:val="40515615"/>
    <w:rsid w:val="40B21825"/>
    <w:rsid w:val="40BE641C"/>
    <w:rsid w:val="40C14BE6"/>
    <w:rsid w:val="40CD1603"/>
    <w:rsid w:val="40E170DB"/>
    <w:rsid w:val="40E85E9C"/>
    <w:rsid w:val="41173D7E"/>
    <w:rsid w:val="417778B2"/>
    <w:rsid w:val="418E6F51"/>
    <w:rsid w:val="419B675D"/>
    <w:rsid w:val="41EF38E2"/>
    <w:rsid w:val="42056C09"/>
    <w:rsid w:val="428D039F"/>
    <w:rsid w:val="42D77BC6"/>
    <w:rsid w:val="42FC0E58"/>
    <w:rsid w:val="431379ED"/>
    <w:rsid w:val="4315253F"/>
    <w:rsid w:val="431B0D9A"/>
    <w:rsid w:val="43210907"/>
    <w:rsid w:val="436C6603"/>
    <w:rsid w:val="437454B8"/>
    <w:rsid w:val="43931A1E"/>
    <w:rsid w:val="43947908"/>
    <w:rsid w:val="43AA0EDA"/>
    <w:rsid w:val="43AC6A00"/>
    <w:rsid w:val="43C833F3"/>
    <w:rsid w:val="43CC2BFE"/>
    <w:rsid w:val="43D25E53"/>
    <w:rsid w:val="440138A0"/>
    <w:rsid w:val="44246EDE"/>
    <w:rsid w:val="44384737"/>
    <w:rsid w:val="44692B43"/>
    <w:rsid w:val="44740E09"/>
    <w:rsid w:val="44983428"/>
    <w:rsid w:val="44C47D79"/>
    <w:rsid w:val="450F07D9"/>
    <w:rsid w:val="451A208F"/>
    <w:rsid w:val="453170D2"/>
    <w:rsid w:val="453E5D7D"/>
    <w:rsid w:val="45464C32"/>
    <w:rsid w:val="45AD2F03"/>
    <w:rsid w:val="45BE2A1A"/>
    <w:rsid w:val="45D60635"/>
    <w:rsid w:val="460B7B64"/>
    <w:rsid w:val="4612476D"/>
    <w:rsid w:val="46276812"/>
    <w:rsid w:val="462F50FB"/>
    <w:rsid w:val="464078D3"/>
    <w:rsid w:val="464279A4"/>
    <w:rsid w:val="46617E0B"/>
    <w:rsid w:val="466E67BD"/>
    <w:rsid w:val="4688254A"/>
    <w:rsid w:val="468F5CB4"/>
    <w:rsid w:val="46953618"/>
    <w:rsid w:val="46C027C2"/>
    <w:rsid w:val="46E75FA1"/>
    <w:rsid w:val="474820C5"/>
    <w:rsid w:val="475B13E7"/>
    <w:rsid w:val="476B2262"/>
    <w:rsid w:val="477A7EE5"/>
    <w:rsid w:val="477C5396"/>
    <w:rsid w:val="47DD7AD0"/>
    <w:rsid w:val="47F0715F"/>
    <w:rsid w:val="47F51E94"/>
    <w:rsid w:val="481D611E"/>
    <w:rsid w:val="4851130F"/>
    <w:rsid w:val="485D476D"/>
    <w:rsid w:val="48665BDE"/>
    <w:rsid w:val="48667158"/>
    <w:rsid w:val="48B545A9"/>
    <w:rsid w:val="48B979EC"/>
    <w:rsid w:val="48D34790"/>
    <w:rsid w:val="48F21359"/>
    <w:rsid w:val="4942078A"/>
    <w:rsid w:val="494D6EBA"/>
    <w:rsid w:val="49557B3A"/>
    <w:rsid w:val="498C348F"/>
    <w:rsid w:val="49BA4655"/>
    <w:rsid w:val="49CD757C"/>
    <w:rsid w:val="49DA3B9B"/>
    <w:rsid w:val="49EA30C9"/>
    <w:rsid w:val="49EF5898"/>
    <w:rsid w:val="49FA5FEB"/>
    <w:rsid w:val="4A1F268E"/>
    <w:rsid w:val="4A3C6BE3"/>
    <w:rsid w:val="4A62606A"/>
    <w:rsid w:val="4A6F0787"/>
    <w:rsid w:val="4A7638C4"/>
    <w:rsid w:val="4AA76173"/>
    <w:rsid w:val="4AAE1013"/>
    <w:rsid w:val="4ADE1878"/>
    <w:rsid w:val="4ADE2E23"/>
    <w:rsid w:val="4AE64EED"/>
    <w:rsid w:val="4B33126C"/>
    <w:rsid w:val="4B380D6F"/>
    <w:rsid w:val="4B9257BC"/>
    <w:rsid w:val="4BA47B1F"/>
    <w:rsid w:val="4BBC29D4"/>
    <w:rsid w:val="4BBF0A81"/>
    <w:rsid w:val="4BCD72FB"/>
    <w:rsid w:val="4C5145E8"/>
    <w:rsid w:val="4C560DCF"/>
    <w:rsid w:val="4C7503BA"/>
    <w:rsid w:val="4C7A50FE"/>
    <w:rsid w:val="4CA73452"/>
    <w:rsid w:val="4CAC00BD"/>
    <w:rsid w:val="4CBE77A4"/>
    <w:rsid w:val="4CC32763"/>
    <w:rsid w:val="4CE622C3"/>
    <w:rsid w:val="4D0F1621"/>
    <w:rsid w:val="4D24354A"/>
    <w:rsid w:val="4D4E6D7A"/>
    <w:rsid w:val="4D785BA5"/>
    <w:rsid w:val="4D8E71D4"/>
    <w:rsid w:val="4D90155F"/>
    <w:rsid w:val="4DA60CC9"/>
    <w:rsid w:val="4DDC5A81"/>
    <w:rsid w:val="4DF97234"/>
    <w:rsid w:val="4E437F61"/>
    <w:rsid w:val="4E4C36AA"/>
    <w:rsid w:val="4E4F6531"/>
    <w:rsid w:val="4EB7021F"/>
    <w:rsid w:val="4EC409BC"/>
    <w:rsid w:val="4F005E52"/>
    <w:rsid w:val="4F0F14A5"/>
    <w:rsid w:val="4F377967"/>
    <w:rsid w:val="4F411EB6"/>
    <w:rsid w:val="4F42646A"/>
    <w:rsid w:val="4F582EF7"/>
    <w:rsid w:val="4F5F63A7"/>
    <w:rsid w:val="4FBA24A4"/>
    <w:rsid w:val="4FDA6E22"/>
    <w:rsid w:val="4FFD0EF1"/>
    <w:rsid w:val="50041972"/>
    <w:rsid w:val="502F4C40"/>
    <w:rsid w:val="50353716"/>
    <w:rsid w:val="505A48F7"/>
    <w:rsid w:val="508A6AB7"/>
    <w:rsid w:val="50AC44E3"/>
    <w:rsid w:val="50BF3FAB"/>
    <w:rsid w:val="510E3C07"/>
    <w:rsid w:val="5135755A"/>
    <w:rsid w:val="514F12D7"/>
    <w:rsid w:val="51754B1B"/>
    <w:rsid w:val="517B73AD"/>
    <w:rsid w:val="518A5306"/>
    <w:rsid w:val="51986815"/>
    <w:rsid w:val="51A37E3C"/>
    <w:rsid w:val="51B66656"/>
    <w:rsid w:val="51D16F4E"/>
    <w:rsid w:val="51D610EC"/>
    <w:rsid w:val="51F679B3"/>
    <w:rsid w:val="521045FE"/>
    <w:rsid w:val="52534816"/>
    <w:rsid w:val="52634928"/>
    <w:rsid w:val="52E2243E"/>
    <w:rsid w:val="53117559"/>
    <w:rsid w:val="53277999"/>
    <w:rsid w:val="532F31A9"/>
    <w:rsid w:val="53353269"/>
    <w:rsid w:val="533B7DA0"/>
    <w:rsid w:val="536746F1"/>
    <w:rsid w:val="53764934"/>
    <w:rsid w:val="53A35FB7"/>
    <w:rsid w:val="53B536AF"/>
    <w:rsid w:val="53B80D23"/>
    <w:rsid w:val="53C80FD0"/>
    <w:rsid w:val="53E30294"/>
    <w:rsid w:val="544B3A05"/>
    <w:rsid w:val="546E385E"/>
    <w:rsid w:val="5472334E"/>
    <w:rsid w:val="54856F9C"/>
    <w:rsid w:val="549269FE"/>
    <w:rsid w:val="54A86D6F"/>
    <w:rsid w:val="54F10688"/>
    <w:rsid w:val="550F1330"/>
    <w:rsid w:val="556829A3"/>
    <w:rsid w:val="55782BE6"/>
    <w:rsid w:val="55A86DD0"/>
    <w:rsid w:val="55B415BA"/>
    <w:rsid w:val="55D46448"/>
    <w:rsid w:val="560E3442"/>
    <w:rsid w:val="56111251"/>
    <w:rsid w:val="56193729"/>
    <w:rsid w:val="56252ADC"/>
    <w:rsid w:val="56327239"/>
    <w:rsid w:val="56426E9F"/>
    <w:rsid w:val="564725B8"/>
    <w:rsid w:val="565959E7"/>
    <w:rsid w:val="56652099"/>
    <w:rsid w:val="56680EAC"/>
    <w:rsid w:val="566D353C"/>
    <w:rsid w:val="569B3338"/>
    <w:rsid w:val="56DE5A63"/>
    <w:rsid w:val="56E55436"/>
    <w:rsid w:val="56F269C8"/>
    <w:rsid w:val="57095F85"/>
    <w:rsid w:val="573B5F3C"/>
    <w:rsid w:val="576160AB"/>
    <w:rsid w:val="576176AA"/>
    <w:rsid w:val="5765355C"/>
    <w:rsid w:val="57690BD0"/>
    <w:rsid w:val="57CA1153"/>
    <w:rsid w:val="58460B49"/>
    <w:rsid w:val="584A495B"/>
    <w:rsid w:val="586675E4"/>
    <w:rsid w:val="58765D26"/>
    <w:rsid w:val="58947716"/>
    <w:rsid w:val="58B66C06"/>
    <w:rsid w:val="58D345D7"/>
    <w:rsid w:val="59152645"/>
    <w:rsid w:val="591F4A55"/>
    <w:rsid w:val="59407EBE"/>
    <w:rsid w:val="59495785"/>
    <w:rsid w:val="59537B91"/>
    <w:rsid w:val="5962393D"/>
    <w:rsid w:val="59723955"/>
    <w:rsid w:val="59816B33"/>
    <w:rsid w:val="599C2C1B"/>
    <w:rsid w:val="59BE5287"/>
    <w:rsid w:val="59BF67D8"/>
    <w:rsid w:val="59BF6E54"/>
    <w:rsid w:val="59C96098"/>
    <w:rsid w:val="59CD22DC"/>
    <w:rsid w:val="5A2F2D66"/>
    <w:rsid w:val="5A4F3AC1"/>
    <w:rsid w:val="5A684BA2"/>
    <w:rsid w:val="5A9467BF"/>
    <w:rsid w:val="5AAE69DB"/>
    <w:rsid w:val="5AC261B4"/>
    <w:rsid w:val="5ACA056B"/>
    <w:rsid w:val="5AEC0684"/>
    <w:rsid w:val="5AF0582F"/>
    <w:rsid w:val="5B1B6AA6"/>
    <w:rsid w:val="5B1E3B5C"/>
    <w:rsid w:val="5B224E28"/>
    <w:rsid w:val="5B9C02BE"/>
    <w:rsid w:val="5BAF7B56"/>
    <w:rsid w:val="5BF611E3"/>
    <w:rsid w:val="5C0E6052"/>
    <w:rsid w:val="5C313AEE"/>
    <w:rsid w:val="5C7D4F86"/>
    <w:rsid w:val="5C86208C"/>
    <w:rsid w:val="5CAC7619"/>
    <w:rsid w:val="5CEB2C17"/>
    <w:rsid w:val="5D072AA1"/>
    <w:rsid w:val="5D211242"/>
    <w:rsid w:val="5D2B49E2"/>
    <w:rsid w:val="5D435D1D"/>
    <w:rsid w:val="5D730EDB"/>
    <w:rsid w:val="5D7C18C6"/>
    <w:rsid w:val="5D902A97"/>
    <w:rsid w:val="5D916BB6"/>
    <w:rsid w:val="5DC32E6C"/>
    <w:rsid w:val="5DE3467B"/>
    <w:rsid w:val="5E000678"/>
    <w:rsid w:val="5E2F5EF2"/>
    <w:rsid w:val="5E5C3573"/>
    <w:rsid w:val="5E61439A"/>
    <w:rsid w:val="5E634018"/>
    <w:rsid w:val="5EB639EA"/>
    <w:rsid w:val="5ED57B10"/>
    <w:rsid w:val="5ED94888"/>
    <w:rsid w:val="5EDD1D0C"/>
    <w:rsid w:val="5EF54CCE"/>
    <w:rsid w:val="5F0537AA"/>
    <w:rsid w:val="5F1267B5"/>
    <w:rsid w:val="5F2B3E04"/>
    <w:rsid w:val="5F4A1A8C"/>
    <w:rsid w:val="5F60731B"/>
    <w:rsid w:val="5F627908"/>
    <w:rsid w:val="5F760F40"/>
    <w:rsid w:val="5F7D58F2"/>
    <w:rsid w:val="5FC42B81"/>
    <w:rsid w:val="5FD9212E"/>
    <w:rsid w:val="5FE84CD7"/>
    <w:rsid w:val="5FED588E"/>
    <w:rsid w:val="5FF27A39"/>
    <w:rsid w:val="5FFF5CB2"/>
    <w:rsid w:val="600532C8"/>
    <w:rsid w:val="600623BD"/>
    <w:rsid w:val="601B50B8"/>
    <w:rsid w:val="60673F83"/>
    <w:rsid w:val="606E1F64"/>
    <w:rsid w:val="60CE0B25"/>
    <w:rsid w:val="61113EEE"/>
    <w:rsid w:val="614A52C5"/>
    <w:rsid w:val="61555832"/>
    <w:rsid w:val="6194560C"/>
    <w:rsid w:val="619B6CC1"/>
    <w:rsid w:val="619C4100"/>
    <w:rsid w:val="61A30FEA"/>
    <w:rsid w:val="61BB6EFA"/>
    <w:rsid w:val="61BE5E24"/>
    <w:rsid w:val="61CC5A40"/>
    <w:rsid w:val="61D5316E"/>
    <w:rsid w:val="61DB26C6"/>
    <w:rsid w:val="61DB6D9C"/>
    <w:rsid w:val="623779B1"/>
    <w:rsid w:val="623C3CCB"/>
    <w:rsid w:val="6277131B"/>
    <w:rsid w:val="628259A1"/>
    <w:rsid w:val="62894736"/>
    <w:rsid w:val="62A274F4"/>
    <w:rsid w:val="62A72D5C"/>
    <w:rsid w:val="62BE63E3"/>
    <w:rsid w:val="62DC02C2"/>
    <w:rsid w:val="62E679C4"/>
    <w:rsid w:val="63026A49"/>
    <w:rsid w:val="631A352E"/>
    <w:rsid w:val="632E6FDA"/>
    <w:rsid w:val="6345292E"/>
    <w:rsid w:val="6354299A"/>
    <w:rsid w:val="635D5082"/>
    <w:rsid w:val="63964B41"/>
    <w:rsid w:val="63CD05A1"/>
    <w:rsid w:val="6410048D"/>
    <w:rsid w:val="64392A67"/>
    <w:rsid w:val="64421F3D"/>
    <w:rsid w:val="64487C27"/>
    <w:rsid w:val="6449399F"/>
    <w:rsid w:val="644A61BA"/>
    <w:rsid w:val="647C3D75"/>
    <w:rsid w:val="648570CD"/>
    <w:rsid w:val="64A979F6"/>
    <w:rsid w:val="64AD03D2"/>
    <w:rsid w:val="64B66E59"/>
    <w:rsid w:val="64CC5E52"/>
    <w:rsid w:val="650F4B9B"/>
    <w:rsid w:val="654E657D"/>
    <w:rsid w:val="658630FD"/>
    <w:rsid w:val="65864EAB"/>
    <w:rsid w:val="65AC2438"/>
    <w:rsid w:val="65B13FDF"/>
    <w:rsid w:val="65B768E4"/>
    <w:rsid w:val="65BF216B"/>
    <w:rsid w:val="65C57872"/>
    <w:rsid w:val="65D56B3A"/>
    <w:rsid w:val="65DA0D53"/>
    <w:rsid w:val="65EF0F14"/>
    <w:rsid w:val="66042274"/>
    <w:rsid w:val="66043DF1"/>
    <w:rsid w:val="6614083B"/>
    <w:rsid w:val="661D46CA"/>
    <w:rsid w:val="667B0788"/>
    <w:rsid w:val="66887A48"/>
    <w:rsid w:val="669F48C5"/>
    <w:rsid w:val="66B94E0C"/>
    <w:rsid w:val="66BB1AFB"/>
    <w:rsid w:val="66C8643E"/>
    <w:rsid w:val="66CA0DC7"/>
    <w:rsid w:val="66DB2BF6"/>
    <w:rsid w:val="66F0707E"/>
    <w:rsid w:val="66F127F8"/>
    <w:rsid w:val="66F20D2E"/>
    <w:rsid w:val="66F95B50"/>
    <w:rsid w:val="673D6A15"/>
    <w:rsid w:val="67874F0A"/>
    <w:rsid w:val="67960780"/>
    <w:rsid w:val="67A30138"/>
    <w:rsid w:val="67BB2DBB"/>
    <w:rsid w:val="67E759A9"/>
    <w:rsid w:val="681B0B00"/>
    <w:rsid w:val="682E5386"/>
    <w:rsid w:val="683F57E5"/>
    <w:rsid w:val="68415A7C"/>
    <w:rsid w:val="688D47A2"/>
    <w:rsid w:val="68AF4719"/>
    <w:rsid w:val="68C4550C"/>
    <w:rsid w:val="68CD623B"/>
    <w:rsid w:val="68FD36D6"/>
    <w:rsid w:val="6908207B"/>
    <w:rsid w:val="694345DB"/>
    <w:rsid w:val="694D7A8E"/>
    <w:rsid w:val="69562DE6"/>
    <w:rsid w:val="696012B6"/>
    <w:rsid w:val="69642093"/>
    <w:rsid w:val="697E0E42"/>
    <w:rsid w:val="6985191D"/>
    <w:rsid w:val="69AC13E2"/>
    <w:rsid w:val="69BD2E65"/>
    <w:rsid w:val="69CA6B08"/>
    <w:rsid w:val="69E57F9F"/>
    <w:rsid w:val="69E95A08"/>
    <w:rsid w:val="6A042666"/>
    <w:rsid w:val="6A9736F0"/>
    <w:rsid w:val="6AB26742"/>
    <w:rsid w:val="6AC02B93"/>
    <w:rsid w:val="6ACF714E"/>
    <w:rsid w:val="6AF97ECD"/>
    <w:rsid w:val="6B680BAF"/>
    <w:rsid w:val="6B6C68F1"/>
    <w:rsid w:val="6B724333"/>
    <w:rsid w:val="6BA17D14"/>
    <w:rsid w:val="6BCC55E2"/>
    <w:rsid w:val="6BE41292"/>
    <w:rsid w:val="6BF43D6E"/>
    <w:rsid w:val="6C3A781B"/>
    <w:rsid w:val="6C415CA0"/>
    <w:rsid w:val="6C6549E1"/>
    <w:rsid w:val="6C884442"/>
    <w:rsid w:val="6CEA7D28"/>
    <w:rsid w:val="6CF25FA0"/>
    <w:rsid w:val="6CF3094C"/>
    <w:rsid w:val="6CF3436B"/>
    <w:rsid w:val="6D1C04A5"/>
    <w:rsid w:val="6D257FA0"/>
    <w:rsid w:val="6D5B6316"/>
    <w:rsid w:val="6D635AD2"/>
    <w:rsid w:val="6D77157D"/>
    <w:rsid w:val="6D9143ED"/>
    <w:rsid w:val="6DC40A12"/>
    <w:rsid w:val="6DC74A88"/>
    <w:rsid w:val="6DDD7C5D"/>
    <w:rsid w:val="6DEA2117"/>
    <w:rsid w:val="6E003EDB"/>
    <w:rsid w:val="6E026AF3"/>
    <w:rsid w:val="6E113780"/>
    <w:rsid w:val="6E2178BF"/>
    <w:rsid w:val="6E236598"/>
    <w:rsid w:val="6E6C4C84"/>
    <w:rsid w:val="6E8C1058"/>
    <w:rsid w:val="6EBF142E"/>
    <w:rsid w:val="6EC10E48"/>
    <w:rsid w:val="6F02798D"/>
    <w:rsid w:val="6F0F5F11"/>
    <w:rsid w:val="6F120DB6"/>
    <w:rsid w:val="6F2946DA"/>
    <w:rsid w:val="6F550DE0"/>
    <w:rsid w:val="6F694185"/>
    <w:rsid w:val="6FD1766A"/>
    <w:rsid w:val="6FEE312C"/>
    <w:rsid w:val="70294E19"/>
    <w:rsid w:val="703F1242"/>
    <w:rsid w:val="707443AD"/>
    <w:rsid w:val="7091168B"/>
    <w:rsid w:val="70990122"/>
    <w:rsid w:val="70AB65C5"/>
    <w:rsid w:val="70AC59E2"/>
    <w:rsid w:val="70C60851"/>
    <w:rsid w:val="70D00980"/>
    <w:rsid w:val="70E51DA8"/>
    <w:rsid w:val="711F61B4"/>
    <w:rsid w:val="71213150"/>
    <w:rsid w:val="712D267F"/>
    <w:rsid w:val="712F47EA"/>
    <w:rsid w:val="713C6679"/>
    <w:rsid w:val="714802B0"/>
    <w:rsid w:val="71660A25"/>
    <w:rsid w:val="71812600"/>
    <w:rsid w:val="71946BA2"/>
    <w:rsid w:val="719C15B2"/>
    <w:rsid w:val="71A843FB"/>
    <w:rsid w:val="71D82792"/>
    <w:rsid w:val="71F94EA8"/>
    <w:rsid w:val="72027F57"/>
    <w:rsid w:val="72087BBD"/>
    <w:rsid w:val="721E450C"/>
    <w:rsid w:val="72514A93"/>
    <w:rsid w:val="7262278F"/>
    <w:rsid w:val="730C2768"/>
    <w:rsid w:val="73104DA4"/>
    <w:rsid w:val="73187DD4"/>
    <w:rsid w:val="7329331A"/>
    <w:rsid w:val="732A300A"/>
    <w:rsid w:val="738C7903"/>
    <w:rsid w:val="739A5FC5"/>
    <w:rsid w:val="73A429A0"/>
    <w:rsid w:val="73BE1CB4"/>
    <w:rsid w:val="73CC7691"/>
    <w:rsid w:val="73D85A6B"/>
    <w:rsid w:val="73ED4CDB"/>
    <w:rsid w:val="740861C7"/>
    <w:rsid w:val="745A29C5"/>
    <w:rsid w:val="74AE1D28"/>
    <w:rsid w:val="74C2331D"/>
    <w:rsid w:val="74CF1255"/>
    <w:rsid w:val="74E7523A"/>
    <w:rsid w:val="74FB54A4"/>
    <w:rsid w:val="751610E2"/>
    <w:rsid w:val="751A7B05"/>
    <w:rsid w:val="751C63E4"/>
    <w:rsid w:val="75611CC1"/>
    <w:rsid w:val="75712330"/>
    <w:rsid w:val="759233F8"/>
    <w:rsid w:val="75D25EEA"/>
    <w:rsid w:val="75DD731F"/>
    <w:rsid w:val="75FE283B"/>
    <w:rsid w:val="764B039C"/>
    <w:rsid w:val="766641C7"/>
    <w:rsid w:val="766656C3"/>
    <w:rsid w:val="76740D50"/>
    <w:rsid w:val="768014A2"/>
    <w:rsid w:val="768D4B1F"/>
    <w:rsid w:val="76B352F7"/>
    <w:rsid w:val="76B7148E"/>
    <w:rsid w:val="76C22210"/>
    <w:rsid w:val="76CA7E5A"/>
    <w:rsid w:val="77120FDD"/>
    <w:rsid w:val="77214368"/>
    <w:rsid w:val="77490EAB"/>
    <w:rsid w:val="775C2950"/>
    <w:rsid w:val="77610F13"/>
    <w:rsid w:val="776B3787"/>
    <w:rsid w:val="776E1E89"/>
    <w:rsid w:val="778C37F8"/>
    <w:rsid w:val="77903967"/>
    <w:rsid w:val="779D7E32"/>
    <w:rsid w:val="77B12E34"/>
    <w:rsid w:val="77B32EDF"/>
    <w:rsid w:val="77BF5FFA"/>
    <w:rsid w:val="77CA451A"/>
    <w:rsid w:val="77D46CD2"/>
    <w:rsid w:val="77D83D50"/>
    <w:rsid w:val="77F50340"/>
    <w:rsid w:val="78056103"/>
    <w:rsid w:val="780F6F82"/>
    <w:rsid w:val="781D0CC1"/>
    <w:rsid w:val="7823193A"/>
    <w:rsid w:val="78264F05"/>
    <w:rsid w:val="782E61C7"/>
    <w:rsid w:val="7836235A"/>
    <w:rsid w:val="783B33E4"/>
    <w:rsid w:val="78534B66"/>
    <w:rsid w:val="787B0197"/>
    <w:rsid w:val="787E1A12"/>
    <w:rsid w:val="789467E1"/>
    <w:rsid w:val="78A00DCC"/>
    <w:rsid w:val="78BE10F6"/>
    <w:rsid w:val="78BF6934"/>
    <w:rsid w:val="78C22246"/>
    <w:rsid w:val="78C25DA2"/>
    <w:rsid w:val="78D43D28"/>
    <w:rsid w:val="78EE56C6"/>
    <w:rsid w:val="78FD502C"/>
    <w:rsid w:val="792275BE"/>
    <w:rsid w:val="79382508"/>
    <w:rsid w:val="794672BF"/>
    <w:rsid w:val="79532E9E"/>
    <w:rsid w:val="79613C4F"/>
    <w:rsid w:val="79797086"/>
    <w:rsid w:val="797A5F8B"/>
    <w:rsid w:val="799B3130"/>
    <w:rsid w:val="79B42ADE"/>
    <w:rsid w:val="79C54E8D"/>
    <w:rsid w:val="79CA38C6"/>
    <w:rsid w:val="7A3C1D44"/>
    <w:rsid w:val="7A7811EE"/>
    <w:rsid w:val="7A8B158A"/>
    <w:rsid w:val="7AB102CB"/>
    <w:rsid w:val="7AD1070A"/>
    <w:rsid w:val="7ADD5362"/>
    <w:rsid w:val="7AF32002"/>
    <w:rsid w:val="7B1A0118"/>
    <w:rsid w:val="7B211F00"/>
    <w:rsid w:val="7B2723A2"/>
    <w:rsid w:val="7B501DC4"/>
    <w:rsid w:val="7B62386D"/>
    <w:rsid w:val="7B6E2211"/>
    <w:rsid w:val="7B7C20A5"/>
    <w:rsid w:val="7BBA28F1"/>
    <w:rsid w:val="7BD217F3"/>
    <w:rsid w:val="7BDC1277"/>
    <w:rsid w:val="7C277454"/>
    <w:rsid w:val="7C594C70"/>
    <w:rsid w:val="7C7C270C"/>
    <w:rsid w:val="7C85264B"/>
    <w:rsid w:val="7CB63E70"/>
    <w:rsid w:val="7CC266CE"/>
    <w:rsid w:val="7CC76395"/>
    <w:rsid w:val="7D00333D"/>
    <w:rsid w:val="7D3741C1"/>
    <w:rsid w:val="7D676E06"/>
    <w:rsid w:val="7D797591"/>
    <w:rsid w:val="7D7A30EF"/>
    <w:rsid w:val="7D8A04E4"/>
    <w:rsid w:val="7D906276"/>
    <w:rsid w:val="7D922B79"/>
    <w:rsid w:val="7D9D293A"/>
    <w:rsid w:val="7DB41364"/>
    <w:rsid w:val="7DC87AA7"/>
    <w:rsid w:val="7DE44A0D"/>
    <w:rsid w:val="7E1E7F1F"/>
    <w:rsid w:val="7E224EE5"/>
    <w:rsid w:val="7E2F667A"/>
    <w:rsid w:val="7E321E60"/>
    <w:rsid w:val="7E347D78"/>
    <w:rsid w:val="7E493D4F"/>
    <w:rsid w:val="7E5356EF"/>
    <w:rsid w:val="7E916B3D"/>
    <w:rsid w:val="7E9B65C0"/>
    <w:rsid w:val="7EA95725"/>
    <w:rsid w:val="7F1205F3"/>
    <w:rsid w:val="7F69341C"/>
    <w:rsid w:val="7F6B3277"/>
    <w:rsid w:val="7F7C3A97"/>
    <w:rsid w:val="7F8F2756"/>
    <w:rsid w:val="7FFA67D9"/>
    <w:rsid w:val="89FFB146"/>
    <w:rsid w:val="AF3DDE11"/>
    <w:rsid w:val="B9FE082A"/>
    <w:rsid w:val="FFBBC9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1"/>
    <w:basedOn w:val="1"/>
    <w:next w:val="1"/>
    <w:qFormat/>
    <w:uiPriority w:val="0"/>
    <w:pPr>
      <w:autoSpaceDE w:val="0"/>
      <w:autoSpaceDN w:val="0"/>
      <w:adjustRightInd w:val="0"/>
      <w:jc w:val="left"/>
      <w:outlineLvl w:val="0"/>
    </w:pPr>
    <w:rPr>
      <w:kern w:val="0"/>
      <w:sz w:val="30"/>
    </w:rPr>
  </w:style>
  <w:style w:type="paragraph" w:styleId="3">
    <w:name w:val="heading 2"/>
    <w:basedOn w:val="1"/>
    <w:next w:val="1"/>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paragraph" w:styleId="4">
    <w:name w:val="heading 4"/>
    <w:basedOn w:val="1"/>
    <w:next w:val="1"/>
    <w:qFormat/>
    <w:uiPriority w:val="0"/>
    <w:pPr>
      <w:keepNext/>
      <w:keepLines/>
      <w:spacing w:line="374" w:lineRule="auto"/>
      <w:outlineLvl w:val="3"/>
    </w:pPr>
    <w:rPr>
      <w:rFonts w:ascii="Arial" w:hAnsi="Arial"/>
    </w:rPr>
  </w:style>
  <w:style w:type="character" w:default="1" w:styleId="19">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5">
    <w:name w:val="annotation text"/>
    <w:basedOn w:val="1"/>
    <w:next w:val="1"/>
    <w:qFormat/>
    <w:uiPriority w:val="0"/>
    <w:pPr>
      <w:adjustRightInd w:val="0"/>
      <w:spacing w:line="360" w:lineRule="atLeast"/>
      <w:jc w:val="left"/>
      <w:textAlignment w:val="baseline"/>
    </w:pPr>
    <w:rPr>
      <w:kern w:val="0"/>
    </w:rPr>
  </w:style>
  <w:style w:type="paragraph" w:styleId="6">
    <w:name w:val="Body Text"/>
    <w:basedOn w:val="1"/>
    <w:semiHidden/>
    <w:qFormat/>
    <w:uiPriority w:val="0"/>
    <w:rPr>
      <w:rFonts w:ascii="Arial" w:hAnsi="Arial" w:eastAsia="Arial" w:cs="Arial"/>
      <w:sz w:val="21"/>
      <w:szCs w:val="21"/>
      <w:lang w:val="en-US" w:eastAsia="en-US" w:bidi="ar-SA"/>
    </w:rPr>
  </w:style>
  <w:style w:type="paragraph" w:styleId="7">
    <w:name w:val="Body Text Indent"/>
    <w:basedOn w:val="1"/>
    <w:qFormat/>
    <w:uiPriority w:val="0"/>
    <w:pPr>
      <w:ind w:firstLine="480"/>
      <w:jc w:val="center"/>
    </w:pPr>
    <w:rPr>
      <w:rFonts w:ascii="Times New Roman" w:hAnsi="Times New Roman" w:eastAsia="黑体" w:cs="Times New Roman"/>
      <w:sz w:val="44"/>
    </w:rPr>
  </w:style>
  <w:style w:type="paragraph" w:styleId="8">
    <w:name w:val="toc 3"/>
    <w:basedOn w:val="1"/>
    <w:next w:val="1"/>
    <w:qFormat/>
    <w:uiPriority w:val="0"/>
    <w:pPr>
      <w:ind w:left="840" w:leftChars="400"/>
    </w:pPr>
  </w:style>
  <w:style w:type="paragraph" w:styleId="9">
    <w:name w:val="Plain Text"/>
    <w:basedOn w:val="1"/>
    <w:qFormat/>
    <w:uiPriority w:val="0"/>
    <w:rPr>
      <w:rFonts w:ascii="宋体" w:hAnsi="Courier New"/>
      <w:szCs w:val="20"/>
    </w:rPr>
  </w:style>
  <w:style w:type="paragraph" w:styleId="10">
    <w:name w:val="footer"/>
    <w:basedOn w:val="1"/>
    <w:qFormat/>
    <w:uiPriority w:val="0"/>
    <w:pPr>
      <w:tabs>
        <w:tab w:val="center" w:pos="4153"/>
        <w:tab w:val="right" w:pos="8306"/>
      </w:tabs>
      <w:snapToGrid w:val="0"/>
      <w:jc w:val="left"/>
    </w:pPr>
    <w:rPr>
      <w:sz w:val="18"/>
    </w:rPr>
  </w:style>
  <w:style w:type="paragraph" w:styleId="11">
    <w:name w:val="toc 1"/>
    <w:basedOn w:val="1"/>
    <w:next w:val="1"/>
    <w:qFormat/>
    <w:uiPriority w:val="0"/>
  </w:style>
  <w:style w:type="paragraph" w:styleId="12">
    <w:name w:val="toc 2"/>
    <w:basedOn w:val="1"/>
    <w:next w:val="1"/>
    <w:qFormat/>
    <w:uiPriority w:val="0"/>
    <w:pPr>
      <w:ind w:left="420" w:leftChars="200"/>
    </w:pPr>
  </w:style>
  <w:style w:type="paragraph" w:styleId="13">
    <w:name w:val="Body Text 2"/>
    <w:basedOn w:val="1"/>
    <w:next w:val="6"/>
    <w:qFormat/>
    <w:uiPriority w:val="0"/>
    <w:pPr>
      <w:spacing w:line="500" w:lineRule="exact"/>
    </w:pPr>
    <w:rPr>
      <w:rFonts w:ascii="宋体"/>
      <w:sz w:val="24"/>
    </w:rPr>
  </w:style>
  <w:style w:type="paragraph" w:styleId="14">
    <w:name w:val="Normal (Web)"/>
    <w:basedOn w:val="1"/>
    <w:qFormat/>
    <w:uiPriority w:val="0"/>
    <w:pPr>
      <w:spacing w:beforeAutospacing="1" w:afterAutospacing="1"/>
      <w:jc w:val="left"/>
    </w:pPr>
    <w:rPr>
      <w:rFonts w:cs="Times New Roman"/>
      <w:kern w:val="0"/>
      <w:sz w:val="24"/>
    </w:rPr>
  </w:style>
  <w:style w:type="paragraph" w:styleId="15">
    <w:name w:val="Body Text First Indent"/>
    <w:basedOn w:val="6"/>
    <w:qFormat/>
    <w:uiPriority w:val="99"/>
    <w:pPr>
      <w:spacing w:line="240" w:lineRule="auto"/>
      <w:ind w:firstLine="420" w:firstLineChars="100"/>
    </w:pPr>
    <w:rPr>
      <w:rFonts w:ascii="Times New Roman" w:cs="Times New Roman"/>
      <w:sz w:val="20"/>
      <w:szCs w:val="20"/>
    </w:rPr>
  </w:style>
  <w:style w:type="paragraph" w:styleId="16">
    <w:name w:val="Body Text First Indent 2"/>
    <w:basedOn w:val="7"/>
    <w:qFormat/>
    <w:uiPriority w:val="0"/>
    <w:pPr>
      <w:spacing w:after="120"/>
      <w:ind w:left="420" w:leftChars="200" w:firstLine="420" w:firstLineChars="200"/>
    </w:pPr>
    <w:rPr>
      <w:rFonts w:ascii="Times New Roman" w:hAnsi="Times New Roman" w:eastAsia="宋体" w:cs="Times New Roman"/>
      <w:sz w:val="21"/>
      <w:szCs w:val="24"/>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rPr>
  </w:style>
  <w:style w:type="character" w:styleId="21">
    <w:name w:val="FollowedHyperlink"/>
    <w:basedOn w:val="19"/>
    <w:qFormat/>
    <w:uiPriority w:val="0"/>
    <w:rPr>
      <w:color w:val="333333"/>
      <w:u w:val="none"/>
    </w:rPr>
  </w:style>
  <w:style w:type="character" w:styleId="22">
    <w:name w:val="Emphasis"/>
    <w:basedOn w:val="19"/>
    <w:qFormat/>
    <w:uiPriority w:val="0"/>
    <w:rPr>
      <w:i/>
    </w:rPr>
  </w:style>
  <w:style w:type="character" w:styleId="23">
    <w:name w:val="HTML Variable"/>
    <w:basedOn w:val="19"/>
    <w:qFormat/>
    <w:uiPriority w:val="0"/>
    <w:rPr>
      <w:i/>
    </w:rPr>
  </w:style>
  <w:style w:type="character" w:styleId="24">
    <w:name w:val="Hyperlink"/>
    <w:basedOn w:val="19"/>
    <w:qFormat/>
    <w:uiPriority w:val="0"/>
    <w:rPr>
      <w:color w:val="333333"/>
      <w:u w:val="none"/>
    </w:rPr>
  </w:style>
  <w:style w:type="character" w:styleId="25">
    <w:name w:val="HTML Code"/>
    <w:basedOn w:val="19"/>
    <w:qFormat/>
    <w:uiPriority w:val="0"/>
    <w:rPr>
      <w:rFonts w:ascii="Courier New" w:hAnsi="Courier New"/>
      <w:sz w:val="20"/>
    </w:rPr>
  </w:style>
  <w:style w:type="character" w:styleId="26">
    <w:name w:val="HTML Cite"/>
    <w:basedOn w:val="19"/>
    <w:qFormat/>
    <w:uiPriority w:val="0"/>
    <w:rPr>
      <w:i/>
    </w:rPr>
  </w:style>
  <w:style w:type="paragraph" w:customStyle="1" w:styleId="27">
    <w:name w:val="样式 宋体 行距: 1.5 倍行距"/>
    <w:basedOn w:val="28"/>
    <w:qFormat/>
    <w:uiPriority w:val="99"/>
    <w:pPr>
      <w:widowControl w:val="0"/>
      <w:jc w:val="center"/>
    </w:pPr>
    <w:rPr>
      <w:rFonts w:ascii="Times New Roman" w:hAnsi="Calibri" w:eastAsia="宋体" w:cs="Times New Roman"/>
      <w:b/>
      <w:bCs/>
      <w:kern w:val="2"/>
      <w:sz w:val="21"/>
      <w:szCs w:val="24"/>
      <w:lang w:val="en-US" w:eastAsia="zh-CN" w:bidi="ar-SA"/>
    </w:rPr>
  </w:style>
  <w:style w:type="paragraph" w:customStyle="1" w:styleId="28">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next w:val="27"/>
    <w:qFormat/>
    <w:uiPriority w:val="0"/>
    <w:pPr>
      <w:widowControl w:val="0"/>
      <w:jc w:val="both"/>
    </w:pPr>
    <w:rPr>
      <w:rFonts w:ascii="Calibri" w:hAnsi="Calibri" w:eastAsia="宋体" w:cs="黑体"/>
      <w:kern w:val="2"/>
      <w:sz w:val="21"/>
      <w:szCs w:val="24"/>
      <w:lang w:val="en-US" w:eastAsia="zh-CN" w:bidi="ar-SA"/>
    </w:rPr>
  </w:style>
  <w:style w:type="paragraph" w:customStyle="1" w:styleId="29">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7"/>
    <w:qFormat/>
    <w:uiPriority w:val="0"/>
    <w:pPr>
      <w:widowControl w:val="0"/>
      <w:jc w:val="both"/>
    </w:pPr>
    <w:rPr>
      <w:rFonts w:ascii="Calibri" w:hAnsi="Calibri" w:eastAsia="宋体" w:cs="黑体"/>
      <w:kern w:val="2"/>
      <w:sz w:val="21"/>
      <w:szCs w:val="24"/>
      <w:lang w:val="en-US" w:eastAsia="zh-CN" w:bidi="ar-SA"/>
    </w:rPr>
  </w:style>
  <w:style w:type="paragraph" w:customStyle="1" w:styleId="30">
    <w:name w:val="UserStyle_43"/>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character" w:customStyle="1" w:styleId="31">
    <w:name w:val="NormalCharacter"/>
    <w:qFormat/>
    <w:uiPriority w:val="99"/>
  </w:style>
  <w:style w:type="paragraph" w:customStyle="1" w:styleId="32">
    <w:name w:val="Table Text"/>
    <w:basedOn w:val="1"/>
    <w:semiHidden/>
    <w:qFormat/>
    <w:uiPriority w:val="0"/>
    <w:rPr>
      <w:rFonts w:ascii="Arial" w:hAnsi="Arial" w:eastAsia="Arial" w:cs="Arial"/>
      <w:sz w:val="21"/>
      <w:szCs w:val="21"/>
      <w:lang w:val="en-US" w:eastAsia="en-US" w:bidi="ar-SA"/>
    </w:rPr>
  </w:style>
  <w:style w:type="paragraph" w:customStyle="1" w:styleId="33">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4">
    <w:name w:val="正文缩进1"/>
    <w:basedOn w:val="1"/>
    <w:qFormat/>
    <w:uiPriority w:val="0"/>
    <w:pPr>
      <w:widowControl/>
      <w:ind w:firstLine="420"/>
      <w:jc w:val="left"/>
    </w:pPr>
    <w:rPr>
      <w:kern w:val="0"/>
    </w:rPr>
  </w:style>
  <w:style w:type="paragraph" w:customStyle="1" w:styleId="35">
    <w:name w:val="UserStyle_19"/>
    <w:qFormat/>
    <w:uiPriority w:val="99"/>
    <w:pPr>
      <w:jc w:val="both"/>
      <w:textAlignment w:val="baseline"/>
    </w:pPr>
    <w:rPr>
      <w:rFonts w:ascii="Times New Roman" w:hAnsi="Times New Roman" w:eastAsia="宋体" w:cs="Times New Roman"/>
      <w:kern w:val="2"/>
      <w:sz w:val="21"/>
      <w:szCs w:val="21"/>
      <w:lang w:val="en-US" w:eastAsia="zh-CN" w:bidi="ar-SA"/>
    </w:rPr>
  </w:style>
  <w:style w:type="paragraph" w:customStyle="1" w:styleId="36">
    <w:name w:val="正文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7">
    <w:name w:val="正文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8">
    <w:name w:val="正文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9">
    <w:name w:val="正文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40">
    <w:name w:val="Heading2"/>
    <w:basedOn w:val="1"/>
    <w:next w:val="1"/>
    <w:qFormat/>
    <w:uiPriority w:val="99"/>
    <w:pPr>
      <w:jc w:val="left"/>
    </w:pPr>
    <w:rPr>
      <w:kern w:val="0"/>
    </w:rPr>
  </w:style>
  <w:style w:type="paragraph" w:customStyle="1" w:styleId="41">
    <w:name w:val="AnnotationText"/>
    <w:basedOn w:val="1"/>
    <w:qFormat/>
    <w:uiPriority w:val="99"/>
    <w:pPr>
      <w:spacing w:line="360" w:lineRule="atLeast"/>
      <w:jc w:val="left"/>
    </w:pPr>
    <w:rPr>
      <w:kern w:val="0"/>
    </w:rPr>
  </w:style>
  <w:style w:type="paragraph" w:customStyle="1" w:styleId="42">
    <w:name w:val="UserStyle_44"/>
    <w:basedOn w:val="43"/>
    <w:qFormat/>
    <w:uiPriority w:val="99"/>
    <w:rPr>
      <w:sz w:val="24"/>
      <w:szCs w:val="24"/>
    </w:rPr>
  </w:style>
  <w:style w:type="paragraph" w:customStyle="1" w:styleId="43">
    <w:name w:val="UserStyle_33"/>
    <w:qFormat/>
    <w:uiPriority w:val="99"/>
    <w:pPr>
      <w:jc w:val="both"/>
      <w:textAlignment w:val="baseline"/>
    </w:pPr>
    <w:rPr>
      <w:rFonts w:ascii="Times New Roman" w:hAnsi="Times New Roman" w:eastAsia="宋体" w:cs="Times New Roman"/>
      <w:kern w:val="2"/>
      <w:sz w:val="21"/>
      <w:szCs w:val="21"/>
      <w:lang w:val="en-US" w:eastAsia="zh-CN" w:bidi="ar-SA"/>
    </w:rPr>
  </w:style>
  <w:style w:type="paragraph" w:customStyle="1" w:styleId="44">
    <w:name w:val="UserStyle_45"/>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paragraph" w:customStyle="1" w:styleId="45">
    <w:name w:val="正文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46">
    <w:name w:val="文一"/>
    <w:basedOn w:val="1"/>
    <w:qFormat/>
    <w:uiPriority w:val="0"/>
    <w:pPr>
      <w:topLinePunct/>
      <w:adjustRightInd w:val="0"/>
      <w:snapToGrid w:val="0"/>
      <w:ind w:firstLine="200" w:firstLineChars="200"/>
    </w:pPr>
    <w:rPr>
      <w:rFonts w:ascii="Calibri" w:hAnsi="Calibri"/>
      <w:snapToGrid w:val="0"/>
      <w:spacing w:val="4"/>
      <w:kern w:val="0"/>
      <w:szCs w:val="22"/>
    </w:rPr>
  </w:style>
  <w:style w:type="paragraph" w:customStyle="1" w:styleId="47">
    <w:name w:val="BodyText"/>
    <w:basedOn w:val="1"/>
    <w:next w:val="48"/>
    <w:qFormat/>
    <w:uiPriority w:val="99"/>
    <w:pPr>
      <w:spacing w:after="120"/>
    </w:pPr>
  </w:style>
  <w:style w:type="paragraph" w:customStyle="1" w:styleId="48">
    <w:name w:val="BodyText2"/>
    <w:basedOn w:val="1"/>
    <w:qFormat/>
    <w:uiPriority w:val="99"/>
    <w:pPr>
      <w:spacing w:line="500" w:lineRule="exact"/>
    </w:pPr>
  </w:style>
  <w:style w:type="paragraph" w:customStyle="1" w:styleId="49">
    <w:name w:val="正文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50">
    <w:name w:val="正文缩进 New"/>
    <w:basedOn w:val="51"/>
    <w:qFormat/>
    <w:uiPriority w:val="0"/>
    <w:pPr>
      <w:widowControl/>
      <w:ind w:firstLine="420"/>
      <w:jc w:val="left"/>
    </w:pPr>
    <w:rPr>
      <w:kern w:val="0"/>
      <w:sz w:val="20"/>
    </w:rPr>
  </w:style>
  <w:style w:type="paragraph" w:customStyle="1" w:styleId="51">
    <w:name w:val="正文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character" w:customStyle="1" w:styleId="52">
    <w:name w:val="正文文本 (2) + 间距 0 pt3"/>
    <w:basedOn w:val="19"/>
    <w:qFormat/>
    <w:uiPriority w:val="0"/>
    <w:rPr>
      <w:rFonts w:ascii="MingLiU" w:hAnsi="Times New Roman" w:eastAsia="MingLiU" w:cs="MingLiU"/>
      <w:spacing w:val="0"/>
      <w:sz w:val="22"/>
      <w:szCs w:val="22"/>
      <w:u w:val="none"/>
    </w:rPr>
  </w:style>
  <w:style w:type="character" w:customStyle="1" w:styleId="53">
    <w:name w:val="hover21"/>
    <w:basedOn w:val="19"/>
    <w:qFormat/>
    <w:uiPriority w:val="0"/>
    <w:rPr>
      <w:color w:val="5FB878"/>
    </w:rPr>
  </w:style>
  <w:style w:type="character" w:customStyle="1" w:styleId="54">
    <w:name w:val="hover22"/>
    <w:basedOn w:val="19"/>
    <w:qFormat/>
    <w:uiPriority w:val="0"/>
    <w:rPr>
      <w:color w:val="FFFFFF"/>
    </w:rPr>
  </w:style>
  <w:style w:type="character" w:customStyle="1" w:styleId="55">
    <w:name w:val="hover23"/>
    <w:basedOn w:val="19"/>
    <w:qFormat/>
    <w:uiPriority w:val="0"/>
    <w:rPr>
      <w:color w:val="5FB878"/>
    </w:rPr>
  </w:style>
  <w:style w:type="paragraph" w:customStyle="1" w:styleId="56">
    <w:name w:val="Default"/>
    <w:qFormat/>
    <w:uiPriority w:val="0"/>
    <w:pPr>
      <w:widowControl w:val="0"/>
      <w:autoSpaceDE w:val="0"/>
      <w:autoSpaceDN w:val="0"/>
      <w:adjustRightInd w:val="0"/>
    </w:pPr>
    <w:rPr>
      <w:rFonts w:hint="eastAsia" w:ascii="仿宋" w:hAnsi="仿宋" w:eastAsia="仿宋" w:cs="Times New Roman"/>
      <w:color w:val="000000"/>
      <w:sz w:val="24"/>
      <w:lang w:val="en-US" w:eastAsia="zh-CN" w:bidi="ar-SA"/>
    </w:rPr>
  </w:style>
  <w:style w:type="paragraph" w:customStyle="1" w:styleId="57">
    <w:name w:val="标题 2 New New"/>
    <w:basedOn w:val="58"/>
    <w:next w:val="58"/>
    <w:qFormat/>
    <w:uiPriority w:val="0"/>
    <w:pPr>
      <w:autoSpaceDE w:val="0"/>
      <w:autoSpaceDN w:val="0"/>
      <w:adjustRightInd w:val="0"/>
      <w:jc w:val="left"/>
      <w:outlineLvl w:val="1"/>
    </w:pPr>
    <w:rPr>
      <w:kern w:val="0"/>
    </w:rPr>
  </w:style>
  <w:style w:type="paragraph" w:customStyle="1" w:styleId="58">
    <w:name w:val="正文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59">
    <w:name w:val="普通(网站) New"/>
    <w:basedOn w:val="60"/>
    <w:qFormat/>
    <w:uiPriority w:val="0"/>
    <w:rPr>
      <w:sz w:val="24"/>
    </w:rPr>
  </w:style>
  <w:style w:type="paragraph" w:customStyle="1" w:styleId="60">
    <w:name w:val="正文 New New New New New New New New New New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61">
    <w:name w:val="正文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62">
    <w:name w:val="正文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63">
    <w:name w:val="正文文本 New"/>
    <w:basedOn w:val="1"/>
    <w:qFormat/>
    <w:uiPriority w:val="0"/>
    <w:pPr>
      <w:spacing w:after="120" w:line="360" w:lineRule="auto"/>
    </w:pPr>
    <w:rPr>
      <w:rFonts w:ascii="宋体" w:hAnsi="Times New Roman" w:eastAsia="宋体" w:cs="Times New Roman"/>
      <w:sz w:val="24"/>
      <w:szCs w:val="20"/>
    </w:rPr>
  </w:style>
</w:styles>
</file>

<file path=word/_rels/document.xml.rels><?xml version="1.0" encoding="UTF-8" standalone="yes"?>
<Relationships xmlns="http://schemas.openxmlformats.org/package/2006/relationships"><Relationship Id="rId9" Type="http://schemas.openxmlformats.org/officeDocument/2006/relationships/header" Target="header5.xml"/><Relationship Id="rId8" Type="http://schemas.openxmlformats.org/officeDocument/2006/relationships/footer" Target="footer2.xml"/><Relationship Id="rId7" Type="http://schemas.openxmlformats.org/officeDocument/2006/relationships/header" Target="header4.xml"/><Relationship Id="rId60" Type="http://schemas.openxmlformats.org/officeDocument/2006/relationships/fontTable" Target="fontTable.xml"/><Relationship Id="rId6" Type="http://schemas.openxmlformats.org/officeDocument/2006/relationships/footer" Target="footer1.xml"/><Relationship Id="rId59" Type="http://schemas.openxmlformats.org/officeDocument/2006/relationships/numbering" Target="numbering.xml"/><Relationship Id="rId58" Type="http://schemas.openxmlformats.org/officeDocument/2006/relationships/customXml" Target="../customXml/item1.xml"/><Relationship Id="rId57" Type="http://schemas.openxmlformats.org/officeDocument/2006/relationships/image" Target="media/image18.png"/><Relationship Id="rId56" Type="http://schemas.openxmlformats.org/officeDocument/2006/relationships/image" Target="media/image17.jpeg"/><Relationship Id="rId55" Type="http://schemas.openxmlformats.org/officeDocument/2006/relationships/image" Target="media/image16.png"/><Relationship Id="rId54" Type="http://schemas.openxmlformats.org/officeDocument/2006/relationships/image" Target="media/image15.png"/><Relationship Id="rId53" Type="http://schemas.openxmlformats.org/officeDocument/2006/relationships/image" Target="media/image14.wmf"/><Relationship Id="rId52" Type="http://schemas.openxmlformats.org/officeDocument/2006/relationships/oleObject" Target="embeddings/oleObject12.bin"/><Relationship Id="rId51" Type="http://schemas.openxmlformats.org/officeDocument/2006/relationships/image" Target="media/image13.wmf"/><Relationship Id="rId50" Type="http://schemas.openxmlformats.org/officeDocument/2006/relationships/oleObject" Target="embeddings/oleObject11.bin"/><Relationship Id="rId5" Type="http://schemas.openxmlformats.org/officeDocument/2006/relationships/header" Target="header3.xml"/><Relationship Id="rId49" Type="http://schemas.openxmlformats.org/officeDocument/2006/relationships/image" Target="media/image12.wmf"/><Relationship Id="rId48" Type="http://schemas.openxmlformats.org/officeDocument/2006/relationships/oleObject" Target="embeddings/oleObject10.bin"/><Relationship Id="rId47" Type="http://schemas.openxmlformats.org/officeDocument/2006/relationships/image" Target="media/image11.wmf"/><Relationship Id="rId46" Type="http://schemas.openxmlformats.org/officeDocument/2006/relationships/oleObject" Target="embeddings/oleObject9.bin"/><Relationship Id="rId45" Type="http://schemas.openxmlformats.org/officeDocument/2006/relationships/image" Target="media/image10.wmf"/><Relationship Id="rId44" Type="http://schemas.openxmlformats.org/officeDocument/2006/relationships/oleObject" Target="embeddings/oleObject8.bin"/><Relationship Id="rId43" Type="http://schemas.openxmlformats.org/officeDocument/2006/relationships/image" Target="media/image9.wmf"/><Relationship Id="rId42" Type="http://schemas.openxmlformats.org/officeDocument/2006/relationships/oleObject" Target="embeddings/oleObject7.bin"/><Relationship Id="rId41" Type="http://schemas.openxmlformats.org/officeDocument/2006/relationships/image" Target="media/image8.wmf"/><Relationship Id="rId40" Type="http://schemas.openxmlformats.org/officeDocument/2006/relationships/oleObject" Target="embeddings/oleObject6.bin"/><Relationship Id="rId4" Type="http://schemas.openxmlformats.org/officeDocument/2006/relationships/header" Target="header2.xml"/><Relationship Id="rId39" Type="http://schemas.openxmlformats.org/officeDocument/2006/relationships/image" Target="media/image7.wmf"/><Relationship Id="rId38" Type="http://schemas.openxmlformats.org/officeDocument/2006/relationships/oleObject" Target="embeddings/oleObject5.bin"/><Relationship Id="rId37" Type="http://schemas.openxmlformats.org/officeDocument/2006/relationships/image" Target="media/image6.wmf"/><Relationship Id="rId36" Type="http://schemas.openxmlformats.org/officeDocument/2006/relationships/oleObject" Target="embeddings/oleObject4.bin"/><Relationship Id="rId35" Type="http://schemas.openxmlformats.org/officeDocument/2006/relationships/image" Target="media/image5.wmf"/><Relationship Id="rId34" Type="http://schemas.openxmlformats.org/officeDocument/2006/relationships/oleObject" Target="embeddings/oleObject3.bin"/><Relationship Id="rId33" Type="http://schemas.openxmlformats.org/officeDocument/2006/relationships/image" Target="media/image4.wmf"/><Relationship Id="rId32" Type="http://schemas.openxmlformats.org/officeDocument/2006/relationships/oleObject" Target="embeddings/oleObject2.bin"/><Relationship Id="rId31" Type="http://schemas.openxmlformats.org/officeDocument/2006/relationships/image" Target="media/image3.wmf"/><Relationship Id="rId30" Type="http://schemas.openxmlformats.org/officeDocument/2006/relationships/oleObject" Target="embeddings/oleObject1.bin"/><Relationship Id="rId3" Type="http://schemas.openxmlformats.org/officeDocument/2006/relationships/header" Target="header1.xml"/><Relationship Id="rId29" Type="http://schemas.openxmlformats.org/officeDocument/2006/relationships/image" Target="media/image2.png"/><Relationship Id="rId28" Type="http://schemas.openxmlformats.org/officeDocument/2006/relationships/image" Target="media/image1.jpeg"/><Relationship Id="rId27" Type="http://schemas.openxmlformats.org/officeDocument/2006/relationships/theme" Target="theme/theme1.xml"/><Relationship Id="rId26" Type="http://schemas.openxmlformats.org/officeDocument/2006/relationships/footer" Target="footer19.xml"/><Relationship Id="rId25" Type="http://schemas.openxmlformats.org/officeDocument/2006/relationships/footer" Target="footer18.xml"/><Relationship Id="rId24" Type="http://schemas.openxmlformats.org/officeDocument/2006/relationships/footer" Target="footer17.xml"/><Relationship Id="rId23" Type="http://schemas.openxmlformats.org/officeDocument/2006/relationships/footer" Target="footer16.xml"/><Relationship Id="rId22" Type="http://schemas.openxmlformats.org/officeDocument/2006/relationships/footer" Target="footer15.xml"/><Relationship Id="rId21" Type="http://schemas.openxmlformats.org/officeDocument/2006/relationships/footer" Target="footer14.xml"/><Relationship Id="rId20" Type="http://schemas.openxmlformats.org/officeDocument/2006/relationships/footer" Target="footer13.xml"/><Relationship Id="rId2" Type="http://schemas.openxmlformats.org/officeDocument/2006/relationships/settings" Target="settings.xml"/><Relationship Id="rId19" Type="http://schemas.openxmlformats.org/officeDocument/2006/relationships/footer" Target="footer12.xml"/><Relationship Id="rId18" Type="http://schemas.openxmlformats.org/officeDocument/2006/relationships/footer" Target="footer11.xml"/><Relationship Id="rId17" Type="http://schemas.openxmlformats.org/officeDocument/2006/relationships/footer" Target="footer10.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96</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2024-09-29T04:36:00Z</dcterms:created>
  <dc:creator>Administrator</dc:creator>
  <cp:lastModifiedBy>admin</cp:lastModifiedBy>
  <cp:lastPrinted>2026-08-07T01:59:00Z</cp:lastPrinted>
  <dcterms:modified xsi:type="dcterms:W3CDTF">2026-10-29T12:26:06Z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9EC817C004F146269EACDB33922EFA63_13</vt:lpwstr>
  </property>
  <property fmtid="{D5CDD505-2E9C-101B-9397-08002B2CF9AE}" pid="4" name="KSOTemplateDocerSaveRecord">
    <vt:lpwstr>eyJoZGlkIjoiMjgzYmU5OThlZjM2MDdhYmRjZTMzNjQ0NzZlYTFhMWQiLCJ1c2VySWQiOiIzOTkzMjY0ODQifQ==</vt:lpwstr>
  </property>
</Properties>
</file>