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E302F72">
      <w:pPr>
        <w:spacing w:line="240" w:lineRule="auto"/>
        <w:jc w:val="center"/>
        <w:rPr>
          <w:color w:val="auto"/>
          <w:highlight w:val="none"/>
        </w:rPr>
      </w:pPr>
    </w:p>
    <w:p w14:paraId="0342BCE3">
      <w:pPr>
        <w:pStyle w:val="138"/>
        <w:wordWrap w:val="0"/>
        <w:adjustRightInd w:val="0"/>
        <w:snapToGrid w:val="0"/>
        <w:spacing w:line="360" w:lineRule="auto"/>
        <w:jc w:val="center"/>
        <w:rPr>
          <w:rFonts w:hint="default" w:ascii="宋体" w:hAnsi="宋体" w:eastAsia="宋体" w:cs="宋体"/>
          <w:b/>
          <w:snapToGrid w:val="0"/>
          <w:color w:val="auto"/>
          <w:kern w:val="0"/>
          <w:sz w:val="48"/>
          <w:szCs w:val="48"/>
          <w:highlight w:val="none"/>
          <w:lang w:val="en-US" w:eastAsia="zh-CN"/>
        </w:rPr>
      </w:pPr>
      <w:r>
        <w:rPr>
          <w:rFonts w:hint="eastAsia" w:ascii="宋体" w:hAnsi="宋体" w:eastAsia="宋体" w:cs="宋体"/>
          <w:b/>
          <w:snapToGrid w:val="0"/>
          <w:color w:val="auto"/>
          <w:kern w:val="0"/>
          <w:sz w:val="52"/>
          <w:szCs w:val="52"/>
          <w:highlight w:val="none"/>
          <w:u w:val="none"/>
          <w:lang w:eastAsia="zh-CN"/>
        </w:rPr>
        <w:t>翁源县“百千万工程”之全域推进农村人居环境整治建设项目——新江镇第四批典型村建设项目监理</w:t>
      </w:r>
      <w:r>
        <w:rPr>
          <w:rFonts w:hint="eastAsia" w:ascii="宋体" w:hAnsi="宋体" w:eastAsia="宋体" w:cs="宋体"/>
          <w:b/>
          <w:snapToGrid w:val="0"/>
          <w:color w:val="auto"/>
          <w:kern w:val="0"/>
          <w:sz w:val="52"/>
          <w:szCs w:val="52"/>
          <w:highlight w:val="none"/>
          <w:u w:val="none"/>
          <w:lang w:val="en-US" w:eastAsia="zh-CN"/>
        </w:rPr>
        <w:t>招标</w:t>
      </w:r>
    </w:p>
    <w:p w14:paraId="79DF55EF">
      <w:pPr>
        <w:pStyle w:val="138"/>
        <w:wordWrap w:val="0"/>
        <w:adjustRightInd w:val="0"/>
        <w:snapToGrid w:val="0"/>
        <w:spacing w:line="360" w:lineRule="auto"/>
        <w:rPr>
          <w:rFonts w:hint="eastAsia" w:ascii="宋体" w:hAnsi="宋体" w:eastAsia="宋体" w:cs="宋体"/>
          <w:snapToGrid w:val="0"/>
          <w:color w:val="auto"/>
          <w:kern w:val="0"/>
          <w:sz w:val="36"/>
          <w:highlight w:val="none"/>
          <w:u w:val="single"/>
        </w:rPr>
      </w:pPr>
    </w:p>
    <w:p w14:paraId="364E3969">
      <w:pPr>
        <w:pStyle w:val="138"/>
        <w:wordWrap w:val="0"/>
        <w:adjustRightInd w:val="0"/>
        <w:snapToGrid w:val="0"/>
        <w:spacing w:line="360" w:lineRule="auto"/>
        <w:rPr>
          <w:rFonts w:hint="eastAsia" w:ascii="宋体" w:hAnsi="宋体" w:eastAsia="宋体" w:cs="宋体"/>
          <w:snapToGrid w:val="0"/>
          <w:color w:val="auto"/>
          <w:kern w:val="0"/>
          <w:sz w:val="36"/>
          <w:highlight w:val="none"/>
          <w:u w:val="single"/>
        </w:rPr>
      </w:pPr>
    </w:p>
    <w:p w14:paraId="292A5489">
      <w:pPr>
        <w:pStyle w:val="138"/>
        <w:wordWrap w:val="0"/>
        <w:adjustRightInd w:val="0"/>
        <w:snapToGrid w:val="0"/>
        <w:spacing w:line="360" w:lineRule="auto"/>
        <w:jc w:val="center"/>
        <w:rPr>
          <w:rFonts w:hint="eastAsia" w:ascii="宋体" w:hAnsi="宋体" w:eastAsia="宋体" w:cs="宋体"/>
          <w:b/>
          <w:bCs/>
          <w:snapToGrid w:val="0"/>
          <w:color w:val="auto"/>
          <w:kern w:val="0"/>
          <w:sz w:val="48"/>
          <w:szCs w:val="48"/>
          <w:highlight w:val="none"/>
          <w:lang w:val="en-US" w:eastAsia="zh-CN"/>
        </w:rPr>
      </w:pPr>
      <w:r>
        <w:rPr>
          <w:rFonts w:hint="eastAsia" w:ascii="宋体" w:hAnsi="宋体" w:eastAsia="宋体" w:cs="宋体"/>
          <w:b/>
          <w:bCs/>
          <w:snapToGrid w:val="0"/>
          <w:color w:val="auto"/>
          <w:kern w:val="0"/>
          <w:sz w:val="72"/>
          <w:szCs w:val="72"/>
          <w:highlight w:val="none"/>
        </w:rPr>
        <w:t>招标文件</w:t>
      </w:r>
    </w:p>
    <w:p w14:paraId="3C8323E7">
      <w:pPr>
        <w:wordWrap w:val="0"/>
        <w:adjustRightInd w:val="0"/>
        <w:snapToGrid w:val="0"/>
        <w:jc w:val="center"/>
        <w:rPr>
          <w:rFonts w:hint="eastAsia" w:hAnsi="宋体" w:cs="宋体"/>
          <w:b/>
          <w:bCs/>
          <w:snapToGrid w:val="0"/>
          <w:color w:val="auto"/>
          <w:kern w:val="0"/>
          <w:sz w:val="48"/>
          <w:szCs w:val="48"/>
          <w:highlight w:val="none"/>
        </w:rPr>
      </w:pPr>
    </w:p>
    <w:p w14:paraId="369F9607">
      <w:pPr>
        <w:rPr>
          <w:rFonts w:hint="eastAsia"/>
          <w:color w:val="auto"/>
          <w:highlight w:val="none"/>
        </w:rPr>
      </w:pPr>
    </w:p>
    <w:p w14:paraId="163A5507">
      <w:pPr>
        <w:pStyle w:val="9"/>
        <w:rPr>
          <w:rFonts w:hint="eastAsia" w:hAnsi="宋体" w:cs="宋体"/>
          <w:b/>
          <w:bCs/>
          <w:snapToGrid w:val="0"/>
          <w:color w:val="auto"/>
          <w:sz w:val="48"/>
          <w:szCs w:val="48"/>
          <w:highlight w:val="none"/>
        </w:rPr>
      </w:pPr>
    </w:p>
    <w:tbl>
      <w:tblPr>
        <w:tblStyle w:val="30"/>
        <w:tblW w:w="9699" w:type="dxa"/>
        <w:tblInd w:w="-100" w:type="dxa"/>
        <w:tblLayout w:type="fixed"/>
        <w:tblCellMar>
          <w:top w:w="0" w:type="dxa"/>
          <w:left w:w="0" w:type="dxa"/>
          <w:bottom w:w="0" w:type="dxa"/>
          <w:right w:w="0" w:type="dxa"/>
        </w:tblCellMar>
      </w:tblPr>
      <w:tblGrid>
        <w:gridCol w:w="4545"/>
        <w:gridCol w:w="5154"/>
      </w:tblGrid>
      <w:tr w14:paraId="631573CE">
        <w:tblPrEx>
          <w:tblCellMar>
            <w:top w:w="0" w:type="dxa"/>
            <w:left w:w="0" w:type="dxa"/>
            <w:bottom w:w="0" w:type="dxa"/>
            <w:right w:w="0" w:type="dxa"/>
          </w:tblCellMar>
        </w:tblPrEx>
        <w:trPr>
          <w:trHeight w:val="692" w:hRule="atLeast"/>
        </w:trPr>
        <w:tc>
          <w:tcPr>
            <w:tcW w:w="4545" w:type="dxa"/>
            <w:noWrap w:val="0"/>
            <w:vAlign w:val="center"/>
          </w:tcPr>
          <w:p w14:paraId="1815603F">
            <w:pPr>
              <w:pStyle w:val="57"/>
              <w:wordWrap w:val="0"/>
              <w:adjustRightInd w:val="0"/>
              <w:snapToGrid w:val="0"/>
              <w:spacing w:line="240" w:lineRule="auto"/>
              <w:jc w:val="distribute"/>
              <w:rPr>
                <w:rFonts w:hint="eastAsia" w:hAnsi="宋体" w:cs="宋体"/>
                <w:snapToGrid w:val="0"/>
                <w:color w:val="auto"/>
                <w:kern w:val="0"/>
                <w:sz w:val="24"/>
                <w:szCs w:val="18"/>
                <w:highlight w:val="none"/>
              </w:rPr>
            </w:pPr>
            <w:r>
              <w:rPr>
                <w:rFonts w:hint="eastAsia" w:hAnsi="宋体" w:cs="宋体"/>
                <w:snapToGrid w:val="0"/>
                <w:color w:val="auto"/>
                <w:kern w:val="0"/>
                <w:sz w:val="24"/>
                <w:szCs w:val="18"/>
                <w:highlight w:val="none"/>
              </w:rPr>
              <w:t xml:space="preserve"> 招     标     人（盖单位章）：</w:t>
            </w:r>
          </w:p>
        </w:tc>
        <w:tc>
          <w:tcPr>
            <w:tcW w:w="5154" w:type="dxa"/>
            <w:noWrap w:val="0"/>
            <w:vAlign w:val="center"/>
          </w:tcPr>
          <w:p w14:paraId="699C749E">
            <w:pPr>
              <w:pStyle w:val="57"/>
              <w:wordWrap w:val="0"/>
              <w:adjustRightInd w:val="0"/>
              <w:snapToGrid w:val="0"/>
              <w:spacing w:line="240" w:lineRule="auto"/>
              <w:rPr>
                <w:rFonts w:hint="eastAsia" w:hAnsi="宋体" w:eastAsia="宋体" w:cs="宋体"/>
                <w:snapToGrid w:val="0"/>
                <w:color w:val="auto"/>
                <w:kern w:val="0"/>
                <w:sz w:val="24"/>
                <w:szCs w:val="24"/>
                <w:highlight w:val="none"/>
                <w:lang w:eastAsia="zh-CN"/>
              </w:rPr>
            </w:pPr>
            <w:r>
              <w:rPr>
                <w:rFonts w:hint="eastAsia" w:hAnsi="宋体" w:cs="宋体"/>
                <w:snapToGrid w:val="0"/>
                <w:color w:val="auto"/>
                <w:kern w:val="0"/>
                <w:sz w:val="24"/>
                <w:szCs w:val="24"/>
                <w:highlight w:val="none"/>
                <w:lang w:eastAsia="zh-CN"/>
              </w:rPr>
              <w:t>翁源县新江镇人民政府</w:t>
            </w:r>
          </w:p>
        </w:tc>
      </w:tr>
      <w:tr w14:paraId="0FFCC5B8">
        <w:tblPrEx>
          <w:tblCellMar>
            <w:top w:w="0" w:type="dxa"/>
            <w:left w:w="0" w:type="dxa"/>
            <w:bottom w:w="0" w:type="dxa"/>
            <w:right w:w="0" w:type="dxa"/>
          </w:tblCellMar>
        </w:tblPrEx>
        <w:trPr>
          <w:trHeight w:val="607" w:hRule="atLeast"/>
        </w:trPr>
        <w:tc>
          <w:tcPr>
            <w:tcW w:w="4545" w:type="dxa"/>
            <w:noWrap w:val="0"/>
            <w:vAlign w:val="center"/>
          </w:tcPr>
          <w:p w14:paraId="777044A1">
            <w:pPr>
              <w:pStyle w:val="57"/>
              <w:wordWrap w:val="0"/>
              <w:adjustRightInd w:val="0"/>
              <w:snapToGrid w:val="0"/>
              <w:spacing w:line="240" w:lineRule="auto"/>
              <w:jc w:val="distribute"/>
              <w:rPr>
                <w:rFonts w:hint="eastAsia" w:hAnsi="宋体" w:cs="宋体"/>
                <w:snapToGrid w:val="0"/>
                <w:color w:val="auto"/>
                <w:kern w:val="0"/>
                <w:sz w:val="24"/>
                <w:szCs w:val="18"/>
                <w:highlight w:val="none"/>
              </w:rPr>
            </w:pPr>
            <w:r>
              <w:rPr>
                <w:rFonts w:hint="eastAsia" w:hAnsi="宋体" w:cs="宋体"/>
                <w:snapToGrid w:val="0"/>
                <w:color w:val="auto"/>
                <w:kern w:val="0"/>
                <w:sz w:val="24"/>
                <w:szCs w:val="18"/>
                <w:highlight w:val="none"/>
              </w:rPr>
              <w:t xml:space="preserve"> 招标人工作领导小组负责人（签字）：</w:t>
            </w:r>
          </w:p>
        </w:tc>
        <w:tc>
          <w:tcPr>
            <w:tcW w:w="5154" w:type="dxa"/>
            <w:noWrap w:val="0"/>
            <w:vAlign w:val="center"/>
          </w:tcPr>
          <w:p w14:paraId="270881FA">
            <w:pPr>
              <w:pStyle w:val="57"/>
              <w:wordWrap w:val="0"/>
              <w:adjustRightInd w:val="0"/>
              <w:snapToGrid w:val="0"/>
              <w:spacing w:line="240" w:lineRule="auto"/>
              <w:rPr>
                <w:rFonts w:hint="eastAsia" w:hAnsi="宋体" w:cs="宋体"/>
                <w:snapToGrid w:val="0"/>
                <w:color w:val="auto"/>
                <w:kern w:val="0"/>
                <w:sz w:val="24"/>
                <w:szCs w:val="24"/>
                <w:highlight w:val="none"/>
              </w:rPr>
            </w:pPr>
          </w:p>
        </w:tc>
      </w:tr>
      <w:tr w14:paraId="494FE7FA">
        <w:tblPrEx>
          <w:tblCellMar>
            <w:top w:w="0" w:type="dxa"/>
            <w:left w:w="0" w:type="dxa"/>
            <w:bottom w:w="0" w:type="dxa"/>
            <w:right w:w="0" w:type="dxa"/>
          </w:tblCellMar>
        </w:tblPrEx>
        <w:trPr>
          <w:trHeight w:val="666" w:hRule="atLeast"/>
        </w:trPr>
        <w:tc>
          <w:tcPr>
            <w:tcW w:w="4545" w:type="dxa"/>
            <w:noWrap w:val="0"/>
            <w:vAlign w:val="center"/>
          </w:tcPr>
          <w:p w14:paraId="0C1C9AD2">
            <w:pPr>
              <w:pStyle w:val="57"/>
              <w:wordWrap w:val="0"/>
              <w:adjustRightInd w:val="0"/>
              <w:snapToGrid w:val="0"/>
              <w:spacing w:line="240" w:lineRule="auto"/>
              <w:jc w:val="distribute"/>
              <w:rPr>
                <w:rFonts w:hint="eastAsia" w:hAnsi="宋体" w:cs="宋体"/>
                <w:snapToGrid w:val="0"/>
                <w:color w:val="auto"/>
                <w:kern w:val="0"/>
                <w:sz w:val="24"/>
                <w:szCs w:val="18"/>
                <w:highlight w:val="none"/>
              </w:rPr>
            </w:pPr>
            <w:r>
              <w:rPr>
                <w:rFonts w:hint="eastAsia" w:hAnsi="宋体" w:cs="宋体"/>
                <w:snapToGrid w:val="0"/>
                <w:color w:val="auto"/>
                <w:kern w:val="0"/>
                <w:sz w:val="24"/>
                <w:szCs w:val="18"/>
                <w:highlight w:val="none"/>
              </w:rPr>
              <w:t xml:space="preserve"> 招 标 代 理 机 构 （盖单位章）：</w:t>
            </w:r>
          </w:p>
        </w:tc>
        <w:tc>
          <w:tcPr>
            <w:tcW w:w="5154" w:type="dxa"/>
            <w:noWrap w:val="0"/>
            <w:vAlign w:val="center"/>
          </w:tcPr>
          <w:p w14:paraId="5AE5AE8D">
            <w:pPr>
              <w:pStyle w:val="57"/>
              <w:wordWrap w:val="0"/>
              <w:adjustRightInd w:val="0"/>
              <w:snapToGrid w:val="0"/>
              <w:spacing w:line="240" w:lineRule="auto"/>
              <w:rPr>
                <w:rFonts w:hint="eastAsia" w:hAnsi="宋体" w:eastAsia="宋体" w:cs="宋体"/>
                <w:snapToGrid w:val="0"/>
                <w:color w:val="auto"/>
                <w:kern w:val="0"/>
                <w:sz w:val="24"/>
                <w:szCs w:val="24"/>
                <w:highlight w:val="none"/>
                <w:lang w:eastAsia="zh-CN"/>
              </w:rPr>
            </w:pPr>
            <w:r>
              <w:rPr>
                <w:rFonts w:hint="eastAsia" w:hAnsi="宋体" w:cs="宋体"/>
                <w:snapToGrid w:val="0"/>
                <w:color w:val="auto"/>
                <w:kern w:val="0"/>
                <w:sz w:val="24"/>
                <w:szCs w:val="24"/>
                <w:highlight w:val="none"/>
                <w:lang w:eastAsia="zh-CN"/>
              </w:rPr>
              <w:t>韶关市城监项目管理有限公司</w:t>
            </w:r>
          </w:p>
        </w:tc>
      </w:tr>
      <w:tr w14:paraId="307F74E5">
        <w:tblPrEx>
          <w:tblCellMar>
            <w:top w:w="0" w:type="dxa"/>
            <w:left w:w="0" w:type="dxa"/>
            <w:bottom w:w="0" w:type="dxa"/>
            <w:right w:w="0" w:type="dxa"/>
          </w:tblCellMar>
        </w:tblPrEx>
        <w:trPr>
          <w:trHeight w:val="634" w:hRule="atLeast"/>
        </w:trPr>
        <w:tc>
          <w:tcPr>
            <w:tcW w:w="4545" w:type="dxa"/>
            <w:noWrap w:val="0"/>
            <w:vAlign w:val="center"/>
          </w:tcPr>
          <w:p w14:paraId="09001909">
            <w:pPr>
              <w:pStyle w:val="57"/>
              <w:wordWrap w:val="0"/>
              <w:adjustRightInd w:val="0"/>
              <w:snapToGrid w:val="0"/>
              <w:spacing w:line="240" w:lineRule="auto"/>
              <w:jc w:val="distribute"/>
              <w:rPr>
                <w:rFonts w:hint="eastAsia" w:hAnsi="宋体" w:cs="宋体"/>
                <w:snapToGrid w:val="0"/>
                <w:color w:val="auto"/>
                <w:kern w:val="0"/>
                <w:sz w:val="24"/>
                <w:szCs w:val="18"/>
                <w:highlight w:val="none"/>
              </w:rPr>
            </w:pPr>
            <w:r>
              <w:rPr>
                <w:rFonts w:hint="eastAsia" w:hAnsi="宋体" w:cs="宋体"/>
                <w:snapToGrid w:val="0"/>
                <w:color w:val="auto"/>
                <w:kern w:val="0"/>
                <w:sz w:val="24"/>
                <w:szCs w:val="18"/>
                <w:highlight w:val="none"/>
              </w:rPr>
              <w:t xml:space="preserve"> 招标文件编制人（签字）：</w:t>
            </w:r>
          </w:p>
        </w:tc>
        <w:tc>
          <w:tcPr>
            <w:tcW w:w="5154" w:type="dxa"/>
            <w:noWrap w:val="0"/>
            <w:vAlign w:val="center"/>
          </w:tcPr>
          <w:p w14:paraId="5917458F">
            <w:pPr>
              <w:pStyle w:val="57"/>
              <w:wordWrap w:val="0"/>
              <w:adjustRightInd w:val="0"/>
              <w:snapToGrid w:val="0"/>
              <w:spacing w:line="240" w:lineRule="auto"/>
              <w:rPr>
                <w:rFonts w:hint="eastAsia" w:hAnsi="宋体" w:eastAsia="宋体" w:cs="宋体"/>
                <w:snapToGrid w:val="0"/>
                <w:color w:val="auto"/>
                <w:kern w:val="0"/>
                <w:sz w:val="24"/>
                <w:szCs w:val="24"/>
                <w:highlight w:val="none"/>
                <w:lang w:eastAsia="zh-CN"/>
              </w:rPr>
            </w:pPr>
            <w:r>
              <w:rPr>
                <w:rFonts w:hint="eastAsia" w:hAnsi="宋体" w:eastAsia="宋体" w:cs="宋体"/>
                <w:snapToGrid w:val="0"/>
                <w:color w:val="auto"/>
                <w:kern w:val="0"/>
                <w:sz w:val="24"/>
                <w:szCs w:val="24"/>
                <w:highlight w:val="none"/>
                <w:lang w:eastAsia="zh-CN"/>
              </w:rPr>
              <w:drawing>
                <wp:inline distT="0" distB="0" distL="114300" distR="114300">
                  <wp:extent cx="567055" cy="361315"/>
                  <wp:effectExtent l="0" t="0" r="0" b="635"/>
                  <wp:docPr id="6" name="图片 1" descr="骆乐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骆乐签名"/>
                          <pic:cNvPicPr>
                            <a:picLocks noChangeAspect="1"/>
                          </pic:cNvPicPr>
                        </pic:nvPicPr>
                        <pic:blipFill>
                          <a:blip r:embed="rId11"/>
                          <a:stretch>
                            <a:fillRect/>
                          </a:stretch>
                        </pic:blipFill>
                        <pic:spPr>
                          <a:xfrm>
                            <a:off x="0" y="0"/>
                            <a:ext cx="567055" cy="361315"/>
                          </a:xfrm>
                          <a:prstGeom prst="rect">
                            <a:avLst/>
                          </a:prstGeom>
                          <a:noFill/>
                          <a:ln>
                            <a:noFill/>
                          </a:ln>
                        </pic:spPr>
                      </pic:pic>
                    </a:graphicData>
                  </a:graphic>
                </wp:inline>
              </w:drawing>
            </w:r>
          </w:p>
        </w:tc>
      </w:tr>
      <w:tr w14:paraId="2EEA288F">
        <w:tblPrEx>
          <w:tblCellMar>
            <w:top w:w="0" w:type="dxa"/>
            <w:left w:w="0" w:type="dxa"/>
            <w:bottom w:w="0" w:type="dxa"/>
            <w:right w:w="0" w:type="dxa"/>
          </w:tblCellMar>
        </w:tblPrEx>
        <w:trPr>
          <w:trHeight w:val="649" w:hRule="atLeast"/>
        </w:trPr>
        <w:tc>
          <w:tcPr>
            <w:tcW w:w="4545" w:type="dxa"/>
            <w:noWrap w:val="0"/>
            <w:vAlign w:val="center"/>
          </w:tcPr>
          <w:p w14:paraId="32C8C852">
            <w:pPr>
              <w:pStyle w:val="57"/>
              <w:wordWrap w:val="0"/>
              <w:adjustRightInd w:val="0"/>
              <w:snapToGrid w:val="0"/>
              <w:spacing w:line="240" w:lineRule="auto"/>
              <w:jc w:val="distribute"/>
              <w:rPr>
                <w:rFonts w:hint="eastAsia" w:hAnsi="宋体" w:cs="宋体"/>
                <w:snapToGrid w:val="0"/>
                <w:color w:val="auto"/>
                <w:kern w:val="0"/>
                <w:sz w:val="24"/>
                <w:szCs w:val="18"/>
                <w:highlight w:val="none"/>
              </w:rPr>
            </w:pPr>
            <w:r>
              <w:rPr>
                <w:rFonts w:hint="eastAsia" w:hAnsi="宋体" w:cs="宋体"/>
                <w:snapToGrid w:val="0"/>
                <w:color w:val="auto"/>
                <w:kern w:val="0"/>
                <w:sz w:val="24"/>
                <w:szCs w:val="18"/>
                <w:highlight w:val="none"/>
              </w:rPr>
              <w:t xml:space="preserve"> 招标代理机构项目负责人（签字）：</w:t>
            </w:r>
          </w:p>
        </w:tc>
        <w:tc>
          <w:tcPr>
            <w:tcW w:w="5154" w:type="dxa"/>
            <w:noWrap w:val="0"/>
            <w:vAlign w:val="center"/>
          </w:tcPr>
          <w:p w14:paraId="5DB03ABB">
            <w:pPr>
              <w:pStyle w:val="57"/>
              <w:wordWrap w:val="0"/>
              <w:adjustRightInd w:val="0"/>
              <w:snapToGrid w:val="0"/>
              <w:spacing w:line="240" w:lineRule="auto"/>
              <w:rPr>
                <w:rFonts w:hint="eastAsia" w:hAnsi="宋体" w:eastAsia="宋体" w:cs="宋体"/>
                <w:snapToGrid w:val="0"/>
                <w:color w:val="auto"/>
                <w:kern w:val="0"/>
                <w:sz w:val="24"/>
                <w:szCs w:val="24"/>
                <w:highlight w:val="none"/>
                <w:lang w:eastAsia="zh-CN"/>
              </w:rPr>
            </w:pPr>
            <w:r>
              <w:rPr>
                <w:rFonts w:hint="eastAsia" w:hAnsi="宋体" w:eastAsia="宋体" w:cs="宋体"/>
                <w:snapToGrid w:val="0"/>
                <w:color w:val="auto"/>
                <w:kern w:val="0"/>
                <w:sz w:val="24"/>
                <w:szCs w:val="24"/>
                <w:highlight w:val="none"/>
                <w:lang w:eastAsia="zh-CN"/>
              </w:rPr>
              <w:drawing>
                <wp:inline distT="0" distB="0" distL="114300" distR="114300">
                  <wp:extent cx="1047750" cy="452755"/>
                  <wp:effectExtent l="0" t="0" r="0" b="4445"/>
                  <wp:docPr id="5" name="图片 2" descr="饶家豪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饶家豪签名"/>
                          <pic:cNvPicPr>
                            <a:picLocks noChangeAspect="1"/>
                          </pic:cNvPicPr>
                        </pic:nvPicPr>
                        <pic:blipFill>
                          <a:blip r:embed="rId12"/>
                          <a:stretch>
                            <a:fillRect/>
                          </a:stretch>
                        </pic:blipFill>
                        <pic:spPr>
                          <a:xfrm>
                            <a:off x="0" y="0"/>
                            <a:ext cx="1047750" cy="452755"/>
                          </a:xfrm>
                          <a:prstGeom prst="rect">
                            <a:avLst/>
                          </a:prstGeom>
                          <a:noFill/>
                          <a:ln>
                            <a:noFill/>
                          </a:ln>
                        </pic:spPr>
                      </pic:pic>
                    </a:graphicData>
                  </a:graphic>
                </wp:inline>
              </w:drawing>
            </w:r>
          </w:p>
        </w:tc>
      </w:tr>
      <w:tr w14:paraId="54423878">
        <w:tblPrEx>
          <w:tblCellMar>
            <w:top w:w="0" w:type="dxa"/>
            <w:left w:w="0" w:type="dxa"/>
            <w:bottom w:w="0" w:type="dxa"/>
            <w:right w:w="0" w:type="dxa"/>
          </w:tblCellMar>
        </w:tblPrEx>
        <w:trPr>
          <w:trHeight w:val="682" w:hRule="atLeast"/>
        </w:trPr>
        <w:tc>
          <w:tcPr>
            <w:tcW w:w="4545" w:type="dxa"/>
            <w:noWrap w:val="0"/>
            <w:vAlign w:val="center"/>
          </w:tcPr>
          <w:p w14:paraId="23268ED5">
            <w:pPr>
              <w:pStyle w:val="57"/>
              <w:wordWrap w:val="0"/>
              <w:adjustRightInd w:val="0"/>
              <w:snapToGrid w:val="0"/>
              <w:spacing w:line="240" w:lineRule="auto"/>
              <w:jc w:val="distribute"/>
              <w:rPr>
                <w:rFonts w:hint="eastAsia" w:hAnsi="宋体" w:cs="宋体"/>
                <w:snapToGrid w:val="0"/>
                <w:color w:val="auto"/>
                <w:kern w:val="0"/>
                <w:sz w:val="24"/>
                <w:szCs w:val="18"/>
                <w:highlight w:val="none"/>
              </w:rPr>
            </w:pPr>
            <w:r>
              <w:rPr>
                <w:rFonts w:hint="eastAsia" w:hAnsi="宋体" w:cs="宋体"/>
                <w:snapToGrid w:val="0"/>
                <w:color w:val="auto"/>
                <w:kern w:val="0"/>
                <w:sz w:val="24"/>
                <w:szCs w:val="18"/>
                <w:highlight w:val="none"/>
              </w:rPr>
              <w:t xml:space="preserve"> 招标文件编制日期：</w:t>
            </w:r>
          </w:p>
        </w:tc>
        <w:tc>
          <w:tcPr>
            <w:tcW w:w="5154" w:type="dxa"/>
            <w:noWrap w:val="0"/>
            <w:vAlign w:val="center"/>
          </w:tcPr>
          <w:p w14:paraId="33540A2C">
            <w:pPr>
              <w:pStyle w:val="57"/>
              <w:wordWrap w:val="0"/>
              <w:adjustRightInd w:val="0"/>
              <w:snapToGrid w:val="0"/>
              <w:spacing w:line="240" w:lineRule="auto"/>
              <w:rPr>
                <w:rFonts w:hint="eastAsia" w:hAnsi="宋体" w:cs="宋体"/>
                <w:snapToGrid w:val="0"/>
                <w:color w:val="auto"/>
                <w:kern w:val="0"/>
                <w:sz w:val="24"/>
                <w:szCs w:val="18"/>
                <w:highlight w:val="none"/>
              </w:rPr>
            </w:pPr>
            <w:r>
              <w:rPr>
                <w:rFonts w:hint="eastAsia" w:hAnsi="宋体" w:cs="宋体"/>
                <w:snapToGrid w:val="0"/>
                <w:color w:val="auto"/>
                <w:kern w:val="0"/>
                <w:sz w:val="24"/>
                <w:szCs w:val="18"/>
                <w:highlight w:val="none"/>
                <w:lang w:val="en-US" w:eastAsia="zh-CN"/>
              </w:rPr>
              <w:t xml:space="preserve">  2026</w:t>
            </w:r>
            <w:r>
              <w:rPr>
                <w:rFonts w:hint="eastAsia" w:hAnsi="宋体" w:cs="宋体"/>
                <w:snapToGrid w:val="0"/>
                <w:color w:val="auto"/>
                <w:kern w:val="0"/>
                <w:sz w:val="24"/>
                <w:szCs w:val="18"/>
                <w:highlight w:val="none"/>
              </w:rPr>
              <w:t>年</w:t>
            </w:r>
            <w:r>
              <w:rPr>
                <w:rFonts w:hint="eastAsia" w:hAnsi="宋体" w:cs="宋体"/>
                <w:snapToGrid w:val="0"/>
                <w:color w:val="auto"/>
                <w:kern w:val="0"/>
                <w:sz w:val="24"/>
                <w:szCs w:val="18"/>
                <w:highlight w:val="none"/>
                <w:lang w:val="en-US" w:eastAsia="zh-CN"/>
              </w:rPr>
              <w:t>5</w:t>
            </w:r>
            <w:r>
              <w:rPr>
                <w:rFonts w:hint="eastAsia" w:hAnsi="宋体" w:cs="宋体"/>
                <w:snapToGrid w:val="0"/>
                <w:color w:val="auto"/>
                <w:kern w:val="0"/>
                <w:sz w:val="24"/>
                <w:szCs w:val="18"/>
                <w:highlight w:val="none"/>
              </w:rPr>
              <w:t>月</w:t>
            </w:r>
          </w:p>
        </w:tc>
      </w:tr>
    </w:tbl>
    <w:p w14:paraId="01D496E1">
      <w:pPr>
        <w:tabs>
          <w:tab w:val="left" w:pos="4935"/>
        </w:tabs>
        <w:wordWrap w:val="0"/>
        <w:adjustRightInd w:val="0"/>
        <w:snapToGrid w:val="0"/>
        <w:spacing w:line="440" w:lineRule="exact"/>
        <w:rPr>
          <w:rFonts w:hint="eastAsia" w:hAnsi="宋体" w:cs="宋体"/>
          <w:b/>
          <w:snapToGrid w:val="0"/>
          <w:color w:val="auto"/>
          <w:kern w:val="0"/>
          <w:sz w:val="28"/>
          <w:szCs w:val="28"/>
          <w:highlight w:val="none"/>
        </w:rPr>
        <w:sectPr>
          <w:footerReference r:id="rId5" w:type="default"/>
          <w:endnotePr>
            <w:numFmt w:val="decimal"/>
          </w:endnotePr>
          <w:pgSz w:w="11906" w:h="16838"/>
          <w:pgMar w:top="1701" w:right="1975" w:bottom="1417" w:left="1531" w:header="850" w:footer="992" w:gutter="0"/>
          <w:pgNumType w:start="1"/>
          <w:cols w:space="720" w:num="1"/>
          <w:rtlGutter w:val="0"/>
          <w:docGrid w:linePitch="327" w:charSpace="0"/>
        </w:sectPr>
      </w:pPr>
    </w:p>
    <w:p w14:paraId="46079F53">
      <w:pPr>
        <w:spacing w:line="240" w:lineRule="auto"/>
        <w:jc w:val="center"/>
        <w:rPr>
          <w:rFonts w:hint="eastAsia" w:hAnsi="宋体" w:eastAsia="宋体"/>
          <w:b/>
          <w:bCs/>
          <w:color w:val="auto"/>
          <w:sz w:val="36"/>
          <w:szCs w:val="32"/>
          <w:highlight w:val="none"/>
          <w:lang w:eastAsia="zh-CN"/>
        </w:rPr>
      </w:pPr>
    </w:p>
    <w:p w14:paraId="373F8E86">
      <w:pPr>
        <w:spacing w:line="240" w:lineRule="auto"/>
        <w:jc w:val="both"/>
        <w:rPr>
          <w:rFonts w:hAnsi="宋体"/>
          <w:b/>
          <w:bCs/>
          <w:color w:val="auto"/>
          <w:sz w:val="36"/>
          <w:szCs w:val="32"/>
          <w:highlight w:val="none"/>
        </w:rPr>
      </w:pPr>
    </w:p>
    <w:p w14:paraId="4A395720">
      <w:pPr>
        <w:spacing w:line="240" w:lineRule="auto"/>
        <w:jc w:val="center"/>
        <w:rPr>
          <w:rFonts w:hAnsi="宋体"/>
          <w:b/>
          <w:bCs/>
          <w:color w:val="auto"/>
          <w:sz w:val="36"/>
          <w:szCs w:val="32"/>
          <w:highlight w:val="none"/>
        </w:rPr>
      </w:pPr>
    </w:p>
    <w:p w14:paraId="163ED4BA">
      <w:pPr>
        <w:spacing w:line="240" w:lineRule="auto"/>
        <w:jc w:val="both"/>
        <w:rPr>
          <w:rFonts w:hAnsi="宋体"/>
          <w:b/>
          <w:bCs/>
          <w:color w:val="auto"/>
          <w:sz w:val="36"/>
          <w:szCs w:val="32"/>
          <w:highlight w:val="none"/>
        </w:rPr>
        <w:sectPr>
          <w:footerReference r:id="rId6" w:type="default"/>
          <w:endnotePr>
            <w:numFmt w:val="decimal"/>
          </w:endnotePr>
          <w:pgSz w:w="11906" w:h="16838"/>
          <w:pgMar w:top="1417" w:right="1417" w:bottom="1417" w:left="1417" w:header="850" w:footer="992" w:gutter="0"/>
          <w:pgNumType w:start="1"/>
          <w:cols w:space="0" w:num="1"/>
          <w:docGrid w:linePitch="327" w:charSpace="0"/>
        </w:sectPr>
      </w:pPr>
    </w:p>
    <w:p w14:paraId="65C97C1D">
      <w:pPr>
        <w:spacing w:line="240" w:lineRule="auto"/>
        <w:jc w:val="center"/>
        <w:rPr>
          <w:b/>
          <w:bCs/>
          <w:color w:val="auto"/>
          <w:sz w:val="44"/>
          <w:szCs w:val="32"/>
          <w:highlight w:val="none"/>
        </w:rPr>
      </w:pPr>
      <w:r>
        <w:rPr>
          <w:rFonts w:hAnsi="宋体"/>
          <w:b/>
          <w:bCs/>
          <w:color w:val="auto"/>
          <w:sz w:val="36"/>
          <w:szCs w:val="32"/>
          <w:highlight w:val="none"/>
        </w:rPr>
        <w:t>目</w:t>
      </w:r>
      <w:r>
        <w:rPr>
          <w:rFonts w:hint="eastAsia" w:hAnsi="宋体"/>
          <w:b/>
          <w:bCs/>
          <w:color w:val="auto"/>
          <w:sz w:val="36"/>
          <w:szCs w:val="32"/>
          <w:highlight w:val="none"/>
        </w:rPr>
        <w:t xml:space="preserve">  </w:t>
      </w:r>
      <w:r>
        <w:rPr>
          <w:rFonts w:hAnsi="宋体"/>
          <w:b/>
          <w:bCs/>
          <w:color w:val="auto"/>
          <w:sz w:val="36"/>
          <w:szCs w:val="32"/>
          <w:highlight w:val="none"/>
        </w:rPr>
        <w:t>录</w:t>
      </w:r>
    </w:p>
    <w:p w14:paraId="009F34EE">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TOC \o "1-3" \h \u </w:instrText>
      </w:r>
      <w:r>
        <w:rPr>
          <w:rFonts w:hint="eastAsia" w:hAnsi="宋体" w:cs="宋体"/>
          <w:color w:val="auto"/>
          <w:szCs w:val="24"/>
          <w:highlight w:val="none"/>
        </w:rPr>
        <w:fldChar w:fldCharType="separate"/>
      </w: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_Toc18084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_Toc18084 \h </w:instrText>
      </w:r>
      <w:r>
        <w:rPr>
          <w:color w:val="auto"/>
          <w:highlight w:val="none"/>
        </w:rPr>
        <w:fldChar w:fldCharType="separate"/>
      </w:r>
      <w:r>
        <w:rPr>
          <w:color w:val="auto"/>
          <w:highlight w:val="none"/>
        </w:rPr>
        <w:t>1</w:t>
      </w:r>
      <w:r>
        <w:rPr>
          <w:color w:val="auto"/>
          <w:highlight w:val="none"/>
        </w:rPr>
        <w:fldChar w:fldCharType="end"/>
      </w:r>
      <w:r>
        <w:rPr>
          <w:rFonts w:hint="eastAsia" w:hAnsi="宋体" w:cs="宋体"/>
          <w:color w:val="auto"/>
          <w:szCs w:val="24"/>
          <w:highlight w:val="none"/>
        </w:rPr>
        <w:fldChar w:fldCharType="end"/>
      </w:r>
    </w:p>
    <w:p w14:paraId="16CF085D">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_Toc30753 </w:instrText>
      </w:r>
      <w:r>
        <w:rPr>
          <w:rFonts w:hint="eastAsia" w:hAnsi="宋体" w:cs="宋体"/>
          <w:color w:val="auto"/>
          <w:szCs w:val="24"/>
          <w:highlight w:val="none"/>
        </w:rPr>
        <w:fldChar w:fldCharType="separate"/>
      </w:r>
      <w:r>
        <w:rPr>
          <w:rFonts w:hint="eastAsia" w:ascii="Times New Roman"/>
          <w:snapToGrid w:val="0"/>
          <w:color w:val="auto"/>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_Toc30753 \h </w:instrText>
      </w:r>
      <w:r>
        <w:rPr>
          <w:color w:val="auto"/>
          <w:highlight w:val="none"/>
        </w:rPr>
        <w:fldChar w:fldCharType="separate"/>
      </w:r>
      <w:r>
        <w:rPr>
          <w:color w:val="auto"/>
          <w:highlight w:val="none"/>
        </w:rPr>
        <w:t>1</w:t>
      </w:r>
      <w:r>
        <w:rPr>
          <w:color w:val="auto"/>
          <w:highlight w:val="none"/>
        </w:rPr>
        <w:fldChar w:fldCharType="end"/>
      </w:r>
      <w:r>
        <w:rPr>
          <w:rFonts w:hint="eastAsia" w:hAnsi="宋体" w:cs="宋体"/>
          <w:color w:val="auto"/>
          <w:szCs w:val="24"/>
          <w:highlight w:val="none"/>
        </w:rPr>
        <w:fldChar w:fldCharType="end"/>
      </w:r>
    </w:p>
    <w:p w14:paraId="1ACBDDB6">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_Toc1901 </w:instrText>
      </w:r>
      <w:r>
        <w:rPr>
          <w:rFonts w:hint="eastAsia" w:hAnsi="宋体" w:cs="宋体"/>
          <w:color w:val="auto"/>
          <w:szCs w:val="24"/>
          <w:highlight w:val="none"/>
        </w:rPr>
        <w:fldChar w:fldCharType="separate"/>
      </w:r>
      <w:r>
        <w:rPr>
          <w:rFonts w:hint="eastAsia" w:ascii="Times New Roman"/>
          <w:snapToGrid w:val="0"/>
          <w:color w:val="auto"/>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_Toc1901 \h </w:instrText>
      </w:r>
      <w:r>
        <w:rPr>
          <w:color w:val="auto"/>
          <w:highlight w:val="none"/>
        </w:rPr>
        <w:fldChar w:fldCharType="separate"/>
      </w:r>
      <w:r>
        <w:rPr>
          <w:color w:val="auto"/>
          <w:highlight w:val="none"/>
        </w:rPr>
        <w:t>7</w:t>
      </w:r>
      <w:r>
        <w:rPr>
          <w:color w:val="auto"/>
          <w:highlight w:val="none"/>
        </w:rPr>
        <w:fldChar w:fldCharType="end"/>
      </w:r>
      <w:r>
        <w:rPr>
          <w:rFonts w:hint="eastAsia" w:hAnsi="宋体" w:cs="宋体"/>
          <w:color w:val="auto"/>
          <w:szCs w:val="24"/>
          <w:highlight w:val="none"/>
        </w:rPr>
        <w:fldChar w:fldCharType="end"/>
      </w:r>
    </w:p>
    <w:p w14:paraId="1872143C">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_Toc17585 </w:instrText>
      </w:r>
      <w:r>
        <w:rPr>
          <w:rFonts w:hint="eastAsia" w:hAnsi="宋体" w:cs="宋体"/>
          <w:color w:val="auto"/>
          <w:szCs w:val="24"/>
          <w:highlight w:val="none"/>
        </w:rPr>
        <w:fldChar w:fldCharType="separate"/>
      </w:r>
      <w:r>
        <w:rPr>
          <w:rFonts w:hint="eastAsia"/>
          <w:bCs/>
          <w:color w:val="auto"/>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_Toc17585 \h </w:instrText>
      </w:r>
      <w:r>
        <w:rPr>
          <w:color w:val="auto"/>
          <w:highlight w:val="none"/>
        </w:rPr>
        <w:fldChar w:fldCharType="separate"/>
      </w:r>
      <w:r>
        <w:rPr>
          <w:color w:val="auto"/>
          <w:highlight w:val="none"/>
        </w:rPr>
        <w:t>8</w:t>
      </w:r>
      <w:r>
        <w:rPr>
          <w:color w:val="auto"/>
          <w:highlight w:val="none"/>
        </w:rPr>
        <w:fldChar w:fldCharType="end"/>
      </w:r>
      <w:r>
        <w:rPr>
          <w:rFonts w:hint="eastAsia" w:hAnsi="宋体" w:cs="宋体"/>
          <w:color w:val="auto"/>
          <w:szCs w:val="24"/>
          <w:highlight w:val="none"/>
        </w:rPr>
        <w:fldChar w:fldCharType="end"/>
      </w:r>
    </w:p>
    <w:p w14:paraId="3FBAFD0A">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_Toc2079 </w:instrText>
      </w:r>
      <w:r>
        <w:rPr>
          <w:rFonts w:hint="eastAsia" w:hAnsi="宋体" w:cs="宋体"/>
          <w:color w:val="auto"/>
          <w:szCs w:val="24"/>
          <w:highlight w:val="none"/>
        </w:rPr>
        <w:fldChar w:fldCharType="separate"/>
      </w:r>
      <w:r>
        <w:rPr>
          <w:rFonts w:hint="eastAsia"/>
          <w:bCs/>
          <w:snapToGrid w:val="0"/>
          <w:color w:val="auto"/>
          <w:kern w:val="0"/>
          <w:highlight w:val="none"/>
        </w:rPr>
        <w:t>1．项目概况、招标范围和标段划分、投标费用</w:t>
      </w:r>
      <w:r>
        <w:rPr>
          <w:color w:val="auto"/>
          <w:highlight w:val="none"/>
        </w:rPr>
        <w:tab/>
      </w:r>
      <w:r>
        <w:rPr>
          <w:color w:val="auto"/>
          <w:highlight w:val="none"/>
        </w:rPr>
        <w:fldChar w:fldCharType="begin"/>
      </w:r>
      <w:r>
        <w:rPr>
          <w:color w:val="auto"/>
          <w:highlight w:val="none"/>
        </w:rPr>
        <w:instrText xml:space="preserve"> PAGEREF _Toc2079 \h </w:instrText>
      </w:r>
      <w:r>
        <w:rPr>
          <w:color w:val="auto"/>
          <w:highlight w:val="none"/>
        </w:rPr>
        <w:fldChar w:fldCharType="separate"/>
      </w:r>
      <w:r>
        <w:rPr>
          <w:color w:val="auto"/>
          <w:highlight w:val="none"/>
        </w:rPr>
        <w:t>8</w:t>
      </w:r>
      <w:r>
        <w:rPr>
          <w:color w:val="auto"/>
          <w:highlight w:val="none"/>
        </w:rPr>
        <w:fldChar w:fldCharType="end"/>
      </w:r>
      <w:r>
        <w:rPr>
          <w:rFonts w:hint="eastAsia" w:hAnsi="宋体" w:cs="宋体"/>
          <w:color w:val="auto"/>
          <w:szCs w:val="24"/>
          <w:highlight w:val="none"/>
        </w:rPr>
        <w:fldChar w:fldCharType="end"/>
      </w:r>
    </w:p>
    <w:p w14:paraId="01D95707">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_Toc22038 </w:instrText>
      </w:r>
      <w:r>
        <w:rPr>
          <w:rFonts w:hint="eastAsia" w:hAnsi="宋体" w:cs="宋体"/>
          <w:color w:val="auto"/>
          <w:szCs w:val="24"/>
          <w:highlight w:val="none"/>
        </w:rPr>
        <w:fldChar w:fldCharType="separate"/>
      </w:r>
      <w:r>
        <w:rPr>
          <w:rFonts w:hint="eastAsia"/>
          <w:bCs/>
          <w:snapToGrid w:val="0"/>
          <w:color w:val="auto"/>
          <w:kern w:val="0"/>
          <w:highlight w:val="none"/>
        </w:rPr>
        <w:t>2．投标人资格要求</w:t>
      </w:r>
      <w:r>
        <w:rPr>
          <w:color w:val="auto"/>
          <w:highlight w:val="none"/>
        </w:rPr>
        <w:tab/>
      </w:r>
      <w:r>
        <w:rPr>
          <w:color w:val="auto"/>
          <w:highlight w:val="none"/>
        </w:rPr>
        <w:fldChar w:fldCharType="begin"/>
      </w:r>
      <w:r>
        <w:rPr>
          <w:color w:val="auto"/>
          <w:highlight w:val="none"/>
        </w:rPr>
        <w:instrText xml:space="preserve"> PAGEREF _Toc22038 \h </w:instrText>
      </w:r>
      <w:r>
        <w:rPr>
          <w:color w:val="auto"/>
          <w:highlight w:val="none"/>
        </w:rPr>
        <w:fldChar w:fldCharType="separate"/>
      </w:r>
      <w:r>
        <w:rPr>
          <w:color w:val="auto"/>
          <w:highlight w:val="none"/>
        </w:rPr>
        <w:t>8</w:t>
      </w:r>
      <w:r>
        <w:rPr>
          <w:color w:val="auto"/>
          <w:highlight w:val="none"/>
        </w:rPr>
        <w:fldChar w:fldCharType="end"/>
      </w:r>
      <w:r>
        <w:rPr>
          <w:rFonts w:hint="eastAsia" w:hAnsi="宋体" w:cs="宋体"/>
          <w:color w:val="auto"/>
          <w:szCs w:val="24"/>
          <w:highlight w:val="none"/>
        </w:rPr>
        <w:fldChar w:fldCharType="end"/>
      </w:r>
    </w:p>
    <w:p w14:paraId="0DE61D1C">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_Toc17818 </w:instrText>
      </w:r>
      <w:r>
        <w:rPr>
          <w:rFonts w:hint="eastAsia" w:hAnsi="宋体" w:cs="宋体"/>
          <w:color w:val="auto"/>
          <w:szCs w:val="24"/>
          <w:highlight w:val="none"/>
        </w:rPr>
        <w:fldChar w:fldCharType="separate"/>
      </w:r>
      <w:r>
        <w:rPr>
          <w:rFonts w:hint="eastAsia" w:ascii="宋体" w:hAnsi="宋体" w:cs="宋体"/>
          <w:bCs/>
          <w:snapToGrid w:val="0"/>
          <w:color w:val="auto"/>
          <w:kern w:val="0"/>
          <w:highlight w:val="none"/>
        </w:rPr>
        <w:t>3．获取招标文件</w:t>
      </w:r>
      <w:r>
        <w:rPr>
          <w:color w:val="auto"/>
          <w:highlight w:val="none"/>
        </w:rPr>
        <w:tab/>
      </w:r>
      <w:r>
        <w:rPr>
          <w:color w:val="auto"/>
          <w:highlight w:val="none"/>
        </w:rPr>
        <w:fldChar w:fldCharType="begin"/>
      </w:r>
      <w:r>
        <w:rPr>
          <w:color w:val="auto"/>
          <w:highlight w:val="none"/>
        </w:rPr>
        <w:instrText xml:space="preserve"> PAGEREF _Toc17818 \h </w:instrText>
      </w:r>
      <w:r>
        <w:rPr>
          <w:color w:val="auto"/>
          <w:highlight w:val="none"/>
        </w:rPr>
        <w:fldChar w:fldCharType="separate"/>
      </w:r>
      <w:r>
        <w:rPr>
          <w:color w:val="auto"/>
          <w:highlight w:val="none"/>
        </w:rPr>
        <w:t>10</w:t>
      </w:r>
      <w:r>
        <w:rPr>
          <w:color w:val="auto"/>
          <w:highlight w:val="none"/>
        </w:rPr>
        <w:fldChar w:fldCharType="end"/>
      </w:r>
      <w:r>
        <w:rPr>
          <w:rFonts w:hint="eastAsia" w:hAnsi="宋体" w:cs="宋体"/>
          <w:color w:val="auto"/>
          <w:szCs w:val="24"/>
          <w:highlight w:val="none"/>
        </w:rPr>
        <w:fldChar w:fldCharType="end"/>
      </w:r>
    </w:p>
    <w:p w14:paraId="4610E8B4">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_Toc17480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4．服务期限</w:t>
      </w:r>
      <w:r>
        <w:rPr>
          <w:color w:val="auto"/>
          <w:highlight w:val="none"/>
        </w:rPr>
        <w:tab/>
      </w:r>
      <w:r>
        <w:rPr>
          <w:color w:val="auto"/>
          <w:highlight w:val="none"/>
        </w:rPr>
        <w:fldChar w:fldCharType="begin"/>
      </w:r>
      <w:r>
        <w:rPr>
          <w:color w:val="auto"/>
          <w:highlight w:val="none"/>
        </w:rPr>
        <w:instrText xml:space="preserve"> PAGEREF _Toc17480 \h </w:instrText>
      </w:r>
      <w:r>
        <w:rPr>
          <w:color w:val="auto"/>
          <w:highlight w:val="none"/>
        </w:rPr>
        <w:fldChar w:fldCharType="separate"/>
      </w:r>
      <w:r>
        <w:rPr>
          <w:color w:val="auto"/>
          <w:highlight w:val="none"/>
        </w:rPr>
        <w:t>12</w:t>
      </w:r>
      <w:r>
        <w:rPr>
          <w:color w:val="auto"/>
          <w:highlight w:val="none"/>
        </w:rPr>
        <w:fldChar w:fldCharType="end"/>
      </w:r>
      <w:r>
        <w:rPr>
          <w:rFonts w:hint="eastAsia" w:hAnsi="宋体" w:cs="宋体"/>
          <w:color w:val="auto"/>
          <w:szCs w:val="24"/>
          <w:highlight w:val="none"/>
        </w:rPr>
        <w:fldChar w:fldCharType="end"/>
      </w:r>
    </w:p>
    <w:p w14:paraId="13CB2B3C">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_Toc5186 </w:instrText>
      </w:r>
      <w:r>
        <w:rPr>
          <w:rFonts w:hint="eastAsia" w:hAnsi="宋体" w:cs="宋体"/>
          <w:color w:val="auto"/>
          <w:szCs w:val="24"/>
          <w:highlight w:val="none"/>
        </w:rPr>
        <w:fldChar w:fldCharType="separate"/>
      </w:r>
      <w:r>
        <w:rPr>
          <w:rFonts w:hint="eastAsia" w:hAnsi="宋体" w:cs="宋体"/>
          <w:snapToGrid w:val="0"/>
          <w:color w:val="auto"/>
          <w:highlight w:val="none"/>
        </w:rPr>
        <w:t>5．服务标准</w:t>
      </w:r>
      <w:r>
        <w:rPr>
          <w:color w:val="auto"/>
          <w:highlight w:val="none"/>
        </w:rPr>
        <w:tab/>
      </w:r>
      <w:r>
        <w:rPr>
          <w:color w:val="auto"/>
          <w:highlight w:val="none"/>
        </w:rPr>
        <w:fldChar w:fldCharType="begin"/>
      </w:r>
      <w:r>
        <w:rPr>
          <w:color w:val="auto"/>
          <w:highlight w:val="none"/>
        </w:rPr>
        <w:instrText xml:space="preserve"> PAGEREF _Toc5186 \h </w:instrText>
      </w:r>
      <w:r>
        <w:rPr>
          <w:color w:val="auto"/>
          <w:highlight w:val="none"/>
        </w:rPr>
        <w:fldChar w:fldCharType="separate"/>
      </w:r>
      <w:r>
        <w:rPr>
          <w:color w:val="auto"/>
          <w:highlight w:val="none"/>
        </w:rPr>
        <w:t>12</w:t>
      </w:r>
      <w:r>
        <w:rPr>
          <w:color w:val="auto"/>
          <w:highlight w:val="none"/>
        </w:rPr>
        <w:fldChar w:fldCharType="end"/>
      </w:r>
      <w:r>
        <w:rPr>
          <w:rFonts w:hint="eastAsia" w:hAnsi="宋体" w:cs="宋体"/>
          <w:color w:val="auto"/>
          <w:szCs w:val="24"/>
          <w:highlight w:val="none"/>
        </w:rPr>
        <w:fldChar w:fldCharType="end"/>
      </w:r>
    </w:p>
    <w:p w14:paraId="31E7B8B4">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_Toc25908 </w:instrText>
      </w:r>
      <w:r>
        <w:rPr>
          <w:rFonts w:hint="eastAsia" w:hAnsi="宋体" w:cs="宋体"/>
          <w:color w:val="auto"/>
          <w:szCs w:val="24"/>
          <w:highlight w:val="none"/>
        </w:rPr>
        <w:fldChar w:fldCharType="separate"/>
      </w:r>
      <w:r>
        <w:rPr>
          <w:rFonts w:hint="eastAsia" w:hAnsi="宋体" w:cs="宋体"/>
          <w:snapToGrid w:val="0"/>
          <w:color w:val="auto"/>
          <w:highlight w:val="none"/>
        </w:rPr>
        <w:t>6．现场踏勘</w:t>
      </w:r>
      <w:r>
        <w:rPr>
          <w:color w:val="auto"/>
          <w:highlight w:val="none"/>
        </w:rPr>
        <w:tab/>
      </w:r>
      <w:r>
        <w:rPr>
          <w:color w:val="auto"/>
          <w:highlight w:val="none"/>
        </w:rPr>
        <w:fldChar w:fldCharType="begin"/>
      </w:r>
      <w:r>
        <w:rPr>
          <w:color w:val="auto"/>
          <w:highlight w:val="none"/>
        </w:rPr>
        <w:instrText xml:space="preserve"> PAGEREF _Toc25908 \h </w:instrText>
      </w:r>
      <w:r>
        <w:rPr>
          <w:color w:val="auto"/>
          <w:highlight w:val="none"/>
        </w:rPr>
        <w:fldChar w:fldCharType="separate"/>
      </w:r>
      <w:r>
        <w:rPr>
          <w:color w:val="auto"/>
          <w:highlight w:val="none"/>
        </w:rPr>
        <w:t>12</w:t>
      </w:r>
      <w:r>
        <w:rPr>
          <w:color w:val="auto"/>
          <w:highlight w:val="none"/>
        </w:rPr>
        <w:fldChar w:fldCharType="end"/>
      </w:r>
      <w:r>
        <w:rPr>
          <w:rFonts w:hint="eastAsia" w:hAnsi="宋体" w:cs="宋体"/>
          <w:color w:val="auto"/>
          <w:szCs w:val="24"/>
          <w:highlight w:val="none"/>
        </w:rPr>
        <w:fldChar w:fldCharType="end"/>
      </w:r>
    </w:p>
    <w:p w14:paraId="5A951E19">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_Toc231 </w:instrText>
      </w:r>
      <w:r>
        <w:rPr>
          <w:rFonts w:hint="eastAsia" w:hAnsi="宋体" w:cs="宋体"/>
          <w:color w:val="auto"/>
          <w:szCs w:val="24"/>
          <w:highlight w:val="none"/>
        </w:rPr>
        <w:fldChar w:fldCharType="separate"/>
      </w:r>
      <w:r>
        <w:rPr>
          <w:rFonts w:hint="eastAsia" w:hAnsi="宋体" w:cs="宋体"/>
          <w:snapToGrid w:val="0"/>
          <w:color w:val="auto"/>
          <w:highlight w:val="none"/>
        </w:rPr>
        <w:t>7．招标文件的提问和答疑</w:t>
      </w:r>
      <w:r>
        <w:rPr>
          <w:color w:val="auto"/>
          <w:highlight w:val="none"/>
        </w:rPr>
        <w:tab/>
      </w:r>
      <w:r>
        <w:rPr>
          <w:color w:val="auto"/>
          <w:highlight w:val="none"/>
        </w:rPr>
        <w:fldChar w:fldCharType="begin"/>
      </w:r>
      <w:r>
        <w:rPr>
          <w:color w:val="auto"/>
          <w:highlight w:val="none"/>
        </w:rPr>
        <w:instrText xml:space="preserve"> PAGEREF _Toc231 \h </w:instrText>
      </w:r>
      <w:r>
        <w:rPr>
          <w:color w:val="auto"/>
          <w:highlight w:val="none"/>
        </w:rPr>
        <w:fldChar w:fldCharType="separate"/>
      </w:r>
      <w:r>
        <w:rPr>
          <w:color w:val="auto"/>
          <w:highlight w:val="none"/>
        </w:rPr>
        <w:t>13</w:t>
      </w:r>
      <w:r>
        <w:rPr>
          <w:color w:val="auto"/>
          <w:highlight w:val="none"/>
        </w:rPr>
        <w:fldChar w:fldCharType="end"/>
      </w:r>
      <w:r>
        <w:rPr>
          <w:rFonts w:hint="eastAsia" w:hAnsi="宋体" w:cs="宋体"/>
          <w:color w:val="auto"/>
          <w:szCs w:val="24"/>
          <w:highlight w:val="none"/>
        </w:rPr>
        <w:fldChar w:fldCharType="end"/>
      </w:r>
    </w:p>
    <w:p w14:paraId="3408CEBA">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_Toc20134 </w:instrText>
      </w:r>
      <w:r>
        <w:rPr>
          <w:rFonts w:hint="eastAsia" w:hAnsi="宋体" w:cs="宋体"/>
          <w:color w:val="auto"/>
          <w:szCs w:val="24"/>
          <w:highlight w:val="none"/>
        </w:rPr>
        <w:fldChar w:fldCharType="separate"/>
      </w:r>
      <w:r>
        <w:rPr>
          <w:rFonts w:hint="eastAsia" w:hAnsi="宋体" w:cs="宋体"/>
          <w:snapToGrid w:val="0"/>
          <w:color w:val="auto"/>
          <w:highlight w:val="none"/>
        </w:rPr>
        <w:t>8．最高投标限价</w:t>
      </w:r>
      <w:r>
        <w:rPr>
          <w:color w:val="auto"/>
          <w:highlight w:val="none"/>
        </w:rPr>
        <w:tab/>
      </w:r>
      <w:r>
        <w:rPr>
          <w:color w:val="auto"/>
          <w:highlight w:val="none"/>
        </w:rPr>
        <w:fldChar w:fldCharType="begin"/>
      </w:r>
      <w:r>
        <w:rPr>
          <w:color w:val="auto"/>
          <w:highlight w:val="none"/>
        </w:rPr>
        <w:instrText xml:space="preserve"> PAGEREF _Toc20134 \h </w:instrText>
      </w:r>
      <w:r>
        <w:rPr>
          <w:color w:val="auto"/>
          <w:highlight w:val="none"/>
        </w:rPr>
        <w:fldChar w:fldCharType="separate"/>
      </w:r>
      <w:r>
        <w:rPr>
          <w:color w:val="auto"/>
          <w:highlight w:val="none"/>
        </w:rPr>
        <w:t>13</w:t>
      </w:r>
      <w:r>
        <w:rPr>
          <w:color w:val="auto"/>
          <w:highlight w:val="none"/>
        </w:rPr>
        <w:fldChar w:fldCharType="end"/>
      </w:r>
      <w:r>
        <w:rPr>
          <w:rFonts w:hint="eastAsia" w:hAnsi="宋体" w:cs="宋体"/>
          <w:color w:val="auto"/>
          <w:szCs w:val="24"/>
          <w:highlight w:val="none"/>
        </w:rPr>
        <w:fldChar w:fldCharType="end"/>
      </w:r>
    </w:p>
    <w:p w14:paraId="6BC611BF">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_Toc23956 </w:instrText>
      </w:r>
      <w:r>
        <w:rPr>
          <w:rFonts w:hint="eastAsia" w:hAnsi="宋体" w:cs="宋体"/>
          <w:color w:val="auto"/>
          <w:szCs w:val="24"/>
          <w:highlight w:val="none"/>
        </w:rPr>
        <w:fldChar w:fldCharType="separate"/>
      </w:r>
      <w:r>
        <w:rPr>
          <w:rFonts w:hint="eastAsia" w:hAnsi="宋体" w:cs="宋体"/>
          <w:snapToGrid w:val="0"/>
          <w:color w:val="auto"/>
          <w:highlight w:val="none"/>
        </w:rPr>
        <w:t>9．投标报价</w:t>
      </w:r>
      <w:r>
        <w:rPr>
          <w:color w:val="auto"/>
          <w:highlight w:val="none"/>
        </w:rPr>
        <w:tab/>
      </w:r>
      <w:r>
        <w:rPr>
          <w:color w:val="auto"/>
          <w:highlight w:val="none"/>
        </w:rPr>
        <w:fldChar w:fldCharType="begin"/>
      </w:r>
      <w:r>
        <w:rPr>
          <w:color w:val="auto"/>
          <w:highlight w:val="none"/>
        </w:rPr>
        <w:instrText xml:space="preserve"> PAGEREF _Toc23956 \h </w:instrText>
      </w:r>
      <w:r>
        <w:rPr>
          <w:color w:val="auto"/>
          <w:highlight w:val="none"/>
        </w:rPr>
        <w:fldChar w:fldCharType="separate"/>
      </w:r>
      <w:r>
        <w:rPr>
          <w:color w:val="auto"/>
          <w:highlight w:val="none"/>
        </w:rPr>
        <w:t>13</w:t>
      </w:r>
      <w:r>
        <w:rPr>
          <w:color w:val="auto"/>
          <w:highlight w:val="none"/>
        </w:rPr>
        <w:fldChar w:fldCharType="end"/>
      </w:r>
      <w:r>
        <w:rPr>
          <w:rFonts w:hint="eastAsia" w:hAnsi="宋体" w:cs="宋体"/>
          <w:color w:val="auto"/>
          <w:szCs w:val="24"/>
          <w:highlight w:val="none"/>
        </w:rPr>
        <w:fldChar w:fldCharType="end"/>
      </w:r>
    </w:p>
    <w:p w14:paraId="4568C7C4">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_Toc30777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10．投标文件的编制要求</w:t>
      </w:r>
      <w:r>
        <w:rPr>
          <w:color w:val="auto"/>
          <w:highlight w:val="none"/>
        </w:rPr>
        <w:tab/>
      </w:r>
      <w:r>
        <w:rPr>
          <w:color w:val="auto"/>
          <w:highlight w:val="none"/>
        </w:rPr>
        <w:fldChar w:fldCharType="begin"/>
      </w:r>
      <w:r>
        <w:rPr>
          <w:color w:val="auto"/>
          <w:highlight w:val="none"/>
        </w:rPr>
        <w:instrText xml:space="preserve"> PAGEREF _Toc30777 \h </w:instrText>
      </w:r>
      <w:r>
        <w:rPr>
          <w:color w:val="auto"/>
          <w:highlight w:val="none"/>
        </w:rPr>
        <w:fldChar w:fldCharType="separate"/>
      </w:r>
      <w:r>
        <w:rPr>
          <w:color w:val="auto"/>
          <w:highlight w:val="none"/>
        </w:rPr>
        <w:t>14</w:t>
      </w:r>
      <w:r>
        <w:rPr>
          <w:color w:val="auto"/>
          <w:highlight w:val="none"/>
        </w:rPr>
        <w:fldChar w:fldCharType="end"/>
      </w:r>
      <w:r>
        <w:rPr>
          <w:rFonts w:hint="eastAsia" w:hAnsi="宋体" w:cs="宋体"/>
          <w:color w:val="auto"/>
          <w:szCs w:val="24"/>
          <w:highlight w:val="none"/>
        </w:rPr>
        <w:fldChar w:fldCharType="end"/>
      </w:r>
    </w:p>
    <w:p w14:paraId="10B13E43">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_Toc558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11．电子投标</w:t>
      </w:r>
      <w:r>
        <w:rPr>
          <w:color w:val="auto"/>
          <w:highlight w:val="none"/>
        </w:rPr>
        <w:tab/>
      </w:r>
      <w:r>
        <w:rPr>
          <w:color w:val="auto"/>
          <w:highlight w:val="none"/>
        </w:rPr>
        <w:fldChar w:fldCharType="begin"/>
      </w:r>
      <w:r>
        <w:rPr>
          <w:color w:val="auto"/>
          <w:highlight w:val="none"/>
        </w:rPr>
        <w:instrText xml:space="preserve"> PAGEREF _Toc558 \h </w:instrText>
      </w:r>
      <w:r>
        <w:rPr>
          <w:color w:val="auto"/>
          <w:highlight w:val="none"/>
        </w:rPr>
        <w:fldChar w:fldCharType="separate"/>
      </w:r>
      <w:r>
        <w:rPr>
          <w:color w:val="auto"/>
          <w:highlight w:val="none"/>
        </w:rPr>
        <w:t>17</w:t>
      </w:r>
      <w:r>
        <w:rPr>
          <w:color w:val="auto"/>
          <w:highlight w:val="none"/>
        </w:rPr>
        <w:fldChar w:fldCharType="end"/>
      </w:r>
      <w:r>
        <w:rPr>
          <w:rFonts w:hint="eastAsia" w:hAnsi="宋体" w:cs="宋体"/>
          <w:color w:val="auto"/>
          <w:szCs w:val="24"/>
          <w:highlight w:val="none"/>
        </w:rPr>
        <w:fldChar w:fldCharType="end"/>
      </w:r>
    </w:p>
    <w:p w14:paraId="373CBDE2">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_Toc1554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12. 投标文件的提交</w:t>
      </w:r>
      <w:r>
        <w:rPr>
          <w:color w:val="auto"/>
          <w:highlight w:val="none"/>
        </w:rPr>
        <w:tab/>
      </w:r>
      <w:r>
        <w:rPr>
          <w:color w:val="auto"/>
          <w:highlight w:val="none"/>
        </w:rPr>
        <w:fldChar w:fldCharType="begin"/>
      </w:r>
      <w:r>
        <w:rPr>
          <w:color w:val="auto"/>
          <w:highlight w:val="none"/>
        </w:rPr>
        <w:instrText xml:space="preserve"> PAGEREF _Toc1554 \h </w:instrText>
      </w:r>
      <w:r>
        <w:rPr>
          <w:color w:val="auto"/>
          <w:highlight w:val="none"/>
        </w:rPr>
        <w:fldChar w:fldCharType="separate"/>
      </w:r>
      <w:r>
        <w:rPr>
          <w:color w:val="auto"/>
          <w:highlight w:val="none"/>
        </w:rPr>
        <w:t>18</w:t>
      </w:r>
      <w:r>
        <w:rPr>
          <w:color w:val="auto"/>
          <w:highlight w:val="none"/>
        </w:rPr>
        <w:fldChar w:fldCharType="end"/>
      </w:r>
      <w:r>
        <w:rPr>
          <w:rFonts w:hint="eastAsia" w:hAnsi="宋体" w:cs="宋体"/>
          <w:color w:val="auto"/>
          <w:szCs w:val="24"/>
          <w:highlight w:val="none"/>
        </w:rPr>
        <w:fldChar w:fldCharType="end"/>
      </w:r>
    </w:p>
    <w:p w14:paraId="6B346C61">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_Toc18132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13．投标有效期</w:t>
      </w:r>
      <w:r>
        <w:rPr>
          <w:color w:val="auto"/>
          <w:highlight w:val="none"/>
        </w:rPr>
        <w:tab/>
      </w:r>
      <w:r>
        <w:rPr>
          <w:color w:val="auto"/>
          <w:highlight w:val="none"/>
        </w:rPr>
        <w:fldChar w:fldCharType="begin"/>
      </w:r>
      <w:r>
        <w:rPr>
          <w:color w:val="auto"/>
          <w:highlight w:val="none"/>
        </w:rPr>
        <w:instrText xml:space="preserve"> PAGEREF _Toc18132 \h </w:instrText>
      </w:r>
      <w:r>
        <w:rPr>
          <w:color w:val="auto"/>
          <w:highlight w:val="none"/>
        </w:rPr>
        <w:fldChar w:fldCharType="separate"/>
      </w:r>
      <w:r>
        <w:rPr>
          <w:color w:val="auto"/>
          <w:highlight w:val="none"/>
        </w:rPr>
        <w:t>18</w:t>
      </w:r>
      <w:r>
        <w:rPr>
          <w:color w:val="auto"/>
          <w:highlight w:val="none"/>
        </w:rPr>
        <w:fldChar w:fldCharType="end"/>
      </w:r>
      <w:r>
        <w:rPr>
          <w:rFonts w:hint="eastAsia" w:hAnsi="宋体" w:cs="宋体"/>
          <w:color w:val="auto"/>
          <w:szCs w:val="24"/>
          <w:highlight w:val="none"/>
        </w:rPr>
        <w:fldChar w:fldCharType="end"/>
      </w:r>
    </w:p>
    <w:p w14:paraId="53893581">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_Toc18995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14．开标</w:t>
      </w:r>
      <w:r>
        <w:rPr>
          <w:color w:val="auto"/>
          <w:highlight w:val="none"/>
        </w:rPr>
        <w:tab/>
      </w:r>
      <w:r>
        <w:rPr>
          <w:color w:val="auto"/>
          <w:highlight w:val="none"/>
        </w:rPr>
        <w:fldChar w:fldCharType="begin"/>
      </w:r>
      <w:r>
        <w:rPr>
          <w:color w:val="auto"/>
          <w:highlight w:val="none"/>
        </w:rPr>
        <w:instrText xml:space="preserve"> PAGEREF _Toc18995 \h </w:instrText>
      </w:r>
      <w:r>
        <w:rPr>
          <w:color w:val="auto"/>
          <w:highlight w:val="none"/>
        </w:rPr>
        <w:fldChar w:fldCharType="separate"/>
      </w:r>
      <w:r>
        <w:rPr>
          <w:color w:val="auto"/>
          <w:highlight w:val="none"/>
        </w:rPr>
        <w:t>18</w:t>
      </w:r>
      <w:r>
        <w:rPr>
          <w:color w:val="auto"/>
          <w:highlight w:val="none"/>
        </w:rPr>
        <w:fldChar w:fldCharType="end"/>
      </w:r>
      <w:r>
        <w:rPr>
          <w:rFonts w:hint="eastAsia" w:hAnsi="宋体" w:cs="宋体"/>
          <w:color w:val="auto"/>
          <w:szCs w:val="24"/>
          <w:highlight w:val="none"/>
        </w:rPr>
        <w:fldChar w:fldCharType="end"/>
      </w:r>
    </w:p>
    <w:p w14:paraId="1CF8FEDB">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_Toc11859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15．评标</w:t>
      </w:r>
      <w:r>
        <w:rPr>
          <w:color w:val="auto"/>
          <w:highlight w:val="none"/>
        </w:rPr>
        <w:tab/>
      </w:r>
      <w:r>
        <w:rPr>
          <w:color w:val="auto"/>
          <w:highlight w:val="none"/>
        </w:rPr>
        <w:fldChar w:fldCharType="begin"/>
      </w:r>
      <w:r>
        <w:rPr>
          <w:color w:val="auto"/>
          <w:highlight w:val="none"/>
        </w:rPr>
        <w:instrText xml:space="preserve"> PAGEREF _Toc11859 \h </w:instrText>
      </w:r>
      <w:r>
        <w:rPr>
          <w:color w:val="auto"/>
          <w:highlight w:val="none"/>
        </w:rPr>
        <w:fldChar w:fldCharType="separate"/>
      </w:r>
      <w:r>
        <w:rPr>
          <w:color w:val="auto"/>
          <w:highlight w:val="none"/>
        </w:rPr>
        <w:t>20</w:t>
      </w:r>
      <w:r>
        <w:rPr>
          <w:color w:val="auto"/>
          <w:highlight w:val="none"/>
        </w:rPr>
        <w:fldChar w:fldCharType="end"/>
      </w:r>
      <w:r>
        <w:rPr>
          <w:rFonts w:hint="eastAsia" w:hAnsi="宋体" w:cs="宋体"/>
          <w:color w:val="auto"/>
          <w:szCs w:val="24"/>
          <w:highlight w:val="none"/>
        </w:rPr>
        <w:fldChar w:fldCharType="end"/>
      </w:r>
    </w:p>
    <w:p w14:paraId="7557C1E4">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_Toc14762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16．推荐中标候选人</w:t>
      </w:r>
      <w:r>
        <w:rPr>
          <w:color w:val="auto"/>
          <w:highlight w:val="none"/>
        </w:rPr>
        <w:tab/>
      </w:r>
      <w:r>
        <w:rPr>
          <w:color w:val="auto"/>
          <w:highlight w:val="none"/>
        </w:rPr>
        <w:fldChar w:fldCharType="begin"/>
      </w:r>
      <w:r>
        <w:rPr>
          <w:color w:val="auto"/>
          <w:highlight w:val="none"/>
        </w:rPr>
        <w:instrText xml:space="preserve"> PAGEREF _Toc14762 \h </w:instrText>
      </w:r>
      <w:r>
        <w:rPr>
          <w:color w:val="auto"/>
          <w:highlight w:val="none"/>
        </w:rPr>
        <w:fldChar w:fldCharType="separate"/>
      </w:r>
      <w:r>
        <w:rPr>
          <w:color w:val="auto"/>
          <w:highlight w:val="none"/>
        </w:rPr>
        <w:t>29</w:t>
      </w:r>
      <w:r>
        <w:rPr>
          <w:color w:val="auto"/>
          <w:highlight w:val="none"/>
        </w:rPr>
        <w:fldChar w:fldCharType="end"/>
      </w:r>
      <w:r>
        <w:rPr>
          <w:rFonts w:hint="eastAsia" w:hAnsi="宋体" w:cs="宋体"/>
          <w:color w:val="auto"/>
          <w:szCs w:val="24"/>
          <w:highlight w:val="none"/>
        </w:rPr>
        <w:fldChar w:fldCharType="end"/>
      </w:r>
    </w:p>
    <w:p w14:paraId="0C3F008E">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_Toc10545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17．中标候选人公示</w:t>
      </w:r>
      <w:r>
        <w:rPr>
          <w:color w:val="auto"/>
          <w:highlight w:val="none"/>
        </w:rPr>
        <w:tab/>
      </w:r>
      <w:r>
        <w:rPr>
          <w:color w:val="auto"/>
          <w:highlight w:val="none"/>
        </w:rPr>
        <w:fldChar w:fldCharType="begin"/>
      </w:r>
      <w:r>
        <w:rPr>
          <w:color w:val="auto"/>
          <w:highlight w:val="none"/>
        </w:rPr>
        <w:instrText xml:space="preserve"> PAGEREF _Toc10545 \h </w:instrText>
      </w:r>
      <w:r>
        <w:rPr>
          <w:color w:val="auto"/>
          <w:highlight w:val="none"/>
        </w:rPr>
        <w:fldChar w:fldCharType="separate"/>
      </w:r>
      <w:r>
        <w:rPr>
          <w:color w:val="auto"/>
          <w:highlight w:val="none"/>
        </w:rPr>
        <w:t>29</w:t>
      </w:r>
      <w:r>
        <w:rPr>
          <w:color w:val="auto"/>
          <w:highlight w:val="none"/>
        </w:rPr>
        <w:fldChar w:fldCharType="end"/>
      </w:r>
      <w:r>
        <w:rPr>
          <w:rFonts w:hint="eastAsia" w:hAnsi="宋体" w:cs="宋体"/>
          <w:color w:val="auto"/>
          <w:szCs w:val="24"/>
          <w:highlight w:val="none"/>
        </w:rPr>
        <w:fldChar w:fldCharType="end"/>
      </w:r>
    </w:p>
    <w:p w14:paraId="73C696B6">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_Toc15333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_Toc15333 \h </w:instrText>
      </w:r>
      <w:r>
        <w:rPr>
          <w:color w:val="auto"/>
          <w:highlight w:val="none"/>
        </w:rPr>
        <w:fldChar w:fldCharType="separate"/>
      </w:r>
      <w:r>
        <w:rPr>
          <w:color w:val="auto"/>
          <w:highlight w:val="none"/>
        </w:rPr>
        <w:t>30</w:t>
      </w:r>
      <w:r>
        <w:rPr>
          <w:color w:val="auto"/>
          <w:highlight w:val="none"/>
        </w:rPr>
        <w:fldChar w:fldCharType="end"/>
      </w:r>
      <w:r>
        <w:rPr>
          <w:rFonts w:hint="eastAsia" w:hAnsi="宋体" w:cs="宋体"/>
          <w:color w:val="auto"/>
          <w:szCs w:val="24"/>
          <w:highlight w:val="none"/>
        </w:rPr>
        <w:fldChar w:fldCharType="end"/>
      </w:r>
    </w:p>
    <w:p w14:paraId="3C70CC36">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_Toc24092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1．资格评审环节</w:t>
      </w:r>
      <w:r>
        <w:rPr>
          <w:color w:val="auto"/>
          <w:highlight w:val="none"/>
        </w:rPr>
        <w:tab/>
      </w:r>
      <w:r>
        <w:rPr>
          <w:color w:val="auto"/>
          <w:highlight w:val="none"/>
        </w:rPr>
        <w:fldChar w:fldCharType="begin"/>
      </w:r>
      <w:r>
        <w:rPr>
          <w:color w:val="auto"/>
          <w:highlight w:val="none"/>
        </w:rPr>
        <w:instrText xml:space="preserve"> PAGEREF _Toc24092 \h </w:instrText>
      </w:r>
      <w:r>
        <w:rPr>
          <w:color w:val="auto"/>
          <w:highlight w:val="none"/>
        </w:rPr>
        <w:fldChar w:fldCharType="separate"/>
      </w:r>
      <w:r>
        <w:rPr>
          <w:color w:val="auto"/>
          <w:highlight w:val="none"/>
        </w:rPr>
        <w:t>30</w:t>
      </w:r>
      <w:r>
        <w:rPr>
          <w:color w:val="auto"/>
          <w:highlight w:val="none"/>
        </w:rPr>
        <w:fldChar w:fldCharType="end"/>
      </w:r>
      <w:r>
        <w:rPr>
          <w:rFonts w:hint="eastAsia" w:hAnsi="宋体" w:cs="宋体"/>
          <w:color w:val="auto"/>
          <w:szCs w:val="24"/>
          <w:highlight w:val="none"/>
        </w:rPr>
        <w:fldChar w:fldCharType="end"/>
      </w:r>
    </w:p>
    <w:p w14:paraId="19CA5249">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_Toc11759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2．形式评审环节</w:t>
      </w:r>
      <w:r>
        <w:rPr>
          <w:color w:val="auto"/>
          <w:highlight w:val="none"/>
        </w:rPr>
        <w:tab/>
      </w:r>
      <w:r>
        <w:rPr>
          <w:color w:val="auto"/>
          <w:highlight w:val="none"/>
        </w:rPr>
        <w:fldChar w:fldCharType="begin"/>
      </w:r>
      <w:r>
        <w:rPr>
          <w:color w:val="auto"/>
          <w:highlight w:val="none"/>
        </w:rPr>
        <w:instrText xml:space="preserve"> PAGEREF _Toc11759 \h </w:instrText>
      </w:r>
      <w:r>
        <w:rPr>
          <w:color w:val="auto"/>
          <w:highlight w:val="none"/>
        </w:rPr>
        <w:fldChar w:fldCharType="separate"/>
      </w:r>
      <w:r>
        <w:rPr>
          <w:color w:val="auto"/>
          <w:highlight w:val="none"/>
        </w:rPr>
        <w:t>31</w:t>
      </w:r>
      <w:r>
        <w:rPr>
          <w:color w:val="auto"/>
          <w:highlight w:val="none"/>
        </w:rPr>
        <w:fldChar w:fldCharType="end"/>
      </w:r>
      <w:r>
        <w:rPr>
          <w:rFonts w:hint="eastAsia" w:hAnsi="宋体" w:cs="宋体"/>
          <w:color w:val="auto"/>
          <w:szCs w:val="24"/>
          <w:highlight w:val="none"/>
        </w:rPr>
        <w:fldChar w:fldCharType="end"/>
      </w:r>
    </w:p>
    <w:p w14:paraId="4BD1A971">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_Toc2750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_Toc2750 \h </w:instrText>
      </w:r>
      <w:r>
        <w:rPr>
          <w:color w:val="auto"/>
          <w:highlight w:val="none"/>
        </w:rPr>
        <w:fldChar w:fldCharType="separate"/>
      </w:r>
      <w:r>
        <w:rPr>
          <w:color w:val="auto"/>
          <w:highlight w:val="none"/>
        </w:rPr>
        <w:t>31</w:t>
      </w:r>
      <w:r>
        <w:rPr>
          <w:color w:val="auto"/>
          <w:highlight w:val="none"/>
        </w:rPr>
        <w:fldChar w:fldCharType="end"/>
      </w:r>
      <w:r>
        <w:rPr>
          <w:rFonts w:hint="eastAsia" w:hAnsi="宋体" w:cs="宋体"/>
          <w:color w:val="auto"/>
          <w:szCs w:val="24"/>
          <w:highlight w:val="none"/>
        </w:rPr>
        <w:fldChar w:fldCharType="end"/>
      </w:r>
    </w:p>
    <w:p w14:paraId="258DEC69">
      <w:pPr>
        <w:pStyle w:val="14"/>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_Toc108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4．其他</w:t>
      </w:r>
      <w:r>
        <w:rPr>
          <w:color w:val="auto"/>
          <w:highlight w:val="none"/>
        </w:rPr>
        <w:tab/>
      </w:r>
      <w:r>
        <w:rPr>
          <w:color w:val="auto"/>
          <w:highlight w:val="none"/>
        </w:rPr>
        <w:fldChar w:fldCharType="begin"/>
      </w:r>
      <w:r>
        <w:rPr>
          <w:color w:val="auto"/>
          <w:highlight w:val="none"/>
        </w:rPr>
        <w:instrText xml:space="preserve"> PAGEREF _Toc108 \h </w:instrText>
      </w:r>
      <w:r>
        <w:rPr>
          <w:color w:val="auto"/>
          <w:highlight w:val="none"/>
        </w:rPr>
        <w:fldChar w:fldCharType="separate"/>
      </w:r>
      <w:r>
        <w:rPr>
          <w:color w:val="auto"/>
          <w:highlight w:val="none"/>
        </w:rPr>
        <w:t>32</w:t>
      </w:r>
      <w:r>
        <w:rPr>
          <w:color w:val="auto"/>
          <w:highlight w:val="none"/>
        </w:rPr>
        <w:fldChar w:fldCharType="end"/>
      </w:r>
      <w:r>
        <w:rPr>
          <w:rFonts w:hint="eastAsia" w:hAnsi="宋体" w:cs="宋体"/>
          <w:color w:val="auto"/>
          <w:szCs w:val="24"/>
          <w:highlight w:val="none"/>
        </w:rPr>
        <w:fldChar w:fldCharType="end"/>
      </w:r>
    </w:p>
    <w:p w14:paraId="3485E288">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_Toc26691 </w:instrText>
      </w:r>
      <w:r>
        <w:rPr>
          <w:rFonts w:hint="eastAsia" w:hAnsi="宋体" w:cs="宋体"/>
          <w:color w:val="auto"/>
          <w:szCs w:val="24"/>
          <w:highlight w:val="none"/>
        </w:rPr>
        <w:fldChar w:fldCharType="separate"/>
      </w:r>
      <w:r>
        <w:rPr>
          <w:rFonts w:hint="eastAsia" w:hAnsi="宋体" w:cs="宋体"/>
          <w:snapToGrid w:val="0"/>
          <w:color w:val="auto"/>
          <w:szCs w:val="22"/>
          <w:highlight w:val="none"/>
        </w:rPr>
        <w:t>第二章 中标人须知</w:t>
      </w:r>
      <w:r>
        <w:rPr>
          <w:color w:val="auto"/>
          <w:highlight w:val="none"/>
        </w:rPr>
        <w:tab/>
      </w:r>
      <w:r>
        <w:rPr>
          <w:color w:val="auto"/>
          <w:highlight w:val="none"/>
        </w:rPr>
        <w:fldChar w:fldCharType="begin"/>
      </w:r>
      <w:r>
        <w:rPr>
          <w:color w:val="auto"/>
          <w:highlight w:val="none"/>
        </w:rPr>
        <w:instrText xml:space="preserve"> PAGEREF _Toc26691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2EB58A37">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_Toc20100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1．中标通知书</w:t>
      </w:r>
      <w:r>
        <w:rPr>
          <w:color w:val="auto"/>
          <w:highlight w:val="none"/>
        </w:rPr>
        <w:tab/>
      </w:r>
      <w:r>
        <w:rPr>
          <w:color w:val="auto"/>
          <w:highlight w:val="none"/>
        </w:rPr>
        <w:fldChar w:fldCharType="begin"/>
      </w:r>
      <w:r>
        <w:rPr>
          <w:color w:val="auto"/>
          <w:highlight w:val="none"/>
        </w:rPr>
        <w:instrText xml:space="preserve"> PAGEREF _Toc20100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7BC50C95">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_Toc6432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2．中标结果公示</w:t>
      </w:r>
      <w:r>
        <w:rPr>
          <w:color w:val="auto"/>
          <w:highlight w:val="none"/>
        </w:rPr>
        <w:tab/>
      </w:r>
      <w:r>
        <w:rPr>
          <w:color w:val="auto"/>
          <w:highlight w:val="none"/>
        </w:rPr>
        <w:fldChar w:fldCharType="begin"/>
      </w:r>
      <w:r>
        <w:rPr>
          <w:color w:val="auto"/>
          <w:highlight w:val="none"/>
        </w:rPr>
        <w:instrText xml:space="preserve"> PAGEREF _Toc6432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2DDAD47A">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_Toc32035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3</w:t>
      </w:r>
      <w:r>
        <w:rPr>
          <w:rFonts w:hint="eastAsia" w:hAnsi="宋体" w:cs="宋体"/>
          <w:bCs/>
          <w:snapToGrid w:val="0"/>
          <w:color w:val="auto"/>
          <w:kern w:val="0"/>
          <w:szCs w:val="24"/>
          <w:highlight w:val="none"/>
        </w:rPr>
        <w:t>．合同订立</w:t>
      </w:r>
      <w:r>
        <w:rPr>
          <w:color w:val="auto"/>
          <w:highlight w:val="none"/>
        </w:rPr>
        <w:tab/>
      </w:r>
      <w:r>
        <w:rPr>
          <w:color w:val="auto"/>
          <w:highlight w:val="none"/>
        </w:rPr>
        <w:fldChar w:fldCharType="begin"/>
      </w:r>
      <w:r>
        <w:rPr>
          <w:color w:val="auto"/>
          <w:highlight w:val="none"/>
        </w:rPr>
        <w:instrText xml:space="preserve"> PAGEREF _Toc32035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7AD4ED23">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_Toc4554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4</w:t>
      </w:r>
      <w:r>
        <w:rPr>
          <w:rFonts w:hint="eastAsia" w:hAnsi="宋体" w:cs="宋体"/>
          <w:bCs/>
          <w:snapToGrid w:val="0"/>
          <w:color w:val="auto"/>
          <w:kern w:val="0"/>
          <w:szCs w:val="24"/>
          <w:highlight w:val="none"/>
        </w:rPr>
        <w:t>．放弃中标的处理</w:t>
      </w:r>
      <w:r>
        <w:rPr>
          <w:color w:val="auto"/>
          <w:highlight w:val="none"/>
        </w:rPr>
        <w:tab/>
      </w:r>
      <w:r>
        <w:rPr>
          <w:color w:val="auto"/>
          <w:highlight w:val="none"/>
        </w:rPr>
        <w:fldChar w:fldCharType="begin"/>
      </w:r>
      <w:r>
        <w:rPr>
          <w:color w:val="auto"/>
          <w:highlight w:val="none"/>
        </w:rPr>
        <w:instrText xml:space="preserve"> PAGEREF _Toc4554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0876E8C5">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_Toc11571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5</w:t>
      </w:r>
      <w:r>
        <w:rPr>
          <w:rFonts w:hint="eastAsia" w:hAnsi="宋体" w:cs="宋体"/>
          <w:bCs/>
          <w:snapToGrid w:val="0"/>
          <w:color w:val="auto"/>
          <w:kern w:val="0"/>
          <w:szCs w:val="24"/>
          <w:highlight w:val="none"/>
        </w:rPr>
        <w:t>．分包</w:t>
      </w:r>
      <w:r>
        <w:rPr>
          <w:color w:val="auto"/>
          <w:highlight w:val="none"/>
        </w:rPr>
        <w:tab/>
      </w:r>
      <w:r>
        <w:rPr>
          <w:color w:val="auto"/>
          <w:highlight w:val="none"/>
        </w:rPr>
        <w:fldChar w:fldCharType="begin"/>
      </w:r>
      <w:r>
        <w:rPr>
          <w:color w:val="auto"/>
          <w:highlight w:val="none"/>
        </w:rPr>
        <w:instrText xml:space="preserve"> PAGEREF _Toc11571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24"/>
          <w:highlight w:val="none"/>
        </w:rPr>
        <w:fldChar w:fldCharType="end"/>
      </w:r>
    </w:p>
    <w:p w14:paraId="47D45AFB">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_Toc15497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6</w:t>
      </w:r>
      <w:r>
        <w:rPr>
          <w:rFonts w:hint="eastAsia" w:hAnsi="宋体" w:cs="宋体"/>
          <w:bCs/>
          <w:snapToGrid w:val="0"/>
          <w:color w:val="auto"/>
          <w:kern w:val="0"/>
          <w:szCs w:val="24"/>
          <w:highlight w:val="none"/>
        </w:rPr>
        <w:t>．监理服务期限</w:t>
      </w:r>
      <w:r>
        <w:rPr>
          <w:color w:val="auto"/>
          <w:highlight w:val="none"/>
        </w:rPr>
        <w:tab/>
      </w:r>
      <w:r>
        <w:rPr>
          <w:color w:val="auto"/>
          <w:highlight w:val="none"/>
        </w:rPr>
        <w:fldChar w:fldCharType="begin"/>
      </w:r>
      <w:r>
        <w:rPr>
          <w:color w:val="auto"/>
          <w:highlight w:val="none"/>
        </w:rPr>
        <w:instrText xml:space="preserve"> PAGEREF _Toc15497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24"/>
          <w:highlight w:val="none"/>
        </w:rPr>
        <w:fldChar w:fldCharType="end"/>
      </w:r>
    </w:p>
    <w:p w14:paraId="54F47964">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_Toc24771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7</w:t>
      </w:r>
      <w:r>
        <w:rPr>
          <w:rFonts w:hint="eastAsia" w:hAnsi="宋体" w:cs="宋体"/>
          <w:bCs/>
          <w:snapToGrid w:val="0"/>
          <w:color w:val="auto"/>
          <w:kern w:val="0"/>
          <w:szCs w:val="24"/>
          <w:highlight w:val="none"/>
        </w:rPr>
        <w:t>．项目监理机构</w:t>
      </w:r>
      <w:r>
        <w:rPr>
          <w:color w:val="auto"/>
          <w:highlight w:val="none"/>
        </w:rPr>
        <w:tab/>
      </w:r>
      <w:r>
        <w:rPr>
          <w:color w:val="auto"/>
          <w:highlight w:val="none"/>
        </w:rPr>
        <w:fldChar w:fldCharType="begin"/>
      </w:r>
      <w:r>
        <w:rPr>
          <w:color w:val="auto"/>
          <w:highlight w:val="none"/>
        </w:rPr>
        <w:instrText xml:space="preserve"> PAGEREF _Toc24771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24"/>
          <w:highlight w:val="none"/>
        </w:rPr>
        <w:fldChar w:fldCharType="end"/>
      </w:r>
    </w:p>
    <w:p w14:paraId="1E41F5EC">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_Toc22671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lang w:val="en-US" w:eastAsia="zh-CN"/>
        </w:rPr>
        <w:t>8</w:t>
      </w:r>
      <w:r>
        <w:rPr>
          <w:rFonts w:hint="eastAsia" w:hAnsi="宋体" w:cs="宋体"/>
          <w:snapToGrid w:val="0"/>
          <w:color w:val="auto"/>
          <w:kern w:val="0"/>
          <w:szCs w:val="24"/>
          <w:highlight w:val="none"/>
        </w:rPr>
        <w:t>．安全防护</w:t>
      </w:r>
      <w:r>
        <w:rPr>
          <w:color w:val="auto"/>
          <w:highlight w:val="none"/>
        </w:rPr>
        <w:tab/>
      </w:r>
      <w:r>
        <w:rPr>
          <w:color w:val="auto"/>
          <w:highlight w:val="none"/>
        </w:rPr>
        <w:fldChar w:fldCharType="begin"/>
      </w:r>
      <w:r>
        <w:rPr>
          <w:color w:val="auto"/>
          <w:highlight w:val="none"/>
        </w:rPr>
        <w:instrText xml:space="preserve"> PAGEREF _Toc22671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olor w:val="auto"/>
          <w:szCs w:val="24"/>
          <w:highlight w:val="none"/>
        </w:rPr>
        <w:fldChar w:fldCharType="end"/>
      </w:r>
    </w:p>
    <w:p w14:paraId="1F551E7B">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_Toc29233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lang w:val="en-US" w:eastAsia="zh-CN"/>
        </w:rPr>
        <w:t>9</w:t>
      </w:r>
      <w:r>
        <w:rPr>
          <w:rFonts w:hint="eastAsia" w:hAnsi="宋体" w:cs="宋体"/>
          <w:snapToGrid w:val="0"/>
          <w:color w:val="auto"/>
          <w:kern w:val="0"/>
          <w:szCs w:val="24"/>
          <w:highlight w:val="none"/>
        </w:rPr>
        <w:t>．接受监督</w:t>
      </w:r>
      <w:r>
        <w:rPr>
          <w:color w:val="auto"/>
          <w:highlight w:val="none"/>
        </w:rPr>
        <w:tab/>
      </w:r>
      <w:r>
        <w:rPr>
          <w:color w:val="auto"/>
          <w:highlight w:val="none"/>
        </w:rPr>
        <w:fldChar w:fldCharType="begin"/>
      </w:r>
      <w:r>
        <w:rPr>
          <w:color w:val="auto"/>
          <w:highlight w:val="none"/>
        </w:rPr>
        <w:instrText xml:space="preserve"> PAGEREF _Toc29233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olor w:val="auto"/>
          <w:szCs w:val="24"/>
          <w:highlight w:val="none"/>
        </w:rPr>
        <w:fldChar w:fldCharType="end"/>
      </w:r>
    </w:p>
    <w:p w14:paraId="1C71BFF8">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_Toc22251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lang w:val="en-US" w:eastAsia="zh-CN"/>
        </w:rPr>
        <w:t>10</w:t>
      </w:r>
      <w:r>
        <w:rPr>
          <w:rFonts w:hint="eastAsia" w:hAnsi="宋体" w:cs="宋体"/>
          <w:snapToGrid w:val="0"/>
          <w:color w:val="auto"/>
          <w:kern w:val="0"/>
          <w:szCs w:val="24"/>
          <w:highlight w:val="none"/>
        </w:rPr>
        <w:t>．监理档案移交</w:t>
      </w:r>
      <w:r>
        <w:rPr>
          <w:color w:val="auto"/>
          <w:highlight w:val="none"/>
        </w:rPr>
        <w:tab/>
      </w:r>
      <w:r>
        <w:rPr>
          <w:color w:val="auto"/>
          <w:highlight w:val="none"/>
        </w:rPr>
        <w:fldChar w:fldCharType="begin"/>
      </w:r>
      <w:r>
        <w:rPr>
          <w:color w:val="auto"/>
          <w:highlight w:val="none"/>
        </w:rPr>
        <w:instrText xml:space="preserve"> PAGEREF _Toc22251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olor w:val="auto"/>
          <w:szCs w:val="24"/>
          <w:highlight w:val="none"/>
        </w:rPr>
        <w:fldChar w:fldCharType="end"/>
      </w:r>
    </w:p>
    <w:p w14:paraId="64CDDA4E">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_Toc13775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11</w:t>
      </w:r>
      <w:r>
        <w:rPr>
          <w:rFonts w:hint="eastAsia" w:hAnsi="宋体" w:cs="宋体"/>
          <w:snapToGrid w:val="0"/>
          <w:color w:val="auto"/>
          <w:kern w:val="0"/>
          <w:szCs w:val="24"/>
          <w:highlight w:val="none"/>
        </w:rPr>
        <w:t>．不良行为处理</w:t>
      </w:r>
      <w:r>
        <w:rPr>
          <w:color w:val="auto"/>
          <w:highlight w:val="none"/>
        </w:rPr>
        <w:tab/>
      </w:r>
      <w:r>
        <w:rPr>
          <w:color w:val="auto"/>
          <w:highlight w:val="none"/>
        </w:rPr>
        <w:fldChar w:fldCharType="begin"/>
      </w:r>
      <w:r>
        <w:rPr>
          <w:color w:val="auto"/>
          <w:highlight w:val="none"/>
        </w:rPr>
        <w:instrText xml:space="preserve"> PAGEREF _Toc13775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olor w:val="auto"/>
          <w:szCs w:val="24"/>
          <w:highlight w:val="none"/>
        </w:rPr>
        <w:fldChar w:fldCharType="end"/>
      </w:r>
    </w:p>
    <w:p w14:paraId="3AE864A4">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_Toc19488 </w:instrText>
      </w:r>
      <w:r>
        <w:rPr>
          <w:rFonts w:hint="eastAsia" w:hAnsi="宋体" w:cs="宋体"/>
          <w:color w:val="auto"/>
          <w:szCs w:val="24"/>
          <w:highlight w:val="none"/>
        </w:rPr>
        <w:fldChar w:fldCharType="separate"/>
      </w:r>
      <w:r>
        <w:rPr>
          <w:rFonts w:hint="eastAsia" w:ascii="宋体" w:hAnsi="宋体" w:cs="宋体"/>
          <w:bCs/>
          <w:snapToGrid w:val="0"/>
          <w:color w:val="auto"/>
          <w:kern w:val="0"/>
          <w:szCs w:val="24"/>
          <w:highlight w:val="none"/>
          <w:lang w:val="en-US" w:eastAsia="zh-CN"/>
        </w:rPr>
        <w:t>12</w:t>
      </w:r>
      <w:r>
        <w:rPr>
          <w:rFonts w:hint="eastAsia" w:ascii="宋体" w:hAnsi="宋体" w:cs="宋体"/>
          <w:snapToGrid w:val="0"/>
          <w:color w:val="auto"/>
          <w:kern w:val="0"/>
          <w:szCs w:val="24"/>
          <w:highlight w:val="none"/>
        </w:rPr>
        <w:t>．</w:t>
      </w:r>
      <w:r>
        <w:rPr>
          <w:rFonts w:hint="eastAsia" w:ascii="宋体" w:hAnsi="宋体" w:cs="宋体"/>
          <w:bCs/>
          <w:snapToGrid w:val="0"/>
          <w:color w:val="auto"/>
          <w:kern w:val="0"/>
          <w:szCs w:val="24"/>
          <w:highlight w:val="none"/>
        </w:rPr>
        <w:t>信用评价条款内容</w:t>
      </w:r>
      <w:r>
        <w:rPr>
          <w:color w:val="auto"/>
          <w:highlight w:val="none"/>
        </w:rPr>
        <w:tab/>
      </w:r>
      <w:r>
        <w:rPr>
          <w:color w:val="auto"/>
          <w:highlight w:val="none"/>
        </w:rPr>
        <w:fldChar w:fldCharType="begin"/>
      </w:r>
      <w:r>
        <w:rPr>
          <w:color w:val="auto"/>
          <w:highlight w:val="none"/>
        </w:rPr>
        <w:instrText xml:space="preserve"> PAGEREF _Toc19488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olor w:val="auto"/>
          <w:szCs w:val="24"/>
          <w:highlight w:val="none"/>
        </w:rPr>
        <w:fldChar w:fldCharType="end"/>
      </w:r>
    </w:p>
    <w:p w14:paraId="1C56E151">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_Toc8611 </w:instrText>
      </w:r>
      <w:r>
        <w:rPr>
          <w:rFonts w:hint="eastAsia" w:hAnsi="宋体" w:cs="宋体"/>
          <w:color w:val="auto"/>
          <w:szCs w:val="24"/>
          <w:highlight w:val="none"/>
        </w:rPr>
        <w:fldChar w:fldCharType="separate"/>
      </w:r>
      <w:r>
        <w:rPr>
          <w:rFonts w:hint="eastAsia" w:hAnsi="宋体" w:cs="宋体"/>
          <w:snapToGrid w:val="0"/>
          <w:color w:val="auto"/>
          <w:szCs w:val="32"/>
          <w:highlight w:val="none"/>
        </w:rPr>
        <w:t>第三章 拟签订合同的主要条款</w:t>
      </w:r>
      <w:r>
        <w:rPr>
          <w:color w:val="auto"/>
          <w:highlight w:val="none"/>
        </w:rPr>
        <w:tab/>
      </w:r>
      <w:r>
        <w:rPr>
          <w:color w:val="auto"/>
          <w:highlight w:val="none"/>
        </w:rPr>
        <w:fldChar w:fldCharType="begin"/>
      </w:r>
      <w:r>
        <w:rPr>
          <w:color w:val="auto"/>
          <w:highlight w:val="none"/>
        </w:rPr>
        <w:instrText xml:space="preserve"> PAGEREF _Toc8611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164DFF16">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_Toc869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1．现场办公条件</w:t>
      </w:r>
      <w:r>
        <w:rPr>
          <w:color w:val="auto"/>
          <w:highlight w:val="none"/>
        </w:rPr>
        <w:tab/>
      </w:r>
      <w:r>
        <w:rPr>
          <w:color w:val="auto"/>
          <w:highlight w:val="none"/>
        </w:rPr>
        <w:fldChar w:fldCharType="begin"/>
      </w:r>
      <w:r>
        <w:rPr>
          <w:color w:val="auto"/>
          <w:highlight w:val="none"/>
        </w:rPr>
        <w:instrText xml:space="preserve"> PAGEREF _Toc869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76FADC7E">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_Toc29743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2．酬金</w:t>
      </w:r>
      <w:r>
        <w:rPr>
          <w:color w:val="auto"/>
          <w:highlight w:val="none"/>
        </w:rPr>
        <w:tab/>
      </w:r>
      <w:r>
        <w:rPr>
          <w:color w:val="auto"/>
          <w:highlight w:val="none"/>
        </w:rPr>
        <w:fldChar w:fldCharType="begin"/>
      </w:r>
      <w:r>
        <w:rPr>
          <w:color w:val="auto"/>
          <w:highlight w:val="none"/>
        </w:rPr>
        <w:instrText xml:space="preserve"> PAGEREF _Toc29743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65E6FEAD">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_Toc26832 </w:instrText>
      </w:r>
      <w:r>
        <w:rPr>
          <w:rFonts w:hint="eastAsia" w:hAnsi="宋体" w:cs="宋体"/>
          <w:color w:val="auto"/>
          <w:szCs w:val="24"/>
          <w:highlight w:val="none"/>
        </w:rPr>
        <w:fldChar w:fldCharType="separate"/>
      </w:r>
      <w:r>
        <w:rPr>
          <w:rFonts w:hint="eastAsia" w:ascii="宋体" w:hAnsi="宋体" w:eastAsia="宋体" w:cs="宋体"/>
          <w:bCs/>
          <w:snapToGrid w:val="0"/>
          <w:color w:val="auto"/>
          <w:kern w:val="0"/>
          <w:szCs w:val="24"/>
          <w:highlight w:val="none"/>
        </w:rPr>
        <w:t>3．酬金发票</w:t>
      </w:r>
      <w:r>
        <w:rPr>
          <w:color w:val="auto"/>
          <w:highlight w:val="none"/>
        </w:rPr>
        <w:tab/>
      </w:r>
      <w:r>
        <w:rPr>
          <w:color w:val="auto"/>
          <w:highlight w:val="none"/>
        </w:rPr>
        <w:fldChar w:fldCharType="begin"/>
      </w:r>
      <w:r>
        <w:rPr>
          <w:color w:val="auto"/>
          <w:highlight w:val="none"/>
        </w:rPr>
        <w:instrText xml:space="preserve"> PAGEREF _Toc26832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19CA642D">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_Toc23136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4．违约责任</w:t>
      </w:r>
      <w:r>
        <w:rPr>
          <w:color w:val="auto"/>
          <w:highlight w:val="none"/>
        </w:rPr>
        <w:tab/>
      </w:r>
      <w:r>
        <w:rPr>
          <w:color w:val="auto"/>
          <w:highlight w:val="none"/>
        </w:rPr>
        <w:fldChar w:fldCharType="begin"/>
      </w:r>
      <w:r>
        <w:rPr>
          <w:color w:val="auto"/>
          <w:highlight w:val="none"/>
        </w:rPr>
        <w:instrText xml:space="preserve"> PAGEREF _Toc23136 \h </w:instrText>
      </w:r>
      <w:r>
        <w:rPr>
          <w:color w:val="auto"/>
          <w:highlight w:val="none"/>
        </w:rPr>
        <w:fldChar w:fldCharType="separate"/>
      </w:r>
      <w:r>
        <w:rPr>
          <w:color w:val="auto"/>
          <w:highlight w:val="none"/>
        </w:rPr>
        <w:t>37</w:t>
      </w:r>
      <w:r>
        <w:rPr>
          <w:color w:val="auto"/>
          <w:highlight w:val="none"/>
        </w:rPr>
        <w:fldChar w:fldCharType="end"/>
      </w:r>
      <w:r>
        <w:rPr>
          <w:rFonts w:hint="eastAsia" w:hAnsi="宋体" w:cs="宋体"/>
          <w:color w:val="auto"/>
          <w:szCs w:val="24"/>
          <w:highlight w:val="none"/>
        </w:rPr>
        <w:fldChar w:fldCharType="end"/>
      </w:r>
    </w:p>
    <w:p w14:paraId="75C0CDB9">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_Toc27138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5．支付</w:t>
      </w:r>
      <w:r>
        <w:rPr>
          <w:color w:val="auto"/>
          <w:highlight w:val="none"/>
        </w:rPr>
        <w:tab/>
      </w:r>
      <w:r>
        <w:rPr>
          <w:color w:val="auto"/>
          <w:highlight w:val="none"/>
        </w:rPr>
        <w:fldChar w:fldCharType="begin"/>
      </w:r>
      <w:r>
        <w:rPr>
          <w:color w:val="auto"/>
          <w:highlight w:val="none"/>
        </w:rPr>
        <w:instrText xml:space="preserve"> PAGEREF _Toc27138 \h </w:instrText>
      </w:r>
      <w:r>
        <w:rPr>
          <w:color w:val="auto"/>
          <w:highlight w:val="none"/>
        </w:rPr>
        <w:fldChar w:fldCharType="separate"/>
      </w:r>
      <w:r>
        <w:rPr>
          <w:color w:val="auto"/>
          <w:highlight w:val="none"/>
        </w:rPr>
        <w:t>37</w:t>
      </w:r>
      <w:r>
        <w:rPr>
          <w:color w:val="auto"/>
          <w:highlight w:val="none"/>
        </w:rPr>
        <w:fldChar w:fldCharType="end"/>
      </w:r>
      <w:r>
        <w:rPr>
          <w:rFonts w:hint="eastAsia" w:hAnsi="宋体" w:cs="宋体"/>
          <w:color w:val="auto"/>
          <w:szCs w:val="24"/>
          <w:highlight w:val="none"/>
        </w:rPr>
        <w:fldChar w:fldCharType="end"/>
      </w:r>
    </w:p>
    <w:p w14:paraId="70E5BFEE">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_Toc22042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6．合同生效、变更、暂停、解除与终止</w:t>
      </w:r>
      <w:r>
        <w:rPr>
          <w:color w:val="auto"/>
          <w:highlight w:val="none"/>
        </w:rPr>
        <w:tab/>
      </w:r>
      <w:r>
        <w:rPr>
          <w:color w:val="auto"/>
          <w:highlight w:val="none"/>
        </w:rPr>
        <w:fldChar w:fldCharType="begin"/>
      </w:r>
      <w:r>
        <w:rPr>
          <w:color w:val="auto"/>
          <w:highlight w:val="none"/>
        </w:rPr>
        <w:instrText xml:space="preserve"> PAGEREF _Toc22042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64F5E1EB">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_Toc10507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7．争议解决</w:t>
      </w:r>
      <w:r>
        <w:rPr>
          <w:color w:val="auto"/>
          <w:highlight w:val="none"/>
        </w:rPr>
        <w:tab/>
      </w:r>
      <w:r>
        <w:rPr>
          <w:color w:val="auto"/>
          <w:highlight w:val="none"/>
        </w:rPr>
        <w:fldChar w:fldCharType="begin"/>
      </w:r>
      <w:r>
        <w:rPr>
          <w:color w:val="auto"/>
          <w:highlight w:val="none"/>
        </w:rPr>
        <w:instrText xml:space="preserve"> PAGEREF _Toc10507 \h </w:instrText>
      </w:r>
      <w:r>
        <w:rPr>
          <w:color w:val="auto"/>
          <w:highlight w:val="none"/>
        </w:rPr>
        <w:fldChar w:fldCharType="separate"/>
      </w:r>
      <w:r>
        <w:rPr>
          <w:color w:val="auto"/>
          <w:highlight w:val="none"/>
        </w:rPr>
        <w:t>40</w:t>
      </w:r>
      <w:r>
        <w:rPr>
          <w:color w:val="auto"/>
          <w:highlight w:val="none"/>
        </w:rPr>
        <w:fldChar w:fldCharType="end"/>
      </w:r>
      <w:r>
        <w:rPr>
          <w:rFonts w:hint="eastAsia" w:hAnsi="宋体" w:cs="宋体"/>
          <w:color w:val="auto"/>
          <w:szCs w:val="24"/>
          <w:highlight w:val="none"/>
        </w:rPr>
        <w:fldChar w:fldCharType="end"/>
      </w:r>
    </w:p>
    <w:p w14:paraId="2253051C">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_Toc29177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第四章 技术要求</w:t>
      </w:r>
      <w:r>
        <w:rPr>
          <w:color w:val="auto"/>
          <w:highlight w:val="none"/>
        </w:rPr>
        <w:tab/>
      </w:r>
      <w:r>
        <w:rPr>
          <w:color w:val="auto"/>
          <w:highlight w:val="none"/>
        </w:rPr>
        <w:fldChar w:fldCharType="begin"/>
      </w:r>
      <w:r>
        <w:rPr>
          <w:color w:val="auto"/>
          <w:highlight w:val="none"/>
        </w:rPr>
        <w:instrText xml:space="preserve"> PAGEREF _Toc29177 \h </w:instrText>
      </w:r>
      <w:r>
        <w:rPr>
          <w:color w:val="auto"/>
          <w:highlight w:val="none"/>
        </w:rPr>
        <w:fldChar w:fldCharType="separate"/>
      </w:r>
      <w:r>
        <w:rPr>
          <w:color w:val="auto"/>
          <w:highlight w:val="none"/>
        </w:rPr>
        <w:t>41</w:t>
      </w:r>
      <w:r>
        <w:rPr>
          <w:color w:val="auto"/>
          <w:highlight w:val="none"/>
        </w:rPr>
        <w:fldChar w:fldCharType="end"/>
      </w:r>
      <w:r>
        <w:rPr>
          <w:rFonts w:hint="eastAsia" w:hAnsi="宋体" w:cs="宋体"/>
          <w:color w:val="auto"/>
          <w:szCs w:val="24"/>
          <w:highlight w:val="none"/>
        </w:rPr>
        <w:fldChar w:fldCharType="end"/>
      </w:r>
    </w:p>
    <w:p w14:paraId="16C7DD62">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_Toc31650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第五章 投标文件格式</w:t>
      </w:r>
      <w:r>
        <w:rPr>
          <w:color w:val="auto"/>
          <w:highlight w:val="none"/>
        </w:rPr>
        <w:tab/>
      </w:r>
      <w:r>
        <w:rPr>
          <w:color w:val="auto"/>
          <w:highlight w:val="none"/>
        </w:rPr>
        <w:fldChar w:fldCharType="begin"/>
      </w:r>
      <w:r>
        <w:rPr>
          <w:color w:val="auto"/>
          <w:highlight w:val="none"/>
        </w:rPr>
        <w:instrText xml:space="preserve"> PAGEREF _Toc31650 \h </w:instrText>
      </w:r>
      <w:r>
        <w:rPr>
          <w:color w:val="auto"/>
          <w:highlight w:val="none"/>
        </w:rPr>
        <w:fldChar w:fldCharType="separate"/>
      </w:r>
      <w:r>
        <w:rPr>
          <w:color w:val="auto"/>
          <w:highlight w:val="none"/>
        </w:rPr>
        <w:t>43</w:t>
      </w:r>
      <w:r>
        <w:rPr>
          <w:color w:val="auto"/>
          <w:highlight w:val="none"/>
        </w:rPr>
        <w:fldChar w:fldCharType="end"/>
      </w:r>
      <w:r>
        <w:rPr>
          <w:rFonts w:hint="eastAsia" w:hAnsi="宋体" w:cs="宋体"/>
          <w:color w:val="auto"/>
          <w:szCs w:val="24"/>
          <w:highlight w:val="none"/>
        </w:rPr>
        <w:fldChar w:fldCharType="end"/>
      </w:r>
    </w:p>
    <w:p w14:paraId="356584F7">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_Toc29754 </w:instrText>
      </w:r>
      <w:r>
        <w:rPr>
          <w:rFonts w:hint="eastAsia" w:hAnsi="宋体" w:cs="宋体"/>
          <w:color w:val="auto"/>
          <w:szCs w:val="24"/>
          <w:highlight w:val="none"/>
        </w:rPr>
        <w:fldChar w:fldCharType="separate"/>
      </w:r>
      <w:r>
        <w:rPr>
          <w:rFonts w:hint="eastAsia" w:ascii="Times New Roman"/>
          <w:snapToGrid w:val="0"/>
          <w:color w:val="auto"/>
          <w:highlight w:val="none"/>
        </w:rPr>
        <w:t>格式一 封面</w:t>
      </w:r>
      <w:r>
        <w:rPr>
          <w:color w:val="auto"/>
          <w:highlight w:val="none"/>
        </w:rPr>
        <w:tab/>
      </w:r>
      <w:r>
        <w:rPr>
          <w:color w:val="auto"/>
          <w:highlight w:val="none"/>
        </w:rPr>
        <w:fldChar w:fldCharType="begin"/>
      </w:r>
      <w:r>
        <w:rPr>
          <w:color w:val="auto"/>
          <w:highlight w:val="none"/>
        </w:rPr>
        <w:instrText xml:space="preserve"> PAGEREF _Toc29754 \h </w:instrText>
      </w:r>
      <w:r>
        <w:rPr>
          <w:color w:val="auto"/>
          <w:highlight w:val="none"/>
        </w:rPr>
        <w:fldChar w:fldCharType="separate"/>
      </w:r>
      <w:r>
        <w:rPr>
          <w:color w:val="auto"/>
          <w:highlight w:val="none"/>
        </w:rPr>
        <w:t>43</w:t>
      </w:r>
      <w:r>
        <w:rPr>
          <w:color w:val="auto"/>
          <w:highlight w:val="none"/>
        </w:rPr>
        <w:fldChar w:fldCharType="end"/>
      </w:r>
      <w:r>
        <w:rPr>
          <w:rFonts w:hint="eastAsia" w:hAnsi="宋体" w:cs="宋体"/>
          <w:color w:val="auto"/>
          <w:szCs w:val="24"/>
          <w:highlight w:val="none"/>
        </w:rPr>
        <w:fldChar w:fldCharType="end"/>
      </w:r>
    </w:p>
    <w:p w14:paraId="2D377805">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_Toc16614 </w:instrText>
      </w:r>
      <w:r>
        <w:rPr>
          <w:rFonts w:hint="eastAsia" w:hAnsi="宋体" w:cs="宋体"/>
          <w:color w:val="auto"/>
          <w:szCs w:val="24"/>
          <w:highlight w:val="none"/>
        </w:rPr>
        <w:fldChar w:fldCharType="separate"/>
      </w:r>
      <w:r>
        <w:rPr>
          <w:rFonts w:hint="eastAsia" w:ascii="Times New Roman"/>
          <w:snapToGrid w:val="0"/>
          <w:color w:val="auto"/>
          <w:highlight w:val="none"/>
        </w:rPr>
        <w:t>格式二 投标函</w:t>
      </w:r>
      <w:r>
        <w:rPr>
          <w:color w:val="auto"/>
          <w:highlight w:val="none"/>
        </w:rPr>
        <w:tab/>
      </w:r>
      <w:r>
        <w:rPr>
          <w:color w:val="auto"/>
          <w:highlight w:val="none"/>
        </w:rPr>
        <w:fldChar w:fldCharType="begin"/>
      </w:r>
      <w:r>
        <w:rPr>
          <w:color w:val="auto"/>
          <w:highlight w:val="none"/>
        </w:rPr>
        <w:instrText xml:space="preserve"> PAGEREF _Toc16614 \h </w:instrText>
      </w:r>
      <w:r>
        <w:rPr>
          <w:color w:val="auto"/>
          <w:highlight w:val="none"/>
        </w:rPr>
        <w:fldChar w:fldCharType="separate"/>
      </w:r>
      <w:r>
        <w:rPr>
          <w:color w:val="auto"/>
          <w:highlight w:val="none"/>
        </w:rPr>
        <w:t>44</w:t>
      </w:r>
      <w:r>
        <w:rPr>
          <w:color w:val="auto"/>
          <w:highlight w:val="none"/>
        </w:rPr>
        <w:fldChar w:fldCharType="end"/>
      </w:r>
      <w:r>
        <w:rPr>
          <w:rFonts w:hint="eastAsia" w:hAnsi="宋体" w:cs="宋体"/>
          <w:color w:val="auto"/>
          <w:szCs w:val="24"/>
          <w:highlight w:val="none"/>
        </w:rPr>
        <w:fldChar w:fldCharType="end"/>
      </w:r>
    </w:p>
    <w:p w14:paraId="3CBA5F37">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_Toc4599 </w:instrText>
      </w:r>
      <w:r>
        <w:rPr>
          <w:rFonts w:hint="eastAsia" w:hAnsi="宋体" w:cs="宋体"/>
          <w:color w:val="auto"/>
          <w:szCs w:val="24"/>
          <w:highlight w:val="none"/>
        </w:rPr>
        <w:fldChar w:fldCharType="separate"/>
      </w:r>
      <w:r>
        <w:rPr>
          <w:rFonts w:hint="eastAsia" w:hAnsi="宋体" w:cs="宋体"/>
          <w:snapToGrid w:val="0"/>
          <w:color w:val="auto"/>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_Toc4599 \h </w:instrText>
      </w:r>
      <w:r>
        <w:rPr>
          <w:color w:val="auto"/>
          <w:highlight w:val="none"/>
        </w:rPr>
        <w:fldChar w:fldCharType="separate"/>
      </w:r>
      <w:r>
        <w:rPr>
          <w:color w:val="auto"/>
          <w:highlight w:val="none"/>
        </w:rPr>
        <w:t>45</w:t>
      </w:r>
      <w:r>
        <w:rPr>
          <w:color w:val="auto"/>
          <w:highlight w:val="none"/>
        </w:rPr>
        <w:fldChar w:fldCharType="end"/>
      </w:r>
      <w:r>
        <w:rPr>
          <w:rFonts w:hint="eastAsia" w:hAnsi="宋体" w:cs="宋体"/>
          <w:color w:val="auto"/>
          <w:szCs w:val="24"/>
          <w:highlight w:val="none"/>
        </w:rPr>
        <w:fldChar w:fldCharType="end"/>
      </w:r>
    </w:p>
    <w:p w14:paraId="7A2636EA">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_Toc10808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_Toc10808 \h </w:instrText>
      </w:r>
      <w:r>
        <w:rPr>
          <w:color w:val="auto"/>
          <w:highlight w:val="none"/>
        </w:rPr>
        <w:fldChar w:fldCharType="separate"/>
      </w:r>
      <w:r>
        <w:rPr>
          <w:color w:val="auto"/>
          <w:highlight w:val="none"/>
        </w:rPr>
        <w:t>47</w:t>
      </w:r>
      <w:r>
        <w:rPr>
          <w:color w:val="auto"/>
          <w:highlight w:val="none"/>
        </w:rPr>
        <w:fldChar w:fldCharType="end"/>
      </w:r>
      <w:r>
        <w:rPr>
          <w:rFonts w:hint="eastAsia" w:hAnsi="宋体" w:cs="宋体"/>
          <w:color w:val="auto"/>
          <w:szCs w:val="24"/>
          <w:highlight w:val="none"/>
        </w:rPr>
        <w:fldChar w:fldCharType="end"/>
      </w:r>
    </w:p>
    <w:p w14:paraId="7EB217DD">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_Toc27915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_Toc27915 \h </w:instrText>
      </w:r>
      <w:r>
        <w:rPr>
          <w:color w:val="auto"/>
          <w:highlight w:val="none"/>
        </w:rPr>
        <w:fldChar w:fldCharType="separate"/>
      </w:r>
      <w:r>
        <w:rPr>
          <w:color w:val="auto"/>
          <w:highlight w:val="none"/>
        </w:rPr>
        <w:t>48</w:t>
      </w:r>
      <w:r>
        <w:rPr>
          <w:color w:val="auto"/>
          <w:highlight w:val="none"/>
        </w:rPr>
        <w:fldChar w:fldCharType="end"/>
      </w:r>
      <w:r>
        <w:rPr>
          <w:rFonts w:hint="eastAsia" w:hAnsi="宋体" w:cs="宋体"/>
          <w:color w:val="auto"/>
          <w:szCs w:val="24"/>
          <w:highlight w:val="none"/>
        </w:rPr>
        <w:fldChar w:fldCharType="end"/>
      </w:r>
    </w:p>
    <w:p w14:paraId="21E8B41D">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_Toc14330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格式六 投标人基本情况表</w:t>
      </w:r>
      <w:r>
        <w:rPr>
          <w:color w:val="auto"/>
          <w:highlight w:val="none"/>
        </w:rPr>
        <w:tab/>
      </w:r>
      <w:r>
        <w:rPr>
          <w:color w:val="auto"/>
          <w:highlight w:val="none"/>
        </w:rPr>
        <w:fldChar w:fldCharType="begin"/>
      </w:r>
      <w:r>
        <w:rPr>
          <w:color w:val="auto"/>
          <w:highlight w:val="none"/>
        </w:rPr>
        <w:instrText xml:space="preserve"> PAGEREF _Toc14330 \h </w:instrText>
      </w:r>
      <w:r>
        <w:rPr>
          <w:color w:val="auto"/>
          <w:highlight w:val="none"/>
        </w:rPr>
        <w:fldChar w:fldCharType="separate"/>
      </w:r>
      <w:r>
        <w:rPr>
          <w:color w:val="auto"/>
          <w:highlight w:val="none"/>
        </w:rPr>
        <w:t>49</w:t>
      </w:r>
      <w:r>
        <w:rPr>
          <w:color w:val="auto"/>
          <w:highlight w:val="none"/>
        </w:rPr>
        <w:fldChar w:fldCharType="end"/>
      </w:r>
      <w:r>
        <w:rPr>
          <w:rFonts w:hint="eastAsia" w:hAnsi="宋体" w:cs="宋体"/>
          <w:color w:val="auto"/>
          <w:szCs w:val="24"/>
          <w:highlight w:val="none"/>
        </w:rPr>
        <w:fldChar w:fldCharType="end"/>
      </w:r>
    </w:p>
    <w:p w14:paraId="4710CD91">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_Toc14947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格式七  总监理工程师任职声明（适用于无任职项目）</w:t>
      </w:r>
      <w:r>
        <w:rPr>
          <w:color w:val="auto"/>
          <w:highlight w:val="none"/>
        </w:rPr>
        <w:tab/>
      </w:r>
      <w:r>
        <w:rPr>
          <w:color w:val="auto"/>
          <w:highlight w:val="none"/>
        </w:rPr>
        <w:fldChar w:fldCharType="begin"/>
      </w:r>
      <w:r>
        <w:rPr>
          <w:color w:val="auto"/>
          <w:highlight w:val="none"/>
        </w:rPr>
        <w:instrText xml:space="preserve"> PAGEREF _Toc14947 \h </w:instrText>
      </w:r>
      <w:r>
        <w:rPr>
          <w:color w:val="auto"/>
          <w:highlight w:val="none"/>
        </w:rPr>
        <w:fldChar w:fldCharType="separate"/>
      </w:r>
      <w:r>
        <w:rPr>
          <w:color w:val="auto"/>
          <w:highlight w:val="none"/>
        </w:rPr>
        <w:t>50</w:t>
      </w:r>
      <w:r>
        <w:rPr>
          <w:color w:val="auto"/>
          <w:highlight w:val="none"/>
        </w:rPr>
        <w:fldChar w:fldCharType="end"/>
      </w:r>
      <w:r>
        <w:rPr>
          <w:rFonts w:hint="eastAsia" w:hAnsi="宋体" w:cs="宋体"/>
          <w:color w:val="auto"/>
          <w:szCs w:val="24"/>
          <w:highlight w:val="none"/>
        </w:rPr>
        <w:fldChar w:fldCharType="end"/>
      </w:r>
    </w:p>
    <w:p w14:paraId="6CCC5FD8">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_Toc28982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格式八 总监理工程师任职声明（适用于有任职项目）</w:t>
      </w:r>
      <w:r>
        <w:rPr>
          <w:color w:val="auto"/>
          <w:highlight w:val="none"/>
        </w:rPr>
        <w:tab/>
      </w:r>
      <w:r>
        <w:rPr>
          <w:color w:val="auto"/>
          <w:highlight w:val="none"/>
        </w:rPr>
        <w:fldChar w:fldCharType="begin"/>
      </w:r>
      <w:r>
        <w:rPr>
          <w:color w:val="auto"/>
          <w:highlight w:val="none"/>
        </w:rPr>
        <w:instrText xml:space="preserve"> PAGEREF _Toc28982 \h </w:instrText>
      </w:r>
      <w:r>
        <w:rPr>
          <w:color w:val="auto"/>
          <w:highlight w:val="none"/>
        </w:rPr>
        <w:fldChar w:fldCharType="separate"/>
      </w:r>
      <w:r>
        <w:rPr>
          <w:color w:val="auto"/>
          <w:highlight w:val="none"/>
        </w:rPr>
        <w:t>51</w:t>
      </w:r>
      <w:r>
        <w:rPr>
          <w:color w:val="auto"/>
          <w:highlight w:val="none"/>
        </w:rPr>
        <w:fldChar w:fldCharType="end"/>
      </w:r>
      <w:r>
        <w:rPr>
          <w:rFonts w:hint="eastAsia" w:hAnsi="宋体" w:cs="宋体"/>
          <w:color w:val="auto"/>
          <w:szCs w:val="24"/>
          <w:highlight w:val="none"/>
        </w:rPr>
        <w:fldChar w:fldCharType="end"/>
      </w:r>
    </w:p>
    <w:p w14:paraId="069BDBE7">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_Toc7045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格式九 总监理工程师任职项目情况表</w:t>
      </w:r>
      <w:r>
        <w:rPr>
          <w:color w:val="auto"/>
          <w:highlight w:val="none"/>
        </w:rPr>
        <w:tab/>
      </w:r>
      <w:r>
        <w:rPr>
          <w:color w:val="auto"/>
          <w:highlight w:val="none"/>
        </w:rPr>
        <w:fldChar w:fldCharType="begin"/>
      </w:r>
      <w:r>
        <w:rPr>
          <w:color w:val="auto"/>
          <w:highlight w:val="none"/>
        </w:rPr>
        <w:instrText xml:space="preserve"> PAGEREF _Toc7045 \h </w:instrText>
      </w:r>
      <w:r>
        <w:rPr>
          <w:color w:val="auto"/>
          <w:highlight w:val="none"/>
        </w:rPr>
        <w:fldChar w:fldCharType="separate"/>
      </w:r>
      <w:r>
        <w:rPr>
          <w:color w:val="auto"/>
          <w:highlight w:val="none"/>
        </w:rPr>
        <w:t>52</w:t>
      </w:r>
      <w:r>
        <w:rPr>
          <w:color w:val="auto"/>
          <w:highlight w:val="none"/>
        </w:rPr>
        <w:fldChar w:fldCharType="end"/>
      </w:r>
      <w:r>
        <w:rPr>
          <w:rFonts w:hint="eastAsia" w:hAnsi="宋体" w:cs="宋体"/>
          <w:color w:val="auto"/>
          <w:szCs w:val="24"/>
          <w:highlight w:val="none"/>
        </w:rPr>
        <w:fldChar w:fldCharType="end"/>
      </w:r>
    </w:p>
    <w:p w14:paraId="7EB8F3FD">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_Toc21875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w:t>
      </w:r>
      <w:r>
        <w:rPr>
          <w:rFonts w:hint="eastAsia" w:hAnsi="宋体" w:cs="宋体"/>
          <w:bCs/>
          <w:snapToGrid w:val="0"/>
          <w:color w:val="auto"/>
          <w:kern w:val="0"/>
          <w:szCs w:val="24"/>
          <w:highlight w:val="none"/>
        </w:rPr>
        <w:t>十 项目监理机构组成人员汇总表</w:t>
      </w:r>
      <w:r>
        <w:rPr>
          <w:color w:val="auto"/>
          <w:highlight w:val="none"/>
        </w:rPr>
        <w:tab/>
      </w:r>
      <w:r>
        <w:rPr>
          <w:color w:val="auto"/>
          <w:highlight w:val="none"/>
        </w:rPr>
        <w:fldChar w:fldCharType="begin"/>
      </w:r>
      <w:r>
        <w:rPr>
          <w:color w:val="auto"/>
          <w:highlight w:val="none"/>
        </w:rPr>
        <w:instrText xml:space="preserve"> PAGEREF _Toc21875 \h </w:instrText>
      </w:r>
      <w:r>
        <w:rPr>
          <w:color w:val="auto"/>
          <w:highlight w:val="none"/>
        </w:rPr>
        <w:fldChar w:fldCharType="separate"/>
      </w:r>
      <w:r>
        <w:rPr>
          <w:color w:val="auto"/>
          <w:highlight w:val="none"/>
        </w:rPr>
        <w:t>53</w:t>
      </w:r>
      <w:r>
        <w:rPr>
          <w:color w:val="auto"/>
          <w:highlight w:val="none"/>
        </w:rPr>
        <w:fldChar w:fldCharType="end"/>
      </w:r>
      <w:r>
        <w:rPr>
          <w:rFonts w:hint="eastAsia" w:hAnsi="宋体" w:cs="宋体"/>
          <w:color w:val="auto"/>
          <w:szCs w:val="24"/>
          <w:highlight w:val="none"/>
        </w:rPr>
        <w:fldChar w:fldCharType="end"/>
      </w:r>
    </w:p>
    <w:p w14:paraId="1EEB3E2A">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_Toc19852 </w:instrText>
      </w:r>
      <w:r>
        <w:rPr>
          <w:rFonts w:hint="eastAsia" w:hAnsi="宋体" w:cs="宋体"/>
          <w:color w:val="auto"/>
          <w:szCs w:val="24"/>
          <w:highlight w:val="none"/>
        </w:rPr>
        <w:fldChar w:fldCharType="separate"/>
      </w:r>
      <w:r>
        <w:rPr>
          <w:rFonts w:hint="eastAsia" w:ascii="宋体" w:hAnsi="宋体" w:cs="宋体"/>
          <w:bCs/>
          <w:snapToGrid w:val="0"/>
          <w:color w:val="auto"/>
          <w:highlight w:val="none"/>
        </w:rPr>
        <w:t>格式十一  总监理工程师简历表</w:t>
      </w:r>
      <w:r>
        <w:rPr>
          <w:color w:val="auto"/>
          <w:highlight w:val="none"/>
        </w:rPr>
        <w:tab/>
      </w:r>
      <w:r>
        <w:rPr>
          <w:color w:val="auto"/>
          <w:highlight w:val="none"/>
        </w:rPr>
        <w:fldChar w:fldCharType="begin"/>
      </w:r>
      <w:r>
        <w:rPr>
          <w:color w:val="auto"/>
          <w:highlight w:val="none"/>
        </w:rPr>
        <w:instrText xml:space="preserve"> PAGEREF _Toc19852 \h </w:instrText>
      </w:r>
      <w:r>
        <w:rPr>
          <w:color w:val="auto"/>
          <w:highlight w:val="none"/>
        </w:rPr>
        <w:fldChar w:fldCharType="separate"/>
      </w:r>
      <w:r>
        <w:rPr>
          <w:color w:val="auto"/>
          <w:highlight w:val="none"/>
        </w:rPr>
        <w:t>54</w:t>
      </w:r>
      <w:r>
        <w:rPr>
          <w:color w:val="auto"/>
          <w:highlight w:val="none"/>
        </w:rPr>
        <w:fldChar w:fldCharType="end"/>
      </w:r>
      <w:r>
        <w:rPr>
          <w:rFonts w:hint="eastAsia" w:hAnsi="宋体" w:cs="宋体"/>
          <w:color w:val="auto"/>
          <w:szCs w:val="24"/>
          <w:highlight w:val="none"/>
        </w:rPr>
        <w:fldChar w:fldCharType="end"/>
      </w:r>
    </w:p>
    <w:p w14:paraId="5C59F65E">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_Toc16966 </w:instrText>
      </w:r>
      <w:r>
        <w:rPr>
          <w:rFonts w:hint="eastAsia" w:hAnsi="宋体" w:cs="宋体"/>
          <w:color w:val="auto"/>
          <w:szCs w:val="24"/>
          <w:highlight w:val="none"/>
        </w:rPr>
        <w:fldChar w:fldCharType="separate"/>
      </w:r>
      <w:r>
        <w:rPr>
          <w:rFonts w:hint="eastAsia" w:ascii="宋体" w:hAnsi="宋体" w:cs="宋体"/>
          <w:bCs/>
          <w:snapToGrid w:val="0"/>
          <w:color w:val="auto"/>
          <w:highlight w:val="none"/>
        </w:rPr>
        <w:t>格式十二  其他拟派人员简历表</w:t>
      </w:r>
      <w:r>
        <w:rPr>
          <w:color w:val="auto"/>
          <w:highlight w:val="none"/>
        </w:rPr>
        <w:tab/>
      </w:r>
      <w:r>
        <w:rPr>
          <w:color w:val="auto"/>
          <w:highlight w:val="none"/>
        </w:rPr>
        <w:fldChar w:fldCharType="begin"/>
      </w:r>
      <w:r>
        <w:rPr>
          <w:color w:val="auto"/>
          <w:highlight w:val="none"/>
        </w:rPr>
        <w:instrText xml:space="preserve"> PAGEREF _Toc16966 \h </w:instrText>
      </w:r>
      <w:r>
        <w:rPr>
          <w:color w:val="auto"/>
          <w:highlight w:val="none"/>
        </w:rPr>
        <w:fldChar w:fldCharType="separate"/>
      </w:r>
      <w:r>
        <w:rPr>
          <w:color w:val="auto"/>
          <w:highlight w:val="none"/>
        </w:rPr>
        <w:t>55</w:t>
      </w:r>
      <w:r>
        <w:rPr>
          <w:color w:val="auto"/>
          <w:highlight w:val="none"/>
        </w:rPr>
        <w:fldChar w:fldCharType="end"/>
      </w:r>
      <w:r>
        <w:rPr>
          <w:rFonts w:hint="eastAsia" w:hAnsi="宋体" w:cs="宋体"/>
          <w:color w:val="auto"/>
          <w:szCs w:val="24"/>
          <w:highlight w:val="none"/>
        </w:rPr>
        <w:fldChar w:fldCharType="end"/>
      </w:r>
    </w:p>
    <w:p w14:paraId="4FE851DC">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_Toc8442 </w:instrText>
      </w:r>
      <w:r>
        <w:rPr>
          <w:rFonts w:hint="eastAsia" w:hAnsi="宋体" w:cs="宋体"/>
          <w:color w:val="auto"/>
          <w:szCs w:val="24"/>
          <w:highlight w:val="none"/>
        </w:rPr>
        <w:fldChar w:fldCharType="separate"/>
      </w:r>
      <w:r>
        <w:rPr>
          <w:rFonts w:hint="eastAsia"/>
          <w:bCs/>
          <w:color w:val="auto"/>
          <w:highlight w:val="none"/>
          <w:lang w:val="en-US" w:eastAsia="zh-CN"/>
        </w:rPr>
        <w:t>格式十三 原件一览表</w:t>
      </w:r>
      <w:r>
        <w:rPr>
          <w:color w:val="auto"/>
          <w:highlight w:val="none"/>
        </w:rPr>
        <w:tab/>
      </w:r>
      <w:r>
        <w:rPr>
          <w:color w:val="auto"/>
          <w:highlight w:val="none"/>
        </w:rPr>
        <w:fldChar w:fldCharType="begin"/>
      </w:r>
      <w:r>
        <w:rPr>
          <w:color w:val="auto"/>
          <w:highlight w:val="none"/>
        </w:rPr>
        <w:instrText xml:space="preserve"> PAGEREF _Toc8442 \h </w:instrText>
      </w:r>
      <w:r>
        <w:rPr>
          <w:color w:val="auto"/>
          <w:highlight w:val="none"/>
        </w:rPr>
        <w:fldChar w:fldCharType="separate"/>
      </w:r>
      <w:r>
        <w:rPr>
          <w:color w:val="auto"/>
          <w:highlight w:val="none"/>
        </w:rPr>
        <w:t>56</w:t>
      </w:r>
      <w:r>
        <w:rPr>
          <w:color w:val="auto"/>
          <w:highlight w:val="none"/>
        </w:rPr>
        <w:fldChar w:fldCharType="end"/>
      </w:r>
      <w:r>
        <w:rPr>
          <w:rFonts w:hint="eastAsia" w:hAnsi="宋体" w:cs="宋体"/>
          <w:color w:val="auto"/>
          <w:szCs w:val="24"/>
          <w:highlight w:val="none"/>
        </w:rPr>
        <w:fldChar w:fldCharType="end"/>
      </w:r>
    </w:p>
    <w:p w14:paraId="06340358">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_Toc4708 </w:instrText>
      </w:r>
      <w:r>
        <w:rPr>
          <w:rFonts w:hint="eastAsia" w:hAnsi="宋体" w:cs="宋体"/>
          <w:color w:val="auto"/>
          <w:szCs w:val="24"/>
          <w:highlight w:val="none"/>
        </w:rPr>
        <w:fldChar w:fldCharType="separate"/>
      </w:r>
      <w:r>
        <w:rPr>
          <w:rFonts w:hint="eastAsia" w:ascii="宋体" w:hAnsi="宋体" w:cs="宋体"/>
          <w:color w:val="auto"/>
          <w:kern w:val="44"/>
          <w:szCs w:val="22"/>
          <w:highlight w:val="none"/>
        </w:rPr>
        <w:t>第六章 建设工程监理合同</w:t>
      </w:r>
      <w:r>
        <w:rPr>
          <w:color w:val="auto"/>
          <w:highlight w:val="none"/>
        </w:rPr>
        <w:tab/>
      </w:r>
      <w:r>
        <w:rPr>
          <w:color w:val="auto"/>
          <w:highlight w:val="none"/>
        </w:rPr>
        <w:fldChar w:fldCharType="begin"/>
      </w:r>
      <w:r>
        <w:rPr>
          <w:color w:val="auto"/>
          <w:highlight w:val="none"/>
        </w:rPr>
        <w:instrText xml:space="preserve"> PAGEREF _Toc4708 \h </w:instrText>
      </w:r>
      <w:r>
        <w:rPr>
          <w:color w:val="auto"/>
          <w:highlight w:val="none"/>
        </w:rPr>
        <w:fldChar w:fldCharType="separate"/>
      </w:r>
      <w:r>
        <w:rPr>
          <w:color w:val="auto"/>
          <w:highlight w:val="none"/>
        </w:rPr>
        <w:t>57</w:t>
      </w:r>
      <w:r>
        <w:rPr>
          <w:color w:val="auto"/>
          <w:highlight w:val="none"/>
        </w:rPr>
        <w:fldChar w:fldCharType="end"/>
      </w:r>
      <w:r>
        <w:rPr>
          <w:rFonts w:hint="eastAsia" w:hAnsi="宋体" w:cs="宋体"/>
          <w:color w:val="auto"/>
          <w:szCs w:val="24"/>
          <w:highlight w:val="none"/>
        </w:rPr>
        <w:fldChar w:fldCharType="end"/>
      </w:r>
    </w:p>
    <w:p w14:paraId="04AFE2BF">
      <w:pPr>
        <w:keepNext w:val="0"/>
        <w:keepLines w:val="0"/>
        <w:pageBreakBefore w:val="0"/>
        <w:widowControl w:val="0"/>
        <w:kinsoku/>
        <w:wordWrap/>
        <w:overflowPunct/>
        <w:topLinePunct w:val="0"/>
        <w:autoSpaceDE/>
        <w:autoSpaceDN/>
        <w:bidi w:val="0"/>
        <w:adjustRightInd/>
        <w:snapToGrid/>
        <w:spacing w:line="560" w:lineRule="exact"/>
        <w:textAlignment w:val="auto"/>
        <w:rPr>
          <w:color w:val="auto"/>
          <w:highlight w:val="none"/>
        </w:rPr>
      </w:pPr>
      <w:r>
        <w:rPr>
          <w:rFonts w:hint="eastAsia" w:hAnsi="宋体" w:cs="宋体"/>
          <w:color w:val="auto"/>
          <w:szCs w:val="24"/>
          <w:highlight w:val="none"/>
        </w:rPr>
        <w:fldChar w:fldCharType="end"/>
      </w:r>
    </w:p>
    <w:p w14:paraId="5542F3B0">
      <w:pPr>
        <w:pStyle w:val="2"/>
        <w:wordWrap w:val="0"/>
        <w:autoSpaceDE/>
        <w:autoSpaceDN/>
        <w:snapToGrid w:val="0"/>
        <w:spacing w:line="440" w:lineRule="exact"/>
        <w:jc w:val="center"/>
        <w:rPr>
          <w:rFonts w:hint="eastAsia" w:ascii="Times New Roman"/>
          <w:b/>
          <w:snapToGrid w:val="0"/>
          <w:color w:val="auto"/>
          <w:sz w:val="32"/>
          <w:szCs w:val="22"/>
          <w:highlight w:val="none"/>
        </w:rPr>
        <w:sectPr>
          <w:footerReference r:id="rId7" w:type="default"/>
          <w:endnotePr>
            <w:numFmt w:val="decimal"/>
          </w:endnotePr>
          <w:pgSz w:w="11906" w:h="16838"/>
          <w:pgMar w:top="1417" w:right="1417" w:bottom="1417" w:left="1417" w:header="850" w:footer="992" w:gutter="0"/>
          <w:pgNumType w:fmt="decimal" w:start="1"/>
          <w:cols w:space="0" w:num="1"/>
          <w:docGrid w:linePitch="327" w:charSpace="0"/>
        </w:sectPr>
      </w:pPr>
      <w:bookmarkStart w:id="0" w:name="_Toc18084"/>
    </w:p>
    <w:p w14:paraId="73AD38DD">
      <w:pPr>
        <w:pStyle w:val="2"/>
        <w:wordWrap w:val="0"/>
        <w:autoSpaceDE/>
        <w:autoSpaceDN/>
        <w:snapToGrid w:val="0"/>
        <w:spacing w:line="440" w:lineRule="exact"/>
        <w:jc w:val="center"/>
        <w:rPr>
          <w:rFonts w:ascii="Times New Roman"/>
          <w:b/>
          <w:snapToGrid w:val="0"/>
          <w:color w:val="auto"/>
          <w:sz w:val="32"/>
          <w:szCs w:val="22"/>
          <w:highlight w:val="none"/>
        </w:rPr>
      </w:pPr>
      <w:r>
        <w:rPr>
          <w:rFonts w:hint="eastAsia" w:ascii="Times New Roman"/>
          <w:b/>
          <w:snapToGrid w:val="0"/>
          <w:color w:val="auto"/>
          <w:sz w:val="32"/>
          <w:szCs w:val="22"/>
          <w:highlight w:val="none"/>
        </w:rPr>
        <w:t>第一章 投标人须知</w:t>
      </w:r>
      <w:bookmarkEnd w:id="0"/>
    </w:p>
    <w:p w14:paraId="64D39061">
      <w:pPr>
        <w:pStyle w:val="3"/>
        <w:wordWrap w:val="0"/>
        <w:autoSpaceDE/>
        <w:autoSpaceDN/>
        <w:snapToGrid w:val="0"/>
        <w:spacing w:before="260" w:after="260" w:line="440" w:lineRule="exact"/>
        <w:jc w:val="both"/>
        <w:rPr>
          <w:rFonts w:ascii="Times New Roman"/>
          <w:b/>
          <w:snapToGrid w:val="0"/>
          <w:color w:val="auto"/>
          <w:highlight w:val="none"/>
        </w:rPr>
      </w:pPr>
      <w:bookmarkStart w:id="1" w:name="_Hlt127175444"/>
      <w:bookmarkEnd w:id="1"/>
      <w:bookmarkStart w:id="2" w:name="_Toc4883"/>
      <w:bookmarkStart w:id="3" w:name="_Toc30753"/>
      <w:bookmarkStart w:id="4" w:name="_Hlt120077520"/>
      <w:r>
        <w:rPr>
          <w:rFonts w:hint="eastAsia" w:ascii="Times New Roman"/>
          <w:b/>
          <w:snapToGrid w:val="0"/>
          <w:color w:val="auto"/>
          <w:highlight w:val="none"/>
        </w:rPr>
        <w:t>第一节 投标人须知前附表</w:t>
      </w:r>
      <w:bookmarkEnd w:id="2"/>
      <w:bookmarkEnd w:id="3"/>
    </w:p>
    <w:tbl>
      <w:tblPr>
        <w:tblStyle w:val="30"/>
        <w:tblW w:w="9553" w:type="dxa"/>
        <w:tblInd w:w="-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37"/>
        <w:gridCol w:w="1716"/>
        <w:gridCol w:w="7200"/>
      </w:tblGrid>
      <w:tr w14:paraId="2CEA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atLeast"/>
        </w:trPr>
        <w:tc>
          <w:tcPr>
            <w:tcW w:w="637" w:type="dxa"/>
            <w:tcBorders>
              <w:top w:val="single" w:color="auto" w:sz="4" w:space="0"/>
              <w:left w:val="single" w:color="auto" w:sz="4" w:space="0"/>
              <w:bottom w:val="single" w:color="auto" w:sz="4" w:space="0"/>
              <w:right w:val="single" w:color="auto" w:sz="4" w:space="0"/>
            </w:tcBorders>
            <w:vAlign w:val="center"/>
          </w:tcPr>
          <w:p w14:paraId="5A616D1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 w:val="22"/>
                <w:szCs w:val="22"/>
                <w:highlight w:val="none"/>
              </w:rPr>
            </w:pPr>
            <w:r>
              <w:rPr>
                <w:rFonts w:hint="eastAsia" w:hAnsi="宋体" w:cs="宋体"/>
                <w:b/>
                <w:bCs/>
                <w:snapToGrid w:val="0"/>
                <w:color w:val="auto"/>
                <w:kern w:val="0"/>
                <w:sz w:val="22"/>
                <w:szCs w:val="22"/>
                <w:highlight w:val="none"/>
              </w:rPr>
              <w:t>序号</w:t>
            </w:r>
          </w:p>
        </w:tc>
        <w:tc>
          <w:tcPr>
            <w:tcW w:w="1716" w:type="dxa"/>
            <w:tcBorders>
              <w:top w:val="single" w:color="auto" w:sz="4" w:space="0"/>
              <w:left w:val="single" w:color="auto" w:sz="4" w:space="0"/>
              <w:bottom w:val="single" w:color="auto" w:sz="4" w:space="0"/>
              <w:right w:val="single" w:color="auto" w:sz="4" w:space="0"/>
            </w:tcBorders>
            <w:vAlign w:val="center"/>
          </w:tcPr>
          <w:p w14:paraId="1592A7F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 w:val="22"/>
                <w:szCs w:val="22"/>
                <w:highlight w:val="none"/>
              </w:rPr>
            </w:pPr>
            <w:r>
              <w:rPr>
                <w:rFonts w:hint="eastAsia" w:hAnsi="宋体" w:cs="宋体"/>
                <w:b/>
                <w:bCs/>
                <w:snapToGrid w:val="0"/>
                <w:color w:val="auto"/>
                <w:kern w:val="0"/>
                <w:sz w:val="22"/>
                <w:szCs w:val="22"/>
                <w:highlight w:val="none"/>
              </w:rPr>
              <w:t>内容</w:t>
            </w:r>
          </w:p>
        </w:tc>
        <w:tc>
          <w:tcPr>
            <w:tcW w:w="7200" w:type="dxa"/>
            <w:tcBorders>
              <w:top w:val="single" w:color="auto" w:sz="4" w:space="0"/>
              <w:left w:val="single" w:color="auto" w:sz="4" w:space="0"/>
              <w:bottom w:val="single" w:color="auto" w:sz="4" w:space="0"/>
              <w:right w:val="single" w:color="auto" w:sz="4" w:space="0"/>
            </w:tcBorders>
            <w:vAlign w:val="center"/>
          </w:tcPr>
          <w:p w14:paraId="6F58C683">
            <w:pPr>
              <w:keepNext w:val="0"/>
              <w:keepLines w:val="0"/>
              <w:pageBreakBefore w:val="0"/>
              <w:widowControl w:val="0"/>
              <w:tabs>
                <w:tab w:val="left" w:pos="1180"/>
              </w:tabs>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 w:val="22"/>
                <w:szCs w:val="22"/>
                <w:highlight w:val="none"/>
              </w:rPr>
            </w:pPr>
            <w:r>
              <w:rPr>
                <w:rFonts w:hint="eastAsia" w:hAnsi="宋体" w:cs="宋体"/>
                <w:b/>
                <w:bCs/>
                <w:snapToGrid w:val="0"/>
                <w:color w:val="auto"/>
                <w:kern w:val="0"/>
                <w:sz w:val="22"/>
                <w:szCs w:val="22"/>
                <w:highlight w:val="none"/>
              </w:rPr>
              <w:t>说明与要求</w:t>
            </w:r>
          </w:p>
        </w:tc>
      </w:tr>
      <w:tr w14:paraId="17894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73" w:hRule="exact"/>
        </w:trPr>
        <w:tc>
          <w:tcPr>
            <w:tcW w:w="637" w:type="dxa"/>
            <w:tcBorders>
              <w:top w:val="single" w:color="auto" w:sz="4" w:space="0"/>
              <w:left w:val="single" w:color="auto" w:sz="4" w:space="0"/>
              <w:bottom w:val="single" w:color="auto" w:sz="4" w:space="0"/>
              <w:right w:val="single" w:color="auto" w:sz="4" w:space="0"/>
            </w:tcBorders>
            <w:vAlign w:val="center"/>
          </w:tcPr>
          <w:p w14:paraId="02DAE48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w:t>
            </w:r>
          </w:p>
        </w:tc>
        <w:tc>
          <w:tcPr>
            <w:tcW w:w="1716" w:type="dxa"/>
            <w:tcBorders>
              <w:top w:val="single" w:color="auto" w:sz="4" w:space="0"/>
              <w:left w:val="single" w:color="auto" w:sz="4" w:space="0"/>
              <w:bottom w:val="single" w:color="auto" w:sz="4" w:space="0"/>
              <w:right w:val="single" w:color="auto" w:sz="4" w:space="0"/>
            </w:tcBorders>
            <w:vAlign w:val="center"/>
          </w:tcPr>
          <w:p w14:paraId="0259AB1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项目名称</w:t>
            </w:r>
          </w:p>
        </w:tc>
        <w:tc>
          <w:tcPr>
            <w:tcW w:w="7200" w:type="dxa"/>
            <w:tcBorders>
              <w:top w:val="single" w:color="auto" w:sz="4" w:space="0"/>
              <w:left w:val="single" w:color="auto" w:sz="4" w:space="0"/>
              <w:bottom w:val="single" w:color="auto" w:sz="4" w:space="0"/>
              <w:right w:val="single" w:color="auto" w:sz="4" w:space="0"/>
            </w:tcBorders>
            <w:vAlign w:val="center"/>
          </w:tcPr>
          <w:p w14:paraId="5A039704">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int="eastAsia" w:hAnsi="宋体" w:eastAsia="宋体" w:cs="宋体"/>
                <w:snapToGrid w:val="0"/>
                <w:color w:val="auto"/>
                <w:kern w:val="0"/>
                <w:sz w:val="22"/>
                <w:szCs w:val="22"/>
                <w:highlight w:val="none"/>
                <w:lang w:eastAsia="zh-CN"/>
              </w:rPr>
            </w:pPr>
            <w:r>
              <w:rPr>
                <w:rFonts w:hint="eastAsia" w:hAnsi="宋体" w:cs="宋体"/>
                <w:snapToGrid w:val="0"/>
                <w:color w:val="auto"/>
                <w:kern w:val="0"/>
                <w:sz w:val="22"/>
                <w:szCs w:val="22"/>
                <w:highlight w:val="none"/>
                <w:lang w:val="en-US" w:eastAsia="zh-CN"/>
              </w:rPr>
              <w:t>翁源县“百千万工程”之全域推进农村人居环境整治建设项目——新江镇第四批典型村建设项目监理</w:t>
            </w:r>
          </w:p>
        </w:tc>
      </w:tr>
      <w:tr w14:paraId="4391C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exact"/>
        </w:trPr>
        <w:tc>
          <w:tcPr>
            <w:tcW w:w="637" w:type="dxa"/>
            <w:tcBorders>
              <w:top w:val="single" w:color="auto" w:sz="4" w:space="0"/>
              <w:left w:val="single" w:color="auto" w:sz="4" w:space="0"/>
              <w:bottom w:val="single" w:color="auto" w:sz="4" w:space="0"/>
              <w:right w:val="single" w:color="auto" w:sz="4" w:space="0"/>
            </w:tcBorders>
            <w:vAlign w:val="center"/>
          </w:tcPr>
          <w:p w14:paraId="0FBA70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2</w:t>
            </w:r>
          </w:p>
        </w:tc>
        <w:tc>
          <w:tcPr>
            <w:tcW w:w="1716" w:type="dxa"/>
            <w:tcBorders>
              <w:top w:val="single" w:color="auto" w:sz="4" w:space="0"/>
              <w:left w:val="single" w:color="auto" w:sz="4" w:space="0"/>
              <w:bottom w:val="single" w:color="auto" w:sz="4" w:space="0"/>
              <w:right w:val="single" w:color="auto" w:sz="4" w:space="0"/>
            </w:tcBorders>
            <w:vAlign w:val="center"/>
          </w:tcPr>
          <w:p w14:paraId="039B656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项目业主</w:t>
            </w:r>
          </w:p>
        </w:tc>
        <w:tc>
          <w:tcPr>
            <w:tcW w:w="7200" w:type="dxa"/>
            <w:tcBorders>
              <w:top w:val="single" w:color="auto" w:sz="4" w:space="0"/>
              <w:left w:val="single" w:color="auto" w:sz="4" w:space="0"/>
              <w:bottom w:val="single" w:color="auto" w:sz="4" w:space="0"/>
              <w:right w:val="single" w:color="auto" w:sz="4" w:space="0"/>
            </w:tcBorders>
            <w:vAlign w:val="center"/>
          </w:tcPr>
          <w:p w14:paraId="36C8F025">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int="default" w:hAnsi="宋体" w:eastAsia="宋体" w:cs="宋体"/>
                <w:snapToGrid w:val="0"/>
                <w:color w:val="auto"/>
                <w:kern w:val="0"/>
                <w:sz w:val="22"/>
                <w:szCs w:val="22"/>
                <w:highlight w:val="none"/>
                <w:lang w:val="en-US" w:eastAsia="zh-CN"/>
              </w:rPr>
            </w:pPr>
            <w:r>
              <w:rPr>
                <w:rFonts w:hint="eastAsia" w:hAnsi="宋体" w:cs="宋体"/>
                <w:snapToGrid w:val="0"/>
                <w:color w:val="auto"/>
                <w:kern w:val="0"/>
                <w:sz w:val="22"/>
                <w:szCs w:val="22"/>
                <w:highlight w:val="none"/>
                <w:lang w:val="en-US" w:eastAsia="zh-CN"/>
              </w:rPr>
              <w:t>翁源县农业农村局</w:t>
            </w:r>
          </w:p>
        </w:tc>
      </w:tr>
      <w:tr w14:paraId="51276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exact"/>
        </w:trPr>
        <w:tc>
          <w:tcPr>
            <w:tcW w:w="637" w:type="dxa"/>
            <w:tcBorders>
              <w:top w:val="single" w:color="auto" w:sz="4" w:space="0"/>
              <w:left w:val="single" w:color="auto" w:sz="4" w:space="0"/>
              <w:bottom w:val="single" w:color="auto" w:sz="4" w:space="0"/>
              <w:right w:val="single" w:color="auto" w:sz="4" w:space="0"/>
            </w:tcBorders>
            <w:vAlign w:val="center"/>
          </w:tcPr>
          <w:p w14:paraId="7AA9DCF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3</w:t>
            </w:r>
          </w:p>
        </w:tc>
        <w:tc>
          <w:tcPr>
            <w:tcW w:w="1716" w:type="dxa"/>
            <w:tcBorders>
              <w:top w:val="single" w:color="auto" w:sz="4" w:space="0"/>
              <w:left w:val="single" w:color="auto" w:sz="4" w:space="0"/>
              <w:bottom w:val="single" w:color="auto" w:sz="4" w:space="0"/>
              <w:right w:val="single" w:color="auto" w:sz="4" w:space="0"/>
            </w:tcBorders>
            <w:vAlign w:val="center"/>
          </w:tcPr>
          <w:p w14:paraId="324DDCC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项目批准部门</w:t>
            </w:r>
          </w:p>
        </w:tc>
        <w:tc>
          <w:tcPr>
            <w:tcW w:w="7200" w:type="dxa"/>
            <w:tcBorders>
              <w:top w:val="single" w:color="auto" w:sz="4" w:space="0"/>
              <w:left w:val="single" w:color="auto" w:sz="4" w:space="0"/>
              <w:bottom w:val="single" w:color="auto" w:sz="4" w:space="0"/>
              <w:right w:val="single" w:color="auto" w:sz="4" w:space="0"/>
            </w:tcBorders>
            <w:vAlign w:val="center"/>
          </w:tcPr>
          <w:p w14:paraId="027C2964">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翁源县发展和改革局</w:t>
            </w:r>
          </w:p>
        </w:tc>
      </w:tr>
      <w:tr w14:paraId="72C56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1" w:hRule="exact"/>
        </w:trPr>
        <w:tc>
          <w:tcPr>
            <w:tcW w:w="637" w:type="dxa"/>
            <w:tcBorders>
              <w:top w:val="single" w:color="auto" w:sz="4" w:space="0"/>
              <w:left w:val="single" w:color="auto" w:sz="4" w:space="0"/>
              <w:bottom w:val="single" w:color="auto" w:sz="4" w:space="0"/>
              <w:right w:val="single" w:color="auto" w:sz="4" w:space="0"/>
            </w:tcBorders>
            <w:vAlign w:val="center"/>
          </w:tcPr>
          <w:p w14:paraId="24D1E85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4</w:t>
            </w:r>
          </w:p>
        </w:tc>
        <w:tc>
          <w:tcPr>
            <w:tcW w:w="1716" w:type="dxa"/>
            <w:tcBorders>
              <w:top w:val="single" w:color="auto" w:sz="4" w:space="0"/>
              <w:left w:val="single" w:color="auto" w:sz="4" w:space="0"/>
              <w:bottom w:val="single" w:color="auto" w:sz="4" w:space="0"/>
              <w:right w:val="single" w:color="auto" w:sz="4" w:space="0"/>
            </w:tcBorders>
            <w:vAlign w:val="center"/>
          </w:tcPr>
          <w:p w14:paraId="366DC76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项目批准文号</w:t>
            </w:r>
          </w:p>
        </w:tc>
        <w:tc>
          <w:tcPr>
            <w:tcW w:w="7200" w:type="dxa"/>
            <w:tcBorders>
              <w:top w:val="single" w:color="auto" w:sz="4" w:space="0"/>
              <w:left w:val="single" w:color="auto" w:sz="4" w:space="0"/>
              <w:bottom w:val="single" w:color="auto" w:sz="4" w:space="0"/>
              <w:right w:val="single" w:color="auto" w:sz="4" w:space="0"/>
            </w:tcBorders>
            <w:vAlign w:val="center"/>
          </w:tcPr>
          <w:p w14:paraId="52204F50">
            <w:pPr>
              <w:pStyle w:val="116"/>
              <w:keepNext w:val="0"/>
              <w:keepLines w:val="0"/>
              <w:pageBreakBefore w:val="0"/>
              <w:widowControl w:val="0"/>
              <w:kinsoku/>
              <w:overflowPunct/>
              <w:topLinePunct w:val="0"/>
              <w:autoSpaceDE/>
              <w:autoSpaceDN/>
              <w:bidi w:val="0"/>
              <w:spacing w:line="500" w:lineRule="exact"/>
              <w:ind w:firstLine="440" w:firstLineChars="2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lang w:val="en-US" w:eastAsia="zh-CN" w:bidi="ar-SA"/>
              </w:rPr>
              <w:t>翁发改投审〔2025〕25号、翁发改投审〔2026〕34号</w:t>
            </w:r>
          </w:p>
        </w:tc>
      </w:tr>
      <w:tr w14:paraId="570D6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1" w:hRule="exact"/>
        </w:trPr>
        <w:tc>
          <w:tcPr>
            <w:tcW w:w="637" w:type="dxa"/>
            <w:tcBorders>
              <w:top w:val="single" w:color="auto" w:sz="4" w:space="0"/>
              <w:left w:val="single" w:color="auto" w:sz="4" w:space="0"/>
              <w:bottom w:val="single" w:color="auto" w:sz="4" w:space="0"/>
              <w:right w:val="single" w:color="auto" w:sz="4" w:space="0"/>
            </w:tcBorders>
            <w:vAlign w:val="center"/>
          </w:tcPr>
          <w:p w14:paraId="3C24E7E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5</w:t>
            </w:r>
          </w:p>
        </w:tc>
        <w:tc>
          <w:tcPr>
            <w:tcW w:w="1716" w:type="dxa"/>
            <w:tcBorders>
              <w:top w:val="single" w:color="auto" w:sz="4" w:space="0"/>
              <w:left w:val="single" w:color="auto" w:sz="4" w:space="0"/>
              <w:bottom w:val="single" w:color="auto" w:sz="4" w:space="0"/>
              <w:right w:val="single" w:color="auto" w:sz="4" w:space="0"/>
            </w:tcBorders>
            <w:vAlign w:val="center"/>
          </w:tcPr>
          <w:p w14:paraId="62CA9CC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项目代码</w:t>
            </w:r>
          </w:p>
        </w:tc>
        <w:tc>
          <w:tcPr>
            <w:tcW w:w="7200" w:type="dxa"/>
            <w:tcBorders>
              <w:top w:val="single" w:color="auto" w:sz="4" w:space="0"/>
              <w:left w:val="single" w:color="auto" w:sz="4" w:space="0"/>
              <w:bottom w:val="single" w:color="auto" w:sz="4" w:space="0"/>
              <w:right w:val="single" w:color="auto" w:sz="4" w:space="0"/>
            </w:tcBorders>
            <w:vAlign w:val="center"/>
          </w:tcPr>
          <w:p w14:paraId="2BAFF47C">
            <w:pPr>
              <w:pStyle w:val="116"/>
              <w:keepNext w:val="0"/>
              <w:keepLines w:val="0"/>
              <w:pageBreakBefore w:val="0"/>
              <w:widowControl w:val="0"/>
              <w:kinsoku/>
              <w:overflowPunct/>
              <w:topLinePunct w:val="0"/>
              <w:autoSpaceDE/>
              <w:autoSpaceDN/>
              <w:bidi w:val="0"/>
              <w:spacing w:line="500" w:lineRule="exact"/>
              <w:ind w:firstLine="440" w:firstLineChars="200"/>
              <w:jc w:val="left"/>
              <w:rPr>
                <w:rFonts w:ascii="宋体" w:hAnsi="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bidi="ar-SA"/>
              </w:rPr>
              <w:t>2412-440229-04-01-525170</w:t>
            </w:r>
          </w:p>
        </w:tc>
      </w:tr>
      <w:tr w14:paraId="53A3A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25" w:hRule="exact"/>
        </w:trPr>
        <w:tc>
          <w:tcPr>
            <w:tcW w:w="637" w:type="dxa"/>
            <w:tcBorders>
              <w:top w:val="single" w:color="auto" w:sz="4" w:space="0"/>
              <w:left w:val="single" w:color="auto" w:sz="4" w:space="0"/>
              <w:bottom w:val="single" w:color="auto" w:sz="4" w:space="0"/>
              <w:right w:val="single" w:color="auto" w:sz="4" w:space="0"/>
            </w:tcBorders>
            <w:vAlign w:val="center"/>
          </w:tcPr>
          <w:p w14:paraId="160475F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6</w:t>
            </w:r>
          </w:p>
        </w:tc>
        <w:tc>
          <w:tcPr>
            <w:tcW w:w="1716" w:type="dxa"/>
            <w:tcBorders>
              <w:top w:val="single" w:color="auto" w:sz="4" w:space="0"/>
              <w:left w:val="single" w:color="auto" w:sz="4" w:space="0"/>
              <w:bottom w:val="single" w:color="auto" w:sz="4" w:space="0"/>
              <w:right w:val="single" w:color="auto" w:sz="4" w:space="0"/>
            </w:tcBorders>
            <w:vAlign w:val="center"/>
          </w:tcPr>
          <w:p w14:paraId="55C1A5D1">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color w:val="auto"/>
                <w:kern w:val="0"/>
                <w:sz w:val="22"/>
                <w:szCs w:val="22"/>
                <w:highlight w:val="none"/>
              </w:rPr>
            </w:pPr>
            <w:r>
              <w:rPr>
                <w:rFonts w:hint="eastAsia" w:hAnsi="宋体" w:cs="宋体"/>
                <w:color w:val="auto"/>
                <w:kern w:val="0"/>
                <w:sz w:val="22"/>
                <w:szCs w:val="22"/>
                <w:highlight w:val="none"/>
              </w:rPr>
              <w:t>资金来源</w:t>
            </w:r>
          </w:p>
          <w:p w14:paraId="0D0501A7">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color w:val="auto"/>
                <w:kern w:val="0"/>
                <w:sz w:val="22"/>
                <w:szCs w:val="22"/>
                <w:highlight w:val="none"/>
              </w:rPr>
            </w:pPr>
            <w:r>
              <w:rPr>
                <w:rFonts w:hint="eastAsia" w:hAnsi="宋体" w:cs="宋体"/>
                <w:color w:val="auto"/>
                <w:kern w:val="0"/>
                <w:sz w:val="22"/>
                <w:szCs w:val="22"/>
                <w:highlight w:val="none"/>
              </w:rPr>
              <w:t>及出资比例</w:t>
            </w:r>
          </w:p>
        </w:tc>
        <w:tc>
          <w:tcPr>
            <w:tcW w:w="7200" w:type="dxa"/>
            <w:tcBorders>
              <w:top w:val="single" w:color="auto" w:sz="4" w:space="0"/>
              <w:left w:val="single" w:color="auto" w:sz="4" w:space="0"/>
              <w:bottom w:val="single" w:color="auto" w:sz="4" w:space="0"/>
              <w:right w:val="single" w:color="auto" w:sz="4" w:space="0"/>
            </w:tcBorders>
            <w:vAlign w:val="center"/>
          </w:tcPr>
          <w:p w14:paraId="556F9C6E">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kern w:val="0"/>
                <w:sz w:val="22"/>
                <w:szCs w:val="22"/>
                <w:highlight w:val="none"/>
              </w:rPr>
            </w:pPr>
            <w:r>
              <w:rPr>
                <w:rFonts w:hint="eastAsia" w:hAnsi="宋体" w:eastAsia="宋体" w:cs="宋体"/>
                <w:color w:val="auto"/>
                <w:sz w:val="22"/>
                <w:szCs w:val="21"/>
                <w:highlight w:val="none"/>
                <w:lang w:val="en-US" w:eastAsia="zh-CN"/>
              </w:rPr>
              <w:t>争取地方政府专项债券资金及上级专项资金解决，不足部分由县级财政统筹解决</w:t>
            </w:r>
            <w:r>
              <w:rPr>
                <w:rFonts w:hint="eastAsia" w:hAnsi="宋体" w:cs="宋体"/>
                <w:color w:val="auto"/>
                <w:kern w:val="0"/>
                <w:sz w:val="22"/>
                <w:szCs w:val="22"/>
                <w:highlight w:val="none"/>
              </w:rPr>
              <w:t xml:space="preserve"> </w:t>
            </w:r>
            <w:r>
              <w:rPr>
                <w:rFonts w:hint="eastAsia" w:hAnsi="宋体" w:cs="宋体"/>
                <w:color w:val="auto"/>
                <w:kern w:val="0"/>
                <w:sz w:val="22"/>
                <w:szCs w:val="22"/>
                <w:highlight w:val="none"/>
                <w:lang w:eastAsia="zh-CN"/>
              </w:rPr>
              <w:t>；</w:t>
            </w:r>
            <w:r>
              <w:rPr>
                <w:rFonts w:hint="eastAsia" w:hAnsi="宋体" w:cs="宋体"/>
                <w:color w:val="auto"/>
                <w:kern w:val="0"/>
                <w:sz w:val="22"/>
                <w:szCs w:val="22"/>
                <w:highlight w:val="none"/>
              </w:rPr>
              <w:t>100%</w:t>
            </w:r>
          </w:p>
        </w:tc>
      </w:tr>
      <w:tr w14:paraId="12B64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7" w:hRule="exact"/>
        </w:trPr>
        <w:tc>
          <w:tcPr>
            <w:tcW w:w="637" w:type="dxa"/>
            <w:tcBorders>
              <w:top w:val="single" w:color="auto" w:sz="4" w:space="0"/>
              <w:left w:val="single" w:color="auto" w:sz="4" w:space="0"/>
              <w:bottom w:val="single" w:color="auto" w:sz="4" w:space="0"/>
              <w:right w:val="single" w:color="auto" w:sz="4" w:space="0"/>
            </w:tcBorders>
            <w:vAlign w:val="center"/>
          </w:tcPr>
          <w:p w14:paraId="4F4D09A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7</w:t>
            </w:r>
          </w:p>
        </w:tc>
        <w:tc>
          <w:tcPr>
            <w:tcW w:w="1716" w:type="dxa"/>
            <w:tcBorders>
              <w:top w:val="single" w:color="auto" w:sz="4" w:space="0"/>
              <w:left w:val="single" w:color="auto" w:sz="4" w:space="0"/>
              <w:bottom w:val="single" w:color="auto" w:sz="4" w:space="0"/>
              <w:right w:val="single" w:color="auto" w:sz="4" w:space="0"/>
            </w:tcBorders>
            <w:vAlign w:val="center"/>
          </w:tcPr>
          <w:p w14:paraId="7E8E6FA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招标人</w:t>
            </w:r>
          </w:p>
        </w:tc>
        <w:tc>
          <w:tcPr>
            <w:tcW w:w="7200" w:type="dxa"/>
            <w:tcBorders>
              <w:top w:val="single" w:color="auto" w:sz="4" w:space="0"/>
              <w:left w:val="single" w:color="auto" w:sz="4" w:space="0"/>
              <w:bottom w:val="single" w:color="auto" w:sz="4" w:space="0"/>
              <w:right w:val="single" w:color="auto" w:sz="4" w:space="0"/>
            </w:tcBorders>
            <w:vAlign w:val="center"/>
          </w:tcPr>
          <w:p w14:paraId="2B78CE37">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lang w:val="zh-CN"/>
              </w:rPr>
              <w:t>翁源县新江镇人民政府</w:t>
            </w:r>
          </w:p>
        </w:tc>
      </w:tr>
      <w:tr w14:paraId="7E0D8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637" w:type="dxa"/>
            <w:tcBorders>
              <w:top w:val="single" w:color="auto" w:sz="4" w:space="0"/>
              <w:left w:val="single" w:color="auto" w:sz="4" w:space="0"/>
              <w:bottom w:val="single" w:color="auto" w:sz="4" w:space="0"/>
              <w:right w:val="single" w:color="auto" w:sz="4" w:space="0"/>
            </w:tcBorders>
            <w:vAlign w:val="center"/>
          </w:tcPr>
          <w:p w14:paraId="1862C63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8</w:t>
            </w:r>
          </w:p>
        </w:tc>
        <w:tc>
          <w:tcPr>
            <w:tcW w:w="1716" w:type="dxa"/>
            <w:tcBorders>
              <w:top w:val="single" w:color="auto" w:sz="4" w:space="0"/>
              <w:left w:val="single" w:color="auto" w:sz="4" w:space="0"/>
              <w:bottom w:val="single" w:color="auto" w:sz="4" w:space="0"/>
              <w:right w:val="single" w:color="auto" w:sz="4" w:space="0"/>
            </w:tcBorders>
            <w:vAlign w:val="center"/>
          </w:tcPr>
          <w:p w14:paraId="4E7BF7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招标代理机构</w:t>
            </w:r>
          </w:p>
        </w:tc>
        <w:tc>
          <w:tcPr>
            <w:tcW w:w="7200" w:type="dxa"/>
            <w:tcBorders>
              <w:top w:val="single" w:color="auto" w:sz="4" w:space="0"/>
              <w:left w:val="single" w:color="auto" w:sz="4" w:space="0"/>
              <w:bottom w:val="single" w:color="auto" w:sz="4" w:space="0"/>
              <w:right w:val="single" w:color="auto" w:sz="4" w:space="0"/>
            </w:tcBorders>
            <w:vAlign w:val="center"/>
          </w:tcPr>
          <w:p w14:paraId="247F9F6F">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lang w:eastAsia="zh-CN"/>
              </w:rPr>
              <w:t>韶关市城监项目管理有限公司</w:t>
            </w:r>
            <w:r>
              <w:rPr>
                <w:rFonts w:hint="eastAsia" w:hAnsi="宋体" w:cs="宋体"/>
                <w:snapToGrid w:val="0"/>
                <w:color w:val="auto"/>
                <w:kern w:val="0"/>
                <w:sz w:val="22"/>
                <w:szCs w:val="22"/>
                <w:highlight w:val="none"/>
              </w:rPr>
              <w:t xml:space="preserve"> </w:t>
            </w:r>
          </w:p>
        </w:tc>
      </w:tr>
      <w:tr w14:paraId="52722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64" w:hRule="exact"/>
        </w:trPr>
        <w:tc>
          <w:tcPr>
            <w:tcW w:w="637" w:type="dxa"/>
            <w:tcBorders>
              <w:top w:val="single" w:color="auto" w:sz="4" w:space="0"/>
              <w:left w:val="single" w:color="auto" w:sz="4" w:space="0"/>
              <w:bottom w:val="single" w:color="auto" w:sz="4" w:space="0"/>
              <w:right w:val="single" w:color="auto" w:sz="4" w:space="0"/>
            </w:tcBorders>
            <w:vAlign w:val="center"/>
          </w:tcPr>
          <w:p w14:paraId="67F0BD2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9</w:t>
            </w:r>
          </w:p>
        </w:tc>
        <w:tc>
          <w:tcPr>
            <w:tcW w:w="1716" w:type="dxa"/>
            <w:tcBorders>
              <w:top w:val="single" w:color="auto" w:sz="4" w:space="0"/>
              <w:left w:val="single" w:color="auto" w:sz="4" w:space="0"/>
              <w:bottom w:val="single" w:color="auto" w:sz="4" w:space="0"/>
              <w:right w:val="single" w:color="auto" w:sz="4" w:space="0"/>
            </w:tcBorders>
            <w:vAlign w:val="center"/>
          </w:tcPr>
          <w:p w14:paraId="38C9C6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施工单位</w:t>
            </w:r>
          </w:p>
        </w:tc>
        <w:tc>
          <w:tcPr>
            <w:tcW w:w="7200" w:type="dxa"/>
            <w:tcBorders>
              <w:top w:val="single" w:color="auto" w:sz="4" w:space="0"/>
              <w:left w:val="single" w:color="auto" w:sz="4" w:space="0"/>
              <w:bottom w:val="single" w:color="auto" w:sz="4" w:space="0"/>
              <w:right w:val="single" w:color="auto" w:sz="4" w:space="0"/>
            </w:tcBorders>
            <w:vAlign w:val="center"/>
          </w:tcPr>
          <w:p w14:paraId="5A573BFA">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int="eastAsia" w:hAnsi="宋体" w:eastAsia="宋体" w:cs="宋体"/>
                <w:bCs/>
                <w:snapToGrid w:val="0"/>
                <w:color w:val="auto"/>
                <w:kern w:val="0"/>
                <w:sz w:val="22"/>
                <w:szCs w:val="22"/>
                <w:highlight w:val="none"/>
                <w:lang w:val="en-US" w:eastAsia="zh-CN"/>
              </w:rPr>
            </w:pPr>
            <w:r>
              <w:rPr>
                <w:rFonts w:hint="eastAsia" w:hAnsi="宋体" w:cs="宋体"/>
                <w:bCs/>
                <w:snapToGrid w:val="0"/>
                <w:color w:val="auto"/>
                <w:kern w:val="0"/>
                <w:sz w:val="22"/>
                <w:szCs w:val="22"/>
                <w:highlight w:val="none"/>
                <w:lang w:val="en-US" w:eastAsia="zh-CN"/>
              </w:rPr>
              <w:t>/</w:t>
            </w:r>
          </w:p>
        </w:tc>
      </w:tr>
      <w:tr w14:paraId="23BD8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637" w:type="dxa"/>
            <w:tcBorders>
              <w:top w:val="single" w:color="auto" w:sz="4" w:space="0"/>
              <w:left w:val="single" w:color="auto" w:sz="4" w:space="0"/>
              <w:bottom w:val="single" w:color="auto" w:sz="4" w:space="0"/>
              <w:right w:val="single" w:color="auto" w:sz="4" w:space="0"/>
            </w:tcBorders>
            <w:vAlign w:val="center"/>
          </w:tcPr>
          <w:p w14:paraId="3CCDDB2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10</w:t>
            </w:r>
          </w:p>
        </w:tc>
        <w:tc>
          <w:tcPr>
            <w:tcW w:w="1716" w:type="dxa"/>
            <w:tcBorders>
              <w:top w:val="single" w:color="auto" w:sz="4" w:space="0"/>
              <w:left w:val="single" w:color="auto" w:sz="4" w:space="0"/>
              <w:bottom w:val="single" w:color="auto" w:sz="4" w:space="0"/>
              <w:right w:val="single" w:color="auto" w:sz="4" w:space="0"/>
            </w:tcBorders>
            <w:vAlign w:val="center"/>
          </w:tcPr>
          <w:p w14:paraId="6FF12DE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建设地点</w:t>
            </w:r>
          </w:p>
        </w:tc>
        <w:tc>
          <w:tcPr>
            <w:tcW w:w="7200" w:type="dxa"/>
            <w:tcBorders>
              <w:top w:val="single" w:color="auto" w:sz="4" w:space="0"/>
              <w:left w:val="single" w:color="auto" w:sz="4" w:space="0"/>
              <w:bottom w:val="single" w:color="auto" w:sz="4" w:space="0"/>
              <w:right w:val="single" w:color="auto" w:sz="4" w:space="0"/>
            </w:tcBorders>
            <w:vAlign w:val="center"/>
          </w:tcPr>
          <w:p w14:paraId="38AD8131">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Ansi="宋体" w:cs="宋体"/>
                <w:bCs/>
                <w:snapToGrid w:val="0"/>
                <w:color w:val="auto"/>
                <w:kern w:val="0"/>
                <w:sz w:val="22"/>
                <w:szCs w:val="22"/>
                <w:highlight w:val="none"/>
              </w:rPr>
            </w:pPr>
            <w:r>
              <w:rPr>
                <w:rFonts w:hint="eastAsia" w:hAnsi="宋体" w:cs="宋体"/>
                <w:snapToGrid w:val="0"/>
                <w:color w:val="auto"/>
                <w:kern w:val="0"/>
                <w:sz w:val="22"/>
                <w:szCs w:val="22"/>
                <w:highlight w:val="none"/>
                <w:lang w:val="en-US" w:eastAsia="zh-CN"/>
              </w:rPr>
              <w:t>韶关市翁源县新江镇</w:t>
            </w:r>
          </w:p>
        </w:tc>
      </w:tr>
      <w:tr w14:paraId="60FB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982" w:hRule="exact"/>
        </w:trPr>
        <w:tc>
          <w:tcPr>
            <w:tcW w:w="637" w:type="dxa"/>
            <w:tcBorders>
              <w:top w:val="single" w:color="auto" w:sz="4" w:space="0"/>
              <w:left w:val="single" w:color="auto" w:sz="4" w:space="0"/>
              <w:bottom w:val="single" w:color="auto" w:sz="4" w:space="0"/>
              <w:right w:val="single" w:color="auto" w:sz="4" w:space="0"/>
            </w:tcBorders>
            <w:vAlign w:val="center"/>
          </w:tcPr>
          <w:p w14:paraId="1C3DB1E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11</w:t>
            </w:r>
          </w:p>
        </w:tc>
        <w:tc>
          <w:tcPr>
            <w:tcW w:w="1716" w:type="dxa"/>
            <w:tcBorders>
              <w:top w:val="single" w:color="auto" w:sz="4" w:space="0"/>
              <w:left w:val="single" w:color="auto" w:sz="4" w:space="0"/>
              <w:bottom w:val="single" w:color="auto" w:sz="4" w:space="0"/>
              <w:right w:val="single" w:color="auto" w:sz="4" w:space="0"/>
            </w:tcBorders>
            <w:vAlign w:val="center"/>
          </w:tcPr>
          <w:p w14:paraId="524B41A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建设内容和规模</w:t>
            </w:r>
          </w:p>
        </w:tc>
        <w:tc>
          <w:tcPr>
            <w:tcW w:w="7200" w:type="dxa"/>
            <w:tcBorders>
              <w:top w:val="single" w:color="auto" w:sz="4" w:space="0"/>
              <w:left w:val="single" w:color="auto" w:sz="4" w:space="0"/>
              <w:bottom w:val="single" w:color="auto" w:sz="4" w:space="0"/>
              <w:right w:val="single" w:color="auto" w:sz="4" w:space="0"/>
            </w:tcBorders>
            <w:vAlign w:val="center"/>
          </w:tcPr>
          <w:p w14:paraId="07AEA898">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18"/>
                <w:highlight w:val="none"/>
                <w:lang w:eastAsia="zh-CN"/>
              </w:rPr>
              <w:t>主要建设内容为对翁源县新江镇新江村、西锦村、双星村进行典型村基础设施改造提升：①村庄建筑外立面提升；②村庄新建混凝土路面、及路面加铺沥青；③村庄四小园及配套基础设施建设；④村道排水沟新建盖板及修复原有水沟。</w:t>
            </w:r>
          </w:p>
        </w:tc>
      </w:tr>
      <w:tr w14:paraId="2CCBD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7" w:hRule="exact"/>
        </w:trPr>
        <w:tc>
          <w:tcPr>
            <w:tcW w:w="637" w:type="dxa"/>
            <w:tcBorders>
              <w:top w:val="single" w:color="auto" w:sz="4" w:space="0"/>
              <w:left w:val="single" w:color="auto" w:sz="4" w:space="0"/>
              <w:bottom w:val="single" w:color="auto" w:sz="4" w:space="0"/>
              <w:right w:val="single" w:color="auto" w:sz="4" w:space="0"/>
            </w:tcBorders>
            <w:vAlign w:val="center"/>
          </w:tcPr>
          <w:p w14:paraId="38F04D5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12</w:t>
            </w:r>
          </w:p>
        </w:tc>
        <w:tc>
          <w:tcPr>
            <w:tcW w:w="1716" w:type="dxa"/>
            <w:tcBorders>
              <w:top w:val="single" w:color="auto" w:sz="4" w:space="0"/>
              <w:left w:val="single" w:color="auto" w:sz="4" w:space="0"/>
              <w:bottom w:val="single" w:color="auto" w:sz="4" w:space="0"/>
              <w:right w:val="single" w:color="auto" w:sz="4" w:space="0"/>
            </w:tcBorders>
            <w:vAlign w:val="center"/>
          </w:tcPr>
          <w:p w14:paraId="77F81F0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项目总投资</w:t>
            </w:r>
          </w:p>
        </w:tc>
        <w:tc>
          <w:tcPr>
            <w:tcW w:w="7200" w:type="dxa"/>
            <w:tcBorders>
              <w:top w:val="single" w:color="auto" w:sz="4" w:space="0"/>
              <w:left w:val="single" w:color="auto" w:sz="4" w:space="0"/>
              <w:bottom w:val="single" w:color="auto" w:sz="4" w:space="0"/>
              <w:right w:val="single" w:color="auto" w:sz="4" w:space="0"/>
            </w:tcBorders>
            <w:vAlign w:val="center"/>
          </w:tcPr>
          <w:p w14:paraId="5A4E55A0">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Ansi="宋体" w:cs="宋体"/>
                <w:snapToGrid w:val="0"/>
                <w:color w:val="auto"/>
                <w:kern w:val="0"/>
                <w:sz w:val="22"/>
                <w:szCs w:val="22"/>
                <w:highlight w:val="none"/>
              </w:rPr>
            </w:pPr>
            <w:r>
              <w:rPr>
                <w:rFonts w:hint="eastAsia" w:hAnsi="宋体" w:cs="宋体"/>
                <w:color w:val="auto"/>
                <w:kern w:val="0"/>
                <w:sz w:val="22"/>
                <w:szCs w:val="22"/>
                <w:highlight w:val="none"/>
                <w:lang w:val="en-US" w:eastAsia="zh-CN" w:bidi="ar-SA"/>
              </w:rPr>
              <w:t>本项目概算总投资约2007.21万元。</w:t>
            </w:r>
          </w:p>
        </w:tc>
      </w:tr>
      <w:tr w14:paraId="2303D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58" w:hRule="exact"/>
        </w:trPr>
        <w:tc>
          <w:tcPr>
            <w:tcW w:w="637" w:type="dxa"/>
            <w:tcBorders>
              <w:top w:val="single" w:color="auto" w:sz="4" w:space="0"/>
              <w:left w:val="single" w:color="auto" w:sz="4" w:space="0"/>
              <w:bottom w:val="single" w:color="auto" w:sz="4" w:space="0"/>
              <w:right w:val="single" w:color="auto" w:sz="4" w:space="0"/>
            </w:tcBorders>
            <w:vAlign w:val="center"/>
          </w:tcPr>
          <w:p w14:paraId="4291E04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13</w:t>
            </w:r>
          </w:p>
        </w:tc>
        <w:tc>
          <w:tcPr>
            <w:tcW w:w="1716" w:type="dxa"/>
            <w:tcBorders>
              <w:top w:val="single" w:color="auto" w:sz="4" w:space="0"/>
              <w:left w:val="single" w:color="auto" w:sz="4" w:space="0"/>
              <w:bottom w:val="single" w:color="auto" w:sz="4" w:space="0"/>
              <w:right w:val="single" w:color="auto" w:sz="4" w:space="0"/>
            </w:tcBorders>
            <w:vAlign w:val="center"/>
          </w:tcPr>
          <w:p w14:paraId="7C84CB2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招标范围</w:t>
            </w:r>
          </w:p>
        </w:tc>
        <w:tc>
          <w:tcPr>
            <w:tcW w:w="7200" w:type="dxa"/>
            <w:tcBorders>
              <w:top w:val="single" w:color="auto" w:sz="4" w:space="0"/>
              <w:left w:val="single" w:color="auto" w:sz="4" w:space="0"/>
              <w:bottom w:val="single" w:color="auto" w:sz="4" w:space="0"/>
              <w:right w:val="single" w:color="auto" w:sz="4" w:space="0"/>
            </w:tcBorders>
            <w:vAlign w:val="center"/>
          </w:tcPr>
          <w:p w14:paraId="15FBF660">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textAlignment w:val="auto"/>
              <w:rPr>
                <w:rFonts w:hint="eastAsia" w:hAnsi="宋体" w:eastAsia="宋体" w:cs="宋体"/>
                <w:bCs/>
                <w:snapToGrid w:val="0"/>
                <w:color w:val="auto"/>
                <w:kern w:val="0"/>
                <w:sz w:val="22"/>
                <w:szCs w:val="22"/>
                <w:highlight w:val="none"/>
                <w:lang w:eastAsia="zh-CN"/>
              </w:rPr>
            </w:pPr>
            <w:r>
              <w:rPr>
                <w:rFonts w:hint="eastAsia" w:hAnsi="宋体" w:cs="宋体"/>
                <w:bCs/>
                <w:snapToGrid w:val="0"/>
                <w:color w:val="auto"/>
                <w:kern w:val="0"/>
                <w:sz w:val="22"/>
                <w:szCs w:val="22"/>
                <w:highlight w:val="none"/>
                <w:lang w:eastAsia="zh-CN"/>
              </w:rPr>
              <w:t>项目建设施工阶段监理（含施工准备阶段、施工阶段、工程竣工验收及结算阶段和缺陷责任保修期阶段的监理服务）</w:t>
            </w:r>
          </w:p>
        </w:tc>
      </w:tr>
      <w:tr w14:paraId="56A16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exact"/>
        </w:trPr>
        <w:tc>
          <w:tcPr>
            <w:tcW w:w="637" w:type="dxa"/>
            <w:tcBorders>
              <w:top w:val="single" w:color="auto" w:sz="4" w:space="0"/>
              <w:left w:val="single" w:color="auto" w:sz="4" w:space="0"/>
              <w:bottom w:val="single" w:color="auto" w:sz="4" w:space="0"/>
              <w:right w:val="single" w:color="auto" w:sz="4" w:space="0"/>
            </w:tcBorders>
            <w:vAlign w:val="center"/>
          </w:tcPr>
          <w:p w14:paraId="24E64C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14</w:t>
            </w:r>
          </w:p>
        </w:tc>
        <w:tc>
          <w:tcPr>
            <w:tcW w:w="1716" w:type="dxa"/>
            <w:tcBorders>
              <w:top w:val="single" w:color="auto" w:sz="4" w:space="0"/>
              <w:left w:val="single" w:color="auto" w:sz="4" w:space="0"/>
              <w:bottom w:val="single" w:color="auto" w:sz="4" w:space="0"/>
              <w:right w:val="single" w:color="auto" w:sz="4" w:space="0"/>
            </w:tcBorders>
            <w:vAlign w:val="center"/>
          </w:tcPr>
          <w:p w14:paraId="395764C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标段划分</w:t>
            </w:r>
          </w:p>
        </w:tc>
        <w:tc>
          <w:tcPr>
            <w:tcW w:w="7200" w:type="dxa"/>
            <w:tcBorders>
              <w:top w:val="single" w:color="auto" w:sz="4" w:space="0"/>
              <w:left w:val="single" w:color="auto" w:sz="4" w:space="0"/>
              <w:bottom w:val="single" w:color="auto" w:sz="4" w:space="0"/>
              <w:right w:val="single" w:color="auto" w:sz="4" w:space="0"/>
            </w:tcBorders>
            <w:vAlign w:val="center"/>
          </w:tcPr>
          <w:p w14:paraId="6F6ED3D3">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本招标项目不划分标段。</w:t>
            </w:r>
          </w:p>
        </w:tc>
      </w:tr>
      <w:tr w14:paraId="1EAF6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7" w:hRule="atLeast"/>
        </w:trPr>
        <w:tc>
          <w:tcPr>
            <w:tcW w:w="637" w:type="dxa"/>
            <w:tcBorders>
              <w:top w:val="single" w:color="auto" w:sz="4" w:space="0"/>
              <w:left w:val="single" w:color="auto" w:sz="4" w:space="0"/>
              <w:bottom w:val="single" w:color="auto" w:sz="4" w:space="0"/>
              <w:right w:val="single" w:color="auto" w:sz="4" w:space="0"/>
            </w:tcBorders>
            <w:vAlign w:val="center"/>
          </w:tcPr>
          <w:p w14:paraId="0D21C1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15</w:t>
            </w:r>
          </w:p>
        </w:tc>
        <w:tc>
          <w:tcPr>
            <w:tcW w:w="1716" w:type="dxa"/>
            <w:tcBorders>
              <w:top w:val="single" w:color="auto" w:sz="4" w:space="0"/>
              <w:left w:val="single" w:color="auto" w:sz="4" w:space="0"/>
              <w:bottom w:val="single" w:color="auto" w:sz="4" w:space="0"/>
              <w:right w:val="single" w:color="auto" w:sz="4" w:space="0"/>
            </w:tcBorders>
            <w:vAlign w:val="center"/>
          </w:tcPr>
          <w:p w14:paraId="39645DB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投标人资格要求</w:t>
            </w:r>
          </w:p>
        </w:tc>
        <w:tc>
          <w:tcPr>
            <w:tcW w:w="7200" w:type="dxa"/>
            <w:tcBorders>
              <w:top w:val="single" w:color="auto" w:sz="4" w:space="0"/>
              <w:left w:val="single" w:color="auto" w:sz="4" w:space="0"/>
              <w:bottom w:val="single" w:color="auto" w:sz="4" w:space="0"/>
              <w:right w:val="single" w:color="auto" w:sz="4" w:space="0"/>
            </w:tcBorders>
            <w:vAlign w:val="center"/>
          </w:tcPr>
          <w:p w14:paraId="72B4A504">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textAlignment w:val="auto"/>
              <w:rPr>
                <w:rFonts w:hAnsi="宋体" w:cs="宋体"/>
                <w:color w:val="auto"/>
                <w:sz w:val="22"/>
                <w:szCs w:val="22"/>
                <w:highlight w:val="none"/>
              </w:rPr>
            </w:pPr>
            <w:r>
              <w:rPr>
                <w:rFonts w:hint="eastAsia" w:hAnsi="宋体" w:cs="宋体"/>
                <w:color w:val="auto"/>
                <w:sz w:val="22"/>
                <w:szCs w:val="22"/>
                <w:highlight w:val="none"/>
              </w:rPr>
              <w:t>1．本次招标不接受联合体投标。</w:t>
            </w:r>
          </w:p>
          <w:p w14:paraId="0C43707D">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textAlignment w:val="auto"/>
              <w:rPr>
                <w:rFonts w:hAnsi="宋体" w:cs="宋体"/>
                <w:color w:val="auto"/>
                <w:sz w:val="22"/>
                <w:szCs w:val="22"/>
                <w:highlight w:val="none"/>
              </w:rPr>
            </w:pPr>
            <w:r>
              <w:rPr>
                <w:rFonts w:hint="eastAsia" w:hAnsi="宋体" w:cs="宋体"/>
                <w:color w:val="auto"/>
                <w:sz w:val="22"/>
                <w:szCs w:val="22"/>
                <w:highlight w:val="none"/>
              </w:rPr>
              <w:t>2．资质要求</w:t>
            </w:r>
          </w:p>
          <w:p w14:paraId="5E83E10D">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2.1 投标人须具备独立法人资格，按国家法律经营。</w:t>
            </w:r>
          </w:p>
          <w:p w14:paraId="0BD694E8">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int="eastAsia" w:ascii="宋体" w:hAnsi="宋体" w:eastAsia="宋体" w:cs="宋体"/>
                <w:color w:val="auto"/>
                <w:sz w:val="22"/>
                <w:szCs w:val="22"/>
                <w:highlight w:val="none"/>
              </w:rPr>
            </w:pPr>
            <w:r>
              <w:rPr>
                <w:rFonts w:hint="eastAsia" w:hAnsi="宋体" w:cs="宋体"/>
                <w:color w:val="auto"/>
                <w:sz w:val="22"/>
                <w:szCs w:val="22"/>
                <w:highlight w:val="none"/>
              </w:rPr>
              <w:t xml:space="preserve">2.2 </w:t>
            </w:r>
            <w:r>
              <w:rPr>
                <w:rFonts w:hint="eastAsia" w:ascii="宋体" w:hAnsi="宋体" w:eastAsia="宋体" w:cs="宋体"/>
                <w:color w:val="auto"/>
                <w:sz w:val="22"/>
                <w:szCs w:val="22"/>
                <w:highlight w:val="none"/>
              </w:rPr>
              <w:t>投标人须具备以下资质之一：①工程监理综合资质；②市政公用工程监理</w:t>
            </w:r>
            <w:r>
              <w:rPr>
                <w:rFonts w:hint="eastAsia" w:hAnsi="宋体" w:cs="宋体"/>
                <w:color w:val="auto"/>
                <w:sz w:val="22"/>
                <w:szCs w:val="22"/>
                <w:highlight w:val="none"/>
                <w:lang w:val="en-US" w:eastAsia="zh-CN"/>
              </w:rPr>
              <w:t>乙</w:t>
            </w:r>
            <w:r>
              <w:rPr>
                <w:rFonts w:hint="eastAsia" w:ascii="宋体" w:hAnsi="宋体" w:eastAsia="宋体" w:cs="宋体"/>
                <w:color w:val="auto"/>
                <w:sz w:val="22"/>
                <w:szCs w:val="22"/>
                <w:highlight w:val="none"/>
              </w:rPr>
              <w:t>级以上（含</w:t>
            </w:r>
            <w:r>
              <w:rPr>
                <w:rFonts w:hint="eastAsia" w:hAnsi="宋体" w:cs="宋体"/>
                <w:color w:val="auto"/>
                <w:sz w:val="22"/>
                <w:szCs w:val="22"/>
                <w:highlight w:val="none"/>
                <w:lang w:val="en-US" w:eastAsia="zh-CN"/>
              </w:rPr>
              <w:t>乙</w:t>
            </w:r>
            <w:r>
              <w:rPr>
                <w:rFonts w:hint="eastAsia" w:ascii="宋体" w:hAnsi="宋体" w:eastAsia="宋体" w:cs="宋体"/>
                <w:color w:val="auto"/>
                <w:sz w:val="22"/>
                <w:szCs w:val="22"/>
                <w:highlight w:val="none"/>
              </w:rPr>
              <w:t>级）资质及房屋建筑工程监理</w:t>
            </w:r>
            <w:r>
              <w:rPr>
                <w:rFonts w:hint="eastAsia" w:hAnsi="宋体" w:cs="宋体"/>
                <w:color w:val="auto"/>
                <w:sz w:val="22"/>
                <w:szCs w:val="22"/>
                <w:highlight w:val="none"/>
                <w:lang w:val="en-US" w:eastAsia="zh-CN"/>
              </w:rPr>
              <w:t>乙</w:t>
            </w:r>
            <w:r>
              <w:rPr>
                <w:rFonts w:hint="eastAsia" w:ascii="宋体" w:hAnsi="宋体" w:eastAsia="宋体" w:cs="宋体"/>
                <w:color w:val="auto"/>
                <w:sz w:val="22"/>
                <w:szCs w:val="22"/>
                <w:highlight w:val="none"/>
              </w:rPr>
              <w:t>级以上（含</w:t>
            </w:r>
            <w:r>
              <w:rPr>
                <w:rFonts w:hint="eastAsia" w:hAnsi="宋体" w:cs="宋体"/>
                <w:color w:val="auto"/>
                <w:sz w:val="22"/>
                <w:szCs w:val="22"/>
                <w:highlight w:val="none"/>
                <w:lang w:val="en-US" w:eastAsia="zh-CN"/>
              </w:rPr>
              <w:t>乙</w:t>
            </w:r>
            <w:r>
              <w:rPr>
                <w:rFonts w:hint="eastAsia" w:ascii="宋体" w:hAnsi="宋体" w:eastAsia="宋体" w:cs="宋体"/>
                <w:color w:val="auto"/>
                <w:sz w:val="22"/>
                <w:szCs w:val="22"/>
                <w:highlight w:val="none"/>
              </w:rPr>
              <w:t>级）资质。</w:t>
            </w:r>
          </w:p>
          <w:p w14:paraId="313E5A8A">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2.3 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5F5074AC">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3．相关人员要求</w:t>
            </w:r>
          </w:p>
          <w:p w14:paraId="167EA274">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3.1 拟派总监理工程师为市政公用工程专业或房屋建筑工程专业注册监理工程师，应持有国家住建部印发的有效注册证书，其担任总监理工程师职务的其他在施（包括已中标未开工、已开工未竣工）建设工程项目不得超过</w:t>
            </w:r>
            <w:r>
              <w:rPr>
                <w:rFonts w:hint="eastAsia" w:hAnsi="宋体" w:cs="宋体"/>
                <w:color w:val="auto"/>
                <w:sz w:val="22"/>
                <w:szCs w:val="22"/>
                <w:highlight w:val="none"/>
                <w:u w:val="single"/>
              </w:rPr>
              <w:t xml:space="preserve"> 2 </w:t>
            </w:r>
            <w:r>
              <w:rPr>
                <w:rFonts w:hint="eastAsia" w:hAnsi="宋体" w:cs="宋体"/>
                <w:color w:val="auto"/>
                <w:sz w:val="22"/>
                <w:szCs w:val="22"/>
                <w:highlight w:val="none"/>
              </w:rPr>
              <w:t>个。</w:t>
            </w:r>
          </w:p>
          <w:p w14:paraId="6A7B3674">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拟派总监理工程师现阶段有担任其他在施建设工程项目总监理工程师职务的，须得到任职项目建设单位书面同意后方可担任本招标项目总监理工程师。</w:t>
            </w:r>
          </w:p>
          <w:p w14:paraId="27183460">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3.2 投标人与其拟派往本项目监理机构的所有人员之间必须具备合法、唯一的劳动聘用关系。拟派人员中具备注册执业资格的，其注册单位须与投标人保持一致。</w:t>
            </w:r>
          </w:p>
          <w:p w14:paraId="4D8E3C3A">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4．禁止投标条款</w:t>
            </w:r>
          </w:p>
          <w:p w14:paraId="643A7970">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4.1 投标人不得存在下列情形之一：</w:t>
            </w:r>
          </w:p>
          <w:p w14:paraId="33D9336C">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（1）为招标人不具有独立法人资格的附属机构（单位）；</w:t>
            </w:r>
          </w:p>
          <w:p w14:paraId="050EBDBB">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（2）与招标人存在利害关系且可能影响招标公正性；</w:t>
            </w:r>
          </w:p>
          <w:p w14:paraId="24F40CA1">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（3）与本招标项目的其他投标人为同一个单位负责人；</w:t>
            </w:r>
          </w:p>
          <w:p w14:paraId="1244D360">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（4）与本招标项目的其他投标人存在控股、管理关系；</w:t>
            </w:r>
          </w:p>
          <w:p w14:paraId="66985ACF">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（5）为本招标项目的代建人；</w:t>
            </w:r>
          </w:p>
          <w:p w14:paraId="7A5518C4">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（6）为本招标项目的招标代理机构；</w:t>
            </w:r>
          </w:p>
          <w:p w14:paraId="4B96EB39">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（7）与本招标项目的代建人或招标代理机构同为一个法定代表人；</w:t>
            </w:r>
          </w:p>
          <w:p w14:paraId="097A8C09">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（8）与本招标项目的代建人或招标代理机构存在控股或参股关系；</w:t>
            </w:r>
          </w:p>
          <w:p w14:paraId="6F337B4D">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（9）与本招标项目的施工承包人以及建筑材料、建筑构配件和设备供应商有隶属关系或者其他利害关系；</w:t>
            </w:r>
          </w:p>
          <w:p w14:paraId="73DC5655">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（10）被依法暂停或者取消投标资格；</w:t>
            </w:r>
          </w:p>
          <w:p w14:paraId="679F4547">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（11）被责令停产停业、暂扣或者吊销许可证、暂扣或者吊销执照；</w:t>
            </w:r>
          </w:p>
          <w:p w14:paraId="27E4256A">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（12）进入清算程序，或被宣告破产，或其他丧失履约能力的情形；</w:t>
            </w:r>
          </w:p>
          <w:p w14:paraId="74156A1D">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（13）在最近三年内发生重大监理质量问题（以相关行业主管部门的行政处罚决定或司法机关出具的有关法律文书为准）；</w:t>
            </w:r>
          </w:p>
          <w:p w14:paraId="6002F34E">
            <w:pPr>
              <w:keepNext w:val="0"/>
              <w:keepLines w:val="0"/>
              <w:pageBreakBefore w:val="0"/>
              <w:widowControl w:val="0"/>
              <w:kinsoku/>
              <w:wordWrap w:val="0"/>
              <w:overflowPunct/>
              <w:topLinePunct w:val="0"/>
              <w:autoSpaceDE/>
              <w:autoSpaceDN/>
              <w:bidi w:val="0"/>
              <w:adjustRightInd w:val="0"/>
              <w:snapToGrid w:val="0"/>
              <w:spacing w:line="500" w:lineRule="exact"/>
              <w:ind w:firstLine="220" w:firstLineChars="100"/>
              <w:jc w:val="left"/>
              <w:textAlignment w:val="auto"/>
              <w:rPr>
                <w:rFonts w:hAnsi="宋体" w:cs="宋体"/>
                <w:color w:val="auto"/>
                <w:sz w:val="22"/>
                <w:szCs w:val="22"/>
                <w:highlight w:val="none"/>
              </w:rPr>
            </w:pPr>
            <w:r>
              <w:rPr>
                <w:rFonts w:hint="eastAsia" w:hAnsi="宋体" w:cs="宋体"/>
                <w:color w:val="auto"/>
                <w:sz w:val="22"/>
                <w:szCs w:val="22"/>
                <w:highlight w:val="none"/>
              </w:rPr>
              <w:t>（14）</w:t>
            </w:r>
            <w:r>
              <w:rPr>
                <w:rFonts w:hint="eastAsia" w:hAnsi="宋体" w:cs="宋体"/>
                <w:color w:val="auto"/>
                <w:kern w:val="0"/>
                <w:sz w:val="22"/>
                <w:szCs w:val="18"/>
                <w:highlight w:val="none"/>
              </w:rPr>
              <w:t>被“信用中国”网站（https://www.creditchina.gov.cn）发布的《法人和非法人组织公共信用信息报告》列为严重失信主体名单的</w:t>
            </w:r>
            <w:r>
              <w:rPr>
                <w:rFonts w:hint="eastAsia" w:hAnsi="宋体" w:cs="宋体"/>
                <w:color w:val="auto"/>
                <w:sz w:val="22"/>
                <w:szCs w:val="22"/>
                <w:highlight w:val="none"/>
              </w:rPr>
              <w:t>。</w:t>
            </w:r>
          </w:p>
          <w:p w14:paraId="07596E7A">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textAlignment w:val="auto"/>
              <w:rPr>
                <w:rFonts w:hAnsi="宋体" w:cs="宋体"/>
                <w:color w:val="auto"/>
                <w:sz w:val="22"/>
                <w:szCs w:val="22"/>
                <w:highlight w:val="none"/>
              </w:rPr>
            </w:pPr>
            <w:r>
              <w:rPr>
                <w:rFonts w:hint="eastAsia" w:hAnsi="宋体" w:cs="宋体"/>
                <w:color w:val="auto"/>
                <w:sz w:val="22"/>
                <w:szCs w:val="22"/>
                <w:highlight w:val="none"/>
              </w:rPr>
              <w:t>4.2 招标人拒绝以下名单中的单位参加本次投标：</w:t>
            </w:r>
          </w:p>
          <w:tbl>
            <w:tblPr>
              <w:tblStyle w:val="30"/>
              <w:tblW w:w="7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3259"/>
              <w:gridCol w:w="3264"/>
            </w:tblGrid>
            <w:tr w14:paraId="6DFE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96" w:type="dxa"/>
                  <w:noWrap w:val="0"/>
                  <w:vAlign w:val="center"/>
                </w:tcPr>
                <w:p w14:paraId="1D38E1D9">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序号</w:t>
                  </w:r>
                </w:p>
              </w:tc>
              <w:tc>
                <w:tcPr>
                  <w:tcW w:w="3259" w:type="dxa"/>
                  <w:noWrap w:val="0"/>
                  <w:vAlign w:val="center"/>
                </w:tcPr>
                <w:p w14:paraId="7D918E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单位名称</w:t>
                  </w:r>
                </w:p>
              </w:tc>
              <w:tc>
                <w:tcPr>
                  <w:tcW w:w="3264" w:type="dxa"/>
                  <w:noWrap w:val="0"/>
                  <w:vAlign w:val="center"/>
                </w:tcPr>
                <w:p w14:paraId="20BE8CAB">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拒绝原因</w:t>
                  </w:r>
                </w:p>
              </w:tc>
            </w:tr>
            <w:tr w14:paraId="3D6A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96" w:type="dxa"/>
                  <w:noWrap w:val="0"/>
                  <w:vAlign w:val="center"/>
                </w:tcPr>
                <w:p w14:paraId="5B757AB9">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1</w:t>
                  </w:r>
                </w:p>
              </w:tc>
              <w:tc>
                <w:tcPr>
                  <w:tcW w:w="3259" w:type="dxa"/>
                  <w:noWrap w:val="0"/>
                  <w:vAlign w:val="center"/>
                </w:tcPr>
                <w:p w14:paraId="33309A4E">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翁源县农业农村局</w:t>
                  </w:r>
                </w:p>
              </w:tc>
              <w:tc>
                <w:tcPr>
                  <w:tcW w:w="3264" w:type="dxa"/>
                  <w:noWrap w:val="0"/>
                  <w:vAlign w:val="center"/>
                </w:tcPr>
                <w:p w14:paraId="3109F4A9">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为本招标项目的项目业主</w:t>
                  </w:r>
                </w:p>
              </w:tc>
            </w:tr>
            <w:tr w14:paraId="74C7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96" w:type="dxa"/>
                  <w:noWrap w:val="0"/>
                  <w:vAlign w:val="center"/>
                </w:tcPr>
                <w:p w14:paraId="28FEDDA3">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2</w:t>
                  </w:r>
                </w:p>
              </w:tc>
              <w:tc>
                <w:tcPr>
                  <w:tcW w:w="3259" w:type="dxa"/>
                  <w:noWrap w:val="0"/>
                  <w:vAlign w:val="center"/>
                </w:tcPr>
                <w:p w14:paraId="22B974FA">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翁源县新江镇人民政府</w:t>
                  </w:r>
                </w:p>
              </w:tc>
              <w:tc>
                <w:tcPr>
                  <w:tcW w:w="3264" w:type="dxa"/>
                  <w:noWrap w:val="0"/>
                  <w:vAlign w:val="center"/>
                </w:tcPr>
                <w:p w14:paraId="3A221F21">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为</w:t>
                  </w:r>
                  <w:r>
                    <w:rPr>
                      <w:rFonts w:hint="eastAsia" w:ascii="宋体" w:hAnsi="宋体" w:eastAsia="宋体" w:cs="宋体"/>
                      <w:color w:val="auto"/>
                      <w:kern w:val="2"/>
                      <w:sz w:val="22"/>
                      <w:szCs w:val="22"/>
                      <w:highlight w:val="none"/>
                      <w:lang w:val="en-US" w:eastAsia="zh-CN" w:bidi="ar-SA"/>
                    </w:rPr>
                    <w:t>本招标项目的</w:t>
                  </w:r>
                  <w:r>
                    <w:rPr>
                      <w:rFonts w:hint="eastAsia" w:ascii="宋体" w:hAnsi="宋体" w:eastAsia="宋体" w:cs="宋体"/>
                      <w:color w:val="auto"/>
                      <w:sz w:val="22"/>
                      <w:szCs w:val="22"/>
                      <w:highlight w:val="none"/>
                    </w:rPr>
                    <w:t>招标人</w:t>
                  </w:r>
                </w:p>
              </w:tc>
            </w:tr>
            <w:tr w14:paraId="5A91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96" w:type="dxa"/>
                  <w:noWrap w:val="0"/>
                  <w:vAlign w:val="center"/>
                </w:tcPr>
                <w:p w14:paraId="74118216">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3</w:t>
                  </w:r>
                </w:p>
              </w:tc>
              <w:tc>
                <w:tcPr>
                  <w:tcW w:w="3259" w:type="dxa"/>
                  <w:noWrap w:val="0"/>
                  <w:vAlign w:val="center"/>
                </w:tcPr>
                <w:p w14:paraId="0A3FF80A">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cs="宋体"/>
                      <w:snapToGrid w:val="0"/>
                      <w:color w:val="auto"/>
                      <w:kern w:val="0"/>
                      <w:sz w:val="22"/>
                      <w:szCs w:val="22"/>
                      <w:highlight w:val="none"/>
                      <w:lang w:eastAsia="zh-CN"/>
                    </w:rPr>
                    <w:t>韶关市城监项目管理有限公司</w:t>
                  </w:r>
                </w:p>
              </w:tc>
              <w:tc>
                <w:tcPr>
                  <w:tcW w:w="3264" w:type="dxa"/>
                  <w:noWrap w:val="0"/>
                  <w:vAlign w:val="center"/>
                </w:tcPr>
                <w:p w14:paraId="5C95264F">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color w:val="auto"/>
                      <w:sz w:val="22"/>
                      <w:szCs w:val="22"/>
                      <w:highlight w:val="none"/>
                    </w:rPr>
                    <w:t>为本招标项目的招标代理机构</w:t>
                  </w:r>
                </w:p>
              </w:tc>
            </w:tr>
            <w:tr w14:paraId="5E68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696" w:type="dxa"/>
                  <w:noWrap w:val="0"/>
                  <w:vAlign w:val="center"/>
                </w:tcPr>
                <w:p w14:paraId="0D97E1E8">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4</w:t>
                  </w:r>
                </w:p>
              </w:tc>
              <w:tc>
                <w:tcPr>
                  <w:tcW w:w="3259" w:type="dxa"/>
                  <w:noWrap w:val="0"/>
                  <w:vAlign w:val="center"/>
                </w:tcPr>
                <w:p w14:paraId="5DD32DF6">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color w:val="auto"/>
                      <w:sz w:val="22"/>
                      <w:szCs w:val="22"/>
                      <w:highlight w:val="none"/>
                      <w:lang w:val="en-US" w:eastAsia="zh-CN"/>
                    </w:rPr>
                    <w:t>广东省国际工程咨询有限公司</w:t>
                  </w:r>
                </w:p>
              </w:tc>
              <w:tc>
                <w:tcPr>
                  <w:tcW w:w="3264" w:type="dxa"/>
                  <w:noWrap w:val="0"/>
                  <w:vAlign w:val="center"/>
                </w:tcPr>
                <w:p w14:paraId="0884CAA7">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color w:val="auto"/>
                      <w:sz w:val="22"/>
                      <w:szCs w:val="22"/>
                      <w:highlight w:val="none"/>
                    </w:rPr>
                    <w:t>为本</w:t>
                  </w:r>
                  <w:r>
                    <w:rPr>
                      <w:rFonts w:hint="eastAsia" w:ascii="宋体" w:hAnsi="宋体" w:eastAsia="宋体" w:cs="宋体"/>
                      <w:color w:val="auto"/>
                      <w:sz w:val="22"/>
                      <w:szCs w:val="22"/>
                      <w:highlight w:val="none"/>
                      <w:lang w:val="en-US" w:eastAsia="zh-CN"/>
                    </w:rPr>
                    <w:t>招标</w:t>
                  </w:r>
                  <w:r>
                    <w:rPr>
                      <w:rFonts w:hint="eastAsia" w:ascii="宋体" w:hAnsi="宋体" w:eastAsia="宋体" w:cs="宋体"/>
                      <w:color w:val="auto"/>
                      <w:sz w:val="22"/>
                      <w:szCs w:val="22"/>
                      <w:highlight w:val="none"/>
                    </w:rPr>
                    <w:t>项目的可研编制单位</w:t>
                  </w:r>
                </w:p>
              </w:tc>
            </w:tr>
          </w:tbl>
          <w:p w14:paraId="0C8F709D">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5．其他要求</w:t>
            </w:r>
          </w:p>
          <w:p w14:paraId="3927F0F6">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Ansi="宋体" w:cs="宋体"/>
                <w:color w:val="auto"/>
                <w:sz w:val="22"/>
                <w:szCs w:val="22"/>
                <w:highlight w:val="none"/>
              </w:rPr>
            </w:pPr>
            <w:r>
              <w:rPr>
                <w:rFonts w:hint="eastAsia" w:hAnsi="宋体" w:cs="宋体"/>
                <w:color w:val="auto"/>
                <w:sz w:val="22"/>
                <w:szCs w:val="22"/>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EB3D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637" w:type="dxa"/>
            <w:tcBorders>
              <w:top w:val="single" w:color="auto" w:sz="4" w:space="0"/>
              <w:left w:val="single" w:color="auto" w:sz="4" w:space="0"/>
              <w:bottom w:val="single" w:color="auto" w:sz="4" w:space="0"/>
              <w:right w:val="single" w:color="auto" w:sz="4" w:space="0"/>
            </w:tcBorders>
            <w:vAlign w:val="center"/>
          </w:tcPr>
          <w:p w14:paraId="49A6DA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16</w:t>
            </w:r>
          </w:p>
        </w:tc>
        <w:tc>
          <w:tcPr>
            <w:tcW w:w="1716" w:type="dxa"/>
            <w:tcBorders>
              <w:top w:val="single" w:color="auto" w:sz="4" w:space="0"/>
              <w:left w:val="single" w:color="auto" w:sz="4" w:space="0"/>
              <w:bottom w:val="single" w:color="auto" w:sz="4" w:space="0"/>
              <w:right w:val="single" w:color="auto" w:sz="4" w:space="0"/>
            </w:tcBorders>
            <w:vAlign w:val="center"/>
          </w:tcPr>
          <w:p w14:paraId="688F74D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服务期限</w:t>
            </w:r>
          </w:p>
        </w:tc>
        <w:tc>
          <w:tcPr>
            <w:tcW w:w="7200" w:type="dxa"/>
            <w:tcBorders>
              <w:top w:val="single" w:color="auto" w:sz="4" w:space="0"/>
              <w:left w:val="single" w:color="auto" w:sz="4" w:space="0"/>
              <w:bottom w:val="single" w:color="auto" w:sz="4" w:space="0"/>
              <w:right w:val="single" w:color="auto" w:sz="4" w:space="0"/>
            </w:tcBorders>
            <w:vAlign w:val="center"/>
          </w:tcPr>
          <w:p w14:paraId="5CB8F92A">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textAlignment w:val="auto"/>
              <w:rPr>
                <w:rFonts w:hint="eastAsia" w:hAnsi="宋体" w:eastAsia="宋体" w:cs="宋体"/>
                <w:snapToGrid w:val="0"/>
                <w:color w:val="auto"/>
                <w:kern w:val="0"/>
                <w:sz w:val="22"/>
                <w:szCs w:val="22"/>
                <w:highlight w:val="none"/>
                <w:lang w:eastAsia="zh-CN"/>
              </w:rPr>
            </w:pPr>
            <w:r>
              <w:rPr>
                <w:rFonts w:hint="eastAsia" w:hAnsi="宋体" w:cs="宋体"/>
                <w:snapToGrid w:val="0"/>
                <w:color w:val="auto"/>
                <w:kern w:val="0"/>
                <w:sz w:val="22"/>
                <w:szCs w:val="22"/>
                <w:highlight w:val="none"/>
                <w:lang w:eastAsia="zh-CN"/>
              </w:rPr>
              <w:t>监理服务期从监理合同签订之日起计，至本工程缺陷责任保修期结束且本工程结算金额经政府主管部门审定且双方的责任义务履行完毕时止。</w:t>
            </w:r>
          </w:p>
        </w:tc>
      </w:tr>
      <w:tr w14:paraId="69F3B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37" w:type="dxa"/>
            <w:tcBorders>
              <w:top w:val="single" w:color="auto" w:sz="4" w:space="0"/>
              <w:left w:val="single" w:color="auto" w:sz="4" w:space="0"/>
              <w:bottom w:val="single" w:color="auto" w:sz="4" w:space="0"/>
              <w:right w:val="single" w:color="auto" w:sz="4" w:space="0"/>
            </w:tcBorders>
            <w:vAlign w:val="center"/>
          </w:tcPr>
          <w:p w14:paraId="44679C8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17</w:t>
            </w:r>
          </w:p>
        </w:tc>
        <w:tc>
          <w:tcPr>
            <w:tcW w:w="1716" w:type="dxa"/>
            <w:tcBorders>
              <w:top w:val="single" w:color="auto" w:sz="4" w:space="0"/>
              <w:left w:val="single" w:color="auto" w:sz="4" w:space="0"/>
              <w:bottom w:val="single" w:color="auto" w:sz="4" w:space="0"/>
              <w:right w:val="single" w:color="auto" w:sz="4" w:space="0"/>
            </w:tcBorders>
            <w:vAlign w:val="center"/>
          </w:tcPr>
          <w:p w14:paraId="61DD648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服务标准</w:t>
            </w:r>
          </w:p>
        </w:tc>
        <w:tc>
          <w:tcPr>
            <w:tcW w:w="7200" w:type="dxa"/>
            <w:tcBorders>
              <w:top w:val="single" w:color="auto" w:sz="4" w:space="0"/>
              <w:left w:val="single" w:color="auto" w:sz="4" w:space="0"/>
              <w:bottom w:val="single" w:color="auto" w:sz="4" w:space="0"/>
              <w:right w:val="single" w:color="auto" w:sz="4" w:space="0"/>
            </w:tcBorders>
            <w:vAlign w:val="center"/>
          </w:tcPr>
          <w:p w14:paraId="4C9992E2">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工程质量达到合格标准。</w:t>
            </w:r>
          </w:p>
        </w:tc>
      </w:tr>
      <w:tr w14:paraId="51DD0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37" w:type="dxa"/>
            <w:tcBorders>
              <w:top w:val="single" w:color="auto" w:sz="4" w:space="0"/>
              <w:left w:val="single" w:color="auto" w:sz="4" w:space="0"/>
              <w:bottom w:val="single" w:color="auto" w:sz="4" w:space="0"/>
              <w:right w:val="single" w:color="auto" w:sz="4" w:space="0"/>
            </w:tcBorders>
            <w:vAlign w:val="center"/>
          </w:tcPr>
          <w:p w14:paraId="75EDEE7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18</w:t>
            </w:r>
          </w:p>
        </w:tc>
        <w:tc>
          <w:tcPr>
            <w:tcW w:w="1716" w:type="dxa"/>
            <w:tcBorders>
              <w:top w:val="single" w:color="auto" w:sz="4" w:space="0"/>
              <w:left w:val="single" w:color="auto" w:sz="4" w:space="0"/>
              <w:bottom w:val="single" w:color="auto" w:sz="4" w:space="0"/>
              <w:right w:val="single" w:color="auto" w:sz="4" w:space="0"/>
            </w:tcBorders>
            <w:vAlign w:val="center"/>
          </w:tcPr>
          <w:p w14:paraId="126D9AF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最高投标限价</w:t>
            </w:r>
          </w:p>
        </w:tc>
        <w:tc>
          <w:tcPr>
            <w:tcW w:w="7200" w:type="dxa"/>
            <w:tcBorders>
              <w:top w:val="single" w:color="auto" w:sz="4" w:space="0"/>
              <w:left w:val="single" w:color="auto" w:sz="4" w:space="0"/>
              <w:bottom w:val="single" w:color="auto" w:sz="4" w:space="0"/>
              <w:right w:val="single" w:color="auto" w:sz="4" w:space="0"/>
            </w:tcBorders>
            <w:vAlign w:val="center"/>
          </w:tcPr>
          <w:p w14:paraId="495F840F">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Ansi="宋体" w:cs="宋体"/>
                <w:snapToGrid w:val="0"/>
                <w:color w:val="auto"/>
                <w:kern w:val="0"/>
                <w:sz w:val="22"/>
                <w:szCs w:val="22"/>
                <w:highlight w:val="none"/>
              </w:rPr>
            </w:pPr>
            <w:r>
              <w:rPr>
                <w:rFonts w:hint="eastAsia" w:hAnsi="宋体" w:cs="宋体"/>
                <w:bCs/>
                <w:color w:val="auto"/>
                <w:sz w:val="22"/>
                <w:szCs w:val="22"/>
                <w:highlight w:val="none"/>
              </w:rPr>
              <w:t>详见招标文件“第一章 投标人须知 8 最高投标限价”</w:t>
            </w:r>
          </w:p>
        </w:tc>
      </w:tr>
      <w:tr w14:paraId="3D0225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8" w:hRule="atLeast"/>
        </w:trPr>
        <w:tc>
          <w:tcPr>
            <w:tcW w:w="637" w:type="dxa"/>
            <w:tcBorders>
              <w:top w:val="single" w:color="auto" w:sz="4" w:space="0"/>
              <w:left w:val="single" w:color="auto" w:sz="4" w:space="0"/>
              <w:bottom w:val="single" w:color="auto" w:sz="4" w:space="0"/>
              <w:right w:val="single" w:color="auto" w:sz="4" w:space="0"/>
            </w:tcBorders>
            <w:vAlign w:val="center"/>
          </w:tcPr>
          <w:p w14:paraId="5943758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19</w:t>
            </w:r>
          </w:p>
        </w:tc>
        <w:tc>
          <w:tcPr>
            <w:tcW w:w="1716" w:type="dxa"/>
            <w:tcBorders>
              <w:top w:val="single" w:color="auto" w:sz="4" w:space="0"/>
              <w:left w:val="single" w:color="auto" w:sz="4" w:space="0"/>
              <w:bottom w:val="single" w:color="auto" w:sz="4" w:space="0"/>
              <w:right w:val="single" w:color="auto" w:sz="4" w:space="0"/>
            </w:tcBorders>
            <w:vAlign w:val="center"/>
          </w:tcPr>
          <w:p w14:paraId="0AAED69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投标保证金</w:t>
            </w:r>
          </w:p>
        </w:tc>
        <w:tc>
          <w:tcPr>
            <w:tcW w:w="7200" w:type="dxa"/>
            <w:tcBorders>
              <w:top w:val="single" w:color="auto" w:sz="4" w:space="0"/>
              <w:left w:val="single" w:color="auto" w:sz="4" w:space="0"/>
              <w:bottom w:val="single" w:color="auto" w:sz="4" w:space="0"/>
              <w:right w:val="single" w:color="auto" w:sz="4" w:space="0"/>
            </w:tcBorders>
            <w:vAlign w:val="center"/>
          </w:tcPr>
          <w:p w14:paraId="69BE724C">
            <w:pPr>
              <w:keepNext w:val="0"/>
              <w:keepLines w:val="0"/>
              <w:pageBreakBefore w:val="0"/>
              <w:widowControl w:val="0"/>
              <w:kinsoku/>
              <w:overflowPunct/>
              <w:topLinePunct w:val="0"/>
              <w:autoSpaceDE/>
              <w:autoSpaceDN/>
              <w:bidi w:val="0"/>
              <w:snapToGrid w:val="0"/>
              <w:spacing w:line="500" w:lineRule="exact"/>
              <w:ind w:firstLine="440" w:firstLineChars="200"/>
              <w:textAlignment w:val="auto"/>
              <w:rPr>
                <w:rFonts w:hAnsi="宋体" w:cs="宋体"/>
                <w:color w:val="auto"/>
                <w:sz w:val="22"/>
                <w:szCs w:val="18"/>
                <w:highlight w:val="none"/>
              </w:rPr>
            </w:pPr>
            <w:r>
              <w:rPr>
                <w:rFonts w:hint="eastAsia" w:hAnsi="宋体" w:cs="宋体"/>
                <w:color w:val="auto"/>
                <w:sz w:val="22"/>
                <w:szCs w:val="18"/>
                <w:highlight w:val="none"/>
              </w:rPr>
              <w:t>1.投标人须缴纳金额为人民币</w:t>
            </w:r>
            <w:r>
              <w:rPr>
                <w:rFonts w:hint="eastAsia" w:hAnsi="宋体" w:cs="宋体"/>
                <w:color w:val="auto"/>
                <w:sz w:val="22"/>
                <w:szCs w:val="18"/>
                <w:highlight w:val="none"/>
                <w:u w:val="single"/>
                <w:lang w:val="en-US" w:eastAsia="zh-CN"/>
              </w:rPr>
              <w:t>伍仟</w:t>
            </w:r>
            <w:r>
              <w:rPr>
                <w:rFonts w:hint="eastAsia" w:hAnsi="宋体" w:cs="宋体"/>
                <w:color w:val="auto"/>
                <w:sz w:val="22"/>
                <w:szCs w:val="18"/>
                <w:highlight w:val="none"/>
              </w:rPr>
              <w:t>元的投标保证。</w:t>
            </w:r>
          </w:p>
          <w:p w14:paraId="0BEC4750">
            <w:pPr>
              <w:keepNext w:val="0"/>
              <w:keepLines w:val="0"/>
              <w:pageBreakBefore w:val="0"/>
              <w:widowControl w:val="0"/>
              <w:kinsoku/>
              <w:overflowPunct/>
              <w:topLinePunct w:val="0"/>
              <w:autoSpaceDE/>
              <w:autoSpaceDN/>
              <w:bidi w:val="0"/>
              <w:snapToGrid w:val="0"/>
              <w:spacing w:line="500" w:lineRule="exact"/>
              <w:ind w:firstLine="440" w:firstLineChars="200"/>
              <w:textAlignment w:val="auto"/>
              <w:rPr>
                <w:rFonts w:hAnsi="宋体" w:cs="宋体"/>
                <w:color w:val="auto"/>
                <w:sz w:val="22"/>
                <w:szCs w:val="18"/>
                <w:highlight w:val="none"/>
              </w:rPr>
            </w:pPr>
            <w:r>
              <w:rPr>
                <w:rFonts w:hint="eastAsia" w:hAnsi="宋体" w:cs="宋体"/>
                <w:color w:val="auto"/>
                <w:sz w:val="22"/>
                <w:szCs w:val="18"/>
                <w:highlight w:val="none"/>
              </w:rPr>
              <w:t>2.投标保证的形式包括投标保证金、投标保证担保、投标保证保险三种，由投标人自主选择。</w:t>
            </w:r>
          </w:p>
          <w:p w14:paraId="74EBCF82">
            <w:pPr>
              <w:keepNext w:val="0"/>
              <w:keepLines w:val="0"/>
              <w:pageBreakBefore w:val="0"/>
              <w:widowControl w:val="0"/>
              <w:kinsoku/>
              <w:overflowPunct/>
              <w:topLinePunct w:val="0"/>
              <w:autoSpaceDE/>
              <w:autoSpaceDN/>
              <w:bidi w:val="0"/>
              <w:snapToGrid w:val="0"/>
              <w:spacing w:line="500" w:lineRule="exact"/>
              <w:ind w:firstLine="440" w:firstLineChars="200"/>
              <w:textAlignment w:val="auto"/>
              <w:rPr>
                <w:rFonts w:hAnsi="宋体" w:cs="宋体"/>
                <w:color w:val="auto"/>
                <w:sz w:val="22"/>
                <w:szCs w:val="18"/>
                <w:highlight w:val="none"/>
              </w:rPr>
            </w:pPr>
            <w:r>
              <w:rPr>
                <w:rFonts w:hint="eastAsia" w:hAnsi="宋体" w:cs="宋体"/>
                <w:color w:val="auto"/>
                <w:sz w:val="22"/>
                <w:szCs w:val="18"/>
                <w:highlight w:val="none"/>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0B87F797">
            <w:pPr>
              <w:keepNext w:val="0"/>
              <w:keepLines w:val="0"/>
              <w:pageBreakBefore w:val="0"/>
              <w:widowControl w:val="0"/>
              <w:kinsoku/>
              <w:overflowPunct/>
              <w:topLinePunct w:val="0"/>
              <w:autoSpaceDE/>
              <w:autoSpaceDN/>
              <w:bidi w:val="0"/>
              <w:snapToGrid w:val="0"/>
              <w:spacing w:line="500" w:lineRule="exact"/>
              <w:ind w:firstLine="440" w:firstLineChars="200"/>
              <w:textAlignment w:val="auto"/>
              <w:rPr>
                <w:rFonts w:hAnsi="宋体" w:cs="宋体"/>
                <w:color w:val="auto"/>
                <w:sz w:val="22"/>
                <w:szCs w:val="18"/>
                <w:highlight w:val="none"/>
              </w:rPr>
            </w:pPr>
            <w:r>
              <w:rPr>
                <w:rFonts w:hint="eastAsia" w:hAnsi="宋体" w:cs="宋体"/>
                <w:color w:val="auto"/>
                <w:sz w:val="22"/>
                <w:szCs w:val="18"/>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2CF2939A">
            <w:pPr>
              <w:keepNext w:val="0"/>
              <w:keepLines w:val="0"/>
              <w:pageBreakBefore w:val="0"/>
              <w:widowControl w:val="0"/>
              <w:kinsoku/>
              <w:overflowPunct/>
              <w:topLinePunct w:val="0"/>
              <w:autoSpaceDE/>
              <w:autoSpaceDN/>
              <w:bidi w:val="0"/>
              <w:snapToGrid w:val="0"/>
              <w:spacing w:line="500" w:lineRule="exact"/>
              <w:ind w:firstLine="440" w:firstLineChars="200"/>
              <w:textAlignment w:val="auto"/>
              <w:rPr>
                <w:rFonts w:hint="eastAsia" w:hAnsi="宋体" w:cs="宋体"/>
                <w:color w:val="auto"/>
                <w:sz w:val="22"/>
                <w:szCs w:val="18"/>
                <w:highlight w:val="none"/>
              </w:rPr>
            </w:pPr>
            <w:r>
              <w:rPr>
                <w:rFonts w:hint="eastAsia" w:hAnsi="宋体" w:cs="宋体"/>
                <w:color w:val="auto"/>
                <w:sz w:val="22"/>
                <w:szCs w:val="18"/>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p>
          <w:p w14:paraId="06E48727">
            <w:pPr>
              <w:keepNext w:val="0"/>
              <w:keepLines w:val="0"/>
              <w:pageBreakBefore w:val="0"/>
              <w:widowControl w:val="0"/>
              <w:kinsoku/>
              <w:overflowPunct/>
              <w:topLinePunct w:val="0"/>
              <w:autoSpaceDE/>
              <w:autoSpaceDN/>
              <w:bidi w:val="0"/>
              <w:snapToGrid w:val="0"/>
              <w:spacing w:line="500" w:lineRule="exact"/>
              <w:ind w:firstLine="440" w:firstLineChars="200"/>
              <w:textAlignment w:val="auto"/>
              <w:rPr>
                <w:rFonts w:hAnsi="宋体" w:cs="宋体"/>
                <w:color w:val="auto"/>
                <w:sz w:val="22"/>
                <w:szCs w:val="18"/>
                <w:highlight w:val="none"/>
              </w:rPr>
            </w:pPr>
            <w:r>
              <w:rPr>
                <w:rFonts w:hint="eastAsia" w:hAnsi="宋体" w:cs="宋体"/>
                <w:color w:val="auto"/>
                <w:sz w:val="22"/>
                <w:szCs w:val="18"/>
                <w:highlight w:val="none"/>
              </w:rPr>
              <w:t>（https://ygp.gdzwfw.gov.cn/ggzy-portal/#/440200/index），在【服务指南】栏目中下载《韶关市公共资源建设工程交易系统-投标人操作指南》，了解网上投保具体操作流程。逾期投保的，其投标无效。</w:t>
            </w:r>
          </w:p>
          <w:p w14:paraId="099FFFD9">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textAlignment w:val="auto"/>
              <w:rPr>
                <w:rFonts w:hAnsi="宋体" w:cs="宋体"/>
                <w:snapToGrid w:val="0"/>
                <w:color w:val="auto"/>
                <w:kern w:val="0"/>
                <w:sz w:val="22"/>
                <w:szCs w:val="22"/>
                <w:highlight w:val="none"/>
              </w:rPr>
            </w:pPr>
            <w:r>
              <w:rPr>
                <w:rFonts w:hint="eastAsia" w:hAnsi="宋体" w:cs="宋体"/>
                <w:color w:val="auto"/>
                <w:sz w:val="22"/>
                <w:szCs w:val="18"/>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5F40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37" w:type="dxa"/>
            <w:tcBorders>
              <w:top w:val="single" w:color="auto" w:sz="4" w:space="0"/>
              <w:left w:val="single" w:color="auto" w:sz="4" w:space="0"/>
              <w:bottom w:val="single" w:color="auto" w:sz="4" w:space="0"/>
              <w:right w:val="single" w:color="auto" w:sz="4" w:space="0"/>
            </w:tcBorders>
            <w:vAlign w:val="center"/>
          </w:tcPr>
          <w:p w14:paraId="6EBF5F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20</w:t>
            </w:r>
          </w:p>
        </w:tc>
        <w:tc>
          <w:tcPr>
            <w:tcW w:w="1716" w:type="dxa"/>
            <w:tcBorders>
              <w:top w:val="single" w:color="auto" w:sz="4" w:space="0"/>
              <w:left w:val="single" w:color="auto" w:sz="4" w:space="0"/>
              <w:bottom w:val="single" w:color="auto" w:sz="4" w:space="0"/>
              <w:right w:val="single" w:color="auto" w:sz="4" w:space="0"/>
            </w:tcBorders>
            <w:vAlign w:val="center"/>
          </w:tcPr>
          <w:p w14:paraId="55725C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投标有效期</w:t>
            </w:r>
          </w:p>
        </w:tc>
        <w:tc>
          <w:tcPr>
            <w:tcW w:w="7200" w:type="dxa"/>
            <w:tcBorders>
              <w:top w:val="single" w:color="auto" w:sz="4" w:space="0"/>
              <w:left w:val="single" w:color="auto" w:sz="4" w:space="0"/>
              <w:bottom w:val="single" w:color="auto" w:sz="4" w:space="0"/>
              <w:right w:val="single" w:color="auto" w:sz="4" w:space="0"/>
            </w:tcBorders>
            <w:vAlign w:val="center"/>
          </w:tcPr>
          <w:p w14:paraId="73AFD775">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本次招标的投标有效期为</w:t>
            </w:r>
            <w:r>
              <w:rPr>
                <w:rFonts w:hint="eastAsia" w:hAnsi="宋体" w:cs="宋体"/>
                <w:snapToGrid w:val="0"/>
                <w:color w:val="auto"/>
                <w:kern w:val="0"/>
                <w:sz w:val="22"/>
                <w:szCs w:val="22"/>
                <w:highlight w:val="none"/>
                <w:u w:val="single"/>
              </w:rPr>
              <w:t xml:space="preserve"> 90 </w:t>
            </w:r>
            <w:r>
              <w:rPr>
                <w:rFonts w:hint="eastAsia" w:hAnsi="宋体" w:cs="宋体"/>
                <w:snapToGrid w:val="0"/>
                <w:color w:val="auto"/>
                <w:kern w:val="0"/>
                <w:sz w:val="22"/>
                <w:szCs w:val="22"/>
                <w:highlight w:val="none"/>
              </w:rPr>
              <w:t>个日历天。</w:t>
            </w:r>
          </w:p>
        </w:tc>
      </w:tr>
      <w:tr w14:paraId="1490B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637" w:type="dxa"/>
            <w:tcBorders>
              <w:top w:val="single" w:color="auto" w:sz="4" w:space="0"/>
              <w:left w:val="single" w:color="auto" w:sz="4" w:space="0"/>
              <w:bottom w:val="single" w:color="auto" w:sz="4" w:space="0"/>
              <w:right w:val="single" w:color="auto" w:sz="4" w:space="0"/>
            </w:tcBorders>
            <w:vAlign w:val="center"/>
          </w:tcPr>
          <w:p w14:paraId="298563C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21</w:t>
            </w:r>
          </w:p>
        </w:tc>
        <w:tc>
          <w:tcPr>
            <w:tcW w:w="1716" w:type="dxa"/>
            <w:tcBorders>
              <w:top w:val="single" w:color="auto" w:sz="4" w:space="0"/>
              <w:left w:val="single" w:color="auto" w:sz="4" w:space="0"/>
              <w:bottom w:val="single" w:color="auto" w:sz="4" w:space="0"/>
              <w:right w:val="single" w:color="auto" w:sz="4" w:space="0"/>
            </w:tcBorders>
            <w:vAlign w:val="center"/>
          </w:tcPr>
          <w:p w14:paraId="35AAF60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投标文件组成</w:t>
            </w:r>
          </w:p>
        </w:tc>
        <w:tc>
          <w:tcPr>
            <w:tcW w:w="7200" w:type="dxa"/>
            <w:tcBorders>
              <w:top w:val="single" w:color="auto" w:sz="4" w:space="0"/>
              <w:left w:val="single" w:color="auto" w:sz="4" w:space="0"/>
              <w:bottom w:val="single" w:color="auto" w:sz="4" w:space="0"/>
              <w:right w:val="single" w:color="auto" w:sz="4" w:space="0"/>
            </w:tcBorders>
            <w:vAlign w:val="center"/>
          </w:tcPr>
          <w:p w14:paraId="2210B600">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投标文件包括商务标书、监理大纲两个分册。</w:t>
            </w:r>
          </w:p>
        </w:tc>
      </w:tr>
      <w:tr w14:paraId="61150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37" w:type="dxa"/>
            <w:tcBorders>
              <w:top w:val="single" w:color="auto" w:sz="4" w:space="0"/>
              <w:left w:val="single" w:color="auto" w:sz="4" w:space="0"/>
              <w:bottom w:val="single" w:color="auto" w:sz="4" w:space="0"/>
              <w:right w:val="single" w:color="auto" w:sz="4" w:space="0"/>
            </w:tcBorders>
            <w:vAlign w:val="center"/>
          </w:tcPr>
          <w:p w14:paraId="4982B3C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22</w:t>
            </w:r>
          </w:p>
        </w:tc>
        <w:tc>
          <w:tcPr>
            <w:tcW w:w="1716" w:type="dxa"/>
            <w:tcBorders>
              <w:top w:val="single" w:color="auto" w:sz="4" w:space="0"/>
              <w:left w:val="single" w:color="auto" w:sz="4" w:space="0"/>
              <w:bottom w:val="single" w:color="auto" w:sz="4" w:space="0"/>
              <w:right w:val="single" w:color="auto" w:sz="4" w:space="0"/>
            </w:tcBorders>
            <w:vAlign w:val="center"/>
          </w:tcPr>
          <w:p w14:paraId="37EED64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评标方法</w:t>
            </w:r>
          </w:p>
        </w:tc>
        <w:tc>
          <w:tcPr>
            <w:tcW w:w="7200" w:type="dxa"/>
            <w:tcBorders>
              <w:top w:val="single" w:color="auto" w:sz="4" w:space="0"/>
              <w:left w:val="single" w:color="auto" w:sz="4" w:space="0"/>
              <w:bottom w:val="single" w:color="auto" w:sz="4" w:space="0"/>
              <w:right w:val="single" w:color="auto" w:sz="4" w:space="0"/>
            </w:tcBorders>
            <w:vAlign w:val="center"/>
          </w:tcPr>
          <w:p w14:paraId="606C701F">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 xml:space="preserve">    综合评估法</w:t>
            </w:r>
          </w:p>
        </w:tc>
      </w:tr>
      <w:tr w14:paraId="076C4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637" w:type="dxa"/>
            <w:tcBorders>
              <w:top w:val="single" w:color="auto" w:sz="4" w:space="0"/>
              <w:left w:val="single" w:color="auto" w:sz="4" w:space="0"/>
              <w:bottom w:val="single" w:color="auto" w:sz="4" w:space="0"/>
              <w:right w:val="single" w:color="auto" w:sz="4" w:space="0"/>
            </w:tcBorders>
            <w:vAlign w:val="center"/>
          </w:tcPr>
          <w:p w14:paraId="0B5D858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23</w:t>
            </w:r>
          </w:p>
        </w:tc>
        <w:tc>
          <w:tcPr>
            <w:tcW w:w="1716" w:type="dxa"/>
            <w:tcBorders>
              <w:top w:val="single" w:color="auto" w:sz="4" w:space="0"/>
              <w:left w:val="single" w:color="auto" w:sz="4" w:space="0"/>
              <w:bottom w:val="single" w:color="auto" w:sz="4" w:space="0"/>
              <w:right w:val="single" w:color="auto" w:sz="4" w:space="0"/>
            </w:tcBorders>
            <w:vAlign w:val="center"/>
          </w:tcPr>
          <w:p w14:paraId="794A6822">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auto"/>
                <w:kern w:val="0"/>
                <w:sz w:val="22"/>
                <w:szCs w:val="22"/>
                <w:highlight w:val="none"/>
              </w:rPr>
            </w:pPr>
            <w:r>
              <w:rPr>
                <w:rFonts w:hint="eastAsia" w:hAnsi="宋体" w:cs="宋体"/>
                <w:snapToGrid w:val="0"/>
                <w:color w:val="auto"/>
                <w:kern w:val="0"/>
                <w:sz w:val="22"/>
                <w:szCs w:val="22"/>
                <w:highlight w:val="none"/>
              </w:rPr>
              <w:t>监理大纲评审</w:t>
            </w:r>
          </w:p>
          <w:p w14:paraId="3AB04B4A">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方式</w:t>
            </w:r>
          </w:p>
        </w:tc>
        <w:tc>
          <w:tcPr>
            <w:tcW w:w="7200" w:type="dxa"/>
            <w:tcBorders>
              <w:top w:val="single" w:color="auto" w:sz="4" w:space="0"/>
              <w:left w:val="single" w:color="auto" w:sz="4" w:space="0"/>
              <w:bottom w:val="single" w:color="auto" w:sz="4" w:space="0"/>
              <w:right w:val="single" w:color="auto" w:sz="4" w:space="0"/>
            </w:tcBorders>
            <w:vAlign w:val="center"/>
          </w:tcPr>
          <w:p w14:paraId="6D01719C">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textAlignment w:val="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本次招标监理大纲</w:t>
            </w:r>
            <w:r>
              <w:rPr>
                <w:rFonts w:hint="eastAsia" w:hAnsi="宋体" w:cs="宋体"/>
                <w:snapToGrid w:val="0"/>
                <w:color w:val="auto"/>
                <w:kern w:val="0"/>
                <w:sz w:val="22"/>
                <w:szCs w:val="22"/>
                <w:highlight w:val="none"/>
                <w:u w:val="single"/>
              </w:rPr>
              <w:t xml:space="preserve"> 不采用 </w:t>
            </w:r>
            <w:r>
              <w:rPr>
                <w:rFonts w:hint="eastAsia" w:hAnsi="宋体" w:cs="宋体"/>
                <w:snapToGrid w:val="0"/>
                <w:color w:val="auto"/>
                <w:kern w:val="0"/>
                <w:sz w:val="22"/>
                <w:szCs w:val="22"/>
                <w:highlight w:val="none"/>
              </w:rPr>
              <w:t>“暗标”方式进行评审。</w:t>
            </w:r>
          </w:p>
        </w:tc>
      </w:tr>
      <w:tr w14:paraId="2BF2E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637" w:type="dxa"/>
            <w:tcBorders>
              <w:top w:val="single" w:color="auto" w:sz="4" w:space="0"/>
              <w:left w:val="single" w:color="auto" w:sz="4" w:space="0"/>
              <w:bottom w:val="single" w:color="auto" w:sz="4" w:space="0"/>
              <w:right w:val="single" w:color="auto" w:sz="4" w:space="0"/>
            </w:tcBorders>
            <w:vAlign w:val="center"/>
          </w:tcPr>
          <w:p w14:paraId="0A83B32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24</w:t>
            </w:r>
          </w:p>
        </w:tc>
        <w:tc>
          <w:tcPr>
            <w:tcW w:w="1716" w:type="dxa"/>
            <w:tcBorders>
              <w:top w:val="single" w:color="auto" w:sz="4" w:space="0"/>
              <w:left w:val="single" w:color="auto" w:sz="4" w:space="0"/>
              <w:bottom w:val="single" w:color="auto" w:sz="4" w:space="0"/>
              <w:right w:val="single" w:color="auto" w:sz="4" w:space="0"/>
            </w:tcBorders>
            <w:vAlign w:val="center"/>
          </w:tcPr>
          <w:p w14:paraId="6CC5BE8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评标委员会</w:t>
            </w:r>
          </w:p>
        </w:tc>
        <w:tc>
          <w:tcPr>
            <w:tcW w:w="7200" w:type="dxa"/>
            <w:tcBorders>
              <w:top w:val="single" w:color="auto" w:sz="4" w:space="0"/>
              <w:left w:val="single" w:color="auto" w:sz="4" w:space="0"/>
              <w:bottom w:val="single" w:color="auto" w:sz="4" w:space="0"/>
              <w:right w:val="single" w:color="auto" w:sz="4" w:space="0"/>
            </w:tcBorders>
            <w:vAlign w:val="center"/>
          </w:tcPr>
          <w:p w14:paraId="71EEA215">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评标委员会由</w:t>
            </w:r>
            <w:r>
              <w:rPr>
                <w:rFonts w:hint="eastAsia" w:hAnsi="宋体" w:cs="宋体"/>
                <w:snapToGrid w:val="0"/>
                <w:color w:val="auto"/>
                <w:kern w:val="0"/>
                <w:sz w:val="22"/>
                <w:szCs w:val="22"/>
                <w:highlight w:val="none"/>
                <w:u w:val="single"/>
              </w:rPr>
              <w:t xml:space="preserve"> 5 </w:t>
            </w:r>
            <w:r>
              <w:rPr>
                <w:rFonts w:hint="eastAsia" w:hAnsi="宋体" w:cs="宋体"/>
                <w:snapToGrid w:val="0"/>
                <w:color w:val="auto"/>
                <w:kern w:val="0"/>
                <w:sz w:val="22"/>
                <w:szCs w:val="22"/>
                <w:highlight w:val="none"/>
              </w:rPr>
              <w:t>人组成，其中招标人代表</w:t>
            </w:r>
            <w:r>
              <w:rPr>
                <w:rFonts w:hint="eastAsia" w:hAnsi="宋体" w:cs="宋体"/>
                <w:snapToGrid w:val="0"/>
                <w:color w:val="auto"/>
                <w:kern w:val="0"/>
                <w:sz w:val="22"/>
                <w:szCs w:val="22"/>
                <w:highlight w:val="none"/>
                <w:u w:val="single"/>
              </w:rPr>
              <w:t xml:space="preserve"> 0 </w:t>
            </w:r>
            <w:r>
              <w:rPr>
                <w:rFonts w:hint="eastAsia" w:hAnsi="宋体" w:cs="宋体"/>
                <w:snapToGrid w:val="0"/>
                <w:color w:val="auto"/>
                <w:kern w:val="0"/>
                <w:sz w:val="22"/>
                <w:szCs w:val="22"/>
                <w:highlight w:val="none"/>
              </w:rPr>
              <w:t>人，专家</w:t>
            </w:r>
            <w:r>
              <w:rPr>
                <w:rFonts w:hint="eastAsia" w:hAnsi="宋体" w:cs="宋体"/>
                <w:snapToGrid w:val="0"/>
                <w:color w:val="auto"/>
                <w:kern w:val="0"/>
                <w:sz w:val="22"/>
                <w:szCs w:val="22"/>
                <w:highlight w:val="none"/>
                <w:u w:val="single"/>
              </w:rPr>
              <w:t xml:space="preserve"> 5 </w:t>
            </w:r>
            <w:r>
              <w:rPr>
                <w:rFonts w:hint="eastAsia" w:hAnsi="宋体" w:cs="宋体"/>
                <w:snapToGrid w:val="0"/>
                <w:color w:val="auto"/>
                <w:kern w:val="0"/>
                <w:sz w:val="22"/>
                <w:szCs w:val="22"/>
                <w:highlight w:val="none"/>
              </w:rPr>
              <w:t>人。专家从</w:t>
            </w:r>
            <w:r>
              <w:rPr>
                <w:rFonts w:hint="eastAsia" w:hAnsi="宋体" w:cs="宋体"/>
                <w:snapToGrid w:val="0"/>
                <w:color w:val="auto"/>
                <w:kern w:val="0"/>
                <w:sz w:val="22"/>
                <w:szCs w:val="22"/>
                <w:highlight w:val="none"/>
                <w:lang w:eastAsia="zh-CN"/>
              </w:rPr>
              <w:t>广东省综合评标评审专家库（韶关区域）中</w:t>
            </w:r>
            <w:r>
              <w:rPr>
                <w:rFonts w:hint="eastAsia" w:hAnsi="宋体" w:cs="宋体"/>
                <w:snapToGrid w:val="0"/>
                <w:color w:val="auto"/>
                <w:kern w:val="0"/>
                <w:sz w:val="22"/>
                <w:szCs w:val="22"/>
                <w:highlight w:val="none"/>
              </w:rPr>
              <w:t>随机抽取，其中技术类专家</w:t>
            </w:r>
            <w:r>
              <w:rPr>
                <w:rFonts w:hint="eastAsia" w:hAnsi="宋体" w:cs="宋体"/>
                <w:snapToGrid w:val="0"/>
                <w:color w:val="auto"/>
                <w:kern w:val="0"/>
                <w:sz w:val="22"/>
                <w:szCs w:val="22"/>
                <w:highlight w:val="none"/>
                <w:u w:val="single"/>
              </w:rPr>
              <w:t xml:space="preserve"> 3 </w:t>
            </w:r>
            <w:r>
              <w:rPr>
                <w:rFonts w:hint="eastAsia" w:hAnsi="宋体" w:cs="宋体"/>
                <w:snapToGrid w:val="0"/>
                <w:color w:val="auto"/>
                <w:kern w:val="0"/>
                <w:sz w:val="22"/>
                <w:szCs w:val="22"/>
                <w:highlight w:val="none"/>
              </w:rPr>
              <w:t>人，经济类专家</w:t>
            </w:r>
            <w:r>
              <w:rPr>
                <w:rFonts w:hint="eastAsia" w:hAnsi="宋体" w:cs="宋体"/>
                <w:snapToGrid w:val="0"/>
                <w:color w:val="auto"/>
                <w:kern w:val="0"/>
                <w:sz w:val="22"/>
                <w:szCs w:val="22"/>
                <w:highlight w:val="none"/>
                <w:u w:val="single"/>
              </w:rPr>
              <w:t xml:space="preserve"> 2 </w:t>
            </w:r>
            <w:r>
              <w:rPr>
                <w:rFonts w:hint="eastAsia" w:hAnsi="宋体" w:cs="宋体"/>
                <w:snapToGrid w:val="0"/>
                <w:color w:val="auto"/>
                <w:kern w:val="0"/>
                <w:sz w:val="22"/>
                <w:szCs w:val="22"/>
                <w:highlight w:val="none"/>
              </w:rPr>
              <w:t>人。</w:t>
            </w:r>
          </w:p>
        </w:tc>
      </w:tr>
      <w:tr w14:paraId="0C448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14:paraId="285B89B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2"/>
                <w:szCs w:val="22"/>
                <w:highlight w:val="none"/>
                <w:lang w:val="en-US" w:eastAsia="zh-CN" w:bidi="ar-SA"/>
              </w:rPr>
            </w:pPr>
            <w:r>
              <w:rPr>
                <w:rFonts w:hint="eastAsia" w:hAnsi="宋体" w:cs="宋体"/>
                <w:snapToGrid w:val="0"/>
                <w:color w:val="auto"/>
                <w:kern w:val="0"/>
                <w:sz w:val="22"/>
                <w:szCs w:val="22"/>
                <w:highlight w:val="none"/>
              </w:rPr>
              <w:t>25</w:t>
            </w:r>
          </w:p>
        </w:tc>
        <w:tc>
          <w:tcPr>
            <w:tcW w:w="1716" w:type="dxa"/>
            <w:tcBorders>
              <w:top w:val="single" w:color="auto" w:sz="4" w:space="0"/>
              <w:left w:val="single" w:color="auto" w:sz="4" w:space="0"/>
              <w:bottom w:val="single" w:color="auto" w:sz="4" w:space="0"/>
              <w:right w:val="single" w:color="auto" w:sz="4" w:space="0"/>
            </w:tcBorders>
            <w:vAlign w:val="center"/>
          </w:tcPr>
          <w:p w14:paraId="3196D7ED">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招标文件要求提交的用于评审的证书、证件、证明原件</w:t>
            </w:r>
            <w:r>
              <w:rPr>
                <w:rFonts w:hint="eastAsia" w:ascii="宋体" w:hAnsi="宋体" w:eastAsia="宋体" w:cs="宋体"/>
                <w:snapToGrid w:val="0"/>
                <w:color w:val="auto"/>
                <w:kern w:val="0"/>
                <w:sz w:val="22"/>
                <w:szCs w:val="22"/>
                <w:highlight w:val="none"/>
                <w:lang w:eastAsia="zh-CN"/>
              </w:rPr>
              <w:t>（</w:t>
            </w:r>
            <w:r>
              <w:rPr>
                <w:rFonts w:hint="eastAsia" w:ascii="宋体" w:hAnsi="宋体" w:eastAsia="宋体" w:cs="宋体"/>
                <w:snapToGrid w:val="0"/>
                <w:color w:val="auto"/>
                <w:kern w:val="0"/>
                <w:sz w:val="22"/>
                <w:szCs w:val="22"/>
                <w:highlight w:val="none"/>
                <w:lang w:val="en-US" w:eastAsia="zh-CN"/>
              </w:rPr>
              <w:t>如有</w:t>
            </w:r>
            <w:r>
              <w:rPr>
                <w:rFonts w:hint="eastAsia" w:ascii="宋体" w:hAnsi="宋体" w:eastAsia="宋体" w:cs="宋体"/>
                <w:snapToGrid w:val="0"/>
                <w:color w:val="auto"/>
                <w:kern w:val="0"/>
                <w:sz w:val="22"/>
                <w:szCs w:val="22"/>
                <w:highlight w:val="none"/>
                <w:lang w:eastAsia="zh-CN"/>
              </w:rPr>
              <w:t>）</w:t>
            </w:r>
          </w:p>
        </w:tc>
        <w:tc>
          <w:tcPr>
            <w:tcW w:w="7200" w:type="dxa"/>
            <w:tcBorders>
              <w:top w:val="single" w:color="auto" w:sz="4" w:space="0"/>
              <w:left w:val="single" w:color="auto" w:sz="4" w:space="0"/>
              <w:bottom w:val="single" w:color="auto" w:sz="4" w:space="0"/>
              <w:right w:val="single" w:color="auto" w:sz="4" w:space="0"/>
            </w:tcBorders>
            <w:vAlign w:val="center"/>
          </w:tcPr>
          <w:p w14:paraId="72AFF7D2">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eastAsia" w:hAnsi="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rPr>
              <w:t xml:space="preserve">    </w:t>
            </w:r>
            <w:r>
              <w:rPr>
                <w:rFonts w:hint="eastAsia" w:ascii="宋体" w:hAnsi="宋体" w:eastAsia="宋体" w:cs="宋体"/>
                <w:snapToGrid w:val="0"/>
                <w:color w:val="auto"/>
                <w:kern w:val="0"/>
                <w:sz w:val="22"/>
                <w:szCs w:val="22"/>
                <w:highlight w:val="none"/>
              </w:rPr>
              <w:t>投标人提交用于评审的证书、证件、证明原件的，应自行准备两张“原件一览表”(详见格式十</w:t>
            </w:r>
            <w:r>
              <w:rPr>
                <w:rFonts w:hint="eastAsia" w:hAnsi="宋体" w:eastAsia="宋体" w:cs="宋体"/>
                <w:snapToGrid w:val="0"/>
                <w:color w:val="auto"/>
                <w:kern w:val="0"/>
                <w:sz w:val="22"/>
                <w:szCs w:val="22"/>
                <w:highlight w:val="none"/>
                <w:lang w:val="en-US" w:eastAsia="zh-CN"/>
              </w:rPr>
              <w:t>三</w:t>
            </w:r>
            <w:r>
              <w:rPr>
                <w:rFonts w:hint="eastAsia" w:ascii="宋体" w:hAnsi="宋体" w:eastAsia="宋体" w:cs="宋体"/>
                <w:snapToGrid w:val="0"/>
                <w:color w:val="auto"/>
                <w:kern w:val="0"/>
                <w:sz w:val="22"/>
                <w:szCs w:val="22"/>
                <w:highlight w:val="none"/>
              </w:rPr>
              <w:t>，投标人须自行填写，表格可扩展)，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7161C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14:paraId="7B8721E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auto"/>
                <w:kern w:val="0"/>
                <w:sz w:val="22"/>
                <w:szCs w:val="22"/>
                <w:highlight w:val="none"/>
                <w:lang w:val="en-US" w:eastAsia="zh-CN" w:bidi="ar-SA"/>
              </w:rPr>
            </w:pPr>
            <w:r>
              <w:rPr>
                <w:rFonts w:hint="eastAsia" w:hAnsi="宋体" w:cs="宋体"/>
                <w:snapToGrid w:val="0"/>
                <w:color w:val="auto"/>
                <w:kern w:val="0"/>
                <w:sz w:val="22"/>
                <w:szCs w:val="22"/>
                <w:highlight w:val="none"/>
              </w:rPr>
              <w:t>26</w:t>
            </w:r>
          </w:p>
        </w:tc>
        <w:tc>
          <w:tcPr>
            <w:tcW w:w="1716" w:type="dxa"/>
            <w:tcBorders>
              <w:top w:val="single" w:color="auto" w:sz="4" w:space="0"/>
              <w:left w:val="single" w:color="auto" w:sz="4" w:space="0"/>
              <w:bottom w:val="single" w:color="auto" w:sz="4" w:space="0"/>
              <w:right w:val="single" w:color="auto" w:sz="4" w:space="0"/>
            </w:tcBorders>
            <w:vAlign w:val="center"/>
          </w:tcPr>
          <w:p w14:paraId="4CB5F7E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招标人</w:t>
            </w:r>
          </w:p>
          <w:p w14:paraId="7CA2CE30">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联系方式</w:t>
            </w:r>
          </w:p>
        </w:tc>
        <w:tc>
          <w:tcPr>
            <w:tcW w:w="7200" w:type="dxa"/>
            <w:tcBorders>
              <w:top w:val="single" w:color="auto" w:sz="4" w:space="0"/>
              <w:left w:val="single" w:color="auto" w:sz="4" w:space="0"/>
              <w:bottom w:val="single" w:color="auto" w:sz="4" w:space="0"/>
              <w:right w:val="single" w:color="auto" w:sz="4" w:space="0"/>
            </w:tcBorders>
            <w:vAlign w:val="center"/>
          </w:tcPr>
          <w:p w14:paraId="4A99BE12">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单位名称：</w:t>
            </w:r>
            <w:r>
              <w:rPr>
                <w:rFonts w:hint="eastAsia" w:ascii="宋体" w:hAnsi="宋体" w:eastAsia="宋体" w:cs="宋体"/>
                <w:snapToGrid w:val="0"/>
                <w:color w:val="auto"/>
                <w:kern w:val="0"/>
                <w:sz w:val="22"/>
                <w:szCs w:val="22"/>
                <w:highlight w:val="none"/>
                <w:lang w:eastAsia="zh-CN"/>
              </w:rPr>
              <w:t>翁源县新江镇人民政府</w:t>
            </w:r>
          </w:p>
          <w:p w14:paraId="0DE07278">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办公地址：</w:t>
            </w:r>
            <w:r>
              <w:rPr>
                <w:rFonts w:hint="eastAsia" w:ascii="宋体" w:hAnsi="宋体" w:eastAsia="宋体" w:cs="宋体"/>
                <w:snapToGrid w:val="0"/>
                <w:color w:val="auto"/>
                <w:kern w:val="0"/>
                <w:sz w:val="22"/>
                <w:szCs w:val="22"/>
                <w:highlight w:val="none"/>
                <w:lang w:eastAsia="zh-CN"/>
              </w:rPr>
              <w:t>翁源县新江镇建设南路31号</w:t>
            </w:r>
          </w:p>
          <w:p w14:paraId="240EF200">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rPr>
              <w:t>联系人（部门）：</w:t>
            </w:r>
            <w:r>
              <w:rPr>
                <w:rFonts w:hint="eastAsia" w:ascii="宋体" w:hAnsi="宋体" w:eastAsia="宋体" w:cs="宋体"/>
                <w:snapToGrid w:val="0"/>
                <w:color w:val="auto"/>
                <w:kern w:val="0"/>
                <w:sz w:val="22"/>
                <w:szCs w:val="22"/>
                <w:highlight w:val="none"/>
                <w:lang w:val="en-US" w:eastAsia="zh-CN"/>
              </w:rPr>
              <w:t>官先生</w:t>
            </w:r>
          </w:p>
          <w:p w14:paraId="2C998526">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rPr>
                <w:rFonts w:hAnsi="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联系电话：0751-2685201</w:t>
            </w:r>
          </w:p>
        </w:tc>
      </w:tr>
      <w:tr w14:paraId="06B4FD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85"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14:paraId="27824A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auto"/>
                <w:kern w:val="0"/>
                <w:sz w:val="22"/>
                <w:szCs w:val="22"/>
                <w:highlight w:val="none"/>
                <w:lang w:val="en-US" w:eastAsia="zh-CN" w:bidi="ar-SA"/>
              </w:rPr>
            </w:pPr>
            <w:r>
              <w:rPr>
                <w:rFonts w:hint="eastAsia" w:hAnsi="宋体" w:cs="宋体"/>
                <w:snapToGrid w:val="0"/>
                <w:color w:val="auto"/>
                <w:kern w:val="0"/>
                <w:sz w:val="22"/>
                <w:szCs w:val="22"/>
                <w:highlight w:val="none"/>
              </w:rPr>
              <w:t>27</w:t>
            </w:r>
          </w:p>
        </w:tc>
        <w:tc>
          <w:tcPr>
            <w:tcW w:w="1716" w:type="dxa"/>
            <w:tcBorders>
              <w:top w:val="single" w:color="auto" w:sz="4" w:space="0"/>
              <w:left w:val="single" w:color="auto" w:sz="4" w:space="0"/>
              <w:bottom w:val="single" w:color="auto" w:sz="4" w:space="0"/>
              <w:right w:val="single" w:color="auto" w:sz="4" w:space="0"/>
            </w:tcBorders>
            <w:vAlign w:val="center"/>
          </w:tcPr>
          <w:p w14:paraId="42B2F57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招标代理机构</w:t>
            </w:r>
          </w:p>
          <w:p w14:paraId="70009F9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联系方式</w:t>
            </w:r>
          </w:p>
        </w:tc>
        <w:tc>
          <w:tcPr>
            <w:tcW w:w="7200" w:type="dxa"/>
            <w:tcBorders>
              <w:top w:val="single" w:color="auto" w:sz="4" w:space="0"/>
              <w:left w:val="single" w:color="auto" w:sz="4" w:space="0"/>
              <w:bottom w:val="single" w:color="auto" w:sz="4" w:space="0"/>
              <w:right w:val="single" w:color="auto" w:sz="4" w:space="0"/>
            </w:tcBorders>
            <w:vAlign w:val="center"/>
          </w:tcPr>
          <w:p w14:paraId="07FFEE49">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int="eastAsia" w:hAnsi="宋体" w:eastAsia="宋体" w:cs="宋体"/>
                <w:snapToGrid w:val="0"/>
                <w:color w:val="auto"/>
                <w:kern w:val="0"/>
                <w:sz w:val="22"/>
                <w:szCs w:val="18"/>
                <w:highlight w:val="none"/>
                <w:lang w:eastAsia="zh-CN"/>
              </w:rPr>
            </w:pPr>
            <w:r>
              <w:rPr>
                <w:rFonts w:hint="eastAsia" w:hAnsi="宋体" w:eastAsia="宋体" w:cs="宋体"/>
                <w:snapToGrid w:val="0"/>
                <w:color w:val="auto"/>
                <w:kern w:val="0"/>
                <w:sz w:val="22"/>
                <w:szCs w:val="18"/>
                <w:highlight w:val="none"/>
                <w:lang w:eastAsia="zh-CN"/>
              </w:rPr>
              <w:t>单位名称：韶关市城监项目管理有限公司</w:t>
            </w:r>
          </w:p>
          <w:p w14:paraId="1C546F00">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int="eastAsia" w:hAnsi="宋体" w:eastAsia="宋体" w:cs="宋体"/>
                <w:snapToGrid w:val="0"/>
                <w:color w:val="auto"/>
                <w:kern w:val="0"/>
                <w:sz w:val="22"/>
                <w:szCs w:val="18"/>
                <w:highlight w:val="none"/>
                <w:lang w:eastAsia="zh-CN"/>
              </w:rPr>
            </w:pPr>
            <w:r>
              <w:rPr>
                <w:rFonts w:hint="eastAsia" w:hAnsi="宋体" w:eastAsia="宋体" w:cs="宋体"/>
                <w:snapToGrid w:val="0"/>
                <w:color w:val="auto"/>
                <w:kern w:val="0"/>
                <w:sz w:val="22"/>
                <w:szCs w:val="18"/>
                <w:highlight w:val="none"/>
                <w:lang w:eastAsia="zh-CN"/>
              </w:rPr>
              <w:t>办公地址：韶关市浈江区五里亭良村商贸城E栋6楼601</w:t>
            </w:r>
          </w:p>
          <w:p w14:paraId="0BB11E87">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int="eastAsia" w:hAnsi="宋体" w:eastAsia="宋体" w:cs="宋体"/>
                <w:snapToGrid w:val="0"/>
                <w:color w:val="auto"/>
                <w:kern w:val="0"/>
                <w:sz w:val="22"/>
                <w:szCs w:val="18"/>
                <w:highlight w:val="none"/>
                <w:lang w:val="en-US" w:eastAsia="zh-CN"/>
              </w:rPr>
            </w:pPr>
            <w:r>
              <w:rPr>
                <w:rFonts w:hint="eastAsia" w:hAnsi="宋体" w:eastAsia="宋体" w:cs="宋体"/>
                <w:snapToGrid w:val="0"/>
                <w:color w:val="auto"/>
                <w:kern w:val="0"/>
                <w:sz w:val="22"/>
                <w:szCs w:val="18"/>
                <w:highlight w:val="none"/>
                <w:lang w:val="en-US" w:eastAsia="zh-CN"/>
              </w:rPr>
              <w:t>项目负责人：饶家豪</w:t>
            </w:r>
          </w:p>
          <w:p w14:paraId="57A42109">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int="eastAsia" w:hAnsi="宋体" w:eastAsia="宋体" w:cs="宋体"/>
                <w:snapToGrid w:val="0"/>
                <w:color w:val="auto"/>
                <w:kern w:val="0"/>
                <w:sz w:val="22"/>
                <w:szCs w:val="18"/>
                <w:highlight w:val="none"/>
                <w:lang w:val="en-US" w:eastAsia="zh-CN"/>
              </w:rPr>
            </w:pPr>
            <w:r>
              <w:rPr>
                <w:rFonts w:hint="eastAsia" w:hAnsi="宋体" w:eastAsia="宋体" w:cs="宋体"/>
                <w:snapToGrid w:val="0"/>
                <w:color w:val="auto"/>
                <w:kern w:val="0"/>
                <w:sz w:val="22"/>
                <w:szCs w:val="18"/>
                <w:highlight w:val="none"/>
                <w:lang w:val="en-US" w:eastAsia="zh-CN"/>
              </w:rPr>
              <w:t>项目经办人：骆乐</w:t>
            </w:r>
          </w:p>
          <w:p w14:paraId="19808E28">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Ansi="宋体" w:cs="宋体"/>
                <w:snapToGrid w:val="0"/>
                <w:color w:val="auto"/>
                <w:kern w:val="0"/>
                <w:sz w:val="22"/>
                <w:szCs w:val="22"/>
                <w:highlight w:val="none"/>
              </w:rPr>
            </w:pPr>
            <w:r>
              <w:rPr>
                <w:rFonts w:hint="eastAsia" w:hAnsi="宋体" w:eastAsia="宋体" w:cs="宋体"/>
                <w:snapToGrid w:val="0"/>
                <w:color w:val="auto"/>
                <w:kern w:val="0"/>
                <w:sz w:val="22"/>
                <w:szCs w:val="18"/>
                <w:highlight w:val="none"/>
                <w:lang w:eastAsia="zh-CN"/>
              </w:rPr>
              <w:t>联系电话：0751-8989684</w:t>
            </w:r>
          </w:p>
        </w:tc>
      </w:tr>
      <w:tr w14:paraId="61384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79"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14:paraId="4F5D145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auto"/>
                <w:kern w:val="0"/>
                <w:sz w:val="22"/>
                <w:szCs w:val="22"/>
                <w:highlight w:val="none"/>
                <w:lang w:val="en-US" w:eastAsia="zh-CN" w:bidi="ar-SA"/>
              </w:rPr>
            </w:pPr>
            <w:r>
              <w:rPr>
                <w:rFonts w:hint="eastAsia" w:hAnsi="宋体" w:cs="宋体"/>
                <w:snapToGrid w:val="0"/>
                <w:color w:val="auto"/>
                <w:kern w:val="0"/>
                <w:sz w:val="22"/>
                <w:szCs w:val="22"/>
                <w:highlight w:val="none"/>
              </w:rPr>
              <w:t>28</w:t>
            </w:r>
          </w:p>
        </w:tc>
        <w:tc>
          <w:tcPr>
            <w:tcW w:w="1716" w:type="dxa"/>
            <w:tcBorders>
              <w:top w:val="single" w:color="auto" w:sz="4" w:space="0"/>
              <w:left w:val="single" w:color="auto" w:sz="4" w:space="0"/>
              <w:bottom w:val="single" w:color="auto" w:sz="4" w:space="0"/>
              <w:right w:val="single" w:color="auto" w:sz="4" w:space="0"/>
            </w:tcBorders>
            <w:vAlign w:val="center"/>
          </w:tcPr>
          <w:p w14:paraId="767B8CA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交易场所</w:t>
            </w:r>
          </w:p>
          <w:p w14:paraId="4CC7096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联系方式</w:t>
            </w:r>
          </w:p>
        </w:tc>
        <w:tc>
          <w:tcPr>
            <w:tcW w:w="7200" w:type="dxa"/>
            <w:tcBorders>
              <w:top w:val="single" w:color="auto" w:sz="4" w:space="0"/>
              <w:left w:val="single" w:color="auto" w:sz="4" w:space="0"/>
              <w:bottom w:val="single" w:color="auto" w:sz="4" w:space="0"/>
              <w:right w:val="single" w:color="auto" w:sz="4" w:space="0"/>
            </w:tcBorders>
            <w:vAlign w:val="center"/>
          </w:tcPr>
          <w:p w14:paraId="45E31E4C">
            <w:pPr>
              <w:keepNext w:val="0"/>
              <w:keepLines w:val="0"/>
              <w:pageBreakBefore w:val="0"/>
              <w:widowControl w:val="0"/>
              <w:kinsoku/>
              <w:overflowPunct/>
              <w:topLinePunct w:val="0"/>
              <w:autoSpaceDE/>
              <w:autoSpaceDN/>
              <w:bidi w:val="0"/>
              <w:spacing w:line="500" w:lineRule="exact"/>
              <w:ind w:firstLine="440" w:firstLineChars="200"/>
              <w:rPr>
                <w:rFonts w:hAnsi="宋体" w:cs="宋体"/>
                <w:color w:val="auto"/>
                <w:sz w:val="22"/>
                <w:szCs w:val="22"/>
                <w:highlight w:val="none"/>
              </w:rPr>
            </w:pPr>
            <w:r>
              <w:rPr>
                <w:rFonts w:hint="eastAsia" w:hAnsi="宋体" w:cs="宋体"/>
                <w:color w:val="auto"/>
                <w:sz w:val="22"/>
                <w:szCs w:val="22"/>
                <w:highlight w:val="none"/>
              </w:rPr>
              <w:t>单位名称：韶关市公共资源交易中心</w:t>
            </w:r>
          </w:p>
          <w:p w14:paraId="5F7534E2">
            <w:pPr>
              <w:keepNext w:val="0"/>
              <w:keepLines w:val="0"/>
              <w:pageBreakBefore w:val="0"/>
              <w:widowControl w:val="0"/>
              <w:kinsoku/>
              <w:overflowPunct/>
              <w:topLinePunct w:val="0"/>
              <w:autoSpaceDE/>
              <w:autoSpaceDN/>
              <w:bidi w:val="0"/>
              <w:spacing w:line="500" w:lineRule="exact"/>
              <w:ind w:firstLine="440" w:firstLineChars="200"/>
              <w:rPr>
                <w:rFonts w:hAnsi="宋体" w:cs="宋体"/>
                <w:color w:val="auto"/>
                <w:sz w:val="22"/>
                <w:szCs w:val="22"/>
                <w:highlight w:val="none"/>
              </w:rPr>
            </w:pPr>
            <w:r>
              <w:rPr>
                <w:rFonts w:hint="eastAsia" w:hAnsi="宋体" w:cs="宋体"/>
                <w:color w:val="auto"/>
                <w:sz w:val="22"/>
                <w:szCs w:val="22"/>
                <w:highlight w:val="none"/>
              </w:rPr>
              <w:t>办公地址：翁源县龙仙镇朝阳路63号韶关市公共资源交易中心翁源分中心</w:t>
            </w:r>
          </w:p>
          <w:p w14:paraId="4A8A394B">
            <w:pPr>
              <w:keepNext w:val="0"/>
              <w:keepLines w:val="0"/>
              <w:pageBreakBefore w:val="0"/>
              <w:widowControl w:val="0"/>
              <w:kinsoku/>
              <w:overflowPunct/>
              <w:topLinePunct w:val="0"/>
              <w:autoSpaceDE/>
              <w:autoSpaceDN/>
              <w:bidi w:val="0"/>
              <w:spacing w:line="500" w:lineRule="exact"/>
              <w:ind w:firstLine="440" w:firstLineChars="200"/>
              <w:rPr>
                <w:rFonts w:hAnsi="宋体" w:cs="宋体"/>
                <w:color w:val="auto"/>
                <w:sz w:val="22"/>
                <w:szCs w:val="22"/>
                <w:highlight w:val="none"/>
              </w:rPr>
            </w:pPr>
            <w:r>
              <w:rPr>
                <w:rFonts w:hint="eastAsia" w:hAnsi="宋体" w:cs="宋体"/>
                <w:color w:val="auto"/>
                <w:sz w:val="22"/>
                <w:szCs w:val="22"/>
                <w:highlight w:val="none"/>
              </w:rPr>
              <w:t xml:space="preserve">联系人（部门）：工程交易股 </w:t>
            </w:r>
          </w:p>
          <w:p w14:paraId="725823DB">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Ansi="宋体" w:cs="宋体"/>
                <w:snapToGrid w:val="0"/>
                <w:color w:val="auto"/>
                <w:kern w:val="0"/>
                <w:sz w:val="22"/>
                <w:szCs w:val="22"/>
                <w:highlight w:val="none"/>
              </w:rPr>
            </w:pPr>
            <w:r>
              <w:rPr>
                <w:rFonts w:hint="eastAsia" w:hAnsi="宋体" w:cs="宋体"/>
                <w:color w:val="auto"/>
                <w:sz w:val="22"/>
                <w:szCs w:val="22"/>
                <w:highlight w:val="none"/>
              </w:rPr>
              <w:t>联系电话：0751-2815819</w:t>
            </w:r>
          </w:p>
        </w:tc>
      </w:tr>
      <w:tr w14:paraId="6D414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0"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14:paraId="3D05CDA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auto"/>
                <w:kern w:val="0"/>
                <w:sz w:val="22"/>
                <w:szCs w:val="22"/>
                <w:highlight w:val="none"/>
                <w:lang w:val="en-US" w:eastAsia="zh-CN" w:bidi="ar-SA"/>
              </w:rPr>
            </w:pPr>
            <w:r>
              <w:rPr>
                <w:rFonts w:hint="eastAsia" w:hAnsi="宋体" w:cs="宋体"/>
                <w:snapToGrid w:val="0"/>
                <w:color w:val="auto"/>
                <w:kern w:val="0"/>
                <w:sz w:val="22"/>
                <w:szCs w:val="22"/>
                <w:highlight w:val="none"/>
              </w:rPr>
              <w:t>29</w:t>
            </w:r>
          </w:p>
        </w:tc>
        <w:tc>
          <w:tcPr>
            <w:tcW w:w="1716" w:type="dxa"/>
            <w:tcBorders>
              <w:top w:val="single" w:color="auto" w:sz="4" w:space="0"/>
              <w:left w:val="single" w:color="auto" w:sz="4" w:space="0"/>
              <w:bottom w:val="single" w:color="auto" w:sz="4" w:space="0"/>
              <w:right w:val="single" w:color="auto" w:sz="4" w:space="0"/>
            </w:tcBorders>
            <w:vAlign w:val="center"/>
          </w:tcPr>
          <w:p w14:paraId="5EB098A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行政监督部门</w:t>
            </w:r>
          </w:p>
          <w:p w14:paraId="45C4639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联系方式</w:t>
            </w:r>
          </w:p>
        </w:tc>
        <w:tc>
          <w:tcPr>
            <w:tcW w:w="7200" w:type="dxa"/>
            <w:tcBorders>
              <w:top w:val="single" w:color="auto" w:sz="4" w:space="0"/>
              <w:left w:val="single" w:color="auto" w:sz="4" w:space="0"/>
              <w:bottom w:val="single" w:color="auto" w:sz="4" w:space="0"/>
              <w:right w:val="single" w:color="auto" w:sz="4" w:space="0"/>
            </w:tcBorders>
            <w:vAlign w:val="center"/>
          </w:tcPr>
          <w:p w14:paraId="33E5441F">
            <w:pPr>
              <w:pStyle w:val="116"/>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40" w:firstLineChars="200"/>
              <w:textAlignment w:val="auto"/>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单位名称：翁源县农业农村局</w:t>
            </w:r>
          </w:p>
          <w:p w14:paraId="0B767426">
            <w:pPr>
              <w:pStyle w:val="116"/>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40" w:firstLineChars="200"/>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办公地址：翁源县龙仙镇建设一路253号</w:t>
            </w:r>
          </w:p>
          <w:p w14:paraId="0781883D">
            <w:pPr>
              <w:pStyle w:val="116"/>
              <w:keepNext w:val="0"/>
              <w:keepLines w:val="0"/>
              <w:pageBreakBefore w:val="0"/>
              <w:widowControl w:val="0"/>
              <w:tabs>
                <w:tab w:val="left" w:pos="1890"/>
              </w:tabs>
              <w:kinsoku/>
              <w:wordWrap/>
              <w:overflowPunct/>
              <w:topLinePunct w:val="0"/>
              <w:autoSpaceDE/>
              <w:autoSpaceDN/>
              <w:bidi w:val="0"/>
              <w:adjustRightInd/>
              <w:snapToGrid/>
              <w:spacing w:line="460" w:lineRule="exact"/>
              <w:ind w:firstLine="440" w:firstLineChars="200"/>
              <w:textAlignment w:val="auto"/>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联系人(部门)：农促股</w:t>
            </w:r>
          </w:p>
          <w:p w14:paraId="199EA6B1">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Ansi="宋体" w:cs="宋体"/>
                <w:snapToGrid w:val="0"/>
                <w:color w:val="auto"/>
                <w:kern w:val="0"/>
                <w:sz w:val="22"/>
                <w:szCs w:val="22"/>
                <w:highlight w:val="none"/>
              </w:rPr>
            </w:pPr>
            <w:r>
              <w:rPr>
                <w:rFonts w:hint="eastAsia" w:ascii="宋体" w:hAnsi="宋体" w:eastAsia="宋体" w:cs="宋体"/>
                <w:color w:val="auto"/>
                <w:kern w:val="2"/>
                <w:sz w:val="22"/>
                <w:szCs w:val="22"/>
                <w:highlight w:val="none"/>
                <w:lang w:val="en-US" w:eastAsia="zh-CN" w:bidi="ar-SA"/>
              </w:rPr>
              <w:t>联系电话：0751-2873197</w:t>
            </w:r>
          </w:p>
        </w:tc>
      </w:tr>
      <w:bookmarkEnd w:id="4"/>
      <w:tr w14:paraId="74867B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03"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14:paraId="565918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auto"/>
                <w:kern w:val="0"/>
                <w:sz w:val="22"/>
                <w:szCs w:val="22"/>
                <w:highlight w:val="none"/>
                <w:lang w:val="en-US" w:eastAsia="zh-CN" w:bidi="ar-SA"/>
              </w:rPr>
            </w:pPr>
            <w:bookmarkStart w:id="5" w:name="_Toc122859103"/>
            <w:bookmarkStart w:id="6" w:name="_Toc122671103"/>
            <w:bookmarkStart w:id="7" w:name="_Toc122769943"/>
            <w:r>
              <w:rPr>
                <w:rFonts w:hint="eastAsia" w:hAnsi="宋体" w:cs="宋体"/>
                <w:snapToGrid w:val="0"/>
                <w:color w:val="auto"/>
                <w:kern w:val="0"/>
                <w:sz w:val="22"/>
                <w:szCs w:val="22"/>
                <w:highlight w:val="none"/>
              </w:rPr>
              <w:t>30</w:t>
            </w:r>
          </w:p>
        </w:tc>
        <w:tc>
          <w:tcPr>
            <w:tcW w:w="1716" w:type="dxa"/>
            <w:tcBorders>
              <w:top w:val="single" w:color="auto" w:sz="4" w:space="0"/>
              <w:left w:val="single" w:color="auto" w:sz="4" w:space="0"/>
              <w:bottom w:val="single" w:color="auto" w:sz="4" w:space="0"/>
              <w:right w:val="single" w:color="auto" w:sz="4" w:space="0"/>
            </w:tcBorders>
            <w:vAlign w:val="center"/>
          </w:tcPr>
          <w:p w14:paraId="24C0BFA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术语</w:t>
            </w:r>
          </w:p>
        </w:tc>
        <w:tc>
          <w:tcPr>
            <w:tcW w:w="7200" w:type="dxa"/>
            <w:tcBorders>
              <w:top w:val="single" w:color="auto" w:sz="4" w:space="0"/>
              <w:left w:val="single" w:color="auto" w:sz="4" w:space="0"/>
              <w:bottom w:val="single" w:color="auto" w:sz="4" w:space="0"/>
              <w:right w:val="single" w:color="auto" w:sz="4" w:space="0"/>
            </w:tcBorders>
            <w:vAlign w:val="center"/>
          </w:tcPr>
          <w:p w14:paraId="1A8F6FFC">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AD3FB51">
            <w:pPr>
              <w:keepNext w:val="0"/>
              <w:keepLines w:val="0"/>
              <w:pageBreakBefore w:val="0"/>
              <w:widowControl w:val="0"/>
              <w:kinsoku/>
              <w:wordWrap w:val="0"/>
              <w:overflowPunct/>
              <w:topLinePunct w:val="0"/>
              <w:autoSpaceDE/>
              <w:autoSpaceDN/>
              <w:bidi w:val="0"/>
              <w:adjustRightInd w:val="0"/>
              <w:snapToGrid w:val="0"/>
              <w:spacing w:line="500" w:lineRule="exact"/>
              <w:ind w:firstLine="440" w:firstLineChars="200"/>
              <w:jc w:val="left"/>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2．“相关服务”是指监理人受委托人的委托，按照合同约定，在勘察、设计、保修等阶段提供的服务活动。</w:t>
            </w:r>
          </w:p>
        </w:tc>
      </w:tr>
      <w:bookmarkEnd w:id="5"/>
      <w:bookmarkEnd w:id="6"/>
      <w:bookmarkEnd w:id="7"/>
      <w:tr w14:paraId="40921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18" w:hRule="atLeast"/>
        </w:trPr>
        <w:tc>
          <w:tcPr>
            <w:tcW w:w="637" w:type="dxa"/>
            <w:tcBorders>
              <w:top w:val="single" w:color="auto" w:sz="4" w:space="0"/>
              <w:left w:val="single" w:color="auto" w:sz="4" w:space="0"/>
              <w:bottom w:val="single" w:color="auto" w:sz="4" w:space="0"/>
              <w:right w:val="single" w:color="auto" w:sz="4" w:space="0"/>
            </w:tcBorders>
            <w:vAlign w:val="center"/>
          </w:tcPr>
          <w:p w14:paraId="57613CC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eastAsia="宋体" w:cs="宋体"/>
                <w:snapToGrid w:val="0"/>
                <w:color w:val="auto"/>
                <w:kern w:val="0"/>
                <w:sz w:val="22"/>
                <w:szCs w:val="22"/>
                <w:highlight w:val="none"/>
                <w:lang w:val="en-US" w:eastAsia="zh-CN"/>
              </w:rPr>
            </w:pPr>
            <w:r>
              <w:rPr>
                <w:rFonts w:hint="eastAsia" w:hAnsi="宋体" w:cs="宋体"/>
                <w:snapToGrid w:val="0"/>
                <w:color w:val="auto"/>
                <w:kern w:val="0"/>
                <w:sz w:val="22"/>
                <w:szCs w:val="22"/>
                <w:highlight w:val="none"/>
                <w:lang w:val="en-US" w:eastAsia="zh-CN"/>
              </w:rPr>
              <w:t>31</w:t>
            </w:r>
          </w:p>
        </w:tc>
        <w:tc>
          <w:tcPr>
            <w:tcW w:w="1716" w:type="dxa"/>
            <w:tcBorders>
              <w:top w:val="single" w:color="auto" w:sz="4" w:space="0"/>
              <w:left w:val="single" w:color="auto" w:sz="4" w:space="0"/>
              <w:bottom w:val="single" w:color="auto" w:sz="4" w:space="0"/>
              <w:right w:val="single" w:color="auto" w:sz="4" w:space="0"/>
            </w:tcBorders>
            <w:vAlign w:val="center"/>
          </w:tcPr>
          <w:p w14:paraId="5B5FCE42">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Ansi="宋体" w:cs="宋体"/>
                <w:snapToGrid w:val="0"/>
                <w:color w:val="auto"/>
                <w:kern w:val="0"/>
                <w:sz w:val="22"/>
                <w:szCs w:val="22"/>
                <w:highlight w:val="none"/>
              </w:rPr>
            </w:pPr>
            <w:r>
              <w:rPr>
                <w:rFonts w:hint="eastAsia" w:ascii="宋体" w:hAnsi="宋体" w:eastAsia="宋体" w:cs="宋体"/>
                <w:color w:val="auto"/>
                <w:kern w:val="2"/>
                <w:sz w:val="22"/>
                <w:szCs w:val="18"/>
                <w:highlight w:val="none"/>
                <w:lang w:val="en-US" w:eastAsia="zh-CN" w:bidi="ar-SA"/>
              </w:rPr>
              <w:t>其他费用</w:t>
            </w:r>
          </w:p>
        </w:tc>
        <w:tc>
          <w:tcPr>
            <w:tcW w:w="7200" w:type="dxa"/>
            <w:tcBorders>
              <w:top w:val="single" w:color="auto" w:sz="4" w:space="0"/>
              <w:left w:val="single" w:color="auto" w:sz="4" w:space="0"/>
              <w:bottom w:val="single" w:color="auto" w:sz="4" w:space="0"/>
              <w:right w:val="single" w:color="auto" w:sz="4" w:space="0"/>
            </w:tcBorders>
            <w:vAlign w:val="center"/>
          </w:tcPr>
          <w:p w14:paraId="7DC1CEF4">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40" w:firstLineChars="200"/>
              <w:textAlignment w:val="auto"/>
              <w:rPr>
                <w:rFonts w:hAnsi="宋体" w:cs="宋体"/>
                <w:snapToGrid w:val="0"/>
                <w:color w:val="auto"/>
                <w:sz w:val="22"/>
                <w:szCs w:val="22"/>
                <w:highlight w:val="none"/>
              </w:rPr>
            </w:pPr>
            <w:r>
              <w:rPr>
                <w:rFonts w:hint="eastAsia" w:ascii="宋体" w:hAnsi="宋体" w:eastAsia="宋体" w:cs="宋体"/>
                <w:snapToGrid w:val="0"/>
                <w:color w:val="auto"/>
                <w:kern w:val="0"/>
                <w:sz w:val="22"/>
                <w:szCs w:val="22"/>
                <w:highlight w:val="none"/>
                <w:lang w:val="en-US" w:eastAsia="zh-CN"/>
              </w:rPr>
              <w:t>招标代理服务费由中标单位支付，依据《招标代理服务收费管理暂行办法》计价格[2002]1980号文计取</w:t>
            </w:r>
            <w:r>
              <w:rPr>
                <w:rFonts w:hint="eastAsia" w:hAnsi="宋体" w:cs="宋体"/>
                <w:color w:val="auto"/>
                <w:kern w:val="2"/>
                <w:sz w:val="22"/>
                <w:szCs w:val="18"/>
                <w:highlight w:val="none"/>
              </w:rPr>
              <w:t>。</w:t>
            </w:r>
          </w:p>
        </w:tc>
      </w:tr>
    </w:tbl>
    <w:p w14:paraId="237E07B0">
      <w:pPr>
        <w:pStyle w:val="3"/>
        <w:wordWrap w:val="0"/>
        <w:autoSpaceDE/>
        <w:autoSpaceDN/>
        <w:snapToGrid w:val="0"/>
        <w:spacing w:before="260" w:after="260" w:line="440" w:lineRule="exact"/>
        <w:jc w:val="both"/>
        <w:rPr>
          <w:rFonts w:ascii="Times New Roman"/>
          <w:b/>
          <w:snapToGrid w:val="0"/>
          <w:color w:val="auto"/>
          <w:highlight w:val="none"/>
        </w:rPr>
        <w:sectPr>
          <w:footerReference r:id="rId8" w:type="default"/>
          <w:endnotePr>
            <w:numFmt w:val="decimal"/>
          </w:endnotePr>
          <w:pgSz w:w="11906" w:h="16838"/>
          <w:pgMar w:top="1417" w:right="1417" w:bottom="1417" w:left="1417" w:header="850" w:footer="992" w:gutter="0"/>
          <w:pgNumType w:fmt="decimal" w:start="1"/>
          <w:cols w:space="0" w:num="1"/>
          <w:docGrid w:linePitch="327" w:charSpace="0"/>
        </w:sectPr>
      </w:pPr>
    </w:p>
    <w:p w14:paraId="21CE9C32">
      <w:pPr>
        <w:pStyle w:val="3"/>
        <w:wordWrap w:val="0"/>
        <w:autoSpaceDE/>
        <w:autoSpaceDN/>
        <w:snapToGrid w:val="0"/>
        <w:spacing w:after="120" w:afterLines="50" w:line="440" w:lineRule="exact"/>
        <w:jc w:val="both"/>
        <w:rPr>
          <w:rFonts w:ascii="Times New Roman"/>
          <w:snapToGrid w:val="0"/>
          <w:color w:val="auto"/>
          <w:highlight w:val="none"/>
        </w:rPr>
      </w:pPr>
      <w:bookmarkStart w:id="8" w:name="_Toc714"/>
      <w:bookmarkStart w:id="9" w:name="_Toc1901"/>
      <w:r>
        <w:rPr>
          <w:rFonts w:hint="eastAsia" w:ascii="Times New Roman"/>
          <w:b/>
          <w:snapToGrid w:val="0"/>
          <w:color w:val="auto"/>
          <w:highlight w:val="none"/>
        </w:rPr>
        <w:t>第二节 重要事项时间地点一览表</w:t>
      </w:r>
      <w:bookmarkEnd w:id="8"/>
      <w:bookmarkEnd w:id="9"/>
    </w:p>
    <w:tbl>
      <w:tblPr>
        <w:tblStyle w:val="30"/>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8"/>
        <w:gridCol w:w="1500"/>
        <w:gridCol w:w="7652"/>
      </w:tblGrid>
      <w:tr w14:paraId="738E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021419A5">
            <w:pPr>
              <w:pStyle w:val="87"/>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val="0"/>
              <w:overflowPunct/>
              <w:topLinePunct w:val="0"/>
              <w:autoSpaceDE/>
              <w:autoSpaceDN/>
              <w:bidi w:val="0"/>
              <w:adjustRightInd w:val="0"/>
              <w:snapToGrid w:val="0"/>
              <w:spacing w:before="0" w:beforeLines="0" w:beforeAutospacing="0" w:after="260" w:afterLines="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1</w:t>
            </w:r>
          </w:p>
        </w:tc>
        <w:tc>
          <w:tcPr>
            <w:tcW w:w="1500" w:type="dxa"/>
            <w:noWrap w:val="0"/>
            <w:vAlign w:val="center"/>
          </w:tcPr>
          <w:p w14:paraId="19E2040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招标公告</w:t>
            </w:r>
          </w:p>
          <w:p w14:paraId="5CBF80E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发布时间</w:t>
            </w:r>
          </w:p>
        </w:tc>
        <w:tc>
          <w:tcPr>
            <w:tcW w:w="7652" w:type="dxa"/>
            <w:noWrap w:val="0"/>
            <w:vAlign w:val="center"/>
          </w:tcPr>
          <w:p w14:paraId="48ECE305">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20" w:leftChars="0" w:right="0" w:rightChars="0" w:hanging="220" w:hangingChars="100"/>
              <w:jc w:val="left"/>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u w:val="single"/>
                <w:lang w:val="en-US" w:eastAsia="zh-CN"/>
              </w:rPr>
              <w:t>202</w:t>
            </w:r>
            <w:r>
              <w:rPr>
                <w:rFonts w:hint="eastAsia" w:ascii="宋体" w:eastAsia="宋体" w:cs="宋体"/>
                <w:i w:val="0"/>
                <w:caps w:val="0"/>
                <w:color w:val="auto"/>
                <w:spacing w:val="0"/>
                <w:sz w:val="22"/>
                <w:szCs w:val="22"/>
                <w:highlight w:val="none"/>
                <w:u w:val="single"/>
                <w:lang w:val="en-US" w:eastAsia="zh-CN"/>
              </w:rPr>
              <w:t>6</w:t>
            </w:r>
            <w:r>
              <w:rPr>
                <w:rFonts w:hint="eastAsia" w:ascii="宋体" w:hAnsi="宋体" w:eastAsia="宋体" w:cs="宋体"/>
                <w:i w:val="0"/>
                <w:caps w:val="0"/>
                <w:color w:val="auto"/>
                <w:spacing w:val="0"/>
                <w:sz w:val="22"/>
                <w:szCs w:val="22"/>
                <w:highlight w:val="none"/>
              </w:rPr>
              <w:t>年</w:t>
            </w:r>
            <w:r>
              <w:rPr>
                <w:rFonts w:hint="eastAsia" w:cs="宋体"/>
                <w:i w:val="0"/>
                <w:caps w:val="0"/>
                <w:color w:val="auto"/>
                <w:spacing w:val="0"/>
                <w:sz w:val="22"/>
                <w:szCs w:val="22"/>
                <w:highlight w:val="none"/>
                <w:u w:val="single"/>
                <w:lang w:val="en-US" w:eastAsia="zh-CN"/>
              </w:rPr>
              <w:t>6</w:t>
            </w:r>
            <w:r>
              <w:rPr>
                <w:rFonts w:hint="eastAsia" w:ascii="宋体" w:hAnsi="宋体" w:eastAsia="宋体" w:cs="宋体"/>
                <w:i w:val="0"/>
                <w:caps w:val="0"/>
                <w:color w:val="auto"/>
                <w:spacing w:val="0"/>
                <w:sz w:val="22"/>
                <w:szCs w:val="22"/>
                <w:highlight w:val="none"/>
              </w:rPr>
              <w:t>月</w:t>
            </w:r>
            <w:r>
              <w:rPr>
                <w:rFonts w:hint="eastAsia" w:cs="宋体"/>
                <w:i w:val="0"/>
                <w:caps w:val="0"/>
                <w:color w:val="auto"/>
                <w:spacing w:val="0"/>
                <w:sz w:val="22"/>
                <w:szCs w:val="22"/>
                <w:highlight w:val="none"/>
                <w:u w:val="single"/>
                <w:lang w:val="en-US" w:eastAsia="zh-CN"/>
              </w:rPr>
              <w:t>12</w:t>
            </w:r>
            <w:r>
              <w:rPr>
                <w:rFonts w:hint="eastAsia" w:ascii="宋体" w:hAnsi="宋体" w:eastAsia="宋体" w:cs="宋体"/>
                <w:i w:val="0"/>
                <w:caps w:val="0"/>
                <w:color w:val="auto"/>
                <w:spacing w:val="0"/>
                <w:sz w:val="22"/>
                <w:szCs w:val="22"/>
                <w:highlight w:val="none"/>
              </w:rPr>
              <w:t>日</w:t>
            </w:r>
            <w:r>
              <w:rPr>
                <w:rFonts w:hint="eastAsia" w:cs="宋体"/>
                <w:i w:val="0"/>
                <w:caps w:val="0"/>
                <w:color w:val="auto"/>
                <w:spacing w:val="0"/>
                <w:sz w:val="22"/>
                <w:szCs w:val="22"/>
                <w:highlight w:val="none"/>
                <w:u w:val="single"/>
                <w:lang w:val="en-US" w:eastAsia="zh-CN"/>
              </w:rPr>
              <w:t>17</w:t>
            </w:r>
            <w:r>
              <w:rPr>
                <w:rFonts w:hint="eastAsia" w:ascii="宋体" w:hAnsi="宋体" w:eastAsia="宋体" w:cs="宋体"/>
                <w:i w:val="0"/>
                <w:caps w:val="0"/>
                <w:color w:val="auto"/>
                <w:spacing w:val="0"/>
                <w:sz w:val="22"/>
                <w:szCs w:val="22"/>
                <w:highlight w:val="none"/>
              </w:rPr>
              <w:t>时</w:t>
            </w:r>
            <w:r>
              <w:rPr>
                <w:rFonts w:hint="eastAsia" w:cs="宋体"/>
                <w:i w:val="0"/>
                <w:caps w:val="0"/>
                <w:color w:val="auto"/>
                <w:spacing w:val="0"/>
                <w:sz w:val="22"/>
                <w:szCs w:val="22"/>
                <w:highlight w:val="none"/>
                <w:u w:val="single"/>
                <w:lang w:val="en-US" w:eastAsia="zh-CN"/>
              </w:rPr>
              <w:t>00</w:t>
            </w:r>
            <w:r>
              <w:rPr>
                <w:rFonts w:hint="eastAsia" w:ascii="宋体" w:hAnsi="宋体" w:eastAsia="宋体" w:cs="宋体"/>
                <w:i w:val="0"/>
                <w:caps w:val="0"/>
                <w:color w:val="auto"/>
                <w:spacing w:val="0"/>
                <w:sz w:val="22"/>
                <w:szCs w:val="22"/>
                <w:highlight w:val="none"/>
              </w:rPr>
              <w:t>分</w:t>
            </w:r>
          </w:p>
        </w:tc>
      </w:tr>
      <w:tr w14:paraId="7C00B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167E58D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2</w:t>
            </w:r>
          </w:p>
        </w:tc>
        <w:tc>
          <w:tcPr>
            <w:tcW w:w="1500" w:type="dxa"/>
            <w:noWrap w:val="0"/>
            <w:vAlign w:val="center"/>
          </w:tcPr>
          <w:p w14:paraId="3AA628E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lang w:val="en-US" w:eastAsia="zh-CN"/>
              </w:rPr>
              <w:t>获取招标文件截止时</w:t>
            </w:r>
            <w:r>
              <w:rPr>
                <w:rFonts w:hint="eastAsia" w:ascii="宋体" w:hAnsi="宋体" w:eastAsia="宋体" w:cs="宋体"/>
                <w:i w:val="0"/>
                <w:caps w:val="0"/>
                <w:color w:val="auto"/>
                <w:spacing w:val="0"/>
                <w:sz w:val="22"/>
                <w:szCs w:val="22"/>
                <w:highlight w:val="none"/>
              </w:rPr>
              <w:t>间</w:t>
            </w:r>
          </w:p>
        </w:tc>
        <w:tc>
          <w:tcPr>
            <w:tcW w:w="7652" w:type="dxa"/>
            <w:noWrap w:val="0"/>
            <w:vAlign w:val="center"/>
          </w:tcPr>
          <w:p w14:paraId="3A3A5896">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u w:val="single"/>
                <w:lang w:val="en-US" w:eastAsia="zh-CN"/>
              </w:rPr>
              <w:t>202</w:t>
            </w:r>
            <w:r>
              <w:rPr>
                <w:rFonts w:hint="eastAsia" w:ascii="宋体" w:eastAsia="宋体" w:cs="宋体"/>
                <w:i w:val="0"/>
                <w:caps w:val="0"/>
                <w:color w:val="auto"/>
                <w:spacing w:val="0"/>
                <w:sz w:val="22"/>
                <w:szCs w:val="22"/>
                <w:highlight w:val="none"/>
                <w:u w:val="single"/>
                <w:lang w:val="en-US" w:eastAsia="zh-CN"/>
              </w:rPr>
              <w:t>6</w:t>
            </w:r>
            <w:r>
              <w:rPr>
                <w:rFonts w:hint="eastAsia" w:ascii="宋体" w:hAnsi="宋体" w:eastAsia="宋体" w:cs="宋体"/>
                <w:i w:val="0"/>
                <w:caps w:val="0"/>
                <w:color w:val="auto"/>
                <w:spacing w:val="0"/>
                <w:sz w:val="22"/>
                <w:szCs w:val="22"/>
                <w:highlight w:val="none"/>
              </w:rPr>
              <w:t>年</w:t>
            </w:r>
            <w:r>
              <w:rPr>
                <w:rFonts w:hint="eastAsia" w:cs="宋体"/>
                <w:i w:val="0"/>
                <w:caps w:val="0"/>
                <w:color w:val="auto"/>
                <w:spacing w:val="0"/>
                <w:sz w:val="22"/>
                <w:szCs w:val="22"/>
                <w:highlight w:val="none"/>
                <w:u w:val="single"/>
                <w:lang w:val="en-US" w:eastAsia="zh-CN"/>
              </w:rPr>
              <w:t>7</w:t>
            </w:r>
            <w:r>
              <w:rPr>
                <w:rFonts w:hint="eastAsia" w:ascii="宋体" w:hAnsi="宋体" w:eastAsia="宋体" w:cs="宋体"/>
                <w:i w:val="0"/>
                <w:caps w:val="0"/>
                <w:color w:val="auto"/>
                <w:spacing w:val="0"/>
                <w:sz w:val="22"/>
                <w:szCs w:val="22"/>
                <w:highlight w:val="none"/>
              </w:rPr>
              <w:t>月</w:t>
            </w:r>
            <w:r>
              <w:rPr>
                <w:rFonts w:hint="eastAsia" w:cs="宋体"/>
                <w:i w:val="0"/>
                <w:caps w:val="0"/>
                <w:color w:val="auto"/>
                <w:spacing w:val="0"/>
                <w:sz w:val="22"/>
                <w:szCs w:val="22"/>
                <w:highlight w:val="none"/>
                <w:u w:val="single"/>
                <w:lang w:val="en-US" w:eastAsia="zh-CN"/>
              </w:rPr>
              <w:t>3</w:t>
            </w:r>
            <w:r>
              <w:rPr>
                <w:rFonts w:hint="eastAsia" w:ascii="宋体" w:hAnsi="宋体" w:eastAsia="宋体" w:cs="宋体"/>
                <w:i w:val="0"/>
                <w:caps w:val="0"/>
                <w:color w:val="auto"/>
                <w:spacing w:val="0"/>
                <w:sz w:val="22"/>
                <w:szCs w:val="22"/>
                <w:highlight w:val="none"/>
              </w:rPr>
              <w:t>日</w:t>
            </w:r>
            <w:r>
              <w:rPr>
                <w:rFonts w:hint="eastAsia" w:cs="宋体"/>
                <w:i w:val="0"/>
                <w:caps w:val="0"/>
                <w:color w:val="auto"/>
                <w:spacing w:val="0"/>
                <w:sz w:val="22"/>
                <w:szCs w:val="22"/>
                <w:highlight w:val="none"/>
                <w:u w:val="single"/>
                <w:lang w:val="en-US" w:eastAsia="zh-CN"/>
              </w:rPr>
              <w:t>10</w:t>
            </w:r>
            <w:r>
              <w:rPr>
                <w:rFonts w:hint="eastAsia" w:ascii="宋体" w:hAnsi="宋体" w:eastAsia="宋体" w:cs="宋体"/>
                <w:i w:val="0"/>
                <w:caps w:val="0"/>
                <w:color w:val="auto"/>
                <w:spacing w:val="0"/>
                <w:sz w:val="22"/>
                <w:szCs w:val="22"/>
                <w:highlight w:val="none"/>
              </w:rPr>
              <w:t>时</w:t>
            </w:r>
            <w:r>
              <w:rPr>
                <w:rFonts w:hint="eastAsia" w:ascii="宋体" w:cs="宋体"/>
                <w:i w:val="0"/>
                <w:caps w:val="0"/>
                <w:color w:val="auto"/>
                <w:spacing w:val="0"/>
                <w:sz w:val="22"/>
                <w:szCs w:val="22"/>
                <w:highlight w:val="none"/>
                <w:u w:val="single"/>
                <w:lang w:val="en-US" w:eastAsia="zh-CN"/>
              </w:rPr>
              <w:t>30</w:t>
            </w:r>
            <w:r>
              <w:rPr>
                <w:rFonts w:hint="eastAsia" w:ascii="宋体" w:hAnsi="宋体" w:eastAsia="宋体" w:cs="宋体"/>
                <w:i w:val="0"/>
                <w:caps w:val="0"/>
                <w:color w:val="auto"/>
                <w:spacing w:val="0"/>
                <w:sz w:val="22"/>
                <w:szCs w:val="22"/>
                <w:highlight w:val="none"/>
              </w:rPr>
              <w:t>分</w:t>
            </w:r>
          </w:p>
        </w:tc>
      </w:tr>
      <w:tr w14:paraId="16F6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51FC896E">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3</w:t>
            </w:r>
          </w:p>
        </w:tc>
        <w:tc>
          <w:tcPr>
            <w:tcW w:w="1500" w:type="dxa"/>
            <w:noWrap w:val="0"/>
            <w:vAlign w:val="center"/>
          </w:tcPr>
          <w:p w14:paraId="00A5E72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网上提问</w:t>
            </w:r>
          </w:p>
          <w:p w14:paraId="2200D0BB">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截止时间</w:t>
            </w:r>
          </w:p>
        </w:tc>
        <w:tc>
          <w:tcPr>
            <w:tcW w:w="7652" w:type="dxa"/>
            <w:noWrap w:val="0"/>
            <w:vAlign w:val="center"/>
          </w:tcPr>
          <w:p w14:paraId="5D81FA54">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u w:val="single"/>
                <w:lang w:val="en-US" w:eastAsia="zh-CN"/>
              </w:rPr>
              <w:t>202</w:t>
            </w:r>
            <w:r>
              <w:rPr>
                <w:rFonts w:hint="eastAsia" w:ascii="宋体" w:eastAsia="宋体" w:cs="宋体"/>
                <w:i w:val="0"/>
                <w:caps w:val="0"/>
                <w:color w:val="auto"/>
                <w:spacing w:val="0"/>
                <w:sz w:val="22"/>
                <w:szCs w:val="22"/>
                <w:highlight w:val="none"/>
                <w:u w:val="single"/>
                <w:lang w:val="en-US" w:eastAsia="zh-CN"/>
              </w:rPr>
              <w:t>6</w:t>
            </w:r>
            <w:r>
              <w:rPr>
                <w:rFonts w:hint="eastAsia" w:ascii="宋体" w:hAnsi="宋体" w:eastAsia="宋体" w:cs="宋体"/>
                <w:i w:val="0"/>
                <w:caps w:val="0"/>
                <w:color w:val="auto"/>
                <w:spacing w:val="0"/>
                <w:sz w:val="22"/>
                <w:szCs w:val="22"/>
                <w:highlight w:val="none"/>
              </w:rPr>
              <w:t>年</w:t>
            </w:r>
            <w:r>
              <w:rPr>
                <w:rFonts w:hint="eastAsia" w:cs="宋体"/>
                <w:i w:val="0"/>
                <w:caps w:val="0"/>
                <w:color w:val="auto"/>
                <w:spacing w:val="0"/>
                <w:sz w:val="22"/>
                <w:szCs w:val="22"/>
                <w:highlight w:val="none"/>
                <w:u w:val="single"/>
                <w:lang w:val="en-US" w:eastAsia="zh-CN"/>
              </w:rPr>
              <w:t>6</w:t>
            </w:r>
            <w:r>
              <w:rPr>
                <w:rFonts w:hint="eastAsia" w:ascii="宋体" w:hAnsi="宋体" w:eastAsia="宋体" w:cs="宋体"/>
                <w:i w:val="0"/>
                <w:caps w:val="0"/>
                <w:color w:val="auto"/>
                <w:spacing w:val="0"/>
                <w:sz w:val="22"/>
                <w:szCs w:val="22"/>
                <w:highlight w:val="none"/>
              </w:rPr>
              <w:t>月</w:t>
            </w:r>
            <w:r>
              <w:rPr>
                <w:rFonts w:hint="eastAsia" w:cs="宋体"/>
                <w:i w:val="0"/>
                <w:caps w:val="0"/>
                <w:color w:val="auto"/>
                <w:spacing w:val="0"/>
                <w:sz w:val="22"/>
                <w:szCs w:val="22"/>
                <w:highlight w:val="none"/>
                <w:u w:val="single"/>
                <w:lang w:val="en-US" w:eastAsia="zh-CN"/>
              </w:rPr>
              <w:t>23</w:t>
            </w:r>
            <w:r>
              <w:rPr>
                <w:rFonts w:hint="eastAsia" w:ascii="宋体" w:hAnsi="宋体" w:eastAsia="宋体" w:cs="宋体"/>
                <w:i w:val="0"/>
                <w:caps w:val="0"/>
                <w:color w:val="auto"/>
                <w:spacing w:val="0"/>
                <w:sz w:val="22"/>
                <w:szCs w:val="22"/>
                <w:highlight w:val="none"/>
              </w:rPr>
              <w:t>日</w:t>
            </w:r>
            <w:r>
              <w:rPr>
                <w:rFonts w:hint="eastAsia" w:ascii="宋体" w:hAnsi="宋体" w:eastAsia="宋体" w:cs="宋体"/>
                <w:color w:val="auto"/>
                <w:kern w:val="2"/>
                <w:sz w:val="22"/>
                <w:szCs w:val="22"/>
                <w:highlight w:val="none"/>
                <w:u w:val="single"/>
                <w:lang w:val="en-US" w:eastAsia="zh-CN" w:bidi="ar-SA"/>
              </w:rPr>
              <w:t>16</w:t>
            </w:r>
            <w:r>
              <w:rPr>
                <w:rFonts w:hint="eastAsia" w:ascii="宋体" w:hAnsi="宋体" w:eastAsia="宋体" w:cs="宋体"/>
                <w:color w:val="auto"/>
                <w:kern w:val="2"/>
                <w:sz w:val="22"/>
                <w:szCs w:val="22"/>
                <w:highlight w:val="none"/>
                <w:lang w:val="en-US" w:eastAsia="zh-CN" w:bidi="ar-SA"/>
              </w:rPr>
              <w:t>时</w:t>
            </w:r>
            <w:r>
              <w:rPr>
                <w:rFonts w:hint="eastAsia" w:ascii="宋体" w:hAnsi="宋体" w:eastAsia="宋体" w:cs="宋体"/>
                <w:color w:val="auto"/>
                <w:kern w:val="2"/>
                <w:sz w:val="22"/>
                <w:szCs w:val="22"/>
                <w:highlight w:val="none"/>
                <w:u w:val="single"/>
                <w:lang w:val="en-US" w:eastAsia="zh-CN" w:bidi="ar-SA"/>
              </w:rPr>
              <w:t>00</w:t>
            </w:r>
            <w:r>
              <w:rPr>
                <w:rFonts w:hint="eastAsia" w:ascii="宋体" w:hAnsi="宋体" w:eastAsia="宋体" w:cs="宋体"/>
                <w:color w:val="auto"/>
                <w:kern w:val="2"/>
                <w:sz w:val="22"/>
                <w:szCs w:val="22"/>
                <w:highlight w:val="none"/>
                <w:lang w:val="en-US" w:eastAsia="zh-CN" w:bidi="ar-SA"/>
              </w:rPr>
              <w:t>分</w:t>
            </w:r>
          </w:p>
        </w:tc>
      </w:tr>
      <w:tr w14:paraId="5F038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07CEE7FF">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4</w:t>
            </w:r>
          </w:p>
        </w:tc>
        <w:tc>
          <w:tcPr>
            <w:tcW w:w="1500" w:type="dxa"/>
            <w:noWrap w:val="0"/>
            <w:vAlign w:val="center"/>
          </w:tcPr>
          <w:p w14:paraId="324E6A3F">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网上答疑</w:t>
            </w:r>
          </w:p>
          <w:p w14:paraId="2BDAE570">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时间</w:t>
            </w:r>
          </w:p>
        </w:tc>
        <w:tc>
          <w:tcPr>
            <w:tcW w:w="7652" w:type="dxa"/>
            <w:noWrap w:val="0"/>
            <w:vAlign w:val="center"/>
          </w:tcPr>
          <w:p w14:paraId="4EF9A1D4">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20" w:leftChars="0" w:right="0" w:rightChars="0" w:hanging="220" w:hangingChars="100"/>
              <w:jc w:val="left"/>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u w:val="single"/>
                <w:lang w:val="en-US" w:eastAsia="zh-CN"/>
              </w:rPr>
              <w:t>202</w:t>
            </w:r>
            <w:r>
              <w:rPr>
                <w:rFonts w:hint="eastAsia" w:ascii="宋体" w:eastAsia="宋体" w:cs="宋体"/>
                <w:i w:val="0"/>
                <w:caps w:val="0"/>
                <w:color w:val="auto"/>
                <w:spacing w:val="0"/>
                <w:sz w:val="22"/>
                <w:szCs w:val="22"/>
                <w:highlight w:val="none"/>
                <w:u w:val="single"/>
                <w:lang w:val="en-US" w:eastAsia="zh-CN"/>
              </w:rPr>
              <w:t>6</w:t>
            </w:r>
            <w:r>
              <w:rPr>
                <w:rFonts w:hint="eastAsia" w:ascii="宋体" w:hAnsi="宋体" w:eastAsia="宋体" w:cs="宋体"/>
                <w:i w:val="0"/>
                <w:caps w:val="0"/>
                <w:color w:val="auto"/>
                <w:spacing w:val="0"/>
                <w:sz w:val="22"/>
                <w:szCs w:val="22"/>
                <w:highlight w:val="none"/>
              </w:rPr>
              <w:t>年</w:t>
            </w:r>
            <w:r>
              <w:rPr>
                <w:rFonts w:hint="eastAsia" w:cs="宋体"/>
                <w:i w:val="0"/>
                <w:caps w:val="0"/>
                <w:color w:val="auto"/>
                <w:spacing w:val="0"/>
                <w:sz w:val="22"/>
                <w:szCs w:val="22"/>
                <w:highlight w:val="none"/>
                <w:u w:val="single"/>
                <w:lang w:val="en-US" w:eastAsia="zh-CN"/>
              </w:rPr>
              <w:t>6</w:t>
            </w:r>
            <w:r>
              <w:rPr>
                <w:rFonts w:hint="eastAsia" w:ascii="宋体" w:hAnsi="宋体" w:eastAsia="宋体" w:cs="宋体"/>
                <w:i w:val="0"/>
                <w:caps w:val="0"/>
                <w:color w:val="auto"/>
                <w:spacing w:val="0"/>
                <w:sz w:val="22"/>
                <w:szCs w:val="22"/>
                <w:highlight w:val="none"/>
              </w:rPr>
              <w:t>月</w:t>
            </w:r>
            <w:r>
              <w:rPr>
                <w:rFonts w:hint="eastAsia" w:cs="宋体"/>
                <w:i w:val="0"/>
                <w:caps w:val="0"/>
                <w:color w:val="auto"/>
                <w:spacing w:val="0"/>
                <w:sz w:val="22"/>
                <w:szCs w:val="22"/>
                <w:highlight w:val="none"/>
                <w:u w:val="single"/>
                <w:lang w:val="en-US" w:eastAsia="zh-CN"/>
              </w:rPr>
              <w:t>23</w:t>
            </w:r>
            <w:r>
              <w:rPr>
                <w:rFonts w:hint="eastAsia" w:ascii="宋体" w:hAnsi="宋体" w:eastAsia="宋体" w:cs="宋体"/>
                <w:i w:val="0"/>
                <w:caps w:val="0"/>
                <w:color w:val="auto"/>
                <w:spacing w:val="0"/>
                <w:sz w:val="22"/>
                <w:szCs w:val="22"/>
                <w:highlight w:val="none"/>
              </w:rPr>
              <w:t>日</w:t>
            </w:r>
            <w:r>
              <w:rPr>
                <w:rFonts w:hint="eastAsia" w:ascii="宋体" w:hAnsi="宋体" w:eastAsia="宋体" w:cs="宋体"/>
                <w:color w:val="auto"/>
                <w:kern w:val="2"/>
                <w:sz w:val="22"/>
                <w:szCs w:val="22"/>
                <w:highlight w:val="none"/>
                <w:u w:val="single"/>
                <w:lang w:val="en-US" w:eastAsia="zh-CN" w:bidi="ar-SA"/>
              </w:rPr>
              <w:t xml:space="preserve">16 </w:t>
            </w:r>
            <w:r>
              <w:rPr>
                <w:rFonts w:hint="eastAsia" w:ascii="宋体" w:hAnsi="宋体" w:eastAsia="宋体" w:cs="宋体"/>
                <w:color w:val="auto"/>
                <w:kern w:val="2"/>
                <w:sz w:val="22"/>
                <w:szCs w:val="22"/>
                <w:highlight w:val="none"/>
                <w:lang w:val="en-US" w:eastAsia="zh-CN" w:bidi="ar-SA"/>
              </w:rPr>
              <w:t>时</w:t>
            </w:r>
            <w:r>
              <w:rPr>
                <w:rFonts w:hint="eastAsia" w:ascii="宋体" w:hAnsi="宋体" w:eastAsia="宋体" w:cs="宋体"/>
                <w:color w:val="auto"/>
                <w:kern w:val="2"/>
                <w:sz w:val="22"/>
                <w:szCs w:val="22"/>
                <w:highlight w:val="none"/>
                <w:u w:val="single"/>
                <w:lang w:val="en-US" w:eastAsia="zh-CN" w:bidi="ar-SA"/>
              </w:rPr>
              <w:t>30</w:t>
            </w:r>
            <w:r>
              <w:rPr>
                <w:rFonts w:hint="eastAsia" w:ascii="宋体" w:hAnsi="宋体" w:eastAsia="宋体" w:cs="宋体"/>
                <w:color w:val="auto"/>
                <w:kern w:val="2"/>
                <w:sz w:val="22"/>
                <w:szCs w:val="22"/>
                <w:highlight w:val="none"/>
                <w:lang w:val="en-US" w:eastAsia="zh-CN" w:bidi="ar-SA"/>
              </w:rPr>
              <w:t>分至</w:t>
            </w:r>
            <w:r>
              <w:rPr>
                <w:rFonts w:hint="eastAsia" w:ascii="宋体" w:hAnsi="宋体" w:eastAsia="宋体" w:cs="宋体"/>
                <w:i w:val="0"/>
                <w:caps w:val="0"/>
                <w:color w:val="auto"/>
                <w:spacing w:val="0"/>
                <w:sz w:val="22"/>
                <w:szCs w:val="22"/>
                <w:highlight w:val="none"/>
                <w:u w:val="single"/>
                <w:lang w:val="en-US" w:eastAsia="zh-CN"/>
              </w:rPr>
              <w:t>202</w:t>
            </w:r>
            <w:r>
              <w:rPr>
                <w:rFonts w:hint="eastAsia" w:ascii="宋体" w:eastAsia="宋体" w:cs="宋体"/>
                <w:i w:val="0"/>
                <w:caps w:val="0"/>
                <w:color w:val="auto"/>
                <w:spacing w:val="0"/>
                <w:sz w:val="22"/>
                <w:szCs w:val="22"/>
                <w:highlight w:val="none"/>
                <w:u w:val="single"/>
                <w:lang w:val="en-US" w:eastAsia="zh-CN"/>
              </w:rPr>
              <w:t>6</w:t>
            </w:r>
            <w:r>
              <w:rPr>
                <w:rFonts w:hint="eastAsia" w:ascii="宋体" w:hAnsi="宋体" w:eastAsia="宋体" w:cs="宋体"/>
                <w:i w:val="0"/>
                <w:caps w:val="0"/>
                <w:color w:val="auto"/>
                <w:spacing w:val="0"/>
                <w:sz w:val="22"/>
                <w:szCs w:val="22"/>
                <w:highlight w:val="none"/>
              </w:rPr>
              <w:t>年</w:t>
            </w:r>
            <w:r>
              <w:rPr>
                <w:rFonts w:hint="eastAsia" w:cs="宋体"/>
                <w:i w:val="0"/>
                <w:caps w:val="0"/>
                <w:color w:val="auto"/>
                <w:spacing w:val="0"/>
                <w:sz w:val="22"/>
                <w:szCs w:val="22"/>
                <w:highlight w:val="none"/>
                <w:u w:val="single"/>
                <w:lang w:val="en-US" w:eastAsia="zh-CN"/>
              </w:rPr>
              <w:t>6</w:t>
            </w:r>
            <w:r>
              <w:rPr>
                <w:rFonts w:hint="eastAsia" w:ascii="宋体" w:hAnsi="宋体" w:eastAsia="宋体" w:cs="宋体"/>
                <w:i w:val="0"/>
                <w:caps w:val="0"/>
                <w:color w:val="auto"/>
                <w:spacing w:val="0"/>
                <w:sz w:val="22"/>
                <w:szCs w:val="22"/>
                <w:highlight w:val="none"/>
              </w:rPr>
              <w:t>月</w:t>
            </w:r>
            <w:r>
              <w:rPr>
                <w:rFonts w:hint="eastAsia" w:cs="宋体"/>
                <w:i w:val="0"/>
                <w:caps w:val="0"/>
                <w:color w:val="auto"/>
                <w:spacing w:val="0"/>
                <w:sz w:val="22"/>
                <w:szCs w:val="22"/>
                <w:highlight w:val="none"/>
                <w:u w:val="single"/>
                <w:lang w:val="en-US" w:eastAsia="zh-CN"/>
              </w:rPr>
              <w:t>26</w:t>
            </w:r>
            <w:r>
              <w:rPr>
                <w:rFonts w:hint="eastAsia" w:ascii="宋体" w:hAnsi="宋体" w:eastAsia="宋体" w:cs="宋体"/>
                <w:i w:val="0"/>
                <w:caps w:val="0"/>
                <w:color w:val="auto"/>
                <w:spacing w:val="0"/>
                <w:sz w:val="22"/>
                <w:szCs w:val="22"/>
                <w:highlight w:val="none"/>
              </w:rPr>
              <w:t>日</w:t>
            </w:r>
            <w:r>
              <w:rPr>
                <w:rFonts w:hint="eastAsia" w:ascii="宋体" w:hAnsi="宋体" w:eastAsia="宋体" w:cs="宋体"/>
                <w:color w:val="auto"/>
                <w:kern w:val="2"/>
                <w:sz w:val="22"/>
                <w:szCs w:val="22"/>
                <w:highlight w:val="none"/>
                <w:u w:val="single"/>
                <w:lang w:val="en-US" w:eastAsia="zh-CN" w:bidi="ar-SA"/>
              </w:rPr>
              <w:t>16</w:t>
            </w:r>
            <w:r>
              <w:rPr>
                <w:rFonts w:hint="eastAsia" w:ascii="宋体" w:hAnsi="宋体" w:eastAsia="宋体" w:cs="宋体"/>
                <w:color w:val="auto"/>
                <w:kern w:val="2"/>
                <w:sz w:val="22"/>
                <w:szCs w:val="22"/>
                <w:highlight w:val="none"/>
                <w:lang w:val="en-US" w:eastAsia="zh-CN" w:bidi="ar-SA"/>
              </w:rPr>
              <w:t>时</w:t>
            </w:r>
            <w:r>
              <w:rPr>
                <w:rFonts w:hint="eastAsia" w:ascii="宋体" w:hAnsi="宋体" w:eastAsia="宋体" w:cs="宋体"/>
                <w:color w:val="auto"/>
                <w:kern w:val="2"/>
                <w:sz w:val="22"/>
                <w:szCs w:val="22"/>
                <w:highlight w:val="none"/>
                <w:u w:val="single"/>
                <w:lang w:val="en-US" w:eastAsia="zh-CN" w:bidi="ar-SA"/>
              </w:rPr>
              <w:t>00</w:t>
            </w:r>
            <w:r>
              <w:rPr>
                <w:rFonts w:hint="eastAsia" w:ascii="宋体" w:hAnsi="宋体" w:eastAsia="宋体" w:cs="宋体"/>
                <w:color w:val="auto"/>
                <w:kern w:val="2"/>
                <w:sz w:val="22"/>
                <w:szCs w:val="22"/>
                <w:highlight w:val="none"/>
                <w:lang w:val="en-US" w:eastAsia="zh-CN" w:bidi="ar-SA"/>
              </w:rPr>
              <w:t>分</w:t>
            </w:r>
          </w:p>
        </w:tc>
      </w:tr>
      <w:tr w14:paraId="4549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418" w:type="dxa"/>
            <w:noWrap w:val="0"/>
            <w:vAlign w:val="center"/>
          </w:tcPr>
          <w:p w14:paraId="6EF16134">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5</w:t>
            </w:r>
          </w:p>
        </w:tc>
        <w:tc>
          <w:tcPr>
            <w:tcW w:w="1500" w:type="dxa"/>
            <w:noWrap w:val="0"/>
            <w:vAlign w:val="center"/>
          </w:tcPr>
          <w:p w14:paraId="5062CDD0">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投标保证缴</w:t>
            </w:r>
          </w:p>
          <w:p w14:paraId="7AA21E82">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纳截止时间</w:t>
            </w:r>
          </w:p>
        </w:tc>
        <w:tc>
          <w:tcPr>
            <w:tcW w:w="7652" w:type="dxa"/>
            <w:noWrap w:val="0"/>
            <w:vAlign w:val="center"/>
          </w:tcPr>
          <w:p w14:paraId="617B6183">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投标保证金到账截止时间：</w:t>
            </w:r>
            <w:r>
              <w:rPr>
                <w:rFonts w:hint="eastAsia" w:ascii="宋体" w:hAnsi="宋体" w:eastAsia="宋体" w:cs="宋体"/>
                <w:i w:val="0"/>
                <w:caps w:val="0"/>
                <w:color w:val="auto"/>
                <w:spacing w:val="0"/>
                <w:sz w:val="22"/>
                <w:szCs w:val="22"/>
                <w:highlight w:val="none"/>
                <w:lang w:val="en-US" w:eastAsia="zh-CN"/>
              </w:rPr>
              <w:t xml:space="preserve">  </w:t>
            </w:r>
            <w:r>
              <w:rPr>
                <w:rFonts w:hint="eastAsia" w:ascii="宋体" w:hAnsi="宋体" w:eastAsia="宋体" w:cs="宋体"/>
                <w:i w:val="0"/>
                <w:caps w:val="0"/>
                <w:color w:val="auto"/>
                <w:spacing w:val="0"/>
                <w:sz w:val="22"/>
                <w:szCs w:val="22"/>
                <w:highlight w:val="none"/>
                <w:u w:val="single"/>
                <w:lang w:val="en-US" w:eastAsia="zh-CN"/>
              </w:rPr>
              <w:t>202</w:t>
            </w:r>
            <w:r>
              <w:rPr>
                <w:rFonts w:hint="eastAsia" w:ascii="宋体" w:eastAsia="宋体" w:cs="宋体"/>
                <w:i w:val="0"/>
                <w:caps w:val="0"/>
                <w:color w:val="auto"/>
                <w:spacing w:val="0"/>
                <w:sz w:val="22"/>
                <w:szCs w:val="22"/>
                <w:highlight w:val="none"/>
                <w:u w:val="single"/>
                <w:lang w:val="en-US" w:eastAsia="zh-CN"/>
              </w:rPr>
              <w:t>6</w:t>
            </w:r>
            <w:r>
              <w:rPr>
                <w:rFonts w:hint="eastAsia" w:ascii="宋体" w:hAnsi="宋体" w:eastAsia="宋体" w:cs="宋体"/>
                <w:i w:val="0"/>
                <w:caps w:val="0"/>
                <w:color w:val="auto"/>
                <w:spacing w:val="0"/>
                <w:sz w:val="22"/>
                <w:szCs w:val="22"/>
                <w:highlight w:val="none"/>
              </w:rPr>
              <w:t>年</w:t>
            </w:r>
            <w:r>
              <w:rPr>
                <w:rFonts w:hint="eastAsia" w:cs="宋体"/>
                <w:i w:val="0"/>
                <w:caps w:val="0"/>
                <w:color w:val="auto"/>
                <w:spacing w:val="0"/>
                <w:sz w:val="22"/>
                <w:szCs w:val="22"/>
                <w:highlight w:val="none"/>
                <w:u w:val="single"/>
                <w:lang w:val="en-US" w:eastAsia="zh-CN"/>
              </w:rPr>
              <w:t>7</w:t>
            </w:r>
            <w:r>
              <w:rPr>
                <w:rFonts w:hint="eastAsia" w:ascii="宋体" w:hAnsi="宋体" w:eastAsia="宋体" w:cs="宋体"/>
                <w:i w:val="0"/>
                <w:caps w:val="0"/>
                <w:color w:val="auto"/>
                <w:spacing w:val="0"/>
                <w:sz w:val="22"/>
                <w:szCs w:val="22"/>
                <w:highlight w:val="none"/>
              </w:rPr>
              <w:t>月</w:t>
            </w:r>
            <w:r>
              <w:rPr>
                <w:rFonts w:hint="eastAsia" w:cs="宋体"/>
                <w:i w:val="0"/>
                <w:caps w:val="0"/>
                <w:color w:val="auto"/>
                <w:spacing w:val="0"/>
                <w:sz w:val="22"/>
                <w:szCs w:val="22"/>
                <w:highlight w:val="none"/>
                <w:u w:val="single"/>
                <w:lang w:val="en-US" w:eastAsia="zh-CN"/>
              </w:rPr>
              <w:t>2</w:t>
            </w:r>
            <w:r>
              <w:rPr>
                <w:rFonts w:hint="eastAsia" w:ascii="宋体" w:hAnsi="宋体" w:eastAsia="宋体" w:cs="宋体"/>
                <w:i w:val="0"/>
                <w:caps w:val="0"/>
                <w:color w:val="auto"/>
                <w:spacing w:val="0"/>
                <w:sz w:val="22"/>
                <w:szCs w:val="22"/>
                <w:highlight w:val="none"/>
              </w:rPr>
              <w:t>日</w:t>
            </w:r>
            <w:r>
              <w:rPr>
                <w:rFonts w:hint="eastAsia" w:cs="宋体"/>
                <w:i w:val="0"/>
                <w:caps w:val="0"/>
                <w:color w:val="auto"/>
                <w:spacing w:val="0"/>
                <w:sz w:val="22"/>
                <w:szCs w:val="22"/>
                <w:highlight w:val="none"/>
                <w:u w:val="single"/>
                <w:lang w:val="en-US" w:eastAsia="zh-CN"/>
              </w:rPr>
              <w:t>10</w:t>
            </w:r>
            <w:r>
              <w:rPr>
                <w:rFonts w:hint="eastAsia" w:ascii="宋体" w:hAnsi="宋体" w:eastAsia="宋体" w:cs="宋体"/>
                <w:i w:val="0"/>
                <w:caps w:val="0"/>
                <w:color w:val="auto"/>
                <w:spacing w:val="0"/>
                <w:sz w:val="22"/>
                <w:szCs w:val="22"/>
                <w:highlight w:val="none"/>
              </w:rPr>
              <w:t>时</w:t>
            </w:r>
            <w:r>
              <w:rPr>
                <w:rFonts w:hint="eastAsia" w:ascii="宋体" w:cs="宋体"/>
                <w:i w:val="0"/>
                <w:caps w:val="0"/>
                <w:color w:val="auto"/>
                <w:spacing w:val="0"/>
                <w:sz w:val="22"/>
                <w:szCs w:val="22"/>
                <w:highlight w:val="none"/>
                <w:u w:val="single"/>
                <w:lang w:val="en-US" w:eastAsia="zh-CN"/>
              </w:rPr>
              <w:t>30</w:t>
            </w:r>
            <w:r>
              <w:rPr>
                <w:rFonts w:hint="eastAsia" w:ascii="宋体" w:hAnsi="宋体" w:eastAsia="宋体" w:cs="宋体"/>
                <w:i w:val="0"/>
                <w:caps w:val="0"/>
                <w:color w:val="auto"/>
                <w:spacing w:val="0"/>
                <w:sz w:val="22"/>
                <w:szCs w:val="22"/>
                <w:highlight w:val="none"/>
              </w:rPr>
              <w:t>分；</w:t>
            </w:r>
          </w:p>
          <w:p w14:paraId="7EF631CE">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i w:val="0"/>
                <w:caps w:val="0"/>
                <w:color w:val="auto"/>
                <w:spacing w:val="0"/>
                <w:sz w:val="22"/>
                <w:szCs w:val="22"/>
                <w:highlight w:val="none"/>
                <w:lang w:val="en-US" w:eastAsia="zh-CN"/>
              </w:rPr>
            </w:pPr>
            <w:r>
              <w:rPr>
                <w:rFonts w:hint="eastAsia" w:ascii="宋体" w:hAnsi="宋体" w:eastAsia="宋体" w:cs="宋体"/>
                <w:i w:val="0"/>
                <w:caps w:val="0"/>
                <w:color w:val="auto"/>
                <w:spacing w:val="0"/>
                <w:sz w:val="22"/>
                <w:szCs w:val="22"/>
                <w:highlight w:val="none"/>
              </w:rPr>
              <w:t>投标保证担保</w:t>
            </w:r>
            <w:r>
              <w:rPr>
                <w:rFonts w:hint="eastAsia" w:ascii="宋体" w:hAnsi="宋体" w:eastAsia="宋体" w:cs="宋体"/>
                <w:i w:val="0"/>
                <w:caps w:val="0"/>
                <w:color w:val="auto"/>
                <w:spacing w:val="0"/>
                <w:sz w:val="22"/>
                <w:szCs w:val="22"/>
                <w:highlight w:val="none"/>
                <w:lang w:val="en-US" w:eastAsia="zh-CN"/>
              </w:rPr>
              <w:t>办理</w:t>
            </w:r>
            <w:r>
              <w:rPr>
                <w:rFonts w:hint="eastAsia" w:ascii="宋体" w:hAnsi="宋体" w:eastAsia="宋体" w:cs="宋体"/>
                <w:i w:val="0"/>
                <w:caps w:val="0"/>
                <w:color w:val="auto"/>
                <w:spacing w:val="0"/>
                <w:sz w:val="22"/>
                <w:szCs w:val="22"/>
                <w:highlight w:val="none"/>
              </w:rPr>
              <w:t>截止时间：</w:t>
            </w:r>
            <w:r>
              <w:rPr>
                <w:rFonts w:hint="eastAsia" w:ascii="宋体" w:hAnsi="宋体" w:eastAsia="宋体" w:cs="宋体"/>
                <w:i w:val="0"/>
                <w:caps w:val="0"/>
                <w:color w:val="auto"/>
                <w:spacing w:val="0"/>
                <w:sz w:val="22"/>
                <w:szCs w:val="22"/>
                <w:highlight w:val="none"/>
                <w:u w:val="single"/>
                <w:lang w:val="en-US" w:eastAsia="zh-CN"/>
              </w:rPr>
              <w:t>202</w:t>
            </w:r>
            <w:r>
              <w:rPr>
                <w:rFonts w:hint="eastAsia" w:ascii="宋体" w:eastAsia="宋体" w:cs="宋体"/>
                <w:i w:val="0"/>
                <w:caps w:val="0"/>
                <w:color w:val="auto"/>
                <w:spacing w:val="0"/>
                <w:sz w:val="22"/>
                <w:szCs w:val="22"/>
                <w:highlight w:val="none"/>
                <w:u w:val="single"/>
                <w:lang w:val="en-US" w:eastAsia="zh-CN"/>
              </w:rPr>
              <w:t>6</w:t>
            </w:r>
            <w:r>
              <w:rPr>
                <w:rFonts w:hint="eastAsia" w:ascii="宋体" w:hAnsi="宋体" w:eastAsia="宋体" w:cs="宋体"/>
                <w:i w:val="0"/>
                <w:caps w:val="0"/>
                <w:color w:val="auto"/>
                <w:spacing w:val="0"/>
                <w:sz w:val="22"/>
                <w:szCs w:val="22"/>
                <w:highlight w:val="none"/>
              </w:rPr>
              <w:t>年</w:t>
            </w:r>
            <w:r>
              <w:rPr>
                <w:rFonts w:hint="eastAsia" w:cs="宋体"/>
                <w:i w:val="0"/>
                <w:caps w:val="0"/>
                <w:color w:val="auto"/>
                <w:spacing w:val="0"/>
                <w:sz w:val="22"/>
                <w:szCs w:val="22"/>
                <w:highlight w:val="none"/>
                <w:u w:val="single"/>
                <w:lang w:val="en-US" w:eastAsia="zh-CN"/>
              </w:rPr>
              <w:t>7</w:t>
            </w:r>
            <w:r>
              <w:rPr>
                <w:rFonts w:hint="eastAsia" w:ascii="宋体" w:hAnsi="宋体" w:eastAsia="宋体" w:cs="宋体"/>
                <w:i w:val="0"/>
                <w:caps w:val="0"/>
                <w:color w:val="auto"/>
                <w:spacing w:val="0"/>
                <w:sz w:val="22"/>
                <w:szCs w:val="22"/>
                <w:highlight w:val="none"/>
              </w:rPr>
              <w:t>月</w:t>
            </w:r>
            <w:r>
              <w:rPr>
                <w:rFonts w:hint="eastAsia" w:cs="宋体"/>
                <w:i w:val="0"/>
                <w:caps w:val="0"/>
                <w:color w:val="auto"/>
                <w:spacing w:val="0"/>
                <w:sz w:val="22"/>
                <w:szCs w:val="22"/>
                <w:highlight w:val="none"/>
                <w:u w:val="single"/>
                <w:lang w:val="en-US" w:eastAsia="zh-CN"/>
              </w:rPr>
              <w:t>2</w:t>
            </w:r>
            <w:r>
              <w:rPr>
                <w:rFonts w:hint="eastAsia" w:ascii="宋体" w:hAnsi="宋体" w:eastAsia="宋体" w:cs="宋体"/>
                <w:i w:val="0"/>
                <w:caps w:val="0"/>
                <w:color w:val="auto"/>
                <w:spacing w:val="0"/>
                <w:sz w:val="22"/>
                <w:szCs w:val="22"/>
                <w:highlight w:val="none"/>
              </w:rPr>
              <w:t>日</w:t>
            </w:r>
            <w:r>
              <w:rPr>
                <w:rFonts w:hint="eastAsia" w:cs="宋体"/>
                <w:i w:val="0"/>
                <w:caps w:val="0"/>
                <w:color w:val="auto"/>
                <w:spacing w:val="0"/>
                <w:sz w:val="22"/>
                <w:szCs w:val="22"/>
                <w:highlight w:val="none"/>
                <w:u w:val="single"/>
                <w:lang w:val="en-US" w:eastAsia="zh-CN"/>
              </w:rPr>
              <w:t>10</w:t>
            </w:r>
            <w:r>
              <w:rPr>
                <w:rFonts w:hint="eastAsia" w:ascii="宋体" w:hAnsi="宋体" w:eastAsia="宋体" w:cs="宋体"/>
                <w:i w:val="0"/>
                <w:caps w:val="0"/>
                <w:color w:val="auto"/>
                <w:spacing w:val="0"/>
                <w:sz w:val="22"/>
                <w:szCs w:val="22"/>
                <w:highlight w:val="none"/>
              </w:rPr>
              <w:t>时</w:t>
            </w:r>
            <w:r>
              <w:rPr>
                <w:rFonts w:hint="eastAsia" w:ascii="宋体" w:cs="宋体"/>
                <w:i w:val="0"/>
                <w:caps w:val="0"/>
                <w:color w:val="auto"/>
                <w:spacing w:val="0"/>
                <w:sz w:val="22"/>
                <w:szCs w:val="22"/>
                <w:highlight w:val="none"/>
                <w:u w:val="single"/>
                <w:lang w:val="en-US" w:eastAsia="zh-CN"/>
              </w:rPr>
              <w:t>30</w:t>
            </w:r>
            <w:r>
              <w:rPr>
                <w:rFonts w:hint="eastAsia" w:ascii="宋体" w:hAnsi="宋体" w:eastAsia="宋体" w:cs="宋体"/>
                <w:i w:val="0"/>
                <w:caps w:val="0"/>
                <w:color w:val="auto"/>
                <w:spacing w:val="0"/>
                <w:sz w:val="22"/>
                <w:szCs w:val="22"/>
                <w:highlight w:val="none"/>
              </w:rPr>
              <w:t>分</w:t>
            </w:r>
            <w:r>
              <w:rPr>
                <w:rFonts w:hint="eastAsia" w:ascii="宋体" w:hAnsi="宋体" w:eastAsia="宋体" w:cs="宋体"/>
                <w:i w:val="0"/>
                <w:caps w:val="0"/>
                <w:color w:val="auto"/>
                <w:spacing w:val="0"/>
                <w:sz w:val="22"/>
                <w:szCs w:val="22"/>
                <w:highlight w:val="none"/>
                <w:lang w:val="en-US" w:eastAsia="zh-CN"/>
              </w:rPr>
              <w:t>；</w:t>
            </w:r>
          </w:p>
          <w:p w14:paraId="075366F9">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firstLine="210" w:firstLineChars="0"/>
              <w:jc w:val="left"/>
              <w:rPr>
                <w:rFonts w:hint="eastAsia" w:ascii="宋体" w:hAnsi="宋体" w:eastAsia="宋体" w:cs="宋体"/>
                <w:color w:val="auto"/>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投标保证保险投保截止时间：</w:t>
            </w:r>
            <w:r>
              <w:rPr>
                <w:rFonts w:hint="eastAsia" w:ascii="宋体" w:hAnsi="宋体" w:eastAsia="宋体" w:cs="宋体"/>
                <w:i w:val="0"/>
                <w:caps w:val="0"/>
                <w:color w:val="auto"/>
                <w:spacing w:val="0"/>
                <w:sz w:val="22"/>
                <w:szCs w:val="22"/>
                <w:highlight w:val="none"/>
                <w:u w:val="single"/>
                <w:lang w:val="en-US" w:eastAsia="zh-CN"/>
              </w:rPr>
              <w:t>202</w:t>
            </w:r>
            <w:r>
              <w:rPr>
                <w:rFonts w:hint="eastAsia" w:ascii="宋体" w:eastAsia="宋体" w:cs="宋体"/>
                <w:i w:val="0"/>
                <w:caps w:val="0"/>
                <w:color w:val="auto"/>
                <w:spacing w:val="0"/>
                <w:sz w:val="22"/>
                <w:szCs w:val="22"/>
                <w:highlight w:val="none"/>
                <w:u w:val="single"/>
                <w:lang w:val="en-US" w:eastAsia="zh-CN"/>
              </w:rPr>
              <w:t>6</w:t>
            </w:r>
            <w:r>
              <w:rPr>
                <w:rFonts w:hint="eastAsia" w:ascii="宋体" w:hAnsi="宋体" w:eastAsia="宋体" w:cs="宋体"/>
                <w:i w:val="0"/>
                <w:caps w:val="0"/>
                <w:color w:val="auto"/>
                <w:spacing w:val="0"/>
                <w:sz w:val="22"/>
                <w:szCs w:val="22"/>
                <w:highlight w:val="none"/>
              </w:rPr>
              <w:t>年</w:t>
            </w:r>
            <w:r>
              <w:rPr>
                <w:rFonts w:hint="eastAsia" w:cs="宋体"/>
                <w:i w:val="0"/>
                <w:caps w:val="0"/>
                <w:color w:val="auto"/>
                <w:spacing w:val="0"/>
                <w:sz w:val="22"/>
                <w:szCs w:val="22"/>
                <w:highlight w:val="none"/>
                <w:u w:val="single"/>
                <w:lang w:val="en-US" w:eastAsia="zh-CN"/>
              </w:rPr>
              <w:t>7</w:t>
            </w:r>
            <w:r>
              <w:rPr>
                <w:rFonts w:hint="eastAsia" w:ascii="宋体" w:hAnsi="宋体" w:eastAsia="宋体" w:cs="宋体"/>
                <w:i w:val="0"/>
                <w:caps w:val="0"/>
                <w:color w:val="auto"/>
                <w:spacing w:val="0"/>
                <w:sz w:val="22"/>
                <w:szCs w:val="22"/>
                <w:highlight w:val="none"/>
              </w:rPr>
              <w:t>月</w:t>
            </w:r>
            <w:r>
              <w:rPr>
                <w:rFonts w:hint="eastAsia" w:cs="宋体"/>
                <w:i w:val="0"/>
                <w:caps w:val="0"/>
                <w:color w:val="auto"/>
                <w:spacing w:val="0"/>
                <w:sz w:val="22"/>
                <w:szCs w:val="22"/>
                <w:highlight w:val="none"/>
                <w:u w:val="single"/>
                <w:lang w:val="en-US" w:eastAsia="zh-CN"/>
              </w:rPr>
              <w:t>2</w:t>
            </w:r>
            <w:r>
              <w:rPr>
                <w:rFonts w:hint="eastAsia" w:ascii="宋体" w:hAnsi="宋体" w:eastAsia="宋体" w:cs="宋体"/>
                <w:i w:val="0"/>
                <w:caps w:val="0"/>
                <w:color w:val="auto"/>
                <w:spacing w:val="0"/>
                <w:sz w:val="22"/>
                <w:szCs w:val="22"/>
                <w:highlight w:val="none"/>
              </w:rPr>
              <w:t>日</w:t>
            </w:r>
            <w:r>
              <w:rPr>
                <w:rFonts w:hint="eastAsia" w:cs="宋体"/>
                <w:i w:val="0"/>
                <w:caps w:val="0"/>
                <w:color w:val="auto"/>
                <w:spacing w:val="0"/>
                <w:sz w:val="22"/>
                <w:szCs w:val="22"/>
                <w:highlight w:val="none"/>
                <w:u w:val="single"/>
                <w:lang w:val="en-US" w:eastAsia="zh-CN"/>
              </w:rPr>
              <w:t>10</w:t>
            </w:r>
            <w:r>
              <w:rPr>
                <w:rFonts w:hint="eastAsia" w:ascii="宋体" w:hAnsi="宋体" w:eastAsia="宋体" w:cs="宋体"/>
                <w:i w:val="0"/>
                <w:caps w:val="0"/>
                <w:color w:val="auto"/>
                <w:spacing w:val="0"/>
                <w:sz w:val="22"/>
                <w:szCs w:val="22"/>
                <w:highlight w:val="none"/>
              </w:rPr>
              <w:t>时</w:t>
            </w:r>
            <w:r>
              <w:rPr>
                <w:rFonts w:hint="eastAsia" w:ascii="宋体" w:cs="宋体"/>
                <w:i w:val="0"/>
                <w:caps w:val="0"/>
                <w:color w:val="auto"/>
                <w:spacing w:val="0"/>
                <w:sz w:val="22"/>
                <w:szCs w:val="22"/>
                <w:highlight w:val="none"/>
                <w:u w:val="single"/>
                <w:lang w:val="en-US" w:eastAsia="zh-CN"/>
              </w:rPr>
              <w:t>30</w:t>
            </w:r>
            <w:r>
              <w:rPr>
                <w:rFonts w:hint="eastAsia" w:ascii="宋体" w:hAnsi="宋体" w:eastAsia="宋体" w:cs="宋体"/>
                <w:i w:val="0"/>
                <w:caps w:val="0"/>
                <w:color w:val="auto"/>
                <w:spacing w:val="0"/>
                <w:sz w:val="22"/>
                <w:szCs w:val="22"/>
                <w:highlight w:val="none"/>
              </w:rPr>
              <w:t>分</w:t>
            </w:r>
            <w:r>
              <w:rPr>
                <w:rFonts w:hint="eastAsia" w:ascii="宋体" w:hAnsi="宋体" w:eastAsia="宋体" w:cs="宋体"/>
                <w:caps w:val="0"/>
                <w:smallCaps w:val="0"/>
                <w:snapToGrid w:val="0"/>
                <w:color w:val="auto"/>
                <w:spacing w:val="0"/>
                <w:kern w:val="0"/>
                <w:sz w:val="22"/>
                <w:szCs w:val="22"/>
                <w:highlight w:val="none"/>
                <w:lang w:eastAsia="zh-CN"/>
              </w:rPr>
              <w:t>。</w:t>
            </w:r>
          </w:p>
        </w:tc>
      </w:tr>
      <w:tr w14:paraId="510B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418" w:type="dxa"/>
            <w:noWrap w:val="0"/>
            <w:vAlign w:val="center"/>
          </w:tcPr>
          <w:p w14:paraId="51E62623">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6</w:t>
            </w:r>
          </w:p>
        </w:tc>
        <w:tc>
          <w:tcPr>
            <w:tcW w:w="1500" w:type="dxa"/>
            <w:noWrap w:val="0"/>
            <w:vAlign w:val="center"/>
          </w:tcPr>
          <w:p w14:paraId="5F274BE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电子投标</w:t>
            </w:r>
          </w:p>
          <w:p w14:paraId="735AD79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截止时间</w:t>
            </w:r>
          </w:p>
        </w:tc>
        <w:tc>
          <w:tcPr>
            <w:tcW w:w="7652" w:type="dxa"/>
            <w:noWrap w:val="0"/>
            <w:vAlign w:val="center"/>
          </w:tcPr>
          <w:p w14:paraId="797729DD">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u w:val="single"/>
                <w:lang w:val="en-US" w:eastAsia="zh-CN"/>
              </w:rPr>
              <w:t>202</w:t>
            </w:r>
            <w:r>
              <w:rPr>
                <w:rFonts w:hint="eastAsia" w:ascii="宋体" w:eastAsia="宋体" w:cs="宋体"/>
                <w:i w:val="0"/>
                <w:caps w:val="0"/>
                <w:color w:val="auto"/>
                <w:spacing w:val="0"/>
                <w:sz w:val="22"/>
                <w:szCs w:val="22"/>
                <w:highlight w:val="none"/>
                <w:u w:val="single"/>
                <w:lang w:val="en-US" w:eastAsia="zh-CN"/>
              </w:rPr>
              <w:t>6</w:t>
            </w:r>
            <w:r>
              <w:rPr>
                <w:rFonts w:hint="eastAsia" w:ascii="宋体" w:hAnsi="宋体" w:eastAsia="宋体" w:cs="宋体"/>
                <w:i w:val="0"/>
                <w:caps w:val="0"/>
                <w:color w:val="auto"/>
                <w:spacing w:val="0"/>
                <w:sz w:val="22"/>
                <w:szCs w:val="22"/>
                <w:highlight w:val="none"/>
              </w:rPr>
              <w:t>年</w:t>
            </w:r>
            <w:r>
              <w:rPr>
                <w:rFonts w:hint="eastAsia" w:cs="宋体"/>
                <w:i w:val="0"/>
                <w:caps w:val="0"/>
                <w:color w:val="auto"/>
                <w:spacing w:val="0"/>
                <w:sz w:val="22"/>
                <w:szCs w:val="22"/>
                <w:highlight w:val="none"/>
                <w:u w:val="single"/>
                <w:lang w:val="en-US" w:eastAsia="zh-CN"/>
              </w:rPr>
              <w:t>7</w:t>
            </w:r>
            <w:r>
              <w:rPr>
                <w:rFonts w:hint="eastAsia" w:ascii="宋体" w:hAnsi="宋体" w:eastAsia="宋体" w:cs="宋体"/>
                <w:i w:val="0"/>
                <w:caps w:val="0"/>
                <w:color w:val="auto"/>
                <w:spacing w:val="0"/>
                <w:sz w:val="22"/>
                <w:szCs w:val="22"/>
                <w:highlight w:val="none"/>
              </w:rPr>
              <w:t>月</w:t>
            </w:r>
            <w:r>
              <w:rPr>
                <w:rFonts w:hint="eastAsia" w:cs="宋体"/>
                <w:i w:val="0"/>
                <w:caps w:val="0"/>
                <w:color w:val="auto"/>
                <w:spacing w:val="0"/>
                <w:sz w:val="22"/>
                <w:szCs w:val="22"/>
                <w:highlight w:val="none"/>
                <w:u w:val="single"/>
                <w:lang w:val="en-US" w:eastAsia="zh-CN"/>
              </w:rPr>
              <w:t>3</w:t>
            </w:r>
            <w:r>
              <w:rPr>
                <w:rFonts w:hint="eastAsia" w:ascii="宋体" w:hAnsi="宋体" w:eastAsia="宋体" w:cs="宋体"/>
                <w:i w:val="0"/>
                <w:caps w:val="0"/>
                <w:color w:val="auto"/>
                <w:spacing w:val="0"/>
                <w:sz w:val="22"/>
                <w:szCs w:val="22"/>
                <w:highlight w:val="none"/>
              </w:rPr>
              <w:t>日</w:t>
            </w:r>
            <w:r>
              <w:rPr>
                <w:rFonts w:hint="eastAsia" w:cs="宋体"/>
                <w:i w:val="0"/>
                <w:caps w:val="0"/>
                <w:color w:val="auto"/>
                <w:spacing w:val="0"/>
                <w:sz w:val="22"/>
                <w:szCs w:val="22"/>
                <w:highlight w:val="none"/>
                <w:u w:val="single"/>
                <w:lang w:val="en-US" w:eastAsia="zh-CN"/>
              </w:rPr>
              <w:t>10</w:t>
            </w:r>
            <w:r>
              <w:rPr>
                <w:rFonts w:hint="eastAsia" w:ascii="宋体" w:hAnsi="宋体" w:eastAsia="宋体" w:cs="宋体"/>
                <w:i w:val="0"/>
                <w:caps w:val="0"/>
                <w:color w:val="auto"/>
                <w:spacing w:val="0"/>
                <w:sz w:val="22"/>
                <w:szCs w:val="22"/>
                <w:highlight w:val="none"/>
              </w:rPr>
              <w:t>时</w:t>
            </w:r>
            <w:r>
              <w:rPr>
                <w:rFonts w:hint="eastAsia" w:ascii="宋体" w:cs="宋体"/>
                <w:i w:val="0"/>
                <w:caps w:val="0"/>
                <w:color w:val="auto"/>
                <w:spacing w:val="0"/>
                <w:sz w:val="22"/>
                <w:szCs w:val="22"/>
                <w:highlight w:val="none"/>
                <w:u w:val="single"/>
                <w:lang w:val="en-US" w:eastAsia="zh-CN"/>
              </w:rPr>
              <w:t>30</w:t>
            </w:r>
            <w:r>
              <w:rPr>
                <w:rFonts w:hint="eastAsia" w:ascii="宋体" w:hAnsi="宋体" w:eastAsia="宋体" w:cs="宋体"/>
                <w:i w:val="0"/>
                <w:caps w:val="0"/>
                <w:color w:val="auto"/>
                <w:spacing w:val="0"/>
                <w:sz w:val="22"/>
                <w:szCs w:val="22"/>
                <w:highlight w:val="none"/>
              </w:rPr>
              <w:t>分</w:t>
            </w:r>
          </w:p>
        </w:tc>
      </w:tr>
      <w:tr w14:paraId="2BF8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18" w:type="dxa"/>
            <w:noWrap w:val="0"/>
            <w:vAlign w:val="center"/>
          </w:tcPr>
          <w:p w14:paraId="5E6B7F56">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auto"/>
                <w:spacing w:val="0"/>
                <w:kern w:val="0"/>
                <w:sz w:val="22"/>
                <w:szCs w:val="22"/>
                <w:highlight w:val="none"/>
                <w:lang w:val="en-US" w:eastAsia="zh-CN" w:bidi="ar-SA"/>
              </w:rPr>
            </w:pPr>
            <w:r>
              <w:rPr>
                <w:rFonts w:hint="eastAsia" w:ascii="宋体" w:hAnsi="宋体" w:eastAsia="宋体" w:cs="宋体"/>
                <w:i w:val="0"/>
                <w:caps w:val="0"/>
                <w:color w:val="auto"/>
                <w:spacing w:val="0"/>
                <w:kern w:val="0"/>
                <w:sz w:val="22"/>
                <w:szCs w:val="22"/>
                <w:highlight w:val="none"/>
                <w:lang w:val="en-US" w:eastAsia="zh-CN" w:bidi="ar-SA"/>
              </w:rPr>
              <w:t>7</w:t>
            </w:r>
          </w:p>
        </w:tc>
        <w:tc>
          <w:tcPr>
            <w:tcW w:w="1500" w:type="dxa"/>
            <w:noWrap w:val="0"/>
            <w:vAlign w:val="center"/>
          </w:tcPr>
          <w:p w14:paraId="4209B307">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auto"/>
                <w:spacing w:val="0"/>
                <w:kern w:val="0"/>
                <w:sz w:val="22"/>
                <w:szCs w:val="22"/>
                <w:highlight w:val="none"/>
                <w:lang w:val="en-US" w:eastAsia="zh-CN" w:bidi="ar-SA"/>
              </w:rPr>
            </w:pPr>
            <w:r>
              <w:rPr>
                <w:rFonts w:hint="eastAsia" w:ascii="宋体" w:hAnsi="宋体" w:eastAsia="宋体" w:cs="宋体"/>
                <w:i w:val="0"/>
                <w:caps w:val="0"/>
                <w:color w:val="auto"/>
                <w:spacing w:val="0"/>
                <w:kern w:val="0"/>
                <w:sz w:val="22"/>
                <w:szCs w:val="22"/>
                <w:highlight w:val="none"/>
                <w:lang w:val="en-US" w:eastAsia="zh-CN" w:bidi="ar-SA"/>
              </w:rPr>
              <w:t>投标相关资料（如有）</w:t>
            </w:r>
          </w:p>
          <w:p w14:paraId="340DF603">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auto"/>
                <w:spacing w:val="0"/>
                <w:kern w:val="0"/>
                <w:sz w:val="22"/>
                <w:szCs w:val="22"/>
                <w:highlight w:val="none"/>
                <w:lang w:val="en-US" w:eastAsia="zh-CN" w:bidi="ar-SA"/>
              </w:rPr>
            </w:pPr>
            <w:r>
              <w:rPr>
                <w:rFonts w:hint="eastAsia" w:ascii="宋体" w:hAnsi="宋体" w:eastAsia="宋体" w:cs="宋体"/>
                <w:i w:val="0"/>
                <w:caps w:val="0"/>
                <w:color w:val="auto"/>
                <w:spacing w:val="0"/>
                <w:kern w:val="0"/>
                <w:sz w:val="22"/>
                <w:szCs w:val="22"/>
                <w:highlight w:val="none"/>
                <w:lang w:val="en-US" w:eastAsia="zh-CN" w:bidi="ar-SA"/>
              </w:rPr>
              <w:t>递交时间</w:t>
            </w:r>
          </w:p>
        </w:tc>
        <w:tc>
          <w:tcPr>
            <w:tcW w:w="7652" w:type="dxa"/>
            <w:noWrap w:val="0"/>
            <w:vAlign w:val="center"/>
          </w:tcPr>
          <w:p w14:paraId="57CAD6DB">
            <w:pPr>
              <w:pStyle w:val="87"/>
              <w:tabs>
                <w:tab w:val="left" w:pos="1890"/>
              </w:tabs>
              <w:wordWrap w:val="0"/>
              <w:adjustRightInd w:val="0"/>
              <w:snapToGrid w:val="0"/>
              <w:spacing w:line="400" w:lineRule="exact"/>
              <w:jc w:val="left"/>
              <w:rPr>
                <w:rFonts w:hint="eastAsia" w:ascii="宋体" w:hAnsi="宋体" w:eastAsia="宋体" w:cs="宋体"/>
                <w:i w:val="0"/>
                <w:caps w:val="0"/>
                <w:color w:val="auto"/>
                <w:spacing w:val="0"/>
                <w:kern w:val="0"/>
                <w:sz w:val="22"/>
                <w:szCs w:val="22"/>
                <w:highlight w:val="none"/>
                <w:lang w:val="en-US" w:eastAsia="zh-CN" w:bidi="ar-SA"/>
              </w:rPr>
            </w:pPr>
            <w:r>
              <w:rPr>
                <w:rFonts w:hint="eastAsia" w:ascii="宋体" w:hAnsi="宋体" w:eastAsia="宋体" w:cs="宋体"/>
                <w:i w:val="0"/>
                <w:caps w:val="0"/>
                <w:color w:val="auto"/>
                <w:spacing w:val="0"/>
                <w:sz w:val="22"/>
                <w:szCs w:val="22"/>
                <w:highlight w:val="none"/>
                <w:u w:val="single"/>
                <w:lang w:val="en-US" w:eastAsia="zh-CN"/>
              </w:rPr>
              <w:t>202</w:t>
            </w:r>
            <w:r>
              <w:rPr>
                <w:rFonts w:hint="eastAsia" w:ascii="宋体" w:eastAsia="宋体" w:cs="宋体"/>
                <w:i w:val="0"/>
                <w:caps w:val="0"/>
                <w:color w:val="auto"/>
                <w:spacing w:val="0"/>
                <w:sz w:val="22"/>
                <w:szCs w:val="22"/>
                <w:highlight w:val="none"/>
                <w:u w:val="single"/>
                <w:lang w:val="en-US" w:eastAsia="zh-CN"/>
              </w:rPr>
              <w:t>6</w:t>
            </w:r>
            <w:r>
              <w:rPr>
                <w:rFonts w:hint="eastAsia" w:ascii="宋体" w:hAnsi="宋体" w:eastAsia="宋体" w:cs="宋体"/>
                <w:i w:val="0"/>
                <w:caps w:val="0"/>
                <w:color w:val="auto"/>
                <w:spacing w:val="0"/>
                <w:sz w:val="22"/>
                <w:szCs w:val="22"/>
                <w:highlight w:val="none"/>
              </w:rPr>
              <w:t>年</w:t>
            </w:r>
            <w:r>
              <w:rPr>
                <w:rFonts w:hint="eastAsia" w:ascii="宋体" w:cs="宋体"/>
                <w:i w:val="0"/>
                <w:caps w:val="0"/>
                <w:color w:val="auto"/>
                <w:spacing w:val="0"/>
                <w:sz w:val="22"/>
                <w:szCs w:val="22"/>
                <w:highlight w:val="none"/>
                <w:u w:val="single"/>
                <w:lang w:val="en-US" w:eastAsia="zh-CN"/>
              </w:rPr>
              <w:t>7</w:t>
            </w:r>
            <w:r>
              <w:rPr>
                <w:rFonts w:hint="eastAsia" w:ascii="宋体" w:hAnsi="宋体" w:eastAsia="宋体" w:cs="宋体"/>
                <w:i w:val="0"/>
                <w:caps w:val="0"/>
                <w:color w:val="auto"/>
                <w:spacing w:val="0"/>
                <w:sz w:val="22"/>
                <w:szCs w:val="22"/>
                <w:highlight w:val="none"/>
              </w:rPr>
              <w:t>月</w:t>
            </w:r>
            <w:r>
              <w:rPr>
                <w:rFonts w:hint="eastAsia" w:ascii="宋体" w:cs="宋体"/>
                <w:i w:val="0"/>
                <w:caps w:val="0"/>
                <w:color w:val="auto"/>
                <w:spacing w:val="0"/>
                <w:sz w:val="22"/>
                <w:szCs w:val="22"/>
                <w:highlight w:val="none"/>
                <w:u w:val="single"/>
                <w:lang w:val="en-US" w:eastAsia="zh-CN"/>
              </w:rPr>
              <w:t>3</w:t>
            </w:r>
            <w:r>
              <w:rPr>
                <w:rFonts w:hint="eastAsia" w:ascii="宋体" w:hAnsi="宋体" w:eastAsia="宋体" w:cs="宋体"/>
                <w:i w:val="0"/>
                <w:caps w:val="0"/>
                <w:color w:val="auto"/>
                <w:spacing w:val="0"/>
                <w:sz w:val="22"/>
                <w:szCs w:val="22"/>
                <w:highlight w:val="none"/>
              </w:rPr>
              <w:t>日</w:t>
            </w:r>
            <w:r>
              <w:rPr>
                <w:rFonts w:hint="eastAsia" w:ascii="宋体" w:cs="宋体"/>
                <w:i w:val="0"/>
                <w:caps w:val="0"/>
                <w:color w:val="auto"/>
                <w:spacing w:val="0"/>
                <w:sz w:val="22"/>
                <w:szCs w:val="22"/>
                <w:highlight w:val="none"/>
                <w:u w:val="single"/>
                <w:lang w:val="en-US" w:eastAsia="zh-CN"/>
              </w:rPr>
              <w:t>10</w:t>
            </w:r>
            <w:r>
              <w:rPr>
                <w:rFonts w:hint="eastAsia" w:ascii="宋体" w:hAnsi="宋体" w:eastAsia="宋体" w:cs="宋体"/>
                <w:i w:val="0"/>
                <w:caps w:val="0"/>
                <w:color w:val="auto"/>
                <w:spacing w:val="0"/>
                <w:sz w:val="22"/>
                <w:szCs w:val="22"/>
                <w:highlight w:val="none"/>
              </w:rPr>
              <w:t>时</w:t>
            </w:r>
            <w:r>
              <w:rPr>
                <w:rFonts w:hint="eastAsia" w:ascii="宋体" w:cs="宋体"/>
                <w:i w:val="0"/>
                <w:caps w:val="0"/>
                <w:color w:val="auto"/>
                <w:spacing w:val="0"/>
                <w:sz w:val="22"/>
                <w:szCs w:val="22"/>
                <w:highlight w:val="none"/>
                <w:u w:val="single"/>
                <w:lang w:val="en-US" w:eastAsia="zh-CN"/>
              </w:rPr>
              <w:t>00</w:t>
            </w:r>
            <w:r>
              <w:rPr>
                <w:rFonts w:hint="eastAsia" w:ascii="宋体" w:hAnsi="宋体" w:eastAsia="宋体" w:cs="宋体"/>
                <w:i w:val="0"/>
                <w:caps w:val="0"/>
                <w:color w:val="auto"/>
                <w:spacing w:val="0"/>
                <w:sz w:val="22"/>
                <w:szCs w:val="22"/>
                <w:highlight w:val="none"/>
              </w:rPr>
              <w:t>分</w:t>
            </w:r>
            <w:r>
              <w:rPr>
                <w:rFonts w:hint="eastAsia" w:ascii="宋体" w:hAnsi="宋体" w:eastAsia="宋体" w:cs="宋体"/>
                <w:color w:val="auto"/>
                <w:kern w:val="2"/>
                <w:sz w:val="22"/>
                <w:szCs w:val="22"/>
                <w:highlight w:val="none"/>
                <w:lang w:val="en-US" w:eastAsia="zh-CN" w:bidi="ar-SA"/>
              </w:rPr>
              <w:t>至</w:t>
            </w:r>
            <w:r>
              <w:rPr>
                <w:rFonts w:hint="eastAsia" w:ascii="宋体" w:hAnsi="宋体" w:eastAsia="宋体" w:cs="宋体"/>
                <w:i w:val="0"/>
                <w:caps w:val="0"/>
                <w:color w:val="auto"/>
                <w:spacing w:val="0"/>
                <w:sz w:val="22"/>
                <w:szCs w:val="22"/>
                <w:highlight w:val="none"/>
                <w:u w:val="single"/>
                <w:lang w:val="en-US" w:eastAsia="zh-CN"/>
              </w:rPr>
              <w:t>2026</w:t>
            </w:r>
            <w:r>
              <w:rPr>
                <w:rFonts w:hint="eastAsia" w:ascii="宋体" w:hAnsi="宋体" w:eastAsia="宋体" w:cs="宋体"/>
                <w:i w:val="0"/>
                <w:caps w:val="0"/>
                <w:color w:val="auto"/>
                <w:spacing w:val="0"/>
                <w:sz w:val="22"/>
                <w:szCs w:val="22"/>
                <w:highlight w:val="none"/>
              </w:rPr>
              <w:t>年</w:t>
            </w:r>
            <w:r>
              <w:rPr>
                <w:rFonts w:hint="eastAsia" w:ascii="宋体" w:cs="宋体"/>
                <w:i w:val="0"/>
                <w:caps w:val="0"/>
                <w:color w:val="auto"/>
                <w:spacing w:val="0"/>
                <w:sz w:val="22"/>
                <w:szCs w:val="22"/>
                <w:highlight w:val="none"/>
                <w:u w:val="single"/>
                <w:lang w:val="en-US" w:eastAsia="zh-CN"/>
              </w:rPr>
              <w:t>7</w:t>
            </w:r>
            <w:r>
              <w:rPr>
                <w:rFonts w:hint="eastAsia" w:ascii="宋体" w:hAnsi="宋体" w:eastAsia="宋体" w:cs="宋体"/>
                <w:i w:val="0"/>
                <w:caps w:val="0"/>
                <w:color w:val="auto"/>
                <w:spacing w:val="0"/>
                <w:sz w:val="22"/>
                <w:szCs w:val="22"/>
                <w:highlight w:val="none"/>
              </w:rPr>
              <w:t>月</w:t>
            </w:r>
            <w:r>
              <w:rPr>
                <w:rFonts w:hint="eastAsia" w:ascii="宋体" w:cs="宋体"/>
                <w:i w:val="0"/>
                <w:caps w:val="0"/>
                <w:color w:val="auto"/>
                <w:spacing w:val="0"/>
                <w:sz w:val="22"/>
                <w:szCs w:val="22"/>
                <w:highlight w:val="none"/>
                <w:u w:val="single"/>
                <w:lang w:val="en-US" w:eastAsia="zh-CN"/>
              </w:rPr>
              <w:t>3</w:t>
            </w:r>
            <w:r>
              <w:rPr>
                <w:rFonts w:hint="eastAsia" w:ascii="宋体" w:hAnsi="宋体" w:eastAsia="宋体" w:cs="宋体"/>
                <w:i w:val="0"/>
                <w:caps w:val="0"/>
                <w:color w:val="auto"/>
                <w:spacing w:val="0"/>
                <w:sz w:val="22"/>
                <w:szCs w:val="22"/>
                <w:highlight w:val="none"/>
              </w:rPr>
              <w:t>日</w:t>
            </w:r>
            <w:r>
              <w:rPr>
                <w:rFonts w:hint="eastAsia" w:ascii="宋体" w:cs="宋体"/>
                <w:i w:val="0"/>
                <w:caps w:val="0"/>
                <w:color w:val="auto"/>
                <w:spacing w:val="0"/>
                <w:sz w:val="22"/>
                <w:szCs w:val="22"/>
                <w:highlight w:val="none"/>
                <w:u w:val="single"/>
                <w:lang w:val="en-US" w:eastAsia="zh-CN"/>
              </w:rPr>
              <w:t>10</w:t>
            </w:r>
            <w:r>
              <w:rPr>
                <w:rFonts w:hint="eastAsia" w:ascii="宋体" w:hAnsi="宋体" w:eastAsia="宋体" w:cs="宋体"/>
                <w:i w:val="0"/>
                <w:caps w:val="0"/>
                <w:color w:val="auto"/>
                <w:spacing w:val="0"/>
                <w:sz w:val="22"/>
                <w:szCs w:val="22"/>
                <w:highlight w:val="none"/>
              </w:rPr>
              <w:t>时</w:t>
            </w:r>
            <w:r>
              <w:rPr>
                <w:rFonts w:hint="eastAsia" w:ascii="宋体" w:cs="宋体"/>
                <w:i w:val="0"/>
                <w:caps w:val="0"/>
                <w:color w:val="auto"/>
                <w:spacing w:val="0"/>
                <w:sz w:val="22"/>
                <w:szCs w:val="22"/>
                <w:highlight w:val="none"/>
                <w:u w:val="single"/>
                <w:lang w:val="en-US" w:eastAsia="zh-CN"/>
              </w:rPr>
              <w:t>30</w:t>
            </w:r>
            <w:r>
              <w:rPr>
                <w:rFonts w:hint="eastAsia" w:ascii="宋体" w:hAnsi="宋体" w:eastAsia="宋体" w:cs="宋体"/>
                <w:i w:val="0"/>
                <w:caps w:val="0"/>
                <w:color w:val="auto"/>
                <w:spacing w:val="0"/>
                <w:sz w:val="22"/>
                <w:szCs w:val="22"/>
                <w:highlight w:val="none"/>
              </w:rPr>
              <w:t>分</w:t>
            </w:r>
          </w:p>
        </w:tc>
      </w:tr>
      <w:tr w14:paraId="638F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18" w:type="dxa"/>
            <w:noWrap w:val="0"/>
            <w:vAlign w:val="center"/>
          </w:tcPr>
          <w:p w14:paraId="71A11AF2">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auto"/>
                <w:spacing w:val="0"/>
                <w:kern w:val="0"/>
                <w:sz w:val="22"/>
                <w:szCs w:val="22"/>
                <w:highlight w:val="none"/>
                <w:lang w:val="en-US" w:eastAsia="zh-CN" w:bidi="ar-SA"/>
              </w:rPr>
            </w:pPr>
            <w:r>
              <w:rPr>
                <w:rFonts w:hint="eastAsia" w:ascii="宋体" w:hAnsi="宋体" w:eastAsia="宋体" w:cs="宋体"/>
                <w:i w:val="0"/>
                <w:caps w:val="0"/>
                <w:color w:val="auto"/>
                <w:spacing w:val="0"/>
                <w:kern w:val="0"/>
                <w:sz w:val="22"/>
                <w:szCs w:val="22"/>
                <w:highlight w:val="none"/>
                <w:lang w:val="en-US" w:eastAsia="zh-CN" w:bidi="ar-SA"/>
              </w:rPr>
              <w:t>8</w:t>
            </w:r>
          </w:p>
        </w:tc>
        <w:tc>
          <w:tcPr>
            <w:tcW w:w="1500" w:type="dxa"/>
            <w:noWrap w:val="0"/>
            <w:vAlign w:val="center"/>
          </w:tcPr>
          <w:p w14:paraId="48A8E2B1">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auto"/>
                <w:spacing w:val="0"/>
                <w:kern w:val="0"/>
                <w:sz w:val="22"/>
                <w:szCs w:val="22"/>
                <w:highlight w:val="none"/>
                <w:lang w:val="en-US" w:eastAsia="zh-CN" w:bidi="ar-SA"/>
              </w:rPr>
            </w:pPr>
            <w:r>
              <w:rPr>
                <w:rFonts w:hint="eastAsia" w:ascii="宋体" w:hAnsi="宋体" w:eastAsia="宋体" w:cs="宋体"/>
                <w:i w:val="0"/>
                <w:caps w:val="0"/>
                <w:color w:val="auto"/>
                <w:spacing w:val="0"/>
                <w:kern w:val="0"/>
                <w:sz w:val="22"/>
                <w:szCs w:val="22"/>
                <w:highlight w:val="none"/>
                <w:lang w:val="en-US" w:eastAsia="zh-CN" w:bidi="ar-SA"/>
              </w:rPr>
              <w:t>投标相关资料（如有）</w:t>
            </w:r>
          </w:p>
          <w:p w14:paraId="42D10800">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auto"/>
                <w:spacing w:val="0"/>
                <w:kern w:val="0"/>
                <w:sz w:val="22"/>
                <w:szCs w:val="22"/>
                <w:highlight w:val="none"/>
                <w:lang w:val="en-US" w:eastAsia="zh-CN" w:bidi="ar-SA"/>
              </w:rPr>
            </w:pPr>
            <w:r>
              <w:rPr>
                <w:rFonts w:hint="eastAsia" w:ascii="宋体" w:hAnsi="宋体" w:eastAsia="宋体" w:cs="宋体"/>
                <w:i w:val="0"/>
                <w:caps w:val="0"/>
                <w:color w:val="auto"/>
                <w:spacing w:val="0"/>
                <w:kern w:val="0"/>
                <w:sz w:val="22"/>
                <w:szCs w:val="22"/>
                <w:highlight w:val="none"/>
                <w:lang w:val="en-US" w:eastAsia="zh-CN" w:bidi="ar-SA"/>
              </w:rPr>
              <w:t>递交地点</w:t>
            </w:r>
          </w:p>
        </w:tc>
        <w:tc>
          <w:tcPr>
            <w:tcW w:w="7652" w:type="dxa"/>
            <w:noWrap w:val="0"/>
            <w:vAlign w:val="center"/>
          </w:tcPr>
          <w:p w14:paraId="13FB77B0">
            <w:pPr>
              <w:pStyle w:val="87"/>
              <w:tabs>
                <w:tab w:val="left" w:pos="1890"/>
              </w:tabs>
              <w:wordWrap w:val="0"/>
              <w:adjustRightInd w:val="0"/>
              <w:snapToGrid w:val="0"/>
              <w:spacing w:line="400" w:lineRule="exact"/>
              <w:ind w:firstLine="220" w:firstLineChars="100"/>
              <w:jc w:val="left"/>
              <w:rPr>
                <w:rFonts w:hint="eastAsia" w:ascii="宋体" w:hAnsi="宋体" w:eastAsia="宋体" w:cs="宋体"/>
                <w:i w:val="0"/>
                <w:caps w:val="0"/>
                <w:color w:val="auto"/>
                <w:spacing w:val="0"/>
                <w:kern w:val="0"/>
                <w:sz w:val="22"/>
                <w:szCs w:val="22"/>
                <w:highlight w:val="none"/>
                <w:lang w:val="en-US" w:eastAsia="zh-CN" w:bidi="ar-SA"/>
              </w:rPr>
            </w:pPr>
            <w:r>
              <w:rPr>
                <w:rFonts w:hint="eastAsia" w:ascii="宋体" w:hAnsi="宋体" w:eastAsia="宋体" w:cs="宋体"/>
                <w:i w:val="0"/>
                <w:caps w:val="0"/>
                <w:color w:val="auto"/>
                <w:spacing w:val="0"/>
                <w:kern w:val="0"/>
                <w:sz w:val="22"/>
                <w:szCs w:val="22"/>
                <w:highlight w:val="none"/>
                <w:lang w:val="en-US" w:eastAsia="zh-CN" w:bidi="ar-SA"/>
              </w:rPr>
              <w:t>递交场所：</w:t>
            </w:r>
            <w:r>
              <w:rPr>
                <w:rFonts w:hint="eastAsia" w:ascii="宋体" w:hAnsi="宋体" w:eastAsia="宋体" w:cs="宋体"/>
                <w:color w:val="auto"/>
                <w:kern w:val="2"/>
                <w:sz w:val="22"/>
                <w:szCs w:val="22"/>
                <w:highlight w:val="none"/>
                <w:u w:val="single"/>
                <w:lang w:val="en-US" w:eastAsia="zh-CN" w:bidi="ar-SA"/>
              </w:rPr>
              <w:t>韶关市公共资源交易中心翁源分中心</w:t>
            </w:r>
            <w:r>
              <w:rPr>
                <w:rFonts w:hint="eastAsia" w:ascii="宋体" w:hAnsi="宋体" w:eastAsia="宋体" w:cs="宋体"/>
                <w:color w:val="auto"/>
                <w:kern w:val="2"/>
                <w:sz w:val="22"/>
                <w:szCs w:val="22"/>
                <w:highlight w:val="none"/>
                <w:lang w:val="en-US" w:eastAsia="zh-CN" w:bidi="ar-SA"/>
              </w:rPr>
              <w:t>，地址：</w:t>
            </w:r>
            <w:r>
              <w:rPr>
                <w:rFonts w:hint="eastAsia" w:ascii="宋体" w:hAnsi="宋体" w:eastAsia="宋体" w:cs="宋体"/>
                <w:color w:val="auto"/>
                <w:kern w:val="2"/>
                <w:sz w:val="22"/>
                <w:szCs w:val="22"/>
                <w:highlight w:val="none"/>
                <w:u w:val="single"/>
                <w:lang w:val="en-US" w:eastAsia="zh-CN" w:bidi="ar-SA"/>
              </w:rPr>
              <w:t>翁源县龙仙镇朝阳路63号韶关市公共资源交易中心翁源分中心</w:t>
            </w:r>
            <w:r>
              <w:rPr>
                <w:rFonts w:hint="eastAsia" w:ascii="宋体" w:hAnsi="宋体" w:eastAsia="宋体" w:cs="宋体"/>
                <w:color w:val="auto"/>
                <w:kern w:val="2"/>
                <w:sz w:val="22"/>
                <w:szCs w:val="22"/>
                <w:highlight w:val="none"/>
                <w:lang w:val="en-US" w:eastAsia="zh-CN" w:bidi="ar-SA"/>
              </w:rPr>
              <w:t>，具体房间号以当日现场通知为准。</w:t>
            </w:r>
          </w:p>
        </w:tc>
      </w:tr>
      <w:tr w14:paraId="264E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418" w:type="dxa"/>
            <w:noWrap w:val="0"/>
            <w:vAlign w:val="center"/>
          </w:tcPr>
          <w:p w14:paraId="078664C9">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9</w:t>
            </w:r>
          </w:p>
        </w:tc>
        <w:tc>
          <w:tcPr>
            <w:tcW w:w="1500" w:type="dxa"/>
            <w:noWrap w:val="0"/>
            <w:vAlign w:val="center"/>
          </w:tcPr>
          <w:p w14:paraId="2687BB4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开标时间</w:t>
            </w:r>
          </w:p>
        </w:tc>
        <w:tc>
          <w:tcPr>
            <w:tcW w:w="7652" w:type="dxa"/>
            <w:noWrap w:val="0"/>
            <w:vAlign w:val="center"/>
          </w:tcPr>
          <w:p w14:paraId="18C16CCA">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u w:val="single"/>
                <w:lang w:val="en-US" w:eastAsia="zh-CN"/>
              </w:rPr>
              <w:t>202</w:t>
            </w:r>
            <w:r>
              <w:rPr>
                <w:rFonts w:hint="eastAsia" w:ascii="宋体" w:eastAsia="宋体" w:cs="宋体"/>
                <w:i w:val="0"/>
                <w:caps w:val="0"/>
                <w:color w:val="auto"/>
                <w:spacing w:val="0"/>
                <w:sz w:val="22"/>
                <w:szCs w:val="22"/>
                <w:highlight w:val="none"/>
                <w:u w:val="single"/>
                <w:lang w:val="en-US" w:eastAsia="zh-CN"/>
              </w:rPr>
              <w:t>6</w:t>
            </w:r>
            <w:r>
              <w:rPr>
                <w:rFonts w:hint="eastAsia" w:ascii="宋体" w:hAnsi="宋体" w:eastAsia="宋体" w:cs="宋体"/>
                <w:i w:val="0"/>
                <w:caps w:val="0"/>
                <w:color w:val="auto"/>
                <w:spacing w:val="0"/>
                <w:sz w:val="22"/>
                <w:szCs w:val="22"/>
                <w:highlight w:val="none"/>
              </w:rPr>
              <w:t>年</w:t>
            </w:r>
            <w:r>
              <w:rPr>
                <w:rFonts w:hint="eastAsia" w:cs="宋体"/>
                <w:i w:val="0"/>
                <w:caps w:val="0"/>
                <w:color w:val="auto"/>
                <w:spacing w:val="0"/>
                <w:sz w:val="22"/>
                <w:szCs w:val="22"/>
                <w:highlight w:val="none"/>
                <w:u w:val="single"/>
                <w:lang w:val="en-US" w:eastAsia="zh-CN"/>
              </w:rPr>
              <w:t>7</w:t>
            </w:r>
            <w:r>
              <w:rPr>
                <w:rFonts w:hint="eastAsia" w:ascii="宋体" w:hAnsi="宋体" w:eastAsia="宋体" w:cs="宋体"/>
                <w:i w:val="0"/>
                <w:caps w:val="0"/>
                <w:color w:val="auto"/>
                <w:spacing w:val="0"/>
                <w:sz w:val="22"/>
                <w:szCs w:val="22"/>
                <w:highlight w:val="none"/>
              </w:rPr>
              <w:t>月</w:t>
            </w:r>
            <w:r>
              <w:rPr>
                <w:rFonts w:hint="eastAsia" w:cs="宋体"/>
                <w:i w:val="0"/>
                <w:caps w:val="0"/>
                <w:color w:val="auto"/>
                <w:spacing w:val="0"/>
                <w:sz w:val="22"/>
                <w:szCs w:val="22"/>
                <w:highlight w:val="none"/>
                <w:u w:val="single"/>
                <w:lang w:val="en-US" w:eastAsia="zh-CN"/>
              </w:rPr>
              <w:t>3</w:t>
            </w:r>
            <w:bookmarkStart w:id="397" w:name="_GoBack"/>
            <w:bookmarkEnd w:id="397"/>
            <w:r>
              <w:rPr>
                <w:rFonts w:hint="eastAsia" w:ascii="宋体" w:hAnsi="宋体" w:eastAsia="宋体" w:cs="宋体"/>
                <w:i w:val="0"/>
                <w:caps w:val="0"/>
                <w:color w:val="auto"/>
                <w:spacing w:val="0"/>
                <w:sz w:val="22"/>
                <w:szCs w:val="22"/>
                <w:highlight w:val="none"/>
              </w:rPr>
              <w:t>日</w:t>
            </w:r>
            <w:r>
              <w:rPr>
                <w:rFonts w:hint="eastAsia" w:cs="宋体"/>
                <w:i w:val="0"/>
                <w:caps w:val="0"/>
                <w:color w:val="auto"/>
                <w:spacing w:val="0"/>
                <w:sz w:val="22"/>
                <w:szCs w:val="22"/>
                <w:highlight w:val="none"/>
                <w:u w:val="single"/>
                <w:lang w:val="en-US" w:eastAsia="zh-CN"/>
              </w:rPr>
              <w:t>10</w:t>
            </w:r>
            <w:r>
              <w:rPr>
                <w:rFonts w:hint="eastAsia" w:ascii="宋体" w:hAnsi="宋体" w:eastAsia="宋体" w:cs="宋体"/>
                <w:i w:val="0"/>
                <w:caps w:val="0"/>
                <w:color w:val="auto"/>
                <w:spacing w:val="0"/>
                <w:sz w:val="22"/>
                <w:szCs w:val="22"/>
                <w:highlight w:val="none"/>
              </w:rPr>
              <w:t>时</w:t>
            </w:r>
            <w:r>
              <w:rPr>
                <w:rFonts w:hint="eastAsia" w:ascii="宋体" w:cs="宋体"/>
                <w:i w:val="0"/>
                <w:caps w:val="0"/>
                <w:color w:val="auto"/>
                <w:spacing w:val="0"/>
                <w:sz w:val="22"/>
                <w:szCs w:val="22"/>
                <w:highlight w:val="none"/>
                <w:u w:val="single"/>
                <w:lang w:val="en-US" w:eastAsia="zh-CN"/>
              </w:rPr>
              <w:t>30</w:t>
            </w:r>
            <w:r>
              <w:rPr>
                <w:rFonts w:hint="eastAsia" w:ascii="宋体" w:hAnsi="宋体" w:eastAsia="宋体" w:cs="宋体"/>
                <w:i w:val="0"/>
                <w:caps w:val="0"/>
                <w:color w:val="auto"/>
                <w:spacing w:val="0"/>
                <w:sz w:val="22"/>
                <w:szCs w:val="22"/>
                <w:highlight w:val="none"/>
              </w:rPr>
              <w:t>分</w:t>
            </w:r>
          </w:p>
        </w:tc>
      </w:tr>
      <w:tr w14:paraId="6BE9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5" w:hRule="atLeast"/>
          <w:jc w:val="center"/>
        </w:trPr>
        <w:tc>
          <w:tcPr>
            <w:tcW w:w="418" w:type="dxa"/>
            <w:noWrap w:val="0"/>
            <w:vAlign w:val="center"/>
          </w:tcPr>
          <w:p w14:paraId="0590421D">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10</w:t>
            </w:r>
          </w:p>
        </w:tc>
        <w:tc>
          <w:tcPr>
            <w:tcW w:w="1500" w:type="dxa"/>
            <w:noWrap w:val="0"/>
            <w:vAlign w:val="center"/>
          </w:tcPr>
          <w:p w14:paraId="5947FAC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auto"/>
                <w:sz w:val="22"/>
                <w:szCs w:val="22"/>
                <w:highlight w:val="none"/>
              </w:rPr>
            </w:pPr>
            <w:r>
              <w:rPr>
                <w:rFonts w:hint="eastAsia" w:ascii="宋体" w:hAnsi="宋体" w:eastAsia="宋体" w:cs="宋体"/>
                <w:i w:val="0"/>
                <w:caps w:val="0"/>
                <w:color w:val="auto"/>
                <w:spacing w:val="0"/>
                <w:sz w:val="22"/>
                <w:szCs w:val="22"/>
                <w:highlight w:val="none"/>
              </w:rPr>
              <w:t>开标地点</w:t>
            </w:r>
          </w:p>
        </w:tc>
        <w:tc>
          <w:tcPr>
            <w:tcW w:w="7652" w:type="dxa"/>
            <w:noWrap w:val="0"/>
            <w:vAlign w:val="center"/>
          </w:tcPr>
          <w:p w14:paraId="0E4F6789">
            <w:pPr>
              <w:pStyle w:val="27"/>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firstLine="210" w:firstLineChars="0"/>
              <w:jc w:val="left"/>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开标场所：</w:t>
            </w:r>
            <w:r>
              <w:rPr>
                <w:rFonts w:hint="eastAsia" w:ascii="宋体" w:hAnsi="宋体" w:eastAsia="宋体" w:cs="宋体"/>
                <w:color w:val="auto"/>
                <w:kern w:val="2"/>
                <w:sz w:val="22"/>
                <w:szCs w:val="22"/>
                <w:highlight w:val="none"/>
                <w:u w:val="single"/>
                <w:lang w:val="en-US" w:eastAsia="zh-CN" w:bidi="ar-SA"/>
              </w:rPr>
              <w:t>韶关市公共资源交易中心翁源分中心</w:t>
            </w:r>
            <w:r>
              <w:rPr>
                <w:rFonts w:hint="eastAsia" w:ascii="宋体" w:hAnsi="宋体" w:eastAsia="宋体" w:cs="宋体"/>
                <w:color w:val="auto"/>
                <w:kern w:val="2"/>
                <w:sz w:val="22"/>
                <w:szCs w:val="22"/>
                <w:highlight w:val="none"/>
                <w:lang w:val="en-US" w:eastAsia="zh-CN" w:bidi="ar-SA"/>
              </w:rPr>
              <w:t>，地址：</w:t>
            </w:r>
            <w:r>
              <w:rPr>
                <w:rFonts w:hint="eastAsia" w:ascii="宋体" w:hAnsi="宋体" w:eastAsia="宋体" w:cs="宋体"/>
                <w:color w:val="auto"/>
                <w:kern w:val="2"/>
                <w:sz w:val="22"/>
                <w:szCs w:val="22"/>
                <w:highlight w:val="none"/>
                <w:u w:val="single"/>
                <w:lang w:val="en-US" w:eastAsia="zh-CN" w:bidi="ar-SA"/>
              </w:rPr>
              <w:t>翁源县龙仙镇朝阳路63号韶关市公共资源交易中心翁源分中心</w:t>
            </w:r>
            <w:r>
              <w:rPr>
                <w:rFonts w:hint="eastAsia" w:ascii="宋体" w:hAnsi="宋体" w:eastAsia="宋体" w:cs="宋体"/>
                <w:color w:val="auto"/>
                <w:kern w:val="2"/>
                <w:sz w:val="22"/>
                <w:szCs w:val="22"/>
                <w:highlight w:val="none"/>
                <w:lang w:val="en-US" w:eastAsia="zh-CN" w:bidi="ar-SA"/>
              </w:rPr>
              <w:t>，具体房间号以当日现场通知为准。</w:t>
            </w:r>
          </w:p>
        </w:tc>
      </w:tr>
      <w:tr w14:paraId="7A5A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418" w:type="dxa"/>
            <w:noWrap w:val="0"/>
            <w:vAlign w:val="center"/>
          </w:tcPr>
          <w:p w14:paraId="5EB8FEC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i w:val="0"/>
                <w:caps w:val="0"/>
                <w:color w:val="auto"/>
                <w:spacing w:val="0"/>
                <w:sz w:val="22"/>
                <w:szCs w:val="22"/>
                <w:highlight w:val="none"/>
                <w:lang w:val="en-US"/>
              </w:rPr>
            </w:pPr>
            <w:r>
              <w:rPr>
                <w:rFonts w:hint="eastAsia" w:ascii="宋体" w:hAnsi="宋体" w:eastAsia="宋体" w:cs="宋体"/>
                <w:color w:val="auto"/>
                <w:kern w:val="2"/>
                <w:sz w:val="22"/>
                <w:szCs w:val="22"/>
                <w:highlight w:val="none"/>
                <w:lang w:val="en-US" w:eastAsia="zh-CN" w:bidi="ar-SA"/>
              </w:rPr>
              <w:t>11</w:t>
            </w:r>
          </w:p>
        </w:tc>
        <w:tc>
          <w:tcPr>
            <w:tcW w:w="1500" w:type="dxa"/>
            <w:noWrap w:val="0"/>
            <w:vAlign w:val="center"/>
          </w:tcPr>
          <w:p w14:paraId="2DCA885B">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auto"/>
                <w:spacing w:val="0"/>
                <w:kern w:val="0"/>
                <w:sz w:val="22"/>
                <w:szCs w:val="22"/>
                <w:highlight w:val="none"/>
                <w:lang w:val="en-US" w:eastAsia="zh-CN" w:bidi="ar-SA"/>
              </w:rPr>
            </w:pPr>
            <w:r>
              <w:rPr>
                <w:rFonts w:hint="eastAsia" w:ascii="宋体" w:hAnsi="宋体" w:eastAsia="宋体" w:cs="宋体"/>
                <w:i w:val="0"/>
                <w:caps w:val="0"/>
                <w:color w:val="auto"/>
                <w:spacing w:val="0"/>
                <w:kern w:val="0"/>
                <w:sz w:val="22"/>
                <w:szCs w:val="22"/>
                <w:highlight w:val="none"/>
                <w:lang w:val="en-US" w:eastAsia="zh-CN" w:bidi="ar-SA"/>
              </w:rPr>
              <w:t>其他</w:t>
            </w:r>
          </w:p>
        </w:tc>
        <w:tc>
          <w:tcPr>
            <w:tcW w:w="7652" w:type="dxa"/>
            <w:noWrap w:val="0"/>
            <w:vAlign w:val="center"/>
          </w:tcPr>
          <w:p w14:paraId="01236237">
            <w:pPr>
              <w:pStyle w:val="87"/>
              <w:tabs>
                <w:tab w:val="left" w:pos="1890"/>
              </w:tabs>
              <w:wordWrap w:val="0"/>
              <w:adjustRightInd w:val="0"/>
              <w:snapToGrid w:val="0"/>
              <w:spacing w:line="400" w:lineRule="exact"/>
              <w:ind w:firstLine="220" w:firstLineChars="100"/>
              <w:jc w:val="left"/>
              <w:rPr>
                <w:rFonts w:hint="eastAsia" w:ascii="宋体" w:hAnsi="宋体" w:eastAsia="宋体" w:cs="宋体"/>
                <w:i w:val="0"/>
                <w:caps w:val="0"/>
                <w:color w:val="auto"/>
                <w:spacing w:val="0"/>
                <w:kern w:val="0"/>
                <w:sz w:val="22"/>
                <w:szCs w:val="22"/>
                <w:highlight w:val="none"/>
                <w:lang w:val="en-US" w:eastAsia="zh-CN" w:bidi="ar-SA"/>
              </w:rPr>
            </w:pPr>
            <w:r>
              <w:rPr>
                <w:rFonts w:hint="eastAsia" w:ascii="宋体" w:hAnsi="宋体" w:eastAsia="宋体" w:cs="宋体"/>
                <w:i w:val="0"/>
                <w:caps w:val="0"/>
                <w:color w:val="auto"/>
                <w:spacing w:val="0"/>
                <w:kern w:val="0"/>
                <w:sz w:val="22"/>
                <w:szCs w:val="22"/>
                <w:highlight w:val="none"/>
                <w:lang w:val="en-US" w:eastAsia="zh-CN" w:bidi="ar-SA"/>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14:paraId="4BD8C815">
      <w:pPr>
        <w:pStyle w:val="39"/>
        <w:rPr>
          <w:color w:val="auto"/>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59BCED9A">
      <w:pPr>
        <w:pStyle w:val="3"/>
        <w:keepNext w:val="0"/>
        <w:keepLines w:val="0"/>
        <w:pageBreakBefore w:val="0"/>
        <w:topLinePunct w:val="0"/>
        <w:bidi w:val="0"/>
        <w:spacing w:line="500" w:lineRule="exact"/>
        <w:textAlignment w:val="auto"/>
        <w:rPr>
          <w:b/>
          <w:bCs/>
          <w:color w:val="auto"/>
          <w:highlight w:val="none"/>
        </w:rPr>
      </w:pPr>
      <w:bookmarkStart w:id="10" w:name="_Hlt87793819"/>
      <w:bookmarkEnd w:id="10"/>
      <w:bookmarkStart w:id="11" w:name="_Toc29916"/>
      <w:bookmarkStart w:id="12" w:name="_Toc17585"/>
      <w:bookmarkStart w:id="13" w:name="_Hlt69698705"/>
      <w:bookmarkStart w:id="14" w:name="_Hlt69698754"/>
      <w:r>
        <w:rPr>
          <w:rFonts w:hint="eastAsia"/>
          <w:b/>
          <w:bCs/>
          <w:color w:val="auto"/>
          <w:highlight w:val="none"/>
        </w:rPr>
        <w:t>第三节 投标人须知</w:t>
      </w:r>
      <w:bookmarkStart w:id="15" w:name="_Hlt69669159"/>
      <w:bookmarkEnd w:id="15"/>
      <w:r>
        <w:rPr>
          <w:rFonts w:hint="eastAsia"/>
          <w:b/>
          <w:bCs/>
          <w:color w:val="auto"/>
          <w:highlight w:val="none"/>
        </w:rPr>
        <w:t>正文</w:t>
      </w:r>
      <w:bookmarkEnd w:id="11"/>
      <w:bookmarkEnd w:id="12"/>
    </w:p>
    <w:bookmarkEnd w:id="13"/>
    <w:bookmarkEnd w:id="14"/>
    <w:p w14:paraId="1CAD0699">
      <w:pPr>
        <w:pStyle w:val="9"/>
        <w:keepNext w:val="0"/>
        <w:keepLines w:val="0"/>
        <w:pageBreakBefore w:val="0"/>
        <w:widowControl w:val="0"/>
        <w:tabs>
          <w:tab w:val="left" w:pos="1890"/>
        </w:tabs>
        <w:kinsoku w:val="0"/>
        <w:wordWrap w:val="0"/>
        <w:overflowPunct w:val="0"/>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u w:val="single"/>
          <w:lang w:eastAsia="zh-CN"/>
        </w:rPr>
        <w:t>翁源县“百千万工程”之全域推进农村人居环境整治建设项目</w:t>
      </w:r>
      <w:r>
        <w:rPr>
          <w:rFonts w:hint="eastAsia" w:ascii="宋体" w:hAnsi="宋体" w:eastAsia="宋体" w:cs="宋体"/>
          <w:color w:val="auto"/>
          <w:sz w:val="24"/>
          <w:szCs w:val="24"/>
          <w:highlight w:val="none"/>
          <w:u w:val="none"/>
          <w:lang w:val="en-US" w:eastAsia="zh-CN"/>
        </w:rPr>
        <w:t>业</w:t>
      </w:r>
      <w:r>
        <w:rPr>
          <w:rFonts w:hint="eastAsia" w:ascii="宋体" w:hAnsi="宋体" w:eastAsia="宋体" w:cs="宋体"/>
          <w:color w:val="auto"/>
          <w:kern w:val="0"/>
          <w:sz w:val="24"/>
          <w:szCs w:val="22"/>
          <w:highlight w:val="none"/>
        </w:rPr>
        <w:t>经</w:t>
      </w:r>
      <w:r>
        <w:rPr>
          <w:rFonts w:hint="eastAsia" w:ascii="宋体" w:hAnsi="宋体" w:eastAsia="宋体" w:cs="宋体"/>
          <w:b w:val="0"/>
          <w:bCs w:val="0"/>
          <w:color w:val="auto"/>
          <w:kern w:val="0"/>
          <w:sz w:val="24"/>
          <w:szCs w:val="22"/>
          <w:highlight w:val="none"/>
          <w:u w:val="single"/>
          <w:lang w:val="en-US" w:eastAsia="zh-CN"/>
        </w:rPr>
        <w:t>翁</w:t>
      </w:r>
      <w:r>
        <w:rPr>
          <w:rFonts w:hint="eastAsia" w:ascii="宋体" w:hAnsi="宋体" w:eastAsia="宋体" w:cs="宋体"/>
          <w:b w:val="0"/>
          <w:bCs w:val="0"/>
          <w:color w:val="auto"/>
          <w:kern w:val="0"/>
          <w:sz w:val="24"/>
          <w:szCs w:val="22"/>
          <w:highlight w:val="none"/>
          <w:u w:val="single"/>
          <w:lang w:eastAsia="zh-CN"/>
        </w:rPr>
        <w:t>源县发展和改革局</w:t>
      </w:r>
      <w:r>
        <w:rPr>
          <w:rFonts w:hint="eastAsia" w:ascii="宋体" w:hAnsi="宋体" w:eastAsia="宋体" w:cs="宋体"/>
          <w:color w:val="auto"/>
          <w:kern w:val="0"/>
          <w:sz w:val="24"/>
          <w:szCs w:val="22"/>
          <w:highlight w:val="none"/>
        </w:rPr>
        <w:t>以</w:t>
      </w:r>
      <w:r>
        <w:rPr>
          <w:rFonts w:hint="eastAsia" w:ascii="宋体" w:hAnsi="宋体" w:eastAsia="宋体" w:cs="宋体"/>
          <w:snapToGrid w:val="0"/>
          <w:color w:val="auto"/>
          <w:kern w:val="0"/>
          <w:szCs w:val="24"/>
          <w:highlight w:val="none"/>
          <w:u w:val="single"/>
        </w:rPr>
        <w:t>《</w:t>
      </w:r>
      <w:r>
        <w:rPr>
          <w:rFonts w:hint="eastAsia" w:ascii="宋体" w:hAnsi="宋体" w:eastAsia="宋体" w:cs="宋体"/>
          <w:snapToGrid w:val="0"/>
          <w:color w:val="auto"/>
          <w:kern w:val="0"/>
          <w:szCs w:val="24"/>
          <w:highlight w:val="none"/>
          <w:u w:val="single"/>
          <w:lang w:eastAsia="zh-CN"/>
        </w:rPr>
        <w:t>翁源县发展和改革局关于翁源县“百千万工程”之全域推进农村人居环境整治建设项目可行性研究报告的批复</w:t>
      </w:r>
      <w:r>
        <w:rPr>
          <w:rFonts w:hint="eastAsia" w:ascii="宋体" w:hAnsi="宋体" w:eastAsia="宋体" w:cs="宋体"/>
          <w:snapToGrid w:val="0"/>
          <w:color w:val="auto"/>
          <w:kern w:val="0"/>
          <w:szCs w:val="24"/>
          <w:highlight w:val="none"/>
          <w:u w:val="single"/>
        </w:rPr>
        <w:t>》（</w:t>
      </w:r>
      <w:r>
        <w:rPr>
          <w:rFonts w:hint="eastAsia" w:ascii="宋体" w:hAnsi="宋体" w:eastAsia="宋体" w:cs="宋体"/>
          <w:snapToGrid w:val="0"/>
          <w:color w:val="auto"/>
          <w:kern w:val="0"/>
          <w:szCs w:val="24"/>
          <w:highlight w:val="none"/>
          <w:u w:val="single"/>
          <w:lang w:val="en-US" w:eastAsia="zh-CN"/>
        </w:rPr>
        <w:t>翁发改投审〔2025〕25号）</w:t>
      </w:r>
      <w:r>
        <w:rPr>
          <w:rFonts w:hint="eastAsia" w:ascii="宋体" w:hAnsi="宋体" w:eastAsia="宋体" w:cs="宋体"/>
          <w:snapToGrid w:val="0"/>
          <w:color w:val="auto"/>
          <w:kern w:val="0"/>
          <w:szCs w:val="24"/>
          <w:highlight w:val="none"/>
          <w:u w:val="single"/>
          <w:lang w:eastAsia="zh-CN"/>
        </w:rPr>
        <w:t>、《翁源县发展和改革局</w:t>
      </w:r>
      <w:r>
        <w:rPr>
          <w:rFonts w:hint="eastAsia" w:ascii="宋体" w:hAnsi="宋体" w:eastAsia="宋体" w:cs="宋体"/>
          <w:snapToGrid w:val="0"/>
          <w:color w:val="auto"/>
          <w:kern w:val="0"/>
          <w:szCs w:val="24"/>
          <w:highlight w:val="none"/>
          <w:u w:val="single"/>
          <w:lang w:val="en-US" w:eastAsia="zh-CN"/>
        </w:rPr>
        <w:t>关于翁源县发展和改革局关于翁源县“百千万工程”之全域推进农村人居环境整治建设项目（三期）初步设计概算的批复</w:t>
      </w:r>
      <w:r>
        <w:rPr>
          <w:rFonts w:hint="eastAsia" w:ascii="宋体" w:hAnsi="宋体" w:eastAsia="宋体" w:cs="宋体"/>
          <w:snapToGrid w:val="0"/>
          <w:color w:val="auto"/>
          <w:kern w:val="0"/>
          <w:szCs w:val="24"/>
          <w:highlight w:val="none"/>
          <w:u w:val="single"/>
          <w:lang w:eastAsia="zh-CN"/>
        </w:rPr>
        <w:t>》（</w:t>
      </w:r>
      <w:r>
        <w:rPr>
          <w:rFonts w:hint="eastAsia" w:ascii="宋体" w:hAnsi="宋体" w:eastAsia="宋体" w:cs="宋体"/>
          <w:snapToGrid w:val="0"/>
          <w:color w:val="auto"/>
          <w:kern w:val="0"/>
          <w:szCs w:val="24"/>
          <w:highlight w:val="none"/>
          <w:u w:val="single"/>
          <w:lang w:val="en-US" w:eastAsia="zh-CN"/>
        </w:rPr>
        <w:t>翁发改投审〔2026〕34号</w:t>
      </w:r>
      <w:r>
        <w:rPr>
          <w:rFonts w:hint="eastAsia" w:ascii="宋体" w:hAnsi="宋体" w:eastAsia="宋体" w:cs="宋体"/>
          <w:snapToGrid w:val="0"/>
          <w:color w:val="auto"/>
          <w:kern w:val="0"/>
          <w:szCs w:val="24"/>
          <w:highlight w:val="none"/>
          <w:u w:val="single"/>
          <w:lang w:eastAsia="zh-CN"/>
        </w:rPr>
        <w:t>）</w:t>
      </w:r>
      <w:r>
        <w:rPr>
          <w:rFonts w:hint="eastAsia" w:ascii="宋体" w:hAnsi="宋体" w:eastAsia="宋体" w:cs="宋体"/>
          <w:snapToGrid w:val="0"/>
          <w:color w:val="auto"/>
          <w:kern w:val="0"/>
          <w:szCs w:val="24"/>
          <w:highlight w:val="none"/>
        </w:rPr>
        <w:t>批准建设</w:t>
      </w:r>
      <w:r>
        <w:rPr>
          <w:rFonts w:hint="eastAsia" w:ascii="宋体" w:hAnsi="宋体" w:eastAsia="宋体" w:cs="宋体"/>
          <w:color w:val="auto"/>
          <w:kern w:val="0"/>
          <w:sz w:val="24"/>
          <w:szCs w:val="22"/>
          <w:highlight w:val="none"/>
        </w:rPr>
        <w:t>，项目代码为</w:t>
      </w:r>
      <w:r>
        <w:rPr>
          <w:rFonts w:hint="eastAsia" w:ascii="宋体" w:hAnsi="宋体" w:eastAsia="宋体" w:cs="宋体"/>
          <w:color w:val="auto"/>
          <w:kern w:val="0"/>
          <w:sz w:val="24"/>
          <w:szCs w:val="22"/>
          <w:highlight w:val="none"/>
          <w:u w:val="single"/>
          <w:lang w:val="en-US" w:eastAsia="zh-CN"/>
        </w:rPr>
        <w:t>2412-440229-04-01-525170</w:t>
      </w:r>
      <w:r>
        <w:rPr>
          <w:rFonts w:hint="eastAsia" w:ascii="宋体" w:hAnsi="宋体" w:eastAsia="宋体" w:cs="宋体"/>
          <w:color w:val="auto"/>
          <w:kern w:val="0"/>
          <w:sz w:val="24"/>
          <w:szCs w:val="22"/>
          <w:highlight w:val="none"/>
        </w:rPr>
        <w:t>。本项目业主为</w:t>
      </w:r>
      <w:r>
        <w:rPr>
          <w:rFonts w:hint="eastAsia" w:ascii="宋体" w:hAnsi="宋体" w:eastAsia="宋体" w:cs="宋体"/>
          <w:color w:val="auto"/>
          <w:kern w:val="0"/>
          <w:sz w:val="24"/>
          <w:szCs w:val="22"/>
          <w:highlight w:val="none"/>
          <w:u w:val="single"/>
          <w:lang w:eastAsia="zh-CN"/>
        </w:rPr>
        <w:t>翁源县农业农村局</w:t>
      </w:r>
      <w:r>
        <w:rPr>
          <w:rFonts w:hint="eastAsia" w:ascii="宋体" w:hAnsi="宋体" w:eastAsia="宋体" w:cs="宋体"/>
          <w:color w:val="auto"/>
          <w:kern w:val="0"/>
          <w:sz w:val="24"/>
          <w:szCs w:val="22"/>
          <w:highlight w:val="none"/>
        </w:rPr>
        <w:t>，建设资金来自</w:t>
      </w:r>
      <w:r>
        <w:rPr>
          <w:rFonts w:hint="eastAsia" w:ascii="宋体" w:hAnsi="宋体" w:eastAsia="宋体" w:cs="宋体"/>
          <w:color w:val="auto"/>
          <w:kern w:val="0"/>
          <w:sz w:val="24"/>
          <w:szCs w:val="22"/>
          <w:highlight w:val="none"/>
          <w:u w:val="single"/>
          <w:lang w:val="en-US" w:eastAsia="zh-CN"/>
        </w:rPr>
        <w:t>争取地方政府专项债券资金及上级专项资金解决，不足部分由县级财政统筹解决</w:t>
      </w:r>
      <w:r>
        <w:rPr>
          <w:rFonts w:hint="eastAsia" w:ascii="宋体" w:hAnsi="宋体" w:eastAsia="宋体" w:cs="宋体"/>
          <w:color w:val="auto"/>
          <w:kern w:val="0"/>
          <w:sz w:val="24"/>
          <w:szCs w:val="22"/>
          <w:highlight w:val="none"/>
        </w:rPr>
        <w:t>，招标人为</w:t>
      </w:r>
      <w:r>
        <w:rPr>
          <w:rFonts w:hint="eastAsia" w:hAnsi="宋体" w:cs="宋体"/>
          <w:color w:val="auto"/>
          <w:kern w:val="0"/>
          <w:sz w:val="24"/>
          <w:szCs w:val="22"/>
          <w:highlight w:val="none"/>
          <w:u w:val="single"/>
          <w:lang w:eastAsia="zh-CN"/>
        </w:rPr>
        <w:t>翁源县新江镇人民政府</w:t>
      </w:r>
      <w:r>
        <w:rPr>
          <w:rFonts w:hint="eastAsia" w:ascii="宋体" w:hAnsi="宋体" w:eastAsia="宋体" w:cs="宋体"/>
          <w:color w:val="auto"/>
          <w:kern w:val="0"/>
          <w:sz w:val="24"/>
          <w:szCs w:val="22"/>
          <w:highlight w:val="none"/>
        </w:rPr>
        <w:t>，招标代理机构为</w:t>
      </w:r>
      <w:r>
        <w:rPr>
          <w:rFonts w:hint="eastAsia" w:hAnsi="宋体" w:cs="宋体"/>
          <w:color w:val="auto"/>
          <w:kern w:val="0"/>
          <w:sz w:val="24"/>
          <w:szCs w:val="22"/>
          <w:highlight w:val="none"/>
          <w:u w:val="single"/>
          <w:lang w:val="en-US" w:eastAsia="zh-CN"/>
        </w:rPr>
        <w:t>韶关市城监项目管理有限公司</w:t>
      </w:r>
      <w:r>
        <w:rPr>
          <w:rFonts w:hint="eastAsia" w:ascii="宋体" w:hAnsi="宋体" w:eastAsia="宋体" w:cs="宋体"/>
          <w:color w:val="auto"/>
          <w:kern w:val="0"/>
          <w:sz w:val="24"/>
          <w:szCs w:val="22"/>
          <w:highlight w:val="none"/>
        </w:rPr>
        <w:t>。项目已具备招标条件，现对该项目</w:t>
      </w:r>
      <w:r>
        <w:rPr>
          <w:rFonts w:hint="eastAsia" w:ascii="宋体" w:hAnsi="宋体" w:eastAsia="宋体" w:cs="宋体"/>
          <w:color w:val="auto"/>
          <w:kern w:val="0"/>
          <w:sz w:val="24"/>
          <w:szCs w:val="22"/>
          <w:highlight w:val="none"/>
          <w:lang w:val="en-US" w:eastAsia="zh-CN"/>
        </w:rPr>
        <w:t>的</w:t>
      </w:r>
      <w:r>
        <w:rPr>
          <w:rFonts w:hint="eastAsia" w:ascii="宋体" w:hAnsi="宋体" w:eastAsia="宋体" w:cs="宋体"/>
          <w:color w:val="auto"/>
          <w:kern w:val="0"/>
          <w:sz w:val="24"/>
          <w:szCs w:val="22"/>
          <w:highlight w:val="none"/>
          <w:u w:val="single"/>
          <w:lang w:val="en-US" w:eastAsia="zh-CN"/>
        </w:rPr>
        <w:t>监理</w:t>
      </w:r>
      <w:r>
        <w:rPr>
          <w:rFonts w:hint="eastAsia" w:ascii="宋体" w:hAnsi="宋体" w:eastAsia="宋体" w:cs="宋体"/>
          <w:color w:val="auto"/>
          <w:kern w:val="0"/>
          <w:sz w:val="24"/>
          <w:szCs w:val="22"/>
          <w:highlight w:val="none"/>
        </w:rPr>
        <w:t>进行公开招标。</w:t>
      </w:r>
    </w:p>
    <w:p w14:paraId="6E939B6A">
      <w:pPr>
        <w:pStyle w:val="87"/>
        <w:keepNext w:val="0"/>
        <w:keepLines w:val="0"/>
        <w:pageBreakBefore w:val="0"/>
        <w:wordWrap w:val="0"/>
        <w:topLinePunct w:val="0"/>
        <w:bidi w:val="0"/>
        <w:adjustRightInd w:val="0"/>
        <w:snapToGrid w:val="0"/>
        <w:spacing w:line="500" w:lineRule="exact"/>
        <w:ind w:firstLine="480"/>
        <w:jc w:val="left"/>
        <w:textAlignment w:val="auto"/>
        <w:outlineLvl w:val="2"/>
        <w:rPr>
          <w:b/>
          <w:bCs/>
          <w:snapToGrid w:val="0"/>
          <w:color w:val="auto"/>
          <w:kern w:val="0"/>
          <w:sz w:val="24"/>
          <w:highlight w:val="none"/>
        </w:rPr>
      </w:pPr>
      <w:bookmarkStart w:id="16" w:name="_Toc2079"/>
      <w:r>
        <w:rPr>
          <w:rFonts w:hint="eastAsia"/>
          <w:b/>
          <w:bCs/>
          <w:snapToGrid w:val="0"/>
          <w:color w:val="auto"/>
          <w:kern w:val="0"/>
          <w:sz w:val="24"/>
          <w:highlight w:val="none"/>
        </w:rPr>
        <w:t>1．项目概况、招标范围和标段划分、投标费用</w:t>
      </w:r>
      <w:bookmarkEnd w:id="16"/>
    </w:p>
    <w:p w14:paraId="5A9B532C">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w:t>
      </w:r>
      <w:r>
        <w:rPr>
          <w:rFonts w:hint="eastAsia" w:ascii="宋体" w:hAnsi="宋体" w:cs="宋体"/>
          <w:snapToGrid w:val="0"/>
          <w:color w:val="auto"/>
          <w:kern w:val="0"/>
          <w:sz w:val="24"/>
          <w:highlight w:val="none"/>
        </w:rPr>
        <w:t xml:space="preserve"> 项目概况</w:t>
      </w:r>
    </w:p>
    <w:p w14:paraId="457EF3D7">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1.1.1</w:t>
      </w:r>
      <w:r>
        <w:rPr>
          <w:rFonts w:hint="eastAsia" w:ascii="宋体" w:hAnsi="宋体" w:cs="宋体"/>
          <w:snapToGrid w:val="0"/>
          <w:color w:val="auto"/>
          <w:kern w:val="0"/>
          <w:sz w:val="24"/>
          <w:highlight w:val="none"/>
        </w:rPr>
        <w:t xml:space="preserve"> 建设地点：</w:t>
      </w:r>
      <w:r>
        <w:rPr>
          <w:rFonts w:hint="eastAsia" w:hAnsi="宋体" w:cs="宋体"/>
          <w:snapToGrid w:val="0"/>
          <w:color w:val="auto"/>
          <w:kern w:val="0"/>
          <w:sz w:val="24"/>
          <w:szCs w:val="24"/>
          <w:highlight w:val="none"/>
          <w:lang w:eastAsia="zh-CN"/>
        </w:rPr>
        <w:t>韶关市翁源县新江镇</w:t>
      </w:r>
      <w:r>
        <w:rPr>
          <w:rFonts w:hint="eastAsia" w:hAnsi="宋体" w:eastAsia="宋体" w:cs="宋体"/>
          <w:snapToGrid w:val="0"/>
          <w:color w:val="auto"/>
          <w:kern w:val="0"/>
          <w:sz w:val="24"/>
          <w:szCs w:val="24"/>
          <w:highlight w:val="none"/>
          <w:lang w:eastAsia="zh-CN"/>
        </w:rPr>
        <w:t>。</w:t>
      </w:r>
    </w:p>
    <w:p w14:paraId="74BEFDF3">
      <w:pPr>
        <w:pStyle w:val="87"/>
        <w:keepNext w:val="0"/>
        <w:keepLines w:val="0"/>
        <w:pageBreakBefore w:val="0"/>
        <w:wordWrap w:val="0"/>
        <w:topLinePunct w:val="0"/>
        <w:bidi w:val="0"/>
        <w:adjustRightInd w:val="0"/>
        <w:snapToGrid w:val="0"/>
        <w:spacing w:line="500" w:lineRule="exact"/>
        <w:ind w:firstLine="480"/>
        <w:jc w:val="left"/>
        <w:textAlignment w:val="auto"/>
        <w:rPr>
          <w:rFonts w:hint="eastAsia" w:ascii="Times New Roman" w:hAnsi="宋体" w:eastAsia="宋体" w:cs="宋体"/>
          <w:snapToGrid w:val="0"/>
          <w:color w:val="auto"/>
          <w:kern w:val="0"/>
          <w:sz w:val="24"/>
          <w:szCs w:val="24"/>
          <w:highlight w:val="none"/>
          <w:lang w:val="en-US" w:eastAsia="zh-CN"/>
        </w:rPr>
      </w:pPr>
      <w:r>
        <w:rPr>
          <w:rFonts w:hint="eastAsia" w:ascii="宋体" w:hAnsi="宋体" w:cs="宋体"/>
          <w:b/>
          <w:bCs/>
          <w:snapToGrid w:val="0"/>
          <w:color w:val="auto"/>
          <w:kern w:val="0"/>
          <w:sz w:val="24"/>
          <w:highlight w:val="none"/>
          <w:lang w:val="en-US" w:eastAsia="zh-CN"/>
        </w:rPr>
        <w:t xml:space="preserve">1.1.2 </w:t>
      </w:r>
      <w:r>
        <w:rPr>
          <w:rFonts w:hint="eastAsia" w:ascii="宋体" w:hAnsi="宋体" w:cs="宋体"/>
          <w:b w:val="0"/>
          <w:bCs w:val="0"/>
          <w:snapToGrid w:val="0"/>
          <w:color w:val="auto"/>
          <w:kern w:val="0"/>
          <w:sz w:val="24"/>
          <w:highlight w:val="none"/>
          <w:lang w:val="en-US" w:eastAsia="zh-CN"/>
        </w:rPr>
        <w:t>建设内容：</w:t>
      </w:r>
      <w:r>
        <w:rPr>
          <w:rFonts w:hint="eastAsia" w:hAnsi="宋体" w:cs="宋体"/>
          <w:snapToGrid w:val="0"/>
          <w:color w:val="auto"/>
          <w:kern w:val="0"/>
          <w:sz w:val="24"/>
          <w:szCs w:val="24"/>
          <w:highlight w:val="none"/>
          <w:lang w:val="en-US" w:eastAsia="zh-CN"/>
        </w:rPr>
        <w:t>主要建设内容为对翁源县新江镇新江村、西锦村、双星村进行典型村基础设施改造提升：①村庄建筑外立面提升；②村庄新建混凝土路面、及路面加铺沥青；③村庄四小园及配套基础设施建设；④村道排水沟新建盖板及修复原有水沟。</w:t>
      </w:r>
    </w:p>
    <w:p w14:paraId="4DFB9618">
      <w:pPr>
        <w:pStyle w:val="87"/>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cs="宋体"/>
          <w:b/>
          <w:bCs/>
          <w:snapToGrid w:val="0"/>
          <w:color w:val="auto"/>
          <w:kern w:val="0"/>
          <w:sz w:val="24"/>
          <w:highlight w:val="none"/>
        </w:rPr>
        <w:t xml:space="preserve">1.1.3 </w:t>
      </w:r>
      <w:r>
        <w:rPr>
          <w:rFonts w:hint="eastAsia" w:ascii="宋体" w:hAnsi="宋体" w:eastAsia="宋体" w:cs="宋体"/>
          <w:snapToGrid w:val="0"/>
          <w:color w:val="auto"/>
          <w:kern w:val="0"/>
          <w:sz w:val="24"/>
          <w:szCs w:val="24"/>
          <w:highlight w:val="none"/>
          <w:lang w:val="en-US" w:eastAsia="zh-CN"/>
        </w:rPr>
        <w:t>项目总投资：</w:t>
      </w:r>
      <w:r>
        <w:rPr>
          <w:rFonts w:hint="eastAsia" w:ascii="宋体" w:hAnsi="宋体" w:eastAsia="宋体" w:cs="宋体"/>
          <w:color w:val="auto"/>
          <w:kern w:val="0"/>
          <w:sz w:val="24"/>
          <w:szCs w:val="24"/>
          <w:highlight w:val="none"/>
          <w:lang w:val="en-US" w:eastAsia="zh-CN" w:bidi="ar-SA"/>
        </w:rPr>
        <w:t>本项目概算总投资约</w:t>
      </w:r>
      <w:r>
        <w:rPr>
          <w:rFonts w:hint="eastAsia" w:ascii="宋体" w:hAnsi="宋体" w:cs="宋体"/>
          <w:color w:val="auto"/>
          <w:kern w:val="0"/>
          <w:sz w:val="24"/>
          <w:szCs w:val="24"/>
          <w:highlight w:val="none"/>
          <w:lang w:val="en-US" w:eastAsia="zh-CN" w:bidi="ar-SA"/>
        </w:rPr>
        <w:t>2007.21</w:t>
      </w:r>
      <w:r>
        <w:rPr>
          <w:rFonts w:hint="eastAsia" w:ascii="宋体" w:hAnsi="宋体" w:eastAsia="宋体" w:cs="宋体"/>
          <w:color w:val="auto"/>
          <w:kern w:val="0"/>
          <w:sz w:val="24"/>
          <w:szCs w:val="24"/>
          <w:highlight w:val="none"/>
          <w:lang w:val="en-US" w:eastAsia="zh-CN" w:bidi="ar-SA"/>
        </w:rPr>
        <w:t>万元</w:t>
      </w:r>
      <w:r>
        <w:rPr>
          <w:rFonts w:hint="eastAsia" w:ascii="宋体" w:hAnsi="宋体" w:cs="宋体"/>
          <w:color w:val="auto"/>
          <w:kern w:val="0"/>
          <w:sz w:val="24"/>
          <w:szCs w:val="24"/>
          <w:highlight w:val="none"/>
          <w:lang w:val="en-US" w:eastAsia="zh-CN" w:bidi="ar-SA"/>
        </w:rPr>
        <w:t>。</w:t>
      </w:r>
    </w:p>
    <w:p w14:paraId="737B5441">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 xml:space="preserve">1.2 </w:t>
      </w:r>
      <w:r>
        <w:rPr>
          <w:rFonts w:hint="eastAsia" w:ascii="宋体" w:hAnsi="宋体" w:cs="宋体"/>
          <w:snapToGrid w:val="0"/>
          <w:color w:val="auto"/>
          <w:kern w:val="0"/>
          <w:sz w:val="24"/>
          <w:highlight w:val="none"/>
        </w:rPr>
        <w:t>招标范围和标段划分</w:t>
      </w:r>
    </w:p>
    <w:p w14:paraId="5C8BB663">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1.2.1</w:t>
      </w:r>
      <w:r>
        <w:rPr>
          <w:rFonts w:hint="eastAsia" w:ascii="宋体" w:hAnsi="宋体" w:cs="宋体"/>
          <w:snapToGrid w:val="0"/>
          <w:color w:val="auto"/>
          <w:kern w:val="0"/>
          <w:sz w:val="24"/>
          <w:highlight w:val="none"/>
        </w:rPr>
        <w:t xml:space="preserve"> 招标范围</w:t>
      </w:r>
    </w:p>
    <w:p w14:paraId="0F812CFE">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cs="宋体"/>
          <w:snapToGrid w:val="0"/>
          <w:color w:val="auto"/>
          <w:kern w:val="0"/>
          <w:sz w:val="24"/>
          <w:highlight w:val="none"/>
          <w:lang w:eastAsia="zh-CN"/>
        </w:rPr>
      </w:pPr>
      <w:r>
        <w:rPr>
          <w:rFonts w:hint="eastAsia" w:ascii="宋体" w:hAnsi="宋体" w:cs="宋体"/>
          <w:snapToGrid w:val="0"/>
          <w:color w:val="auto"/>
          <w:kern w:val="0"/>
          <w:sz w:val="24"/>
          <w:highlight w:val="none"/>
        </w:rPr>
        <w:t>监理：</w:t>
      </w:r>
      <w:r>
        <w:rPr>
          <w:rFonts w:hint="eastAsia" w:ascii="宋体" w:hAnsi="宋体" w:cs="宋体"/>
          <w:snapToGrid w:val="0"/>
          <w:color w:val="auto"/>
          <w:kern w:val="0"/>
          <w:sz w:val="24"/>
          <w:highlight w:val="none"/>
          <w:lang w:eastAsia="zh-CN"/>
        </w:rPr>
        <w:t>项目建设施工阶段监理（含施工准备阶段、施工阶段、工程竣工验收及结算阶段和缺陷责任保修期阶段的监理服务）</w:t>
      </w:r>
    </w:p>
    <w:p w14:paraId="76AFCD12">
      <w:pPr>
        <w:keepNext w:val="0"/>
        <w:keepLines w:val="0"/>
        <w:pageBreakBefore w:val="0"/>
        <w:wordWrap w:val="0"/>
        <w:topLinePunct w:val="0"/>
        <w:bidi w:val="0"/>
        <w:adjustRightInd w:val="0"/>
        <w:snapToGrid w:val="0"/>
        <w:spacing w:line="500" w:lineRule="exact"/>
        <w:ind w:firstLine="48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1.2.2</w:t>
      </w:r>
      <w:r>
        <w:rPr>
          <w:rFonts w:hint="eastAsia" w:hAnsi="宋体" w:cs="宋体"/>
          <w:snapToGrid w:val="0"/>
          <w:color w:val="auto"/>
          <w:kern w:val="0"/>
          <w:szCs w:val="24"/>
          <w:highlight w:val="none"/>
        </w:rPr>
        <w:t xml:space="preserve"> 标段划分：本招标项目不划分标段。</w:t>
      </w:r>
    </w:p>
    <w:p w14:paraId="5632ADE2">
      <w:pPr>
        <w:keepNext w:val="0"/>
        <w:keepLines w:val="0"/>
        <w:pageBreakBefore w:val="0"/>
        <w:wordWrap w:val="0"/>
        <w:topLinePunct w:val="0"/>
        <w:bidi w:val="0"/>
        <w:adjustRightInd w:val="0"/>
        <w:snapToGrid w:val="0"/>
        <w:spacing w:line="500" w:lineRule="exact"/>
        <w:ind w:firstLine="532" w:firstLineChars="221"/>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1.3</w:t>
      </w:r>
      <w:r>
        <w:rPr>
          <w:rFonts w:hint="eastAsia" w:hAnsi="宋体" w:cs="宋体"/>
          <w:snapToGrid w:val="0"/>
          <w:color w:val="auto"/>
          <w:kern w:val="0"/>
          <w:szCs w:val="24"/>
          <w:highlight w:val="none"/>
        </w:rPr>
        <w:t xml:space="preserve"> 投标费用：投标人应承担所有准备和参加投标的相关费用，不论投标结果如何，招标人均无义务和责任承担这些费用。</w:t>
      </w:r>
    </w:p>
    <w:p w14:paraId="6BE91A1C">
      <w:pPr>
        <w:pStyle w:val="87"/>
        <w:keepNext w:val="0"/>
        <w:keepLines w:val="0"/>
        <w:pageBreakBefore w:val="0"/>
        <w:wordWrap w:val="0"/>
        <w:topLinePunct w:val="0"/>
        <w:bidi w:val="0"/>
        <w:adjustRightInd w:val="0"/>
        <w:snapToGrid w:val="0"/>
        <w:spacing w:line="500" w:lineRule="exact"/>
        <w:ind w:firstLine="480"/>
        <w:jc w:val="left"/>
        <w:textAlignment w:val="auto"/>
        <w:outlineLvl w:val="2"/>
        <w:rPr>
          <w:rFonts w:hint="eastAsia"/>
          <w:b/>
          <w:bCs/>
          <w:snapToGrid w:val="0"/>
          <w:color w:val="auto"/>
          <w:kern w:val="0"/>
          <w:sz w:val="24"/>
          <w:highlight w:val="none"/>
        </w:rPr>
      </w:pPr>
      <w:bookmarkStart w:id="17" w:name="_Toc31795"/>
      <w:bookmarkStart w:id="18" w:name="_Toc22038"/>
      <w:r>
        <w:rPr>
          <w:rFonts w:hint="eastAsia"/>
          <w:b/>
          <w:bCs/>
          <w:snapToGrid w:val="0"/>
          <w:color w:val="auto"/>
          <w:kern w:val="0"/>
          <w:sz w:val="24"/>
          <w:highlight w:val="none"/>
        </w:rPr>
        <w:t>2．投标人资格要求</w:t>
      </w:r>
      <w:bookmarkEnd w:id="17"/>
      <w:bookmarkEnd w:id="18"/>
      <w:bookmarkStart w:id="19" w:name="_Hlt74496495"/>
      <w:bookmarkEnd w:id="19"/>
    </w:p>
    <w:p w14:paraId="229AFBAA">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2.1</w:t>
      </w:r>
      <w:r>
        <w:rPr>
          <w:rFonts w:hint="eastAsia" w:ascii="宋体" w:hAnsi="宋体" w:cs="宋体"/>
          <w:snapToGrid w:val="0"/>
          <w:color w:val="auto"/>
          <w:kern w:val="0"/>
          <w:sz w:val="24"/>
          <w:highlight w:val="none"/>
        </w:rPr>
        <w:t xml:space="preserve"> 本次招标不接受联合体投标。</w:t>
      </w:r>
    </w:p>
    <w:p w14:paraId="376870ED">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2.2</w:t>
      </w:r>
      <w:r>
        <w:rPr>
          <w:rFonts w:hint="eastAsia" w:ascii="宋体" w:hAnsi="宋体" w:cs="宋体"/>
          <w:snapToGrid w:val="0"/>
          <w:color w:val="auto"/>
          <w:kern w:val="0"/>
          <w:sz w:val="24"/>
          <w:highlight w:val="none"/>
        </w:rPr>
        <w:t xml:space="preserve"> 资格资质要求</w:t>
      </w:r>
    </w:p>
    <w:p w14:paraId="296608D7">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2.2.1</w:t>
      </w:r>
      <w:r>
        <w:rPr>
          <w:rFonts w:hint="eastAsia" w:ascii="宋体" w:hAnsi="宋体" w:cs="宋体"/>
          <w:snapToGrid w:val="0"/>
          <w:color w:val="auto"/>
          <w:kern w:val="0"/>
          <w:sz w:val="24"/>
          <w:highlight w:val="none"/>
        </w:rPr>
        <w:t xml:space="preserve"> 投标人须具备独立法人资格，按国家法律经营。</w:t>
      </w:r>
    </w:p>
    <w:p w14:paraId="3918A31D">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2.2.2</w:t>
      </w:r>
      <w:r>
        <w:rPr>
          <w:rFonts w:hint="eastAsia" w:hAnsi="宋体" w:cs="宋体"/>
          <w:snapToGrid w:val="0"/>
          <w:color w:val="auto"/>
          <w:kern w:val="0"/>
          <w:szCs w:val="24"/>
          <w:highlight w:val="none"/>
        </w:rPr>
        <w:t xml:space="preserve"> </w:t>
      </w:r>
      <w:r>
        <w:rPr>
          <w:rFonts w:hint="eastAsia" w:ascii="宋体" w:hAnsi="宋体" w:eastAsia="宋体" w:cs="宋体"/>
          <w:color w:val="auto"/>
          <w:szCs w:val="24"/>
          <w:highlight w:val="none"/>
        </w:rPr>
        <w:t>投标人须具备以下资质之一：①工程监理综合资质；②市政公用工程监理</w:t>
      </w:r>
      <w:r>
        <w:rPr>
          <w:rFonts w:hint="eastAsia" w:ascii="宋体" w:hAnsi="宋体" w:eastAsia="宋体" w:cs="宋体"/>
          <w:color w:val="auto"/>
          <w:szCs w:val="24"/>
          <w:highlight w:val="none"/>
          <w:lang w:val="en-US" w:eastAsia="zh-CN"/>
        </w:rPr>
        <w:t>乙</w:t>
      </w:r>
      <w:r>
        <w:rPr>
          <w:rFonts w:hint="eastAsia" w:ascii="宋体" w:hAnsi="宋体" w:eastAsia="宋体" w:cs="宋体"/>
          <w:color w:val="auto"/>
          <w:szCs w:val="24"/>
          <w:highlight w:val="none"/>
        </w:rPr>
        <w:t>级以上（含</w:t>
      </w:r>
      <w:r>
        <w:rPr>
          <w:rFonts w:hint="eastAsia" w:ascii="宋体" w:hAnsi="宋体" w:eastAsia="宋体" w:cs="宋体"/>
          <w:color w:val="auto"/>
          <w:szCs w:val="24"/>
          <w:highlight w:val="none"/>
          <w:lang w:val="en-US" w:eastAsia="zh-CN"/>
        </w:rPr>
        <w:t>乙</w:t>
      </w:r>
      <w:r>
        <w:rPr>
          <w:rFonts w:hint="eastAsia" w:ascii="宋体" w:hAnsi="宋体" w:eastAsia="宋体" w:cs="宋体"/>
          <w:color w:val="auto"/>
          <w:szCs w:val="24"/>
          <w:highlight w:val="none"/>
        </w:rPr>
        <w:t>级）资质及房屋建筑工程监理</w:t>
      </w:r>
      <w:r>
        <w:rPr>
          <w:rFonts w:hint="eastAsia" w:ascii="宋体" w:hAnsi="宋体" w:eastAsia="宋体" w:cs="宋体"/>
          <w:color w:val="auto"/>
          <w:szCs w:val="24"/>
          <w:highlight w:val="none"/>
          <w:lang w:val="en-US" w:eastAsia="zh-CN"/>
        </w:rPr>
        <w:t>乙</w:t>
      </w:r>
      <w:r>
        <w:rPr>
          <w:rFonts w:hint="eastAsia" w:ascii="宋体" w:hAnsi="宋体" w:eastAsia="宋体" w:cs="宋体"/>
          <w:color w:val="auto"/>
          <w:szCs w:val="24"/>
          <w:highlight w:val="none"/>
        </w:rPr>
        <w:t>级以上（含</w:t>
      </w:r>
      <w:r>
        <w:rPr>
          <w:rFonts w:hint="eastAsia" w:ascii="宋体" w:hAnsi="宋体" w:eastAsia="宋体" w:cs="宋体"/>
          <w:color w:val="auto"/>
          <w:szCs w:val="24"/>
          <w:highlight w:val="none"/>
          <w:lang w:val="en-US" w:eastAsia="zh-CN"/>
        </w:rPr>
        <w:t>乙</w:t>
      </w:r>
      <w:r>
        <w:rPr>
          <w:rFonts w:hint="eastAsia" w:ascii="宋体" w:hAnsi="宋体" w:eastAsia="宋体" w:cs="宋体"/>
          <w:color w:val="auto"/>
          <w:szCs w:val="24"/>
          <w:highlight w:val="none"/>
        </w:rPr>
        <w:t>级）资质</w:t>
      </w:r>
      <w:r>
        <w:rPr>
          <w:rFonts w:hint="eastAsia" w:hAnsi="宋体" w:cs="宋体"/>
          <w:snapToGrid w:val="0"/>
          <w:color w:val="auto"/>
          <w:kern w:val="0"/>
          <w:szCs w:val="24"/>
          <w:highlight w:val="none"/>
        </w:rPr>
        <w:t>。</w:t>
      </w:r>
    </w:p>
    <w:p w14:paraId="6AE8E91B">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highlight w:val="none"/>
        </w:rPr>
      </w:pPr>
      <w:r>
        <w:rPr>
          <w:rFonts w:hint="eastAsia" w:hAnsi="宋体" w:cs="宋体"/>
          <w:b/>
          <w:bCs/>
          <w:snapToGrid w:val="0"/>
          <w:color w:val="auto"/>
          <w:kern w:val="0"/>
          <w:szCs w:val="24"/>
          <w:highlight w:val="none"/>
        </w:rPr>
        <w:t>2.2.3</w:t>
      </w:r>
      <w:r>
        <w:rPr>
          <w:rFonts w:hint="eastAsia" w:hAnsi="宋体" w:cs="宋体"/>
          <w:snapToGrid w:val="0"/>
          <w:color w:val="auto"/>
          <w:kern w:val="0"/>
          <w:szCs w:val="24"/>
          <w:highlight w:val="none"/>
        </w:rPr>
        <w:t xml:space="preserve"> </w:t>
      </w:r>
      <w:r>
        <w:rPr>
          <w:rFonts w:hint="eastAsia" w:hAnsi="宋体" w:cs="宋体"/>
          <w:color w:val="auto"/>
          <w:szCs w:val="24"/>
          <w:highlight w:val="none"/>
        </w:rPr>
        <w:t>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53EE3233">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2.3</w:t>
      </w:r>
      <w:r>
        <w:rPr>
          <w:rFonts w:hint="eastAsia" w:ascii="宋体" w:hAnsi="宋体" w:cs="宋体"/>
          <w:snapToGrid w:val="0"/>
          <w:color w:val="auto"/>
          <w:kern w:val="0"/>
          <w:sz w:val="24"/>
          <w:highlight w:val="none"/>
        </w:rPr>
        <w:t xml:space="preserve"> 相关人员要求</w:t>
      </w:r>
    </w:p>
    <w:p w14:paraId="3BEF3E14">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highlight w:val="none"/>
        </w:rPr>
      </w:pPr>
      <w:r>
        <w:rPr>
          <w:rFonts w:hint="eastAsia" w:ascii="宋体" w:hAnsi="宋体" w:cs="宋体"/>
          <w:b/>
          <w:bCs/>
          <w:snapToGrid w:val="0"/>
          <w:color w:val="auto"/>
          <w:kern w:val="0"/>
          <w:sz w:val="24"/>
          <w:highlight w:val="none"/>
        </w:rPr>
        <w:t>2.3.1</w:t>
      </w:r>
      <w:r>
        <w:rPr>
          <w:rFonts w:hint="eastAsia" w:ascii="宋体" w:hAnsi="宋体" w:cs="宋体"/>
          <w:snapToGrid w:val="0"/>
          <w:color w:val="auto"/>
          <w:kern w:val="0"/>
          <w:sz w:val="24"/>
          <w:highlight w:val="none"/>
        </w:rPr>
        <w:t xml:space="preserve"> </w:t>
      </w:r>
      <w:r>
        <w:rPr>
          <w:rFonts w:hint="eastAsia" w:hAnsi="宋体" w:cs="宋体"/>
          <w:color w:val="auto"/>
          <w:szCs w:val="24"/>
          <w:highlight w:val="none"/>
        </w:rPr>
        <w:t>拟派总监理工程师为市政公用工程专业或房屋建筑工程专业注册监理工程师，应持有国家住建部印发的有效注册证书，其担任总监理工程师职务的其他在施（包括已中标未开工、已开工未竣工）建设工程项目不得超过</w:t>
      </w:r>
      <w:r>
        <w:rPr>
          <w:rFonts w:hint="eastAsia" w:hAnsi="宋体" w:cs="宋体"/>
          <w:color w:val="auto"/>
          <w:szCs w:val="24"/>
          <w:highlight w:val="none"/>
          <w:u w:val="single"/>
        </w:rPr>
        <w:t xml:space="preserve"> 2 </w:t>
      </w:r>
      <w:r>
        <w:rPr>
          <w:rFonts w:hint="eastAsia" w:hAnsi="宋体" w:cs="宋体"/>
          <w:color w:val="auto"/>
          <w:szCs w:val="24"/>
          <w:highlight w:val="none"/>
        </w:rPr>
        <w:t>个。</w:t>
      </w:r>
    </w:p>
    <w:p w14:paraId="1B937DB3">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拟派总监理工程师现阶段有担任其他在施建设工程项目总监理工程师职务的，须得到任职项目建设单位书面同意后方可担任本招标项目总监理工程师。</w:t>
      </w:r>
    </w:p>
    <w:p w14:paraId="729B3FCF">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2.3.2</w:t>
      </w:r>
      <w:r>
        <w:rPr>
          <w:rFonts w:hint="eastAsia" w:ascii="宋体" w:hAnsi="宋体" w:cs="宋体"/>
          <w:snapToGrid w:val="0"/>
          <w:color w:val="auto"/>
          <w:kern w:val="0"/>
          <w:sz w:val="24"/>
          <w:highlight w:val="none"/>
        </w:rPr>
        <w:t xml:space="preserve"> 投标人与其拟派往本项目监理机构的所有人员之间必须具备合法、唯一的劳动聘用关系。拟派人员中具备注册执业资格的，其注册单位须与投标人保持一致。</w:t>
      </w:r>
    </w:p>
    <w:p w14:paraId="51D5C150">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w:t>
      </w:r>
      <w:r>
        <w:rPr>
          <w:rFonts w:hint="eastAsia" w:ascii="宋体" w:hAnsi="宋体" w:cs="宋体"/>
          <w:snapToGrid w:val="0"/>
          <w:color w:val="auto"/>
          <w:kern w:val="0"/>
          <w:sz w:val="24"/>
          <w:highlight w:val="none"/>
        </w:rPr>
        <w:t xml:space="preserve"> 禁止投标条款</w:t>
      </w:r>
    </w:p>
    <w:p w14:paraId="7D7AD0E4">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2.4.1</w:t>
      </w:r>
      <w:r>
        <w:rPr>
          <w:rFonts w:hint="eastAsia" w:ascii="宋体" w:hAnsi="宋体" w:cs="宋体"/>
          <w:snapToGrid w:val="0"/>
          <w:color w:val="auto"/>
          <w:kern w:val="0"/>
          <w:sz w:val="24"/>
          <w:highlight w:val="none"/>
        </w:rPr>
        <w:t xml:space="preserve"> 投标人不得存在下列情形之一：</w:t>
      </w:r>
    </w:p>
    <w:p w14:paraId="23B2DC3C">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（1）为招标人不具有独立法人资格的附属机构（单位）；</w:t>
      </w:r>
    </w:p>
    <w:p w14:paraId="7B77E298">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（2）与招标人存在利害关系且可能影响招标公正性；</w:t>
      </w:r>
    </w:p>
    <w:p w14:paraId="66A8637F">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（3）与本招标项目的其他投标人为同一个单位负责人；</w:t>
      </w:r>
    </w:p>
    <w:p w14:paraId="6445557B">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（4）与本招标项目的其他投标人存在控股、管理关系；</w:t>
      </w:r>
    </w:p>
    <w:p w14:paraId="66EBD7D7">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（5）为本招标项目的代建人；</w:t>
      </w:r>
    </w:p>
    <w:p w14:paraId="2102A470">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（6）为本招标项目的招标代理机构；</w:t>
      </w:r>
    </w:p>
    <w:p w14:paraId="22A7EB6B">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（7）与本招标项目的代建人或招标代理机构同为一个法定代表人；</w:t>
      </w:r>
    </w:p>
    <w:p w14:paraId="3FC11BF5">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（8）与本招标项目的代建人或招标代理机构存在控股或参股关系；</w:t>
      </w:r>
    </w:p>
    <w:p w14:paraId="12857A0D">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（9）与本招标项目的施工承包人以及建筑材料、建筑构配件和设备供应商有隶属关系或者其他利害关系；</w:t>
      </w:r>
    </w:p>
    <w:p w14:paraId="4A6FC44A">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（10）被依法暂停或者取消投标资格；</w:t>
      </w:r>
    </w:p>
    <w:p w14:paraId="68E70B2D">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（11）被责令停产停业、暂扣或者吊销许可证、暂扣或者吊销执照；</w:t>
      </w:r>
    </w:p>
    <w:p w14:paraId="75517A3D">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（12）进入清算程序，或被宣告破产，或其他丧失履约能力的情形；</w:t>
      </w:r>
    </w:p>
    <w:p w14:paraId="40C303D7">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（13）在最近三年内发生重大监理质量问题（以相关行业主管部门的行政处罚决定或司法机关出具的有关法律文书为准）；</w:t>
      </w:r>
    </w:p>
    <w:p w14:paraId="331A83DA">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sym w:font="Wingdings" w:char="00D8"/>
      </w:r>
      <w:r>
        <w:rPr>
          <w:rFonts w:hint="eastAsia" w:ascii="宋体" w:hAnsi="宋体" w:cs="宋体"/>
          <w:snapToGrid w:val="0"/>
          <w:color w:val="auto"/>
          <w:kern w:val="0"/>
          <w:sz w:val="24"/>
          <w:highlight w:val="none"/>
        </w:rPr>
        <w:t xml:space="preserve"> （14）</w:t>
      </w:r>
      <w:r>
        <w:rPr>
          <w:rFonts w:hint="eastAsia" w:ascii="宋体" w:hAnsi="宋体" w:cs="宋体"/>
          <w:color w:val="auto"/>
          <w:kern w:val="0"/>
          <w:sz w:val="24"/>
          <w:highlight w:val="none"/>
        </w:rPr>
        <w:t>被“信用中国”网站（https://www.creditchina.gov.cn）发布的《法人和非法人组织公共信用信息报告》列为严重失信主体名单的</w:t>
      </w:r>
      <w:r>
        <w:rPr>
          <w:rFonts w:hint="eastAsia" w:ascii="宋体" w:hAnsi="宋体" w:cs="宋体"/>
          <w:snapToGrid w:val="0"/>
          <w:color w:val="auto"/>
          <w:kern w:val="0"/>
          <w:sz w:val="24"/>
          <w:highlight w:val="none"/>
        </w:rPr>
        <w:t>。</w:t>
      </w:r>
    </w:p>
    <w:p w14:paraId="6D2A9BC1">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2.4.2</w:t>
      </w:r>
      <w:r>
        <w:rPr>
          <w:rFonts w:hint="eastAsia" w:ascii="宋体" w:hAnsi="宋体" w:cs="宋体"/>
          <w:snapToGrid w:val="0"/>
          <w:color w:val="auto"/>
          <w:kern w:val="0"/>
          <w:sz w:val="24"/>
          <w:highlight w:val="none"/>
        </w:rPr>
        <w:t xml:space="preserve"> 招标人拒绝以下名单中的单位参加本次投标：</w:t>
      </w:r>
    </w:p>
    <w:tbl>
      <w:tblPr>
        <w:tblStyle w:val="30"/>
        <w:tblW w:w="9238" w:type="dxa"/>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3951"/>
        <w:gridCol w:w="4377"/>
      </w:tblGrid>
      <w:tr w14:paraId="0655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1EF599D5">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951" w:type="dxa"/>
            <w:noWrap w:val="0"/>
            <w:vAlign w:val="center"/>
          </w:tcPr>
          <w:p w14:paraId="6393EFEA">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4377" w:type="dxa"/>
            <w:noWrap w:val="0"/>
            <w:vAlign w:val="center"/>
          </w:tcPr>
          <w:p w14:paraId="22BCCA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2B7C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247CC672">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p>
        </w:tc>
        <w:tc>
          <w:tcPr>
            <w:tcW w:w="3951" w:type="dxa"/>
            <w:noWrap w:val="0"/>
            <w:vAlign w:val="center"/>
          </w:tcPr>
          <w:p w14:paraId="48F92AA4">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翁源县农业农村局</w:t>
            </w:r>
          </w:p>
        </w:tc>
        <w:tc>
          <w:tcPr>
            <w:tcW w:w="4377" w:type="dxa"/>
            <w:noWrap w:val="0"/>
            <w:vAlign w:val="center"/>
          </w:tcPr>
          <w:p w14:paraId="1CA7E40F">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为本招标项目的项目业主</w:t>
            </w:r>
          </w:p>
        </w:tc>
      </w:tr>
      <w:tr w14:paraId="6474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308BACF3">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p>
        </w:tc>
        <w:tc>
          <w:tcPr>
            <w:tcW w:w="3951" w:type="dxa"/>
            <w:noWrap w:val="0"/>
            <w:vAlign w:val="center"/>
          </w:tcPr>
          <w:p w14:paraId="2C7FB050">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翁源县新江镇人民政府</w:t>
            </w:r>
          </w:p>
        </w:tc>
        <w:tc>
          <w:tcPr>
            <w:tcW w:w="4377" w:type="dxa"/>
            <w:noWrap w:val="0"/>
            <w:vAlign w:val="center"/>
          </w:tcPr>
          <w:p w14:paraId="3659449E">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w:t>
            </w:r>
            <w:r>
              <w:rPr>
                <w:rFonts w:hint="eastAsia" w:ascii="宋体" w:hAnsi="宋体" w:eastAsia="宋体" w:cs="宋体"/>
                <w:color w:val="auto"/>
                <w:kern w:val="2"/>
                <w:sz w:val="24"/>
                <w:szCs w:val="24"/>
                <w:highlight w:val="none"/>
                <w:lang w:val="en-US" w:eastAsia="zh-CN" w:bidi="ar-SA"/>
              </w:rPr>
              <w:t>本招标项目的</w:t>
            </w:r>
            <w:r>
              <w:rPr>
                <w:rFonts w:hint="eastAsia" w:ascii="宋体" w:hAnsi="宋体" w:eastAsia="宋体" w:cs="宋体"/>
                <w:color w:val="auto"/>
                <w:sz w:val="24"/>
                <w:szCs w:val="24"/>
                <w:highlight w:val="none"/>
              </w:rPr>
              <w:t>招标人</w:t>
            </w:r>
          </w:p>
        </w:tc>
      </w:tr>
      <w:tr w14:paraId="2648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00828124">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w:t>
            </w:r>
          </w:p>
        </w:tc>
        <w:tc>
          <w:tcPr>
            <w:tcW w:w="3951" w:type="dxa"/>
            <w:noWrap w:val="0"/>
            <w:vAlign w:val="center"/>
          </w:tcPr>
          <w:p w14:paraId="76EC56A5">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highlight w:val="none"/>
                <w:lang w:eastAsia="zh-CN"/>
              </w:rPr>
              <w:t>韶关市城监项目管理有限公司</w:t>
            </w:r>
          </w:p>
        </w:tc>
        <w:tc>
          <w:tcPr>
            <w:tcW w:w="4377" w:type="dxa"/>
            <w:noWrap w:val="0"/>
            <w:vAlign w:val="center"/>
          </w:tcPr>
          <w:p w14:paraId="7789CE8C">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为本招标项目的招标代理机构</w:t>
            </w:r>
          </w:p>
        </w:tc>
      </w:tr>
      <w:tr w14:paraId="358E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618896A2">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w:t>
            </w:r>
          </w:p>
        </w:tc>
        <w:tc>
          <w:tcPr>
            <w:tcW w:w="3951" w:type="dxa"/>
            <w:noWrap w:val="0"/>
            <w:vAlign w:val="center"/>
          </w:tcPr>
          <w:p w14:paraId="6D80ECC2">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广东省国际工程咨询有限公司</w:t>
            </w:r>
          </w:p>
        </w:tc>
        <w:tc>
          <w:tcPr>
            <w:tcW w:w="4377" w:type="dxa"/>
            <w:noWrap w:val="0"/>
            <w:vAlign w:val="center"/>
          </w:tcPr>
          <w:p w14:paraId="0C8722C2">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为本</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项目的可研编制单位</w:t>
            </w:r>
          </w:p>
        </w:tc>
      </w:tr>
    </w:tbl>
    <w:p w14:paraId="436A391F">
      <w:pPr>
        <w:pStyle w:val="87"/>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2.5</w:t>
      </w:r>
      <w:r>
        <w:rPr>
          <w:rFonts w:hint="eastAsia" w:ascii="宋体" w:hAnsi="宋体" w:cs="宋体"/>
          <w:snapToGrid w:val="0"/>
          <w:color w:val="auto"/>
          <w:kern w:val="0"/>
          <w:sz w:val="24"/>
          <w:highlight w:val="none"/>
        </w:rPr>
        <w:t xml:space="preserve"> 其他要求</w:t>
      </w:r>
    </w:p>
    <w:p w14:paraId="574A12A8">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2A30E4C1">
      <w:pPr>
        <w:pStyle w:val="87"/>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outlineLvl w:val="2"/>
        <w:rPr>
          <w:rFonts w:ascii="宋体" w:hAnsi="宋体" w:cs="宋体"/>
          <w:b/>
          <w:bCs/>
          <w:snapToGrid w:val="0"/>
          <w:color w:val="auto"/>
          <w:kern w:val="0"/>
          <w:sz w:val="24"/>
          <w:highlight w:val="none"/>
        </w:rPr>
      </w:pPr>
      <w:bookmarkStart w:id="20" w:name="_Toc17818"/>
      <w:r>
        <w:rPr>
          <w:rFonts w:hint="eastAsia" w:ascii="宋体" w:hAnsi="宋体" w:cs="宋体"/>
          <w:b/>
          <w:bCs/>
          <w:snapToGrid w:val="0"/>
          <w:color w:val="auto"/>
          <w:kern w:val="0"/>
          <w:sz w:val="24"/>
          <w:highlight w:val="none"/>
        </w:rPr>
        <w:t>3．获取招标文件</w:t>
      </w:r>
      <w:bookmarkEnd w:id="20"/>
    </w:p>
    <w:p w14:paraId="1DF04FBD">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color w:val="auto"/>
          <w:sz w:val="24"/>
          <w:highlight w:val="none"/>
          <w:shd w:val="clear" w:color="auto" w:fill="FFFFFF"/>
        </w:rPr>
      </w:pPr>
      <w:r>
        <w:rPr>
          <w:rFonts w:hint="eastAsia" w:ascii="宋体" w:hAnsi="宋体" w:cs="宋体"/>
          <w:snapToGrid w:val="0"/>
          <w:color w:val="auto"/>
          <w:kern w:val="0"/>
          <w:sz w:val="24"/>
          <w:highlight w:val="none"/>
        </w:rPr>
        <w:t xml:space="preserve">3.1 </w:t>
      </w:r>
      <w:r>
        <w:rPr>
          <w:rFonts w:hint="eastAsia" w:ascii="宋体" w:hAnsi="宋体" w:cs="宋体"/>
          <w:color w:val="auto"/>
          <w:sz w:val="24"/>
          <w:highlight w:val="none"/>
          <w:shd w:val="clear" w:color="auto" w:fill="FFFFFF"/>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47326E30">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color w:val="auto"/>
          <w:sz w:val="24"/>
          <w:highlight w:val="none"/>
          <w:shd w:val="clear" w:color="auto" w:fill="FFFFFF"/>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72C76745">
      <w:pPr>
        <w:pStyle w:val="27"/>
        <w:keepNext w:val="0"/>
        <w:keepLines w:val="0"/>
        <w:pageBreakBefore w:val="0"/>
        <w:topLinePunct w:val="0"/>
        <w:bidi w:val="0"/>
        <w:spacing w:before="0" w:beforeAutospacing="0" w:after="0" w:afterAutospacing="0" w:line="500" w:lineRule="exact"/>
        <w:ind w:firstLine="480" w:firstLineChars="200"/>
        <w:textAlignment w:val="auto"/>
        <w:rPr>
          <w:snapToGrid w:val="0"/>
          <w:color w:val="auto"/>
          <w:highlight w:val="none"/>
        </w:rPr>
      </w:pPr>
      <w:r>
        <w:rPr>
          <w:rFonts w:hint="eastAsia"/>
          <w:snapToGrid w:val="0"/>
          <w:color w:val="auto"/>
          <w:highlight w:val="none"/>
        </w:rPr>
        <w:t>3.2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0ACF0BC">
      <w:pPr>
        <w:pStyle w:val="27"/>
        <w:keepNext w:val="0"/>
        <w:keepLines w:val="0"/>
        <w:pageBreakBefore w:val="0"/>
        <w:topLinePunct w:val="0"/>
        <w:bidi w:val="0"/>
        <w:spacing w:before="0" w:beforeAutospacing="0" w:after="0" w:afterAutospacing="0" w:line="500" w:lineRule="exact"/>
        <w:ind w:firstLine="480" w:firstLineChars="200"/>
        <w:textAlignment w:val="auto"/>
        <w:rPr>
          <w:bCs/>
          <w:color w:val="auto"/>
          <w:highlight w:val="none"/>
        </w:rPr>
      </w:pPr>
      <w:r>
        <w:rPr>
          <w:rFonts w:hint="eastAsia"/>
          <w:snapToGrid w:val="0"/>
          <w:color w:val="auto"/>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bCs/>
          <w:color w:val="auto"/>
          <w:highlight w:val="none"/>
        </w:rPr>
        <w:t xml:space="preserve"> </w:t>
      </w:r>
    </w:p>
    <w:p w14:paraId="3710C648">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kern w:val="0"/>
          <w:sz w:val="24"/>
          <w:highlight w:val="none"/>
        </w:rPr>
        <w:t>已入库企业的有关信息（如单位名称、基本账号、资质、人员等）发生变化的，应及时在建设工程交易系统进行相应变更。投标人未及时变更而造成的损失和后果，由投标人自行承担。</w:t>
      </w:r>
    </w:p>
    <w:p w14:paraId="5349E3D5">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 投标保证</w:t>
      </w:r>
    </w:p>
    <w:p w14:paraId="71FD51AC">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3.3.1 投标人须缴纳金额为人民币</w:t>
      </w:r>
      <w:r>
        <w:rPr>
          <w:rFonts w:hint="eastAsia" w:hAnsi="宋体" w:cs="宋体"/>
          <w:color w:val="auto"/>
          <w:sz w:val="24"/>
          <w:szCs w:val="32"/>
          <w:highlight w:val="none"/>
          <w:u w:val="single"/>
          <w:lang w:val="en-US" w:eastAsia="zh-CN"/>
        </w:rPr>
        <w:t>伍仟</w:t>
      </w:r>
      <w:r>
        <w:rPr>
          <w:rFonts w:hint="eastAsia" w:ascii="宋体" w:hAnsi="宋体" w:cs="宋体"/>
          <w:color w:val="auto"/>
          <w:sz w:val="24"/>
          <w:highlight w:val="none"/>
          <w:shd w:val="clear" w:color="auto" w:fill="FFFFFF"/>
        </w:rPr>
        <w:t xml:space="preserve">元的投标保证。 </w:t>
      </w:r>
    </w:p>
    <w:p w14:paraId="081C9AA3">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3.3.2 投标保证的形式包括投标保证金、投标保证担保、投标保证保险三种，由投标人自主选择。</w:t>
      </w:r>
    </w:p>
    <w:p w14:paraId="42604924">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（1）采用投标保证金的，投标人在建设工程交易系统获取招标文件完毕后，即可在系统申请缴纳投标保证金，获取本次招标投标保证金缴纳账号。投标人必须于投标保证金到账截止时间（</w:t>
      </w:r>
      <w:r>
        <w:rPr>
          <w:rFonts w:hint="eastAsia" w:hAnsi="宋体" w:cs="宋体"/>
          <w:color w:val="auto"/>
          <w:highlight w:val="none"/>
          <w:lang w:val="en-US" w:eastAsia="zh-CN"/>
        </w:rPr>
        <w:t>见</w:t>
      </w:r>
      <w:r>
        <w:rPr>
          <w:rFonts w:hint="eastAsia" w:hAnsi="宋体" w:cs="宋体"/>
          <w:color w:val="auto"/>
          <w:highlight w:val="none"/>
        </w:rPr>
        <w:t>本章第二节“重要事项时间地点一览表”）前，从其基本账户将投标保证金转账到指定的缴纳账号。逾期到账的、从非投标人基本账户转出的，其投标无效。</w:t>
      </w:r>
    </w:p>
    <w:p w14:paraId="629683DA">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3B93C12">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76D42C8">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rPr>
        <w:t>温馨提醒：投标人采用投标保证担保或投标保证保险的，为避免在评标过程中因有效期发生争议，建议投标人将银行保函或电子保单有效期设置为较招标文件规定的投标有效期</w:t>
      </w:r>
      <w:r>
        <w:rPr>
          <w:rFonts w:hint="eastAsia" w:hAnsi="宋体" w:cs="宋体"/>
          <w:color w:val="auto"/>
          <w:sz w:val="24"/>
          <w:highlight w:val="none"/>
        </w:rPr>
        <w:t>延长</w:t>
      </w:r>
      <w:r>
        <w:rPr>
          <w:rFonts w:hint="eastAsia" w:ascii="宋体" w:hAnsi="宋体" w:cs="宋体"/>
          <w:color w:val="auto"/>
          <w:sz w:val="24"/>
          <w:highlight w:val="none"/>
        </w:rPr>
        <w:t>不少于20个日历天。</w:t>
      </w:r>
    </w:p>
    <w:p w14:paraId="62BC100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3.4</w:t>
      </w:r>
      <w:r>
        <w:rPr>
          <w:rFonts w:hint="eastAsia" w:hAnsi="宋体" w:cs="宋体"/>
          <w:snapToGrid w:val="0"/>
          <w:color w:val="auto"/>
          <w:kern w:val="0"/>
          <w:highlight w:val="none"/>
        </w:rPr>
        <w:t xml:space="preserve"> 若投标人因自身原因未能正确完成获取招标文件、电子投标、缴纳投标保证的，其投标无效。</w:t>
      </w:r>
    </w:p>
    <w:p w14:paraId="0034AD8F">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highlight w:val="none"/>
        </w:rPr>
      </w:pPr>
      <w:bookmarkStart w:id="21" w:name="_Toc17480"/>
      <w:r>
        <w:rPr>
          <w:rFonts w:hint="eastAsia" w:hAnsi="宋体" w:cs="宋体"/>
          <w:b/>
          <w:bCs/>
          <w:snapToGrid w:val="0"/>
          <w:color w:val="auto"/>
          <w:kern w:val="0"/>
          <w:highlight w:val="none"/>
        </w:rPr>
        <w:t>4．服务期限</w:t>
      </w:r>
      <w:bookmarkEnd w:id="21"/>
    </w:p>
    <w:p w14:paraId="222B7AA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int="eastAsia" w:hAnsi="宋体" w:eastAsia="宋体" w:cs="宋体"/>
          <w:snapToGrid w:val="0"/>
          <w:color w:val="auto"/>
          <w:kern w:val="0"/>
          <w:highlight w:val="none"/>
          <w:lang w:eastAsia="zh-CN"/>
        </w:rPr>
      </w:pPr>
      <w:r>
        <w:rPr>
          <w:rFonts w:hint="eastAsia" w:hAnsi="宋体" w:cs="宋体"/>
          <w:b/>
          <w:bCs/>
          <w:snapToGrid w:val="0"/>
          <w:color w:val="auto"/>
          <w:kern w:val="0"/>
          <w:highlight w:val="none"/>
        </w:rPr>
        <w:t>4.1</w:t>
      </w:r>
      <w:r>
        <w:rPr>
          <w:rFonts w:hint="eastAsia" w:hAnsi="宋体" w:cs="宋体"/>
          <w:snapToGrid w:val="0"/>
          <w:color w:val="auto"/>
          <w:kern w:val="0"/>
          <w:highlight w:val="none"/>
        </w:rPr>
        <w:t xml:space="preserve"> 监理：</w:t>
      </w:r>
      <w:r>
        <w:rPr>
          <w:rFonts w:hint="eastAsia" w:hAnsi="宋体" w:cs="宋体"/>
          <w:snapToGrid w:val="0"/>
          <w:color w:val="auto"/>
          <w:kern w:val="0"/>
          <w:highlight w:val="none"/>
          <w:lang w:eastAsia="zh-CN"/>
        </w:rPr>
        <w:t>监理服务期从监理合同签订之日起计，至本工程缺陷责任保修期结束且本工程结算金额经政府主管部门审定且双方的责任义务履行完毕时止。</w:t>
      </w:r>
    </w:p>
    <w:p w14:paraId="4006A3C3">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highlight w:val="none"/>
        </w:rPr>
      </w:pPr>
      <w:bookmarkStart w:id="22" w:name="_Toc5186"/>
      <w:bookmarkStart w:id="23" w:name="_Toc10746"/>
      <w:r>
        <w:rPr>
          <w:rFonts w:hint="eastAsia" w:hAnsi="宋体" w:cs="宋体"/>
          <w:b/>
          <w:snapToGrid w:val="0"/>
          <w:color w:val="auto"/>
          <w:highlight w:val="none"/>
        </w:rPr>
        <w:t>5．服务标准</w:t>
      </w:r>
      <w:bookmarkEnd w:id="22"/>
      <w:bookmarkEnd w:id="23"/>
    </w:p>
    <w:p w14:paraId="3B444BA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5.1</w:t>
      </w:r>
      <w:r>
        <w:rPr>
          <w:rFonts w:hint="eastAsia" w:hAnsi="宋体" w:cs="宋体"/>
          <w:snapToGrid w:val="0"/>
          <w:color w:val="auto"/>
          <w:kern w:val="0"/>
          <w:highlight w:val="none"/>
        </w:rPr>
        <w:t xml:space="preserve"> 监理：</w:t>
      </w:r>
      <w:r>
        <w:rPr>
          <w:rFonts w:hint="eastAsia" w:hAnsi="宋体" w:cs="宋体"/>
          <w:color w:val="auto"/>
          <w:szCs w:val="24"/>
          <w:highlight w:val="none"/>
        </w:rPr>
        <w:t>工程质量达到合格标准。</w:t>
      </w:r>
      <w:r>
        <w:rPr>
          <w:rFonts w:hint="eastAsia" w:hAnsi="宋体" w:cs="宋体"/>
          <w:snapToGrid w:val="0"/>
          <w:color w:val="auto"/>
          <w:kern w:val="0"/>
          <w:highlight w:val="none"/>
        </w:rPr>
        <w:t xml:space="preserve"> </w:t>
      </w:r>
    </w:p>
    <w:p w14:paraId="4CCCF34C">
      <w:pPr>
        <w:pStyle w:val="4"/>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24" w:name="_Toc32757"/>
      <w:bookmarkStart w:id="25" w:name="_Toc25908"/>
      <w:r>
        <w:rPr>
          <w:rFonts w:hint="eastAsia" w:hAnsi="宋体" w:cs="宋体"/>
          <w:b/>
          <w:snapToGrid w:val="0"/>
          <w:color w:val="auto"/>
          <w:highlight w:val="none"/>
        </w:rPr>
        <w:t>6．现场踏勘</w:t>
      </w:r>
      <w:bookmarkEnd w:id="24"/>
      <w:bookmarkEnd w:id="25"/>
    </w:p>
    <w:p w14:paraId="1F65B6C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6.1</w:t>
      </w:r>
      <w:r>
        <w:rPr>
          <w:rFonts w:hint="eastAsia" w:hAnsi="宋体" w:cs="宋体"/>
          <w:snapToGrid w:val="0"/>
          <w:color w:val="auto"/>
          <w:kern w:val="0"/>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0B9508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6.2</w:t>
      </w:r>
      <w:r>
        <w:rPr>
          <w:rFonts w:hint="eastAsia" w:hAnsi="宋体" w:cs="宋体"/>
          <w:snapToGrid w:val="0"/>
          <w:color w:val="auto"/>
          <w:kern w:val="0"/>
          <w:highlight w:val="none"/>
        </w:rPr>
        <w:t xml:space="preserve"> 在现场踏勘过程中，投标人应确保自身安全，投标人如果发生人身伤亡、财物或其他损失，法律法规有规定的按有关规定处理，没有规定的由投标人自行负责。</w:t>
      </w:r>
    </w:p>
    <w:p w14:paraId="299F308C">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highlight w:val="none"/>
        </w:rPr>
      </w:pPr>
      <w:r>
        <w:rPr>
          <w:rFonts w:hint="eastAsia" w:hAnsi="宋体" w:cs="宋体"/>
          <w:b/>
          <w:bCs/>
          <w:snapToGrid w:val="0"/>
          <w:color w:val="auto"/>
          <w:kern w:val="0"/>
          <w:highlight w:val="none"/>
        </w:rPr>
        <w:t>6.3</w:t>
      </w:r>
      <w:r>
        <w:rPr>
          <w:rFonts w:hint="eastAsia" w:hAnsi="宋体" w:cs="宋体"/>
          <w:snapToGrid w:val="0"/>
          <w:color w:val="auto"/>
          <w:kern w:val="0"/>
          <w:highlight w:val="none"/>
        </w:rPr>
        <w:t xml:space="preserve"> 现场踏勘期间的交通、食宿由投标人自行安排，费用自理。</w:t>
      </w:r>
    </w:p>
    <w:p w14:paraId="7ACE9C36">
      <w:pPr>
        <w:pStyle w:val="4"/>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26" w:name="_Toc231"/>
      <w:bookmarkStart w:id="27" w:name="_Toc8198"/>
      <w:r>
        <w:rPr>
          <w:rFonts w:hint="eastAsia" w:hAnsi="宋体" w:cs="宋体"/>
          <w:b/>
          <w:snapToGrid w:val="0"/>
          <w:color w:val="auto"/>
          <w:highlight w:val="none"/>
        </w:rPr>
        <w:t>7．招标文件的提问和答疑</w:t>
      </w:r>
      <w:bookmarkEnd w:id="26"/>
      <w:bookmarkEnd w:id="27"/>
      <w:bookmarkStart w:id="28" w:name="_Hlt74496410"/>
      <w:bookmarkEnd w:id="28"/>
    </w:p>
    <w:p w14:paraId="1498B16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lang w:bidi="ar"/>
        </w:rPr>
      </w:pPr>
      <w:r>
        <w:rPr>
          <w:rFonts w:hint="eastAsia" w:hAnsi="宋体" w:cs="宋体"/>
          <w:b/>
          <w:bCs/>
          <w:snapToGrid w:val="0"/>
          <w:color w:val="auto"/>
          <w:kern w:val="0"/>
          <w:highlight w:val="none"/>
        </w:rPr>
        <w:t>7.1</w:t>
      </w:r>
      <w:r>
        <w:rPr>
          <w:rFonts w:hint="eastAsia" w:hAnsi="宋体" w:cs="宋体"/>
          <w:snapToGrid w:val="0"/>
          <w:color w:val="auto"/>
          <w:kern w:val="0"/>
          <w:highlight w:val="none"/>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auto"/>
          <w:kern w:val="0"/>
          <w:szCs w:val="24"/>
          <w:highlight w:val="none"/>
          <w:lang w:bidi="ar"/>
        </w:rPr>
        <w:t>。</w:t>
      </w:r>
    </w:p>
    <w:p w14:paraId="45D1F83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7.2 </w:t>
      </w:r>
      <w:r>
        <w:rPr>
          <w:rFonts w:hint="eastAsia" w:hAnsi="宋体" w:cs="宋体"/>
          <w:snapToGrid w:val="0"/>
          <w:color w:val="auto"/>
          <w:kern w:val="0"/>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BD116F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7.3</w:t>
      </w:r>
      <w:r>
        <w:rPr>
          <w:rFonts w:hint="eastAsia" w:hAnsi="宋体" w:cs="宋体"/>
          <w:snapToGrid w:val="0"/>
          <w:color w:val="auto"/>
          <w:kern w:val="0"/>
          <w:highlight w:val="none"/>
        </w:rPr>
        <w:t xml:space="preserve"> 招标人对招标文件所作的答疑（或修改）公告，构成招标文件的组成部分。</w:t>
      </w:r>
    </w:p>
    <w:p w14:paraId="3906303B">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highlight w:val="none"/>
        </w:rPr>
      </w:pPr>
      <w:bookmarkStart w:id="29" w:name="_Hlt69699188"/>
      <w:bookmarkEnd w:id="29"/>
      <w:bookmarkStart w:id="30" w:name="_Hlt92513711"/>
      <w:bookmarkEnd w:id="30"/>
      <w:bookmarkStart w:id="31" w:name="_Hlt92513715"/>
      <w:bookmarkEnd w:id="31"/>
      <w:bookmarkStart w:id="32" w:name="_Toc23036"/>
      <w:bookmarkStart w:id="33" w:name="_Toc20134"/>
      <w:r>
        <w:rPr>
          <w:rFonts w:hint="eastAsia" w:hAnsi="宋体" w:cs="宋体"/>
          <w:b/>
          <w:snapToGrid w:val="0"/>
          <w:color w:val="auto"/>
          <w:highlight w:val="none"/>
        </w:rPr>
        <w:t>8．最高投标限价</w:t>
      </w:r>
      <w:bookmarkEnd w:id="32"/>
      <w:bookmarkEnd w:id="33"/>
    </w:p>
    <w:p w14:paraId="64DE536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8.1</w:t>
      </w:r>
      <w:r>
        <w:rPr>
          <w:rFonts w:hint="eastAsia" w:hAnsi="宋体" w:cs="宋体"/>
          <w:snapToGrid w:val="0"/>
          <w:color w:val="auto"/>
          <w:kern w:val="0"/>
          <w:highlight w:val="none"/>
        </w:rPr>
        <w:t xml:space="preserve"> 本招标项目参考以下依据编制最高投标限价：</w:t>
      </w:r>
    </w:p>
    <w:p w14:paraId="0983EF7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（1）项目</w:t>
      </w:r>
      <w:r>
        <w:rPr>
          <w:rFonts w:hint="eastAsia" w:ascii="Times New Roman"/>
          <w:snapToGrid w:val="0"/>
          <w:color w:val="auto"/>
          <w:kern w:val="0"/>
          <w:highlight w:val="none"/>
        </w:rPr>
        <w:t>概算</w:t>
      </w:r>
      <w:r>
        <w:rPr>
          <w:rFonts w:hint="eastAsia" w:hAnsi="宋体" w:cs="宋体"/>
          <w:snapToGrid w:val="0"/>
          <w:color w:val="auto"/>
          <w:kern w:val="0"/>
          <w:highlight w:val="none"/>
        </w:rPr>
        <w:t>投资额；</w:t>
      </w:r>
    </w:p>
    <w:p w14:paraId="1A9F8FD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（2）《建设工程监理与相关服务收费标准》；</w:t>
      </w:r>
    </w:p>
    <w:p w14:paraId="32C2B58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（3）监理及相关服务内容；</w:t>
      </w:r>
    </w:p>
    <w:p w14:paraId="645C97D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（4）施工现场情况、工程特点；</w:t>
      </w:r>
    </w:p>
    <w:p w14:paraId="0439B09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（5）项目所在地市场价格。</w:t>
      </w:r>
    </w:p>
    <w:p w14:paraId="729BA8FC">
      <w:pPr>
        <w:pStyle w:val="39"/>
        <w:keepNext w:val="0"/>
        <w:keepLines w:val="0"/>
        <w:pageBreakBefore w:val="0"/>
        <w:topLinePunct w:val="0"/>
        <w:bidi w:val="0"/>
        <w:spacing w:line="500" w:lineRule="exact"/>
        <w:jc w:val="left"/>
        <w:textAlignment w:val="auto"/>
        <w:rPr>
          <w:rFonts w:hint="eastAsia" w:ascii="宋体" w:hAnsi="宋体" w:eastAsia="宋体" w:cs="宋体"/>
          <w:b w:val="0"/>
          <w:bCs/>
          <w:color w:val="auto"/>
          <w:sz w:val="24"/>
          <w:highlight w:val="none"/>
          <w:u w:val="none"/>
        </w:rPr>
      </w:pPr>
      <w:r>
        <w:rPr>
          <w:rFonts w:hint="eastAsia" w:ascii="宋体" w:hAnsi="宋体" w:cs="宋体"/>
          <w:bCs/>
          <w:snapToGrid w:val="0"/>
          <w:color w:val="auto"/>
          <w:kern w:val="0"/>
          <w:sz w:val="24"/>
          <w:highlight w:val="none"/>
        </w:rPr>
        <w:t xml:space="preserve">   8.2</w:t>
      </w:r>
      <w:r>
        <w:rPr>
          <w:rFonts w:hint="eastAsia" w:ascii="宋体" w:hAnsi="宋体" w:cs="宋体"/>
          <w:snapToGrid w:val="0"/>
          <w:color w:val="auto"/>
          <w:kern w:val="0"/>
          <w:sz w:val="24"/>
          <w:highlight w:val="none"/>
        </w:rPr>
        <w:t xml:space="preserve"> </w:t>
      </w:r>
      <w:r>
        <w:rPr>
          <w:rFonts w:hint="eastAsia" w:ascii="宋体" w:hAnsi="宋体" w:cs="宋体"/>
          <w:b w:val="0"/>
          <w:bCs/>
          <w:snapToGrid w:val="0"/>
          <w:color w:val="auto"/>
          <w:kern w:val="0"/>
          <w:sz w:val="24"/>
          <w:highlight w:val="none"/>
        </w:rPr>
        <w:t>本次招标最高投标限价为人民币（大写）：</w:t>
      </w:r>
      <w:r>
        <w:rPr>
          <w:rFonts w:hint="eastAsia" w:hAnsi="宋体" w:cs="宋体"/>
          <w:b w:val="0"/>
          <w:bCs/>
          <w:snapToGrid w:val="0"/>
          <w:color w:val="auto"/>
          <w:kern w:val="0"/>
          <w:sz w:val="24"/>
          <w:highlight w:val="none"/>
          <w:u w:val="single"/>
          <w:lang w:val="en-US" w:eastAsia="zh-CN"/>
        </w:rPr>
        <w:t>叁拾捌万贰仟柒佰伍拾伍元伍角肆分（¥382755.54元）</w:t>
      </w:r>
      <w:r>
        <w:rPr>
          <w:rFonts w:hint="eastAsia" w:hAnsi="宋体" w:cs="宋体"/>
          <w:b w:val="0"/>
          <w:bCs/>
          <w:snapToGrid w:val="0"/>
          <w:color w:val="auto"/>
          <w:kern w:val="0"/>
          <w:sz w:val="24"/>
          <w:highlight w:val="none"/>
          <w:u w:val="none"/>
          <w:lang w:val="en-US" w:eastAsia="zh-CN"/>
        </w:rPr>
        <w:t>，监理服务费投标取费费率上限为</w:t>
      </w:r>
      <w:r>
        <w:rPr>
          <w:rFonts w:hint="eastAsia" w:hAnsi="宋体" w:cs="宋体"/>
          <w:b w:val="0"/>
          <w:bCs/>
          <w:snapToGrid w:val="0"/>
          <w:color w:val="auto"/>
          <w:kern w:val="0"/>
          <w:sz w:val="24"/>
          <w:highlight w:val="none"/>
          <w:u w:val="single"/>
          <w:lang w:val="en-US" w:eastAsia="zh-CN"/>
        </w:rPr>
        <w:t>2.170</w:t>
      </w:r>
      <w:r>
        <w:rPr>
          <w:rFonts w:hint="eastAsia" w:hAnsi="宋体" w:cs="宋体"/>
          <w:b w:val="0"/>
          <w:bCs/>
          <w:snapToGrid w:val="0"/>
          <w:color w:val="auto"/>
          <w:kern w:val="0"/>
          <w:sz w:val="24"/>
          <w:highlight w:val="none"/>
          <w:u w:val="none"/>
          <w:lang w:val="en-US" w:eastAsia="zh-CN"/>
        </w:rPr>
        <w:t>%</w:t>
      </w:r>
      <w:r>
        <w:rPr>
          <w:rFonts w:hint="eastAsia" w:ascii="宋体" w:hAnsi="宋体" w:eastAsia="宋体" w:cs="宋体"/>
          <w:b w:val="0"/>
          <w:bCs/>
          <w:snapToGrid w:val="0"/>
          <w:color w:val="auto"/>
          <w:kern w:val="0"/>
          <w:sz w:val="24"/>
          <w:highlight w:val="none"/>
          <w:u w:val="none"/>
        </w:rPr>
        <w:t>。</w:t>
      </w:r>
    </w:p>
    <w:p w14:paraId="08F85732">
      <w:pPr>
        <w:pStyle w:val="4"/>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34" w:name="_Toc7437"/>
      <w:bookmarkStart w:id="35" w:name="_Toc23956"/>
      <w:r>
        <w:rPr>
          <w:rFonts w:hint="eastAsia" w:hAnsi="宋体" w:cs="宋体"/>
          <w:b/>
          <w:snapToGrid w:val="0"/>
          <w:color w:val="auto"/>
          <w:highlight w:val="none"/>
        </w:rPr>
        <w:t>9．投标报价</w:t>
      </w:r>
      <w:bookmarkEnd w:id="34"/>
      <w:bookmarkEnd w:id="35"/>
      <w:bookmarkStart w:id="36" w:name="_Hlt74498519"/>
      <w:bookmarkEnd w:id="36"/>
    </w:p>
    <w:p w14:paraId="7BFA7456">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9.1</w:t>
      </w:r>
      <w:r>
        <w:rPr>
          <w:rFonts w:hint="eastAsia" w:hAnsi="宋体" w:cs="宋体"/>
          <w:snapToGrid w:val="0"/>
          <w:color w:val="auto"/>
          <w:kern w:val="0"/>
          <w:highlight w:val="none"/>
        </w:rPr>
        <w:t xml:space="preserve"> 本次招标采用填报</w:t>
      </w:r>
      <w:r>
        <w:rPr>
          <w:rFonts w:hint="eastAsia" w:hAnsi="宋体" w:cs="宋体"/>
          <w:snapToGrid w:val="0"/>
          <w:color w:val="auto"/>
          <w:kern w:val="0"/>
          <w:highlight w:val="none"/>
          <w:u w:val="single"/>
        </w:rPr>
        <w:t xml:space="preserve"> 投标报价及取费费率 </w:t>
      </w:r>
      <w:r>
        <w:rPr>
          <w:rFonts w:hint="eastAsia" w:hAnsi="宋体" w:cs="宋体"/>
          <w:snapToGrid w:val="0"/>
          <w:color w:val="auto"/>
          <w:kern w:val="0"/>
          <w:highlight w:val="none"/>
        </w:rPr>
        <w:t>的方式进行报价。投标人应在《投标函》（格式二）中进行报价。</w:t>
      </w:r>
    </w:p>
    <w:p w14:paraId="13E29C95">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hAnsi="宋体" w:cs="宋体"/>
          <w:snapToGrid w:val="0"/>
          <w:color w:val="auto"/>
          <w:kern w:val="0"/>
          <w:highlight w:val="none"/>
        </w:rPr>
      </w:pPr>
      <w:r>
        <w:rPr>
          <w:rFonts w:hint="eastAsia" w:hAnsi="宋体" w:cs="宋体"/>
          <w:b/>
          <w:bCs/>
          <w:snapToGrid w:val="0"/>
          <w:color w:val="auto"/>
          <w:kern w:val="0"/>
          <w:highlight w:val="none"/>
        </w:rPr>
        <w:t>9.2</w:t>
      </w:r>
      <w:r>
        <w:rPr>
          <w:rFonts w:hint="eastAsia" w:hAnsi="宋体" w:cs="宋体"/>
          <w:snapToGrid w:val="0"/>
          <w:color w:val="auto"/>
          <w:kern w:val="0"/>
          <w:highlight w:val="none"/>
        </w:rPr>
        <w:t xml:space="preserve"> 所有报价均以人民币“元”为单位，并保留两位小数。投标取费费率=投标总价÷建安工程费暂定价×100%，并保留</w:t>
      </w:r>
      <w:r>
        <w:rPr>
          <w:rFonts w:hint="eastAsia" w:hAnsi="宋体" w:cs="宋体"/>
          <w:snapToGrid w:val="0"/>
          <w:color w:val="auto"/>
          <w:kern w:val="0"/>
          <w:highlight w:val="none"/>
          <w:lang w:val="en-US" w:eastAsia="zh-CN"/>
        </w:rPr>
        <w:t>三</w:t>
      </w:r>
      <w:r>
        <w:rPr>
          <w:rFonts w:hint="eastAsia" w:hAnsi="宋体" w:cs="宋体"/>
          <w:snapToGrid w:val="0"/>
          <w:color w:val="auto"/>
          <w:kern w:val="0"/>
          <w:highlight w:val="none"/>
        </w:rPr>
        <w:t>位小数。</w:t>
      </w:r>
    </w:p>
    <w:p w14:paraId="21C89D7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b w:val="0"/>
          <w:bCs w:val="0"/>
          <w:snapToGrid w:val="0"/>
          <w:color w:val="auto"/>
          <w:kern w:val="0"/>
          <w:highlight w:val="none"/>
        </w:rPr>
        <w:t>本项目的建安工程费暂定价为人民币</w:t>
      </w:r>
      <w:r>
        <w:rPr>
          <w:rFonts w:hint="eastAsia" w:hAnsi="宋体" w:cs="宋体"/>
          <w:b w:val="0"/>
          <w:bCs w:val="0"/>
          <w:snapToGrid w:val="0"/>
          <w:color w:val="auto"/>
          <w:kern w:val="0"/>
          <w:highlight w:val="none"/>
          <w:lang w:val="en-US" w:eastAsia="zh-CN"/>
        </w:rPr>
        <w:t>17638503.95</w:t>
      </w:r>
      <w:r>
        <w:rPr>
          <w:rFonts w:hint="eastAsia" w:hAnsi="宋体" w:cs="宋体"/>
          <w:b w:val="0"/>
          <w:bCs w:val="0"/>
          <w:snapToGrid w:val="0"/>
          <w:color w:val="auto"/>
          <w:kern w:val="0"/>
          <w:highlight w:val="none"/>
        </w:rPr>
        <w:t>元。</w:t>
      </w:r>
    </w:p>
    <w:p w14:paraId="1F6DB8B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hAnsi="宋体" w:cs="宋体"/>
          <w:b w:val="0"/>
          <w:bCs w:val="0"/>
          <w:snapToGrid w:val="0"/>
          <w:color w:val="auto"/>
          <w:kern w:val="0"/>
          <w:highlight w:val="none"/>
        </w:rPr>
      </w:pPr>
      <w:r>
        <w:rPr>
          <w:rFonts w:hint="eastAsia" w:hAnsi="宋体" w:cs="宋体"/>
          <w:b/>
          <w:bCs/>
          <w:snapToGrid w:val="0"/>
          <w:color w:val="auto"/>
          <w:kern w:val="0"/>
          <w:highlight w:val="none"/>
        </w:rPr>
        <w:t xml:space="preserve">9.3 </w:t>
      </w:r>
      <w:r>
        <w:rPr>
          <w:rFonts w:hint="eastAsia" w:hAnsi="宋体" w:cs="宋体"/>
          <w:b w:val="0"/>
          <w:bCs w:val="0"/>
          <w:snapToGrid w:val="0"/>
          <w:color w:val="auto"/>
          <w:kern w:val="0"/>
          <w:highlight w:val="none"/>
        </w:rPr>
        <w:t>监理服务费结算价在项目的合同价范围内按实结算，即：以县财政投资评审中心审核后的建安工程费为基数乘以监理人中标取费费率计算，若监理服务费结算总价超过签约合同价，则按签约合同价包干结算；若监理服务费结算总价未超过签约合同价，则按以县财政投资评审中心审核后的建安工程费为基数乘以监理人中标取费费率计算的结算价进行结算，监理服务费最终结算价以翁源县财政局投资评审中心审定为准。</w:t>
      </w:r>
    </w:p>
    <w:p w14:paraId="3F602751">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ascii="宋体" w:hAnsi="宋体" w:eastAsia="宋体" w:cs="宋体"/>
          <w:b/>
          <w:bCs/>
          <w:snapToGrid w:val="0"/>
          <w:color w:val="auto"/>
          <w:kern w:val="0"/>
          <w:highlight w:val="none"/>
          <w:lang w:val="en-US" w:eastAsia="zh-CN"/>
        </w:rPr>
        <w:t>9.4</w:t>
      </w:r>
      <w:r>
        <w:rPr>
          <w:rFonts w:hint="eastAsia" w:hAnsi="宋体" w:cs="宋体"/>
          <w:snapToGrid w:val="0"/>
          <w:color w:val="auto"/>
          <w:kern w:val="0"/>
          <w:szCs w:val="24"/>
          <w:highlight w:val="none"/>
          <w:lang w:val="en-US" w:eastAsia="zh-CN"/>
        </w:rPr>
        <w:t xml:space="preserve"> </w:t>
      </w:r>
      <w:r>
        <w:rPr>
          <w:rFonts w:hint="eastAsia" w:hAnsi="宋体" w:cs="宋体"/>
          <w:snapToGrid w:val="0"/>
          <w:color w:val="auto"/>
          <w:kern w:val="0"/>
          <w:szCs w:val="24"/>
          <w:highlight w:val="none"/>
        </w:rPr>
        <w:t>投标人只允许有一个投标总价。投标总价必须同时用大、小写表示，大、小写报价应保持一致，若不一致，以大写报价为准。</w:t>
      </w:r>
    </w:p>
    <w:p w14:paraId="6368BE5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5 </w:t>
      </w:r>
      <w:r>
        <w:rPr>
          <w:rFonts w:hint="eastAsia" w:hAnsi="宋体" w:cs="宋体"/>
          <w:snapToGrid w:val="0"/>
          <w:color w:val="auto"/>
          <w:kern w:val="0"/>
          <w:szCs w:val="24"/>
          <w:highlight w:val="none"/>
        </w:rPr>
        <w:t>投标总价应包括国家规定的增值税税金。本次招标增值税税金按</w:t>
      </w:r>
      <w:r>
        <w:rPr>
          <w:rFonts w:hint="eastAsia" w:hAnsi="宋体" w:cs="宋体"/>
          <w:snapToGrid w:val="0"/>
          <w:color w:val="auto"/>
          <w:kern w:val="0"/>
          <w:szCs w:val="24"/>
          <w:highlight w:val="none"/>
          <w:u w:val="single"/>
        </w:rPr>
        <w:t xml:space="preserve"> 一般 </w:t>
      </w:r>
      <w:r>
        <w:rPr>
          <w:rFonts w:hint="eastAsia" w:hAnsi="宋体" w:cs="宋体"/>
          <w:snapToGrid w:val="0"/>
          <w:color w:val="auto"/>
          <w:kern w:val="0"/>
          <w:szCs w:val="24"/>
          <w:highlight w:val="none"/>
        </w:rPr>
        <w:t>计税方法计算。</w:t>
      </w:r>
    </w:p>
    <w:p w14:paraId="19B4E766">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6 </w:t>
      </w:r>
      <w:r>
        <w:rPr>
          <w:rFonts w:hint="eastAsia" w:ascii="Times New Roman"/>
          <w:snapToGrid w:val="0"/>
          <w:color w:val="auto"/>
          <w:kern w:val="0"/>
          <w:highlight w:val="none"/>
        </w:rPr>
        <w:t>投标总价不得高于最高投标限价，也不得低于成本。</w:t>
      </w:r>
    </w:p>
    <w:p w14:paraId="10121C5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szCs w:val="24"/>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7 </w:t>
      </w:r>
      <w:r>
        <w:rPr>
          <w:rFonts w:hint="eastAsia" w:hAnsi="宋体" w:cs="宋体"/>
          <w:snapToGrid w:val="0"/>
          <w:color w:val="auto"/>
          <w:kern w:val="0"/>
          <w:szCs w:val="24"/>
          <w:highlight w:val="none"/>
        </w:rPr>
        <w:t>投标人应充分了解招标项目的总体情况以及影响投标报价的其他要素。</w:t>
      </w:r>
      <w:bookmarkStart w:id="37" w:name="_（十）投标文件的编制、包装、密封"/>
      <w:bookmarkEnd w:id="37"/>
    </w:p>
    <w:p w14:paraId="182D9B17">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trike/>
          <w:snapToGrid w:val="0"/>
          <w:color w:val="auto"/>
          <w:szCs w:val="24"/>
          <w:highlight w:val="none"/>
        </w:rPr>
      </w:pPr>
      <w:bookmarkStart w:id="38" w:name="_Toc684"/>
      <w:bookmarkStart w:id="39" w:name="_Toc30777"/>
      <w:r>
        <w:rPr>
          <w:rFonts w:hint="eastAsia" w:hAnsi="宋体" w:cs="宋体"/>
          <w:b/>
          <w:snapToGrid w:val="0"/>
          <w:color w:val="auto"/>
          <w:szCs w:val="24"/>
          <w:highlight w:val="none"/>
        </w:rPr>
        <w:t>10．投标文件的编制</w:t>
      </w:r>
      <w:bookmarkStart w:id="40" w:name="_Hlt69332370"/>
      <w:bookmarkEnd w:id="40"/>
      <w:bookmarkStart w:id="41" w:name="_Hlt69208262"/>
      <w:bookmarkEnd w:id="41"/>
      <w:r>
        <w:rPr>
          <w:rFonts w:hint="eastAsia" w:hAnsi="宋体" w:cs="宋体"/>
          <w:b/>
          <w:snapToGrid w:val="0"/>
          <w:color w:val="auto"/>
          <w:szCs w:val="24"/>
          <w:highlight w:val="none"/>
        </w:rPr>
        <w:t>要求</w:t>
      </w:r>
      <w:bookmarkEnd w:id="38"/>
      <w:bookmarkEnd w:id="39"/>
      <w:bookmarkStart w:id="42" w:name="_Hlt78768224"/>
      <w:bookmarkEnd w:id="42"/>
      <w:bookmarkStart w:id="43" w:name="_Hlt74495594"/>
      <w:bookmarkEnd w:id="43"/>
      <w:bookmarkStart w:id="44" w:name="_Hlt74497202"/>
      <w:bookmarkEnd w:id="44"/>
    </w:p>
    <w:p w14:paraId="41A663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kern w:val="0"/>
          <w:szCs w:val="24"/>
          <w:highlight w:val="none"/>
        </w:rPr>
      </w:pPr>
      <w:r>
        <w:rPr>
          <w:rFonts w:hint="eastAsia" w:hAnsi="宋体" w:cs="宋体"/>
          <w:b/>
          <w:bCs/>
          <w:snapToGrid w:val="0"/>
          <w:color w:val="auto"/>
          <w:kern w:val="0"/>
          <w:szCs w:val="24"/>
          <w:highlight w:val="none"/>
        </w:rPr>
        <w:t>10.1</w:t>
      </w:r>
      <w:r>
        <w:rPr>
          <w:rFonts w:hint="eastAsia" w:hAnsi="宋体" w:cs="宋体"/>
          <w:bCs/>
          <w:snapToGrid w:val="0"/>
          <w:color w:val="auto"/>
          <w:kern w:val="0"/>
          <w:szCs w:val="24"/>
          <w:highlight w:val="none"/>
        </w:rPr>
        <w:t xml:space="preserve"> 一般要求</w:t>
      </w:r>
    </w:p>
    <w:p w14:paraId="35DD415F">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bookmarkStart w:id="45" w:name="_Hlt74496890"/>
      <w:bookmarkEnd w:id="45"/>
      <w:r>
        <w:rPr>
          <w:rFonts w:hint="eastAsia" w:hAnsi="宋体" w:cs="宋体"/>
          <w:snapToGrid w:val="0"/>
          <w:color w:val="auto"/>
          <w:kern w:val="0"/>
          <w:szCs w:val="24"/>
          <w:highlight w:val="none"/>
        </w:rPr>
        <w:t>投标文件应按第五章 投标文件格式规定的内容，投标人提交的投标文件应当使用招标文件所提供的投标文件全部格式。</w:t>
      </w:r>
    </w:p>
    <w:p w14:paraId="467E50B9">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10.1.1</w:t>
      </w:r>
      <w:r>
        <w:rPr>
          <w:rFonts w:hint="eastAsia" w:hAnsi="宋体" w:cs="宋体"/>
          <w:snapToGrid w:val="0"/>
          <w:color w:val="auto"/>
          <w:kern w:val="0"/>
          <w:szCs w:val="24"/>
          <w:highlight w:val="none"/>
        </w:rPr>
        <w:t>投标人必须响应招标文件，并在充分理解招标文件的基础上编制投标文件。因投标文件不符合招标文件的要求而造成的损失和后果，由投标人自行承担。</w:t>
      </w:r>
    </w:p>
    <w:p w14:paraId="59E34259">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10.1.2</w:t>
      </w:r>
      <w:r>
        <w:rPr>
          <w:rFonts w:hint="eastAsia" w:hAnsi="宋体" w:cs="宋体"/>
          <w:snapToGrid w:val="0"/>
          <w:color w:val="auto"/>
          <w:kern w:val="0"/>
          <w:szCs w:val="24"/>
          <w:highlight w:val="none"/>
        </w:rPr>
        <w:t xml:space="preserve"> 投标文件包括商务标书、监理大纲两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3D5A4502">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w:t>
      </w:r>
      <w:r>
        <w:rPr>
          <w:rFonts w:hint="eastAsia" w:hAnsi="宋体" w:cs="宋体"/>
          <w:snapToGrid w:val="0"/>
          <w:color w:val="auto"/>
          <w:kern w:val="0"/>
          <w:szCs w:val="24"/>
          <w:highlight w:val="none"/>
        </w:rPr>
        <w:t xml:space="preserve"> 投标文件需按以下要求签字、盖章：</w:t>
      </w:r>
    </w:p>
    <w:p w14:paraId="756F2778">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10.1.3.1</w:t>
      </w:r>
      <w:r>
        <w:rPr>
          <w:rFonts w:hint="eastAsia" w:hAnsi="宋体" w:cs="宋体"/>
          <w:snapToGrid w:val="0"/>
          <w:color w:val="auto"/>
          <w:kern w:val="0"/>
          <w:szCs w:val="24"/>
          <w:highlight w:val="none"/>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0FB42055">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10.1.3.2</w:t>
      </w:r>
      <w:r>
        <w:rPr>
          <w:rFonts w:hint="eastAsia" w:hAnsi="宋体" w:cs="宋体"/>
          <w:snapToGrid w:val="0"/>
          <w:color w:val="auto"/>
          <w:kern w:val="0"/>
          <w:szCs w:val="24"/>
          <w:highlight w:val="none"/>
        </w:rPr>
        <w:t xml:space="preserve"> 投标文件封套、封面、组成内容中凡要求录入投标人名称且注明“盖单位章”处盖单位法人公章（电子印章）。</w:t>
      </w:r>
    </w:p>
    <w:p w14:paraId="02444178">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10.1.3.3</w:t>
      </w:r>
      <w:r>
        <w:rPr>
          <w:rFonts w:hint="eastAsia" w:hAnsi="宋体" w:cs="宋体"/>
          <w:snapToGrid w:val="0"/>
          <w:color w:val="auto"/>
          <w:kern w:val="0"/>
          <w:szCs w:val="24"/>
          <w:highlight w:val="none"/>
        </w:rPr>
        <w:t xml:space="preserve"> 投标文件的签字均为签字人本人亲笔署名或签章（电子印章），其余部分的扫描件无须另行签字、盖章。</w:t>
      </w:r>
    </w:p>
    <w:p w14:paraId="1D2984FA">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kern w:val="0"/>
          <w:szCs w:val="24"/>
          <w:highlight w:val="none"/>
        </w:rPr>
      </w:pPr>
      <w:bookmarkStart w:id="46" w:name="_Toc257031159"/>
      <w:bookmarkStart w:id="47" w:name="_Toc274313880"/>
      <w:r>
        <w:rPr>
          <w:rFonts w:hint="eastAsia" w:hAnsi="宋体" w:cs="宋体"/>
          <w:b/>
          <w:bCs/>
          <w:snapToGrid w:val="0"/>
          <w:color w:val="auto"/>
          <w:kern w:val="0"/>
          <w:szCs w:val="24"/>
          <w:highlight w:val="none"/>
        </w:rPr>
        <w:t>10.2</w:t>
      </w:r>
      <w:r>
        <w:rPr>
          <w:rFonts w:hint="eastAsia" w:hAnsi="宋体" w:cs="宋体"/>
          <w:bCs/>
          <w:snapToGrid w:val="0"/>
          <w:color w:val="auto"/>
          <w:kern w:val="0"/>
          <w:szCs w:val="24"/>
          <w:highlight w:val="none"/>
        </w:rPr>
        <w:t xml:space="preserve"> 商务标书的编制要求</w:t>
      </w:r>
      <w:bookmarkEnd w:id="46"/>
      <w:bookmarkEnd w:id="47"/>
    </w:p>
    <w:p w14:paraId="209EADCE">
      <w:pPr>
        <w:keepNext w:val="0"/>
        <w:keepLines w:val="0"/>
        <w:pageBreakBefore w:val="0"/>
        <w:wordWrap w:val="0"/>
        <w:topLinePunct w:val="0"/>
        <w:bidi w:val="0"/>
        <w:adjustRightInd w:val="0"/>
        <w:snapToGrid w:val="0"/>
        <w:spacing w:line="500" w:lineRule="exact"/>
        <w:ind w:firstLine="561"/>
        <w:textAlignment w:val="auto"/>
        <w:rPr>
          <w:rFonts w:hAnsi="宋体" w:cs="宋体"/>
          <w:snapToGrid w:val="0"/>
          <w:color w:val="auto"/>
          <w:kern w:val="0"/>
          <w:szCs w:val="24"/>
          <w:highlight w:val="none"/>
          <w:u w:val="single"/>
        </w:rPr>
      </w:pP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 xml:space="preserve"> </w:t>
      </w:r>
      <w:r>
        <w:rPr>
          <w:rFonts w:hint="eastAsia" w:hAnsi="宋体" w:cs="宋体"/>
          <w:bCs/>
          <w:snapToGrid w:val="0"/>
          <w:color w:val="auto"/>
          <w:kern w:val="0"/>
          <w:szCs w:val="24"/>
          <w:highlight w:val="none"/>
        </w:rPr>
        <w:t>商务标书</w:t>
      </w:r>
      <w:r>
        <w:rPr>
          <w:rFonts w:hint="eastAsia" w:hAnsi="宋体" w:cs="宋体"/>
          <w:snapToGrid w:val="0"/>
          <w:color w:val="auto"/>
          <w:kern w:val="0"/>
          <w:szCs w:val="24"/>
          <w:highlight w:val="none"/>
        </w:rPr>
        <w:t>包括但不限于以下内容：</w:t>
      </w:r>
    </w:p>
    <w:p w14:paraId="48C459DB">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（1）封面（格式一）；</w:t>
      </w:r>
    </w:p>
    <w:p w14:paraId="17B55DC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（2）目录；</w:t>
      </w:r>
    </w:p>
    <w:p w14:paraId="194BBE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（3）《投标函》（格式二）；</w:t>
      </w:r>
    </w:p>
    <w:p w14:paraId="4D4654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（4）《各项承诺一览表》（格式三）；</w:t>
      </w:r>
    </w:p>
    <w:p w14:paraId="5F80BBD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（5）《授权委托书》（格式四）；</w:t>
      </w:r>
    </w:p>
    <w:p w14:paraId="48D780F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（6）《法定代表人身份证明》（格式五）；</w:t>
      </w:r>
    </w:p>
    <w:p w14:paraId="6AC6B6C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0EFBD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（8）《投标人基本情况表》（格式六）及所附资料；</w:t>
      </w:r>
    </w:p>
    <w:p w14:paraId="1B42CD2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（9）《总监理工程师任职声明》（格式七或格式八，由投标人根据拟派总监理工程师任职情况选用）；</w:t>
      </w:r>
    </w:p>
    <w:p w14:paraId="69C941F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（10）《总监理工程师任职项目情况表》（格式九）及所附资料；</w:t>
      </w:r>
    </w:p>
    <w:p w14:paraId="1BB1C9C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（11）《项目监理机构组成人员汇总表》（格式十）；</w:t>
      </w:r>
    </w:p>
    <w:p w14:paraId="44A9562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（12）《总监理工程师简历表》（格式十一）及所附资料；</w:t>
      </w:r>
    </w:p>
    <w:p w14:paraId="18EF2A8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（13）《其他拟派人员简历表》（格式十二）及所附资料；</w:t>
      </w:r>
    </w:p>
    <w:p w14:paraId="74B8BC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（14）详细评审阶段要求提供的评审资料（详见本节第</w:t>
      </w:r>
      <w:r>
        <w:rPr>
          <w:rFonts w:hint="eastAsia" w:hAnsi="宋体" w:cs="宋体"/>
          <w:b/>
          <w:bCs/>
          <w:snapToGrid w:val="0"/>
          <w:color w:val="auto"/>
          <w:kern w:val="0"/>
          <w:szCs w:val="24"/>
          <w:highlight w:val="none"/>
        </w:rPr>
        <w:t>15.5.1</w:t>
      </w:r>
      <w:r>
        <w:rPr>
          <w:rFonts w:hint="eastAsia" w:hAnsi="宋体" w:cs="宋体"/>
          <w:snapToGrid w:val="0"/>
          <w:color w:val="auto"/>
          <w:kern w:val="0"/>
          <w:szCs w:val="24"/>
          <w:highlight w:val="none"/>
        </w:rPr>
        <w:t>目）；</w:t>
      </w:r>
    </w:p>
    <w:p w14:paraId="65548FB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15）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6FA9E74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10.2.2</w:t>
      </w:r>
      <w:r>
        <w:rPr>
          <w:rFonts w:hint="eastAsia" w:hAnsi="宋体" w:cs="宋体"/>
          <w:snapToGrid w:val="0"/>
          <w:color w:val="auto"/>
          <w:kern w:val="0"/>
          <w:szCs w:val="24"/>
          <w:highlight w:val="none"/>
        </w:rPr>
        <w:t xml:space="preserve"> 本节第</w:t>
      </w: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目中所列出的商务标书组成内容中，第（1）至第（13）项所有投标人均应提供。</w:t>
      </w:r>
      <w:r>
        <w:rPr>
          <w:rFonts w:hint="eastAsia" w:hAnsi="宋体" w:cs="宋体"/>
          <w:b/>
          <w:bCs/>
          <w:snapToGrid w:val="0"/>
          <w:color w:val="auto"/>
          <w:kern w:val="0"/>
          <w:szCs w:val="24"/>
          <w:highlight w:val="none"/>
        </w:rPr>
        <w:t>但拟派总监理工程师现阶段未担任任何在施建设工程项目总监理工程师的，无需提供第（10）项内容。</w:t>
      </w:r>
    </w:p>
    <w:p w14:paraId="4EA0BD70">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10.2.3</w:t>
      </w:r>
      <w:r>
        <w:rPr>
          <w:rFonts w:hint="eastAsia" w:hAnsi="宋体" w:cs="宋体"/>
          <w:snapToGrid w:val="0"/>
          <w:color w:val="auto"/>
          <w:kern w:val="0"/>
          <w:szCs w:val="24"/>
          <w:highlight w:val="none"/>
        </w:rPr>
        <w:t xml:space="preserve"> 商务标书的组成内容按本节第</w:t>
      </w: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目规定的顺序整理、编排后，逐页（页码起始从封面开始）连续标记页码。</w:t>
      </w:r>
    </w:p>
    <w:p w14:paraId="5B77C9E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
          <w:bCs/>
          <w:snapToGrid w:val="0"/>
          <w:color w:val="auto"/>
          <w:kern w:val="0"/>
          <w:szCs w:val="24"/>
          <w:highlight w:val="none"/>
        </w:rPr>
        <w:t>10.3</w:t>
      </w:r>
      <w:r>
        <w:rPr>
          <w:rFonts w:hint="eastAsia" w:hAnsi="宋体" w:cs="宋体"/>
          <w:bCs/>
          <w:snapToGrid w:val="0"/>
          <w:color w:val="auto"/>
          <w:kern w:val="0"/>
          <w:szCs w:val="24"/>
          <w:highlight w:val="none"/>
        </w:rPr>
        <w:t xml:space="preserve"> 监理大纲的编制要求</w:t>
      </w:r>
    </w:p>
    <w:p w14:paraId="5A96503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
          <w:snapToGrid w:val="0"/>
          <w:color w:val="auto"/>
          <w:kern w:val="0"/>
          <w:szCs w:val="24"/>
          <w:highlight w:val="none"/>
        </w:rPr>
        <w:t>10.3.1</w:t>
      </w:r>
      <w:r>
        <w:rPr>
          <w:rFonts w:hint="eastAsia" w:hAnsi="宋体" w:cs="宋体"/>
          <w:bCs/>
          <w:snapToGrid w:val="0"/>
          <w:color w:val="auto"/>
          <w:kern w:val="0"/>
          <w:szCs w:val="24"/>
          <w:highlight w:val="none"/>
        </w:rPr>
        <w:t xml:space="preserve"> 监理大纲</w:t>
      </w:r>
      <w:r>
        <w:rPr>
          <w:rFonts w:hint="eastAsia" w:hAnsi="宋体" w:cs="宋体"/>
          <w:snapToGrid w:val="0"/>
          <w:color w:val="auto"/>
          <w:kern w:val="0"/>
          <w:szCs w:val="24"/>
          <w:highlight w:val="none"/>
        </w:rPr>
        <w:t>的编制依据包括且不限于</w:t>
      </w:r>
      <w:r>
        <w:rPr>
          <w:rFonts w:hint="eastAsia" w:hAnsi="宋体" w:cs="宋体"/>
          <w:bCs/>
          <w:snapToGrid w:val="0"/>
          <w:color w:val="auto"/>
          <w:kern w:val="0"/>
          <w:szCs w:val="24"/>
          <w:highlight w:val="none"/>
        </w:rPr>
        <w:t>：</w:t>
      </w:r>
    </w:p>
    <w:p w14:paraId="34E3B350">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（1）招标文件及</w:t>
      </w:r>
      <w:r>
        <w:rPr>
          <w:rFonts w:hint="eastAsia" w:hAnsi="宋体" w:cs="宋体"/>
          <w:snapToGrid w:val="0"/>
          <w:color w:val="auto"/>
          <w:kern w:val="0"/>
          <w:szCs w:val="24"/>
          <w:highlight w:val="none"/>
        </w:rPr>
        <w:t>其答疑（或修改）公告；</w:t>
      </w:r>
    </w:p>
    <w:p w14:paraId="3CC5C04E">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（2）施工现场情况、工程特点；</w:t>
      </w:r>
    </w:p>
    <w:p w14:paraId="0728D743">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（3）相关法律、法规、规定；</w:t>
      </w:r>
    </w:p>
    <w:p w14:paraId="3A40A899">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4A8CC21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snapToGrid w:val="0"/>
          <w:color w:val="auto"/>
          <w:kern w:val="0"/>
          <w:szCs w:val="24"/>
          <w:highlight w:val="none"/>
        </w:rPr>
        <w:t>10.3.2</w:t>
      </w:r>
      <w:r>
        <w:rPr>
          <w:rFonts w:hint="eastAsia" w:hAnsi="宋体" w:cs="宋体"/>
          <w:bCs/>
          <w:snapToGrid w:val="0"/>
          <w:color w:val="auto"/>
          <w:kern w:val="0"/>
          <w:szCs w:val="24"/>
          <w:highlight w:val="none"/>
        </w:rPr>
        <w:t xml:space="preserve"> 监理大纲</w:t>
      </w:r>
      <w:r>
        <w:rPr>
          <w:rFonts w:hint="eastAsia" w:hAnsi="宋体" w:cs="宋体"/>
          <w:snapToGrid w:val="0"/>
          <w:color w:val="auto"/>
          <w:kern w:val="0"/>
          <w:szCs w:val="24"/>
          <w:highlight w:val="none"/>
        </w:rPr>
        <w:t>包括但不限于以下内容：</w:t>
      </w:r>
    </w:p>
    <w:p w14:paraId="0EF7354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（1）封面（格式一）；</w:t>
      </w:r>
    </w:p>
    <w:p w14:paraId="5A4084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（2）目录；</w:t>
      </w:r>
    </w:p>
    <w:p w14:paraId="28314E1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（3）监理工程概况；</w:t>
      </w:r>
    </w:p>
    <w:p w14:paraId="34DF6C2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（4）监理及相关服务的范围、内容；</w:t>
      </w:r>
    </w:p>
    <w:p w14:paraId="669B212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（5）监理及相关服务的依据、目标；</w:t>
      </w:r>
    </w:p>
    <w:p w14:paraId="729D7A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（6）项目监理机构设置（框图）、岗位职责；</w:t>
      </w:r>
    </w:p>
    <w:p w14:paraId="7BA8674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（7）监理及相关服务的工作程序、方法和制度；</w:t>
      </w:r>
    </w:p>
    <w:p w14:paraId="0E2C6BA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（8）拟投入的监理及相关服务人员；</w:t>
      </w:r>
    </w:p>
    <w:p w14:paraId="079E62E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（9）质量、进度、造价、安全、绿色施工监理措施；</w:t>
      </w:r>
    </w:p>
    <w:p w14:paraId="16B67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（10）合同、信息管理方案；</w:t>
      </w:r>
    </w:p>
    <w:p w14:paraId="02B4437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（11）组织协调内容及措施；</w:t>
      </w:r>
    </w:p>
    <w:p w14:paraId="1E541A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（12）监理及相关服务的工作重点、难点分析；</w:t>
      </w:r>
    </w:p>
    <w:p w14:paraId="38377DE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（13）对本工程监理及相关服务的合理化建议。</w:t>
      </w:r>
    </w:p>
    <w:p w14:paraId="69D5831B">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10.3.3</w:t>
      </w:r>
      <w:r>
        <w:rPr>
          <w:rFonts w:hint="eastAsia" w:hAnsi="宋体" w:cs="宋体"/>
          <w:snapToGrid w:val="0"/>
          <w:color w:val="auto"/>
          <w:kern w:val="0"/>
          <w:szCs w:val="24"/>
          <w:highlight w:val="none"/>
        </w:rPr>
        <w:t xml:space="preserve"> 本节第</w:t>
      </w:r>
      <w:r>
        <w:rPr>
          <w:rFonts w:hint="eastAsia" w:hAnsi="宋体" w:cs="宋体"/>
          <w:b/>
          <w:bCs/>
          <w:snapToGrid w:val="0"/>
          <w:color w:val="auto"/>
          <w:kern w:val="0"/>
          <w:szCs w:val="24"/>
          <w:highlight w:val="none"/>
        </w:rPr>
        <w:t>10.3.2</w:t>
      </w:r>
      <w:r>
        <w:rPr>
          <w:rFonts w:hint="eastAsia" w:hAnsi="宋体" w:cs="宋体"/>
          <w:snapToGrid w:val="0"/>
          <w:color w:val="auto"/>
          <w:kern w:val="0"/>
          <w:szCs w:val="24"/>
          <w:highlight w:val="none"/>
        </w:rPr>
        <w:t>目中所列出的</w:t>
      </w:r>
      <w:r>
        <w:rPr>
          <w:rFonts w:hint="eastAsia" w:hAnsi="宋体" w:cs="宋体"/>
          <w:bCs/>
          <w:snapToGrid w:val="0"/>
          <w:color w:val="auto"/>
          <w:kern w:val="0"/>
          <w:szCs w:val="24"/>
          <w:highlight w:val="none"/>
        </w:rPr>
        <w:t>监理大纲</w:t>
      </w:r>
      <w:r>
        <w:rPr>
          <w:rFonts w:hint="eastAsia" w:hAnsi="宋体" w:cs="宋体"/>
          <w:snapToGrid w:val="0"/>
          <w:color w:val="auto"/>
          <w:kern w:val="0"/>
          <w:szCs w:val="24"/>
          <w:highlight w:val="none"/>
        </w:rPr>
        <w:t>组成内容，所有投标人均应提供。</w:t>
      </w:r>
    </w:p>
    <w:p w14:paraId="5C74C3D5">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10.3.4</w:t>
      </w:r>
      <w:r>
        <w:rPr>
          <w:rFonts w:hint="eastAsia" w:hAnsi="宋体" w:cs="宋体"/>
          <w:snapToGrid w:val="0"/>
          <w:color w:val="auto"/>
          <w:kern w:val="0"/>
          <w:szCs w:val="24"/>
          <w:highlight w:val="none"/>
        </w:rPr>
        <w:t xml:space="preserve"> </w:t>
      </w:r>
      <w:r>
        <w:rPr>
          <w:rFonts w:hint="eastAsia" w:hAnsi="宋体" w:cs="宋体"/>
          <w:bCs/>
          <w:snapToGrid w:val="0"/>
          <w:color w:val="auto"/>
          <w:kern w:val="0"/>
          <w:szCs w:val="24"/>
          <w:highlight w:val="none"/>
        </w:rPr>
        <w:t>监理大纲</w:t>
      </w:r>
      <w:r>
        <w:rPr>
          <w:rFonts w:hint="eastAsia" w:hAnsi="宋体" w:cs="宋体"/>
          <w:snapToGrid w:val="0"/>
          <w:color w:val="auto"/>
          <w:kern w:val="0"/>
          <w:szCs w:val="24"/>
          <w:highlight w:val="none"/>
        </w:rPr>
        <w:t>的组成内容按本节第</w:t>
      </w:r>
      <w:r>
        <w:rPr>
          <w:rFonts w:hint="eastAsia" w:hAnsi="宋体" w:cs="宋体"/>
          <w:b/>
          <w:bCs/>
          <w:snapToGrid w:val="0"/>
          <w:color w:val="auto"/>
          <w:kern w:val="0"/>
          <w:szCs w:val="24"/>
          <w:highlight w:val="none"/>
        </w:rPr>
        <w:t>10.3.2</w:t>
      </w:r>
      <w:r>
        <w:rPr>
          <w:rFonts w:hint="eastAsia" w:hAnsi="宋体" w:cs="宋体"/>
          <w:snapToGrid w:val="0"/>
          <w:color w:val="auto"/>
          <w:kern w:val="0"/>
          <w:szCs w:val="24"/>
          <w:highlight w:val="none"/>
        </w:rPr>
        <w:t>目规定的顺序整理、编排后，逐页（页码起始从封面开始）连续标记页码。</w:t>
      </w:r>
    </w:p>
    <w:p w14:paraId="79A97868">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highlight w:val="none"/>
        </w:rPr>
      </w:pPr>
      <w:bookmarkStart w:id="48" w:name="_Toc2864"/>
      <w:bookmarkStart w:id="49" w:name="_Toc558"/>
      <w:r>
        <w:rPr>
          <w:rFonts w:hint="eastAsia" w:hAnsi="宋体" w:cs="宋体"/>
          <w:b/>
          <w:snapToGrid w:val="0"/>
          <w:color w:val="auto"/>
          <w:szCs w:val="24"/>
          <w:highlight w:val="none"/>
        </w:rPr>
        <w:t>11．</w:t>
      </w:r>
      <w:bookmarkEnd w:id="48"/>
      <w:r>
        <w:rPr>
          <w:rFonts w:hint="eastAsia" w:hAnsi="宋体" w:cs="宋体"/>
          <w:b/>
          <w:snapToGrid w:val="0"/>
          <w:color w:val="auto"/>
          <w:szCs w:val="24"/>
          <w:highlight w:val="none"/>
        </w:rPr>
        <w:t>电子投标</w:t>
      </w:r>
      <w:bookmarkEnd w:id="49"/>
    </w:p>
    <w:p w14:paraId="72F1BB7A">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cs="宋体"/>
          <w:b/>
          <w:bCs/>
          <w:snapToGrid w:val="0"/>
          <w:color w:val="auto"/>
          <w:kern w:val="0"/>
          <w:sz w:val="24"/>
          <w:highlight w:val="none"/>
        </w:rPr>
        <w:t>11.1</w:t>
      </w:r>
      <w:r>
        <w:rPr>
          <w:rFonts w:hint="eastAsia" w:ascii="宋体" w:hAnsi="宋体" w:cs="宋体"/>
          <w:snapToGrid w:val="0"/>
          <w:color w:val="auto"/>
          <w:kern w:val="0"/>
          <w:sz w:val="24"/>
          <w:highlight w:val="none"/>
        </w:rPr>
        <w:t>在建设工程交易系统上传加盖了电子印章的投标文件、录入相关信息及标书页码信息，（页码起始从封面开始）并提交投标标书，提交标书为已加密投标文件。具体操作参</w:t>
      </w:r>
      <w:r>
        <w:rPr>
          <w:rFonts w:hint="eastAsia" w:ascii="宋体" w:hAnsi="宋体" w:eastAsia="宋体" w:cs="宋体"/>
          <w:snapToGrid w:val="0"/>
          <w:color w:val="auto"/>
          <w:kern w:val="0"/>
          <w:sz w:val="24"/>
          <w:highlight w:val="none"/>
        </w:rPr>
        <w:t>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BED4572">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11.2</w:t>
      </w:r>
      <w:r>
        <w:rPr>
          <w:rFonts w:hint="eastAsia" w:ascii="宋体" w:hAnsi="宋体" w:cs="宋体"/>
          <w:snapToGrid w:val="0"/>
          <w:color w:val="auto"/>
          <w:kern w:val="0"/>
          <w:sz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EFFAA2A">
      <w:pPr>
        <w:keepNext w:val="0"/>
        <w:keepLines w:val="0"/>
        <w:pageBreakBefore w:val="0"/>
        <w:topLinePunct w:val="0"/>
        <w:bidi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 xml:space="preserve">11.3 </w:t>
      </w:r>
      <w:r>
        <w:rPr>
          <w:rFonts w:hint="eastAsia" w:hAnsi="宋体" w:cs="宋体"/>
          <w:snapToGrid w:val="0"/>
          <w:color w:val="auto"/>
          <w:kern w:val="0"/>
          <w:szCs w:val="24"/>
          <w:highlight w:val="none"/>
        </w:rPr>
        <w:t>电子投标解密失败及突发情况的补救</w:t>
      </w:r>
    </w:p>
    <w:p w14:paraId="55067ABC">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11.3.1</w:t>
      </w:r>
      <w:r>
        <w:rPr>
          <w:rFonts w:hint="eastAsia" w:ascii="宋体" w:hAnsi="宋体" w:cs="宋体"/>
          <w:snapToGrid w:val="0"/>
          <w:color w:val="auto"/>
          <w:kern w:val="0"/>
          <w:sz w:val="24"/>
          <w:highlight w:val="none"/>
        </w:rPr>
        <w:t xml:space="preserve">按照交易平台关于全流程电子化项目的相关指南进行操作。详见：全国公共资源交易平台（广东省·韶关市）（https://ygp.gdzwfw.gov.cn/ggzy-portal/#/440200/index）【服务指南】栏目发布的最新版操作指引。  </w:t>
      </w:r>
    </w:p>
    <w:p w14:paraId="0E3EAC08">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11.3.2</w:t>
      </w:r>
      <w:r>
        <w:rPr>
          <w:rFonts w:hint="eastAsia" w:ascii="宋体" w:hAnsi="宋体" w:cs="宋体"/>
          <w:snapToGrid w:val="0"/>
          <w:color w:val="auto"/>
          <w:kern w:val="0"/>
          <w:sz w:val="24"/>
          <w:highlight w:val="none"/>
        </w:rPr>
        <w:t>补救方案：</w:t>
      </w:r>
    </w:p>
    <w:p w14:paraId="0B52C661">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34D20B3C">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28F7F60E">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（3）除发生上述情况外，开标评标均以投标人通过交易平台网上提交的电子投标文件为准。</w:t>
      </w:r>
    </w:p>
    <w:p w14:paraId="07C6E646">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highlight w:val="none"/>
        </w:rPr>
      </w:pPr>
      <w:bookmarkStart w:id="50" w:name="_Toc1554"/>
      <w:r>
        <w:rPr>
          <w:rFonts w:hint="eastAsia" w:hAnsi="宋体" w:cs="宋体"/>
          <w:b/>
          <w:snapToGrid w:val="0"/>
          <w:color w:val="auto"/>
          <w:szCs w:val="24"/>
          <w:highlight w:val="none"/>
        </w:rPr>
        <w:t>12. 投标文件的提交</w:t>
      </w:r>
      <w:bookmarkEnd w:id="50"/>
    </w:p>
    <w:p w14:paraId="63A37942">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12.1</w:t>
      </w:r>
      <w:r>
        <w:rPr>
          <w:rFonts w:hint="eastAsia" w:ascii="宋体" w:hAnsi="宋体" w:cs="宋体"/>
          <w:snapToGrid w:val="0"/>
          <w:color w:val="auto"/>
          <w:kern w:val="0"/>
          <w:sz w:val="24"/>
          <w:highlight w:val="none"/>
        </w:rPr>
        <w:t>在电子投标截止时间前，投标人通过全国公共资源交易平台（广东省·韶关市）提交已加密投标文件。逾期提交的电子投标文件，全国公共资源交易平台（广东省·韶关市）将予以拒收。</w:t>
      </w:r>
    </w:p>
    <w:p w14:paraId="7CF91D7D">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12.2</w:t>
      </w:r>
      <w:r>
        <w:rPr>
          <w:rFonts w:hint="eastAsia" w:ascii="宋体" w:hAnsi="宋体" w:cs="宋体"/>
          <w:snapToGrid w:val="0"/>
          <w:color w:val="auto"/>
          <w:kern w:val="0"/>
          <w:sz w:val="24"/>
          <w:highlight w:val="none"/>
        </w:rPr>
        <w:t>投标文件提交截止时间（同电子投标截止时间）：见本章第二节“重要事项时间地点一览表”。</w:t>
      </w:r>
    </w:p>
    <w:p w14:paraId="348B16E2">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12.3</w:t>
      </w:r>
      <w:r>
        <w:rPr>
          <w:rFonts w:hint="eastAsia" w:ascii="宋体" w:hAnsi="宋体" w:cs="宋体"/>
          <w:snapToGrid w:val="0"/>
          <w:color w:val="auto"/>
          <w:kern w:val="0"/>
          <w:sz w:val="24"/>
          <w:highlight w:val="none"/>
        </w:rPr>
        <w:t>代理机构对因不可抗力事件造成的投标文件的损坏、丢失的，不承担责任。</w:t>
      </w:r>
      <w:r>
        <w:rPr>
          <w:rFonts w:hint="eastAsia" w:ascii="宋体" w:hAnsi="宋体" w:cs="宋体"/>
          <w:b/>
          <w:bCs/>
          <w:snapToGrid w:val="0"/>
          <w:color w:val="auto"/>
          <w:kern w:val="0"/>
          <w:sz w:val="24"/>
          <w:highlight w:val="none"/>
        </w:rPr>
        <w:t xml:space="preserve">  </w:t>
      </w:r>
    </w:p>
    <w:p w14:paraId="16456DE3">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 xml:space="preserve">12.4 </w:t>
      </w:r>
      <w:r>
        <w:rPr>
          <w:rFonts w:hint="eastAsia" w:ascii="宋体" w:hAnsi="宋体" w:cs="宋体"/>
          <w:snapToGrid w:val="0"/>
          <w:color w:val="auto"/>
          <w:kern w:val="0"/>
          <w:sz w:val="24"/>
          <w:highlight w:val="none"/>
        </w:rPr>
        <w:t>投标人法定代表人或其委托代理人（以下简称“投标人代表”）应在指定的时间和地点递交以下的资料</w:t>
      </w:r>
      <w:r>
        <w:rPr>
          <w:rFonts w:hint="eastAsia" w:ascii="宋体" w:hAnsi="宋体" w:cs="宋体"/>
          <w:b/>
          <w:bCs/>
          <w:snapToGrid w:val="0"/>
          <w:color w:val="auto"/>
          <w:kern w:val="0"/>
          <w:sz w:val="24"/>
          <w:highlight w:val="none"/>
        </w:rPr>
        <w:t>（如有）</w:t>
      </w:r>
      <w:r>
        <w:rPr>
          <w:rFonts w:hint="eastAsia" w:ascii="宋体" w:hAnsi="宋体" w:cs="宋体"/>
          <w:snapToGrid w:val="0"/>
          <w:color w:val="auto"/>
          <w:kern w:val="0"/>
          <w:sz w:val="24"/>
          <w:highlight w:val="none"/>
        </w:rPr>
        <w:t>：招标文件要求提交的用于评审的证书、证件、证明原件（附一式</w:t>
      </w:r>
      <w:r>
        <w:rPr>
          <w:rFonts w:hint="eastAsia" w:ascii="宋体" w:hAnsi="宋体" w:cs="宋体"/>
          <w:snapToGrid w:val="0"/>
          <w:color w:val="auto"/>
          <w:kern w:val="0"/>
          <w:sz w:val="24"/>
          <w:highlight w:val="none"/>
          <w:u w:val="single"/>
        </w:rPr>
        <w:t xml:space="preserve"> 两 </w:t>
      </w:r>
      <w:r>
        <w:rPr>
          <w:rFonts w:hint="eastAsia" w:ascii="宋体" w:hAnsi="宋体" w:cs="宋体"/>
          <w:snapToGrid w:val="0"/>
          <w:color w:val="auto"/>
          <w:kern w:val="0"/>
          <w:sz w:val="24"/>
          <w:highlight w:val="none"/>
        </w:rPr>
        <w:t>份清单）。</w:t>
      </w:r>
    </w:p>
    <w:p w14:paraId="513CE89F">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12.5</w:t>
      </w:r>
      <w:r>
        <w:rPr>
          <w:rFonts w:hint="eastAsia" w:ascii="宋体" w:hAnsi="宋体" w:cs="宋体"/>
          <w:snapToGrid w:val="0"/>
          <w:color w:val="auto"/>
          <w:kern w:val="0"/>
          <w:sz w:val="24"/>
          <w:highlight w:val="none"/>
        </w:rPr>
        <w:t>出现下述情形之一，属于未成功提交投标文件，按无效投标处理：</w:t>
      </w:r>
    </w:p>
    <w:p w14:paraId="06E3DFD5">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（1）至电子投标截止时间时，投标文件未完整上传或未提交投标。</w:t>
      </w:r>
    </w:p>
    <w:p w14:paraId="0ED72BA1">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（2）投标文件未按投标格式中注明需签字盖章的要求进行签名（含电子签名）和加盖电子印章，或签名（含电子签名）或电子印章不完整的。</w:t>
      </w:r>
    </w:p>
    <w:p w14:paraId="393C44A8">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（3）解密失败且在规定时间内未重新提交投标文件的；</w:t>
      </w:r>
    </w:p>
    <w:p w14:paraId="1C2ECEAF">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（4）投标文件损坏或格式不正确的。</w:t>
      </w:r>
    </w:p>
    <w:p w14:paraId="3AC0F6D3">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highlight w:val="none"/>
        </w:rPr>
      </w:pPr>
      <w:bookmarkStart w:id="51" w:name="_Toc18132"/>
      <w:r>
        <w:rPr>
          <w:rFonts w:hint="eastAsia" w:hAnsi="宋体" w:cs="宋体"/>
          <w:b/>
          <w:snapToGrid w:val="0"/>
          <w:color w:val="auto"/>
          <w:kern w:val="0"/>
          <w:szCs w:val="24"/>
          <w:highlight w:val="none"/>
        </w:rPr>
        <w:t>13．投标有效期</w:t>
      </w:r>
      <w:bookmarkEnd w:id="51"/>
    </w:p>
    <w:p w14:paraId="71D92EA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本次招标投标有效期为</w:t>
      </w:r>
      <w:r>
        <w:rPr>
          <w:rFonts w:hint="eastAsia" w:hAnsi="宋体" w:cs="宋体"/>
          <w:snapToGrid w:val="0"/>
          <w:color w:val="auto"/>
          <w:kern w:val="0"/>
          <w:szCs w:val="24"/>
          <w:highlight w:val="none"/>
          <w:u w:val="single"/>
        </w:rPr>
        <w:t xml:space="preserve">  90  </w:t>
      </w:r>
      <w:r>
        <w:rPr>
          <w:rFonts w:hint="eastAsia" w:hAnsi="宋体" w:cs="宋体"/>
          <w:snapToGrid w:val="0"/>
          <w:color w:val="auto"/>
          <w:kern w:val="0"/>
          <w:szCs w:val="24"/>
          <w:highlight w:val="none"/>
        </w:rPr>
        <w:t>个日历天，自招标人或其授权的招标代理机构接收投标人递交的投标文件之日起计。在此期间，投标人不得撤销或修改其投标文件，否则其投标保证不予退还。</w:t>
      </w:r>
    </w:p>
    <w:p w14:paraId="21271E1F">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highlight w:val="none"/>
        </w:rPr>
      </w:pPr>
      <w:bookmarkStart w:id="52" w:name="_Toc18995"/>
      <w:r>
        <w:rPr>
          <w:rFonts w:hint="eastAsia" w:hAnsi="宋体" w:cs="宋体"/>
          <w:b/>
          <w:snapToGrid w:val="0"/>
          <w:color w:val="auto"/>
          <w:kern w:val="0"/>
          <w:szCs w:val="24"/>
          <w:highlight w:val="none"/>
        </w:rPr>
        <w:t>14．开标</w:t>
      </w:r>
      <w:bookmarkEnd w:id="52"/>
    </w:p>
    <w:p w14:paraId="36A9A778">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w:t>
      </w:r>
      <w:r>
        <w:rPr>
          <w:rFonts w:hint="eastAsia" w:ascii="宋体" w:hAnsi="宋体" w:cs="宋体"/>
          <w:snapToGrid w:val="0"/>
          <w:color w:val="auto"/>
          <w:kern w:val="0"/>
          <w:sz w:val="24"/>
          <w:highlight w:val="none"/>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773191BB">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14.1.1</w:t>
      </w:r>
      <w:r>
        <w:rPr>
          <w:rFonts w:hint="eastAsia" w:ascii="宋体" w:hAnsi="宋体" w:cs="宋体"/>
          <w:snapToGrid w:val="0"/>
          <w:color w:val="auto"/>
          <w:kern w:val="0"/>
          <w:sz w:val="24"/>
          <w:highlight w:val="none"/>
        </w:rPr>
        <w:t xml:space="preserve"> 开标时间和地点：见本章第二节“重要事项时间地点一览表”。</w:t>
      </w:r>
    </w:p>
    <w:p w14:paraId="4500A2D1">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14.1.2</w:t>
      </w:r>
      <w:r>
        <w:rPr>
          <w:rFonts w:hint="eastAsia" w:ascii="宋体" w:hAnsi="宋体" w:cs="宋体"/>
          <w:snapToGrid w:val="0"/>
          <w:color w:val="auto"/>
          <w:kern w:val="0"/>
          <w:sz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3DA94E81">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14.1.3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ED783F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14.2</w:t>
      </w:r>
      <w:r>
        <w:rPr>
          <w:rFonts w:hint="eastAsia" w:hAnsi="宋体" w:cs="宋体"/>
          <w:snapToGrid w:val="0"/>
          <w:color w:val="auto"/>
          <w:kern w:val="0"/>
          <w:szCs w:val="24"/>
          <w:highlight w:val="none"/>
        </w:rPr>
        <w:t xml:space="preserve"> 开标程序</w:t>
      </w:r>
    </w:p>
    <w:p w14:paraId="60A7711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（1）主持人（招标人代表或招标人授权的招标代理机构人员）宣读开标纪律。</w:t>
      </w:r>
    </w:p>
    <w:p w14:paraId="7D103B3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（2）主持人宣布唱标人、记录人、见证人、监督人等有关人员姓名。</w:t>
      </w:r>
    </w:p>
    <w:p w14:paraId="48E3927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（3）招标代理机构在交易场所工作人员见证下对投标人的电子投标信息进行解密，建设工程交易系统自动生成《投标保证缴纳情况表》和《开标一览表》。</w:t>
      </w:r>
    </w:p>
    <w:p w14:paraId="1E7E204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（4）唱标人检查《投标保证缴纳情况表》中各投标人所缴纳投标保证的金额、有效期是否符合招标文件规定。若不符合规定，该投标人的投标无效。将有关情形在《投标保证缴纳情况表》“备注”栏中注明。</w:t>
      </w:r>
    </w:p>
    <w:p w14:paraId="4DDC41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（5）唱标人检查《开标一览表》中各投标人的投标总价、质量标准、工期是否符合招标文件规定。若不符合规定，招标代理机构应将有关情形在《开标一览表》“备注”栏中注明。</w:t>
      </w:r>
    </w:p>
    <w:p w14:paraId="0B68CA2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（6）投标人代表、招标人代表、唱标人、记录人等有关人员在《投标保证缴纳情况表》以及《开标一览表》上签字确认。</w:t>
      </w:r>
    </w:p>
    <w:p w14:paraId="6B5B1C5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（7）主持人宣布有关注意事项后，宣布开标结束。</w:t>
      </w:r>
    </w:p>
    <w:p w14:paraId="7920A604">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highlight w:val="none"/>
        </w:rPr>
      </w:pPr>
      <w:r>
        <w:rPr>
          <w:rFonts w:hint="eastAsia" w:hAnsi="宋体" w:cs="宋体"/>
          <w:b/>
          <w:bCs/>
          <w:snapToGrid w:val="0"/>
          <w:color w:val="auto"/>
          <w:kern w:val="0"/>
          <w:szCs w:val="24"/>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E18E93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14.3</w:t>
      </w:r>
      <w:r>
        <w:rPr>
          <w:rFonts w:hint="eastAsia" w:hAnsi="宋体" w:cs="宋体"/>
          <w:snapToGrid w:val="0"/>
          <w:color w:val="auto"/>
          <w:kern w:val="0"/>
          <w:highlight w:val="none"/>
        </w:rPr>
        <w:t xml:space="preserve"> </w:t>
      </w:r>
      <w:r>
        <w:rPr>
          <w:rFonts w:hint="eastAsia" w:hAnsi="宋体" w:cs="宋体"/>
          <w:snapToGrid w:val="0"/>
          <w:color w:val="auto"/>
          <w:kern w:val="0"/>
          <w:szCs w:val="24"/>
          <w:highlight w:val="none"/>
        </w:rPr>
        <w:t>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6D08E7C9">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14.4</w:t>
      </w:r>
      <w:r>
        <w:rPr>
          <w:rFonts w:hint="eastAsia" w:hAnsi="宋体" w:cs="宋体"/>
          <w:snapToGrid w:val="0"/>
          <w:color w:val="auto"/>
          <w:kern w:val="0"/>
          <w:highlight w:val="none"/>
        </w:rPr>
        <w:t xml:space="preserve"> 招标代理机构将资料原件（如有）、《开标一览表》以及其他有关资料移交评标委员会。</w:t>
      </w:r>
    </w:p>
    <w:p w14:paraId="084023D5">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b/>
          <w:snapToGrid w:val="0"/>
          <w:color w:val="auto"/>
          <w:kern w:val="0"/>
          <w:highlight w:val="none"/>
        </w:rPr>
      </w:pPr>
      <w:bookmarkStart w:id="53" w:name="_Hlt127093805"/>
      <w:bookmarkEnd w:id="53"/>
      <w:bookmarkStart w:id="54" w:name="_Toc11859"/>
      <w:r>
        <w:rPr>
          <w:rFonts w:hint="eastAsia" w:hAnsi="宋体" w:cs="宋体"/>
          <w:b/>
          <w:snapToGrid w:val="0"/>
          <w:color w:val="auto"/>
          <w:kern w:val="0"/>
          <w:highlight w:val="none"/>
        </w:rPr>
        <w:t>15．评标</w:t>
      </w:r>
      <w:bookmarkEnd w:id="54"/>
    </w:p>
    <w:p w14:paraId="6EA3193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评标分为初步评审和详细评审两个阶段，由评标委员会在有关部门的监督下，严格按照本招标文件指定的评标方法，对投标人的投标文件进行评审。</w:t>
      </w:r>
    </w:p>
    <w:p w14:paraId="57771A4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auto"/>
          <w:kern w:val="0"/>
          <w:highlight w:val="none"/>
        </w:rPr>
      </w:pPr>
      <w:r>
        <w:rPr>
          <w:rFonts w:hint="eastAsia" w:hAnsi="宋体" w:cs="宋体"/>
          <w:b/>
          <w:bCs/>
          <w:snapToGrid w:val="0"/>
          <w:color w:val="auto"/>
          <w:kern w:val="0"/>
          <w:highlight w:val="none"/>
        </w:rPr>
        <w:t>15.1</w:t>
      </w:r>
      <w:r>
        <w:rPr>
          <w:rFonts w:hint="eastAsia" w:hAnsi="宋体" w:cs="宋体"/>
          <w:bCs/>
          <w:snapToGrid w:val="0"/>
          <w:color w:val="auto"/>
          <w:kern w:val="0"/>
          <w:highlight w:val="none"/>
        </w:rPr>
        <w:t xml:space="preserve"> 评标委员会</w:t>
      </w:r>
    </w:p>
    <w:p w14:paraId="5942C79C">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highlight w:val="none"/>
        </w:rPr>
      </w:pPr>
      <w:r>
        <w:rPr>
          <w:rFonts w:hint="eastAsia" w:hAnsi="宋体" w:cs="宋体"/>
          <w:b/>
          <w:bCs/>
          <w:snapToGrid w:val="0"/>
          <w:color w:val="auto"/>
          <w:kern w:val="0"/>
          <w:highlight w:val="none"/>
        </w:rPr>
        <w:t>15.1.1</w:t>
      </w:r>
      <w:r>
        <w:rPr>
          <w:rFonts w:hint="eastAsia" w:hAnsi="宋体" w:cs="宋体"/>
          <w:snapToGrid w:val="0"/>
          <w:color w:val="auto"/>
          <w:kern w:val="0"/>
          <w:highlight w:val="none"/>
        </w:rPr>
        <w:t xml:space="preserve"> 评标委员会由</w:t>
      </w:r>
      <w:r>
        <w:rPr>
          <w:rFonts w:hint="eastAsia" w:hAnsi="宋体" w:cs="宋体"/>
          <w:snapToGrid w:val="0"/>
          <w:color w:val="auto"/>
          <w:kern w:val="0"/>
          <w:highlight w:val="none"/>
          <w:u w:val="single"/>
        </w:rPr>
        <w:t xml:space="preserve"> 5 </w:t>
      </w:r>
      <w:r>
        <w:rPr>
          <w:rFonts w:hint="eastAsia" w:hAnsi="宋体" w:cs="宋体"/>
          <w:snapToGrid w:val="0"/>
          <w:color w:val="auto"/>
          <w:kern w:val="0"/>
          <w:highlight w:val="none"/>
        </w:rPr>
        <w:t>人组成，其中招标人代表</w:t>
      </w:r>
      <w:r>
        <w:rPr>
          <w:rFonts w:hint="eastAsia" w:hAnsi="宋体" w:cs="宋体"/>
          <w:snapToGrid w:val="0"/>
          <w:color w:val="auto"/>
          <w:kern w:val="0"/>
          <w:highlight w:val="none"/>
          <w:u w:val="single"/>
        </w:rPr>
        <w:t xml:space="preserve"> / </w:t>
      </w:r>
      <w:r>
        <w:rPr>
          <w:rFonts w:hint="eastAsia" w:hAnsi="宋体" w:cs="宋体"/>
          <w:snapToGrid w:val="0"/>
          <w:color w:val="auto"/>
          <w:kern w:val="0"/>
          <w:highlight w:val="none"/>
        </w:rPr>
        <w:t>人，专家</w:t>
      </w:r>
      <w:r>
        <w:rPr>
          <w:rFonts w:hint="eastAsia" w:hAnsi="宋体" w:cs="宋体"/>
          <w:snapToGrid w:val="0"/>
          <w:color w:val="auto"/>
          <w:kern w:val="0"/>
          <w:highlight w:val="none"/>
          <w:u w:val="single"/>
        </w:rPr>
        <w:t xml:space="preserve"> 5 </w:t>
      </w:r>
      <w:r>
        <w:rPr>
          <w:rFonts w:hint="eastAsia" w:hAnsi="宋体" w:cs="宋体"/>
          <w:snapToGrid w:val="0"/>
          <w:color w:val="auto"/>
          <w:kern w:val="0"/>
          <w:highlight w:val="none"/>
        </w:rPr>
        <w:t>人。专家从</w:t>
      </w:r>
      <w:r>
        <w:rPr>
          <w:rFonts w:hint="eastAsia" w:hAnsi="宋体" w:cs="宋体"/>
          <w:snapToGrid w:val="0"/>
          <w:color w:val="auto"/>
          <w:kern w:val="0"/>
          <w:highlight w:val="none"/>
          <w:lang w:eastAsia="zh-CN"/>
        </w:rPr>
        <w:t>广东省综合评标评审专家库（韶关区域）中</w:t>
      </w:r>
      <w:r>
        <w:rPr>
          <w:rFonts w:hint="eastAsia" w:hAnsi="宋体" w:cs="宋体"/>
          <w:snapToGrid w:val="0"/>
          <w:color w:val="auto"/>
          <w:kern w:val="0"/>
          <w:highlight w:val="none"/>
        </w:rPr>
        <w:t>随机抽取，其中技术类专家</w:t>
      </w:r>
      <w:r>
        <w:rPr>
          <w:rFonts w:hint="eastAsia" w:hAnsi="宋体" w:cs="宋体"/>
          <w:snapToGrid w:val="0"/>
          <w:color w:val="auto"/>
          <w:kern w:val="0"/>
          <w:highlight w:val="none"/>
          <w:u w:val="single"/>
        </w:rPr>
        <w:t xml:space="preserve">3 </w:t>
      </w:r>
      <w:r>
        <w:rPr>
          <w:rFonts w:hint="eastAsia" w:hAnsi="宋体" w:cs="宋体"/>
          <w:snapToGrid w:val="0"/>
          <w:color w:val="auto"/>
          <w:kern w:val="0"/>
          <w:highlight w:val="none"/>
        </w:rPr>
        <w:t>人，经济类专家</w:t>
      </w:r>
      <w:r>
        <w:rPr>
          <w:rFonts w:hint="eastAsia" w:hAnsi="宋体" w:cs="宋体"/>
          <w:snapToGrid w:val="0"/>
          <w:color w:val="auto"/>
          <w:kern w:val="0"/>
          <w:highlight w:val="none"/>
          <w:u w:val="single"/>
        </w:rPr>
        <w:t xml:space="preserve"> 2</w:t>
      </w:r>
      <w:r>
        <w:rPr>
          <w:rFonts w:hint="eastAsia" w:hAnsi="宋体" w:cs="宋体"/>
          <w:snapToGrid w:val="0"/>
          <w:color w:val="auto"/>
          <w:kern w:val="0"/>
          <w:highlight w:val="none"/>
        </w:rPr>
        <w:t>人。评标委员会设负责人，由评标委员会成员推举产生。评标委员会负责人与评标委员会的其他成员有同等的表决权。</w:t>
      </w:r>
    </w:p>
    <w:p w14:paraId="60C2BC9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15.1.2</w:t>
      </w:r>
      <w:r>
        <w:rPr>
          <w:rFonts w:hint="eastAsia" w:hAnsi="宋体" w:cs="宋体"/>
          <w:snapToGrid w:val="0"/>
          <w:color w:val="auto"/>
          <w:kern w:val="0"/>
          <w:highlight w:val="none"/>
        </w:rPr>
        <w:t xml:space="preserve"> 评标委员会应认真、公正、诚实、廉洁地履行职责。有下列情形之一的，不得担任评标委员会成员：</w:t>
      </w:r>
    </w:p>
    <w:p w14:paraId="3229C8B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（1）投标人或投标人主要负责人的近亲属；</w:t>
      </w:r>
    </w:p>
    <w:p w14:paraId="60059B62">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（2）项目主管部门或者行政监督部门的人员；</w:t>
      </w:r>
    </w:p>
    <w:p w14:paraId="15B3F50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（3）与投标人有经济利益关系，可能影响对投标公正评审的；</w:t>
      </w:r>
    </w:p>
    <w:p w14:paraId="48F180A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（4）曾因在招标、评标以及其他与招标投标有关活动中从事违法行为而受过行政处罚或刑事处罚的。</w:t>
      </w:r>
    </w:p>
    <w:p w14:paraId="623043D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评标委员会成员有以上情形之一的，应主动提出回避。</w:t>
      </w:r>
    </w:p>
    <w:p w14:paraId="0931A33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15.1.3</w:t>
      </w:r>
      <w:r>
        <w:rPr>
          <w:rFonts w:hint="eastAsia" w:hAnsi="宋体" w:cs="宋体"/>
          <w:snapToGrid w:val="0"/>
          <w:color w:val="auto"/>
          <w:kern w:val="0"/>
          <w:highlight w:val="none"/>
        </w:rPr>
        <w:t xml:space="preserve"> 评标全过程实行封闭式管理，在中标结果公布前，禁止评标委员会成员以任何方式私下接触投标人。</w:t>
      </w:r>
    </w:p>
    <w:p w14:paraId="61E47F7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15.1.4</w:t>
      </w:r>
      <w:r>
        <w:rPr>
          <w:rFonts w:hint="eastAsia" w:hAnsi="宋体" w:cs="宋体"/>
          <w:snapToGrid w:val="0"/>
          <w:color w:val="auto"/>
          <w:kern w:val="0"/>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0C0DD49">
      <w:pPr>
        <w:keepNext w:val="0"/>
        <w:keepLines w:val="0"/>
        <w:pageBreakBefore w:val="0"/>
        <w:wordWrap w:val="0"/>
        <w:topLinePunct w:val="0"/>
        <w:bidi w:val="0"/>
        <w:adjustRightInd w:val="0"/>
        <w:snapToGrid w:val="0"/>
        <w:spacing w:line="500" w:lineRule="exact"/>
        <w:ind w:firstLine="562"/>
        <w:textAlignment w:val="auto"/>
        <w:rPr>
          <w:rFonts w:hAnsi="宋体" w:cs="宋体"/>
          <w:b/>
          <w:snapToGrid w:val="0"/>
          <w:color w:val="auto"/>
          <w:kern w:val="0"/>
          <w:szCs w:val="22"/>
          <w:highlight w:val="none"/>
        </w:rPr>
      </w:pPr>
      <w:r>
        <w:rPr>
          <w:rFonts w:hint="eastAsia" w:hAnsi="宋体" w:cs="宋体"/>
          <w:b/>
          <w:bCs/>
          <w:snapToGrid w:val="0"/>
          <w:color w:val="auto"/>
          <w:kern w:val="0"/>
          <w:highlight w:val="none"/>
        </w:rPr>
        <w:t>15.1.5</w:t>
      </w:r>
      <w:r>
        <w:rPr>
          <w:rFonts w:hint="eastAsia" w:hAnsi="宋体" w:cs="宋体"/>
          <w:snapToGrid w:val="0"/>
          <w:color w:val="auto"/>
          <w:kern w:val="0"/>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23CFD1F">
      <w:pPr>
        <w:keepNext w:val="0"/>
        <w:keepLines w:val="0"/>
        <w:pageBreakBefore w:val="0"/>
        <w:wordWrap w:val="0"/>
        <w:topLinePunct w:val="0"/>
        <w:bidi w:val="0"/>
        <w:adjustRightInd w:val="0"/>
        <w:snapToGrid w:val="0"/>
        <w:spacing w:line="500" w:lineRule="exact"/>
        <w:ind w:firstLine="561"/>
        <w:textAlignment w:val="auto"/>
        <w:rPr>
          <w:rFonts w:hAnsi="宋体" w:cs="宋体"/>
          <w:bCs/>
          <w:snapToGrid w:val="0"/>
          <w:color w:val="auto"/>
          <w:kern w:val="0"/>
          <w:highlight w:val="none"/>
        </w:rPr>
      </w:pPr>
      <w:r>
        <w:rPr>
          <w:rFonts w:hint="eastAsia" w:hAnsi="宋体" w:cs="宋体"/>
          <w:b/>
          <w:bCs/>
          <w:snapToGrid w:val="0"/>
          <w:color w:val="auto"/>
          <w:kern w:val="0"/>
          <w:highlight w:val="none"/>
        </w:rPr>
        <w:t>15.2</w:t>
      </w:r>
      <w:r>
        <w:rPr>
          <w:rFonts w:hint="eastAsia" w:hAnsi="宋体" w:cs="宋体"/>
          <w:bCs/>
          <w:snapToGrid w:val="0"/>
          <w:color w:val="auto"/>
          <w:kern w:val="0"/>
          <w:szCs w:val="22"/>
          <w:highlight w:val="none"/>
        </w:rPr>
        <w:t xml:space="preserve"> 评标方法</w:t>
      </w:r>
    </w:p>
    <w:p w14:paraId="41C6F5C9">
      <w:pPr>
        <w:keepNext w:val="0"/>
        <w:keepLines w:val="0"/>
        <w:pageBreakBefore w:val="0"/>
        <w:wordWrap w:val="0"/>
        <w:topLinePunct w:val="0"/>
        <w:bidi w:val="0"/>
        <w:adjustRightInd w:val="0"/>
        <w:snapToGrid w:val="0"/>
        <w:spacing w:line="500" w:lineRule="exact"/>
        <w:ind w:firstLine="562"/>
        <w:textAlignment w:val="auto"/>
        <w:rPr>
          <w:rFonts w:hAnsi="宋体" w:cs="宋体"/>
          <w:i/>
          <w:iCs/>
          <w:snapToGrid w:val="0"/>
          <w:color w:val="auto"/>
          <w:kern w:val="0"/>
          <w:highlight w:val="none"/>
        </w:rPr>
      </w:pPr>
      <w:r>
        <w:rPr>
          <w:rFonts w:hint="eastAsia" w:hAnsi="宋体" w:cs="宋体"/>
          <w:snapToGrid w:val="0"/>
          <w:color w:val="auto"/>
          <w:kern w:val="0"/>
          <w:highlight w:val="none"/>
        </w:rPr>
        <w:t>根据有关法律、法规的相关规定，结合本招标项目资金来源和规模特点，本次招标采用“综合评估法”进行评标。</w:t>
      </w:r>
    </w:p>
    <w:p w14:paraId="284DAF7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15.3</w:t>
      </w:r>
      <w:r>
        <w:rPr>
          <w:rFonts w:hint="eastAsia" w:hAnsi="宋体" w:cs="宋体"/>
          <w:bCs/>
          <w:snapToGrid w:val="0"/>
          <w:color w:val="auto"/>
          <w:kern w:val="0"/>
          <w:szCs w:val="22"/>
          <w:highlight w:val="none"/>
        </w:rPr>
        <w:t xml:space="preserve"> 评审范围：</w:t>
      </w:r>
      <w:r>
        <w:rPr>
          <w:rFonts w:hint="eastAsia" w:hAnsi="宋体" w:cs="宋体"/>
          <w:snapToGrid w:val="0"/>
          <w:color w:val="auto"/>
          <w:kern w:val="0"/>
          <w:highlight w:val="none"/>
        </w:rPr>
        <w:t>评标委员会应对所有进入评标投标人的投标文件进行评审。</w:t>
      </w:r>
    </w:p>
    <w:p w14:paraId="628310C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15.4</w:t>
      </w:r>
      <w:r>
        <w:rPr>
          <w:rFonts w:hint="eastAsia" w:hAnsi="宋体" w:cs="宋体"/>
          <w:snapToGrid w:val="0"/>
          <w:color w:val="auto"/>
          <w:kern w:val="0"/>
          <w:highlight w:val="none"/>
        </w:rPr>
        <w:t xml:space="preserve"> 初步评审阶段</w:t>
      </w:r>
    </w:p>
    <w:p w14:paraId="64754F0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初步评审阶段分为资格评审、形式评审和响应性评审三个环节。</w:t>
      </w:r>
    </w:p>
    <w:p w14:paraId="24716141">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15.4.1</w:t>
      </w:r>
      <w:r>
        <w:rPr>
          <w:rFonts w:hint="eastAsia" w:hAnsi="宋体" w:cs="宋体"/>
          <w:snapToGrid w:val="0"/>
          <w:color w:val="auto"/>
          <w:kern w:val="0"/>
          <w:highlight w:val="none"/>
        </w:rPr>
        <w:t xml:space="preserve"> 资格评审环节</w:t>
      </w:r>
    </w:p>
    <w:p w14:paraId="025EF35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资格评审事项包括：</w:t>
      </w:r>
    </w:p>
    <w:p w14:paraId="5001DD5C">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eastAsia="宋体" w:cs="宋体"/>
          <w:snapToGrid w:val="0"/>
          <w:color w:val="auto"/>
          <w:kern w:val="0"/>
          <w:highlight w:val="none"/>
          <w:lang w:eastAsia="zh-CN"/>
        </w:rPr>
      </w:pPr>
      <w:r>
        <w:rPr>
          <w:rFonts w:hint="eastAsia" w:hAnsi="宋体" w:cs="宋体"/>
          <w:snapToGrid w:val="0"/>
          <w:color w:val="auto"/>
          <w:kern w:val="0"/>
          <w:highlight w:val="none"/>
        </w:rPr>
        <w:t>（1）</w:t>
      </w:r>
      <w:r>
        <w:rPr>
          <w:rFonts w:hint="eastAsia" w:hAnsi="宋体" w:cs="宋体"/>
          <w:snapToGrid w:val="0"/>
          <w:color w:val="auto"/>
          <w:kern w:val="0"/>
          <w:sz w:val="24"/>
          <w:szCs w:val="24"/>
          <w:highlight w:val="none"/>
          <w:lang w:eastAsia="zh-CN"/>
        </w:rPr>
        <w:t>投标人是否符合本章第三节第2.4条“禁止投标条款”规定。</w:t>
      </w:r>
    </w:p>
    <w:p w14:paraId="25C22F3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（2）投标人名称是否与营业执照、资质证书一致。</w:t>
      </w:r>
    </w:p>
    <w:p w14:paraId="1F66C27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（3）投标人的资质是否符合招标文件规定；其营业执照、资质证书是否合法、有效。</w:t>
      </w:r>
    </w:p>
    <w:p w14:paraId="259451E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 xml:space="preserve">》内盖章同意或另行出具了书面同意意见。 </w:t>
      </w:r>
    </w:p>
    <w:p w14:paraId="40D4786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5</w:t>
      </w:r>
      <w:r>
        <w:rPr>
          <w:rFonts w:hint="eastAsia" w:hAnsi="宋体" w:cs="宋体"/>
          <w:snapToGrid w:val="0"/>
          <w:color w:val="auto"/>
          <w:kern w:val="0"/>
          <w:highlight w:val="none"/>
        </w:rPr>
        <w:t>）投标人为外省建筑企业的，是否按规定在“进粤企业和人员诚信信息登记平台”录入企业及其拟派往人员相关信息并通过数据规范检查。</w:t>
      </w:r>
    </w:p>
    <w:p w14:paraId="3880F61D">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15.4.2</w:t>
      </w:r>
      <w:r>
        <w:rPr>
          <w:rFonts w:hint="eastAsia" w:hAnsi="宋体" w:cs="宋体"/>
          <w:snapToGrid w:val="0"/>
          <w:color w:val="auto"/>
          <w:kern w:val="0"/>
          <w:highlight w:val="none"/>
        </w:rPr>
        <w:t xml:space="preserve"> 形式评审环节</w:t>
      </w:r>
    </w:p>
    <w:p w14:paraId="31C3FB6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形式评审事项包括：</w:t>
      </w:r>
    </w:p>
    <w:p w14:paraId="34BAB71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（1）各分册是否按招标文件规定加盖电子印章。</w:t>
      </w:r>
    </w:p>
    <w:p w14:paraId="34D063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（2）本节第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”的组成内容（包括该组成内容的所附资料）是否完整、齐全。</w:t>
      </w:r>
    </w:p>
    <w:p w14:paraId="52F49B4C">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b/>
          <w:bCs/>
          <w:snapToGrid w:val="0"/>
          <w:color w:val="auto"/>
          <w:kern w:val="0"/>
          <w:highlight w:val="none"/>
        </w:rPr>
        <w:t>15.4.3</w:t>
      </w:r>
      <w:r>
        <w:rPr>
          <w:rFonts w:hint="eastAsia" w:hAnsi="宋体" w:cs="宋体"/>
          <w:snapToGrid w:val="0"/>
          <w:color w:val="auto"/>
          <w:kern w:val="0"/>
          <w:highlight w:val="none"/>
        </w:rPr>
        <w:t xml:space="preserve"> 响应性评审环节</w:t>
      </w:r>
    </w:p>
    <w:p w14:paraId="6152F2A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响应性评审事项包括：</w:t>
      </w:r>
    </w:p>
    <w:p w14:paraId="3B1810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（1）投标有效期、监理及相关服务期限等是否响应招标文件实质性要求；是否擅自修改、遗漏《投标函》《各项承诺一览表》的实质性内容。</w:t>
      </w:r>
    </w:p>
    <w:p w14:paraId="20F6D749">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（2）投标总价是否唯一；投标总价是否超出最高投标限价。</w:t>
      </w:r>
    </w:p>
    <w:p w14:paraId="6D8D3B02">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（3）监理大纲中的监理及相关服务的范围、内容、目标是否符合招标文件规定。</w:t>
      </w:r>
    </w:p>
    <w:p w14:paraId="0D7CB7D7">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b/>
          <w:bCs/>
          <w:snapToGrid w:val="0"/>
          <w:color w:val="auto"/>
          <w:kern w:val="0"/>
          <w:highlight w:val="none"/>
        </w:rPr>
        <w:t>15.4.4</w:t>
      </w:r>
      <w:r>
        <w:rPr>
          <w:rFonts w:hint="eastAsia" w:hAnsi="宋体" w:cs="宋体"/>
          <w:snapToGrid w:val="0"/>
          <w:color w:val="auto"/>
          <w:kern w:val="0"/>
          <w:highlight w:val="none"/>
        </w:rPr>
        <w:t xml:space="preserve"> 否决投标说明</w:t>
      </w:r>
    </w:p>
    <w:p w14:paraId="717AAFB5">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初步评审阶段各个环节否决投标的全部条件，在本章第四节“否决投标条件”第</w:t>
      </w:r>
      <w:r>
        <w:rPr>
          <w:rFonts w:hint="eastAsia" w:hAnsi="宋体" w:cs="宋体"/>
          <w:b/>
          <w:bCs/>
          <w:snapToGrid w:val="0"/>
          <w:color w:val="auto"/>
          <w:kern w:val="0"/>
          <w:highlight w:val="none"/>
        </w:rPr>
        <w:t>1</w:t>
      </w:r>
      <w:r>
        <w:rPr>
          <w:rFonts w:hint="eastAsia" w:hAnsi="宋体" w:cs="宋体"/>
          <w:snapToGrid w:val="0"/>
          <w:color w:val="auto"/>
          <w:kern w:val="0"/>
          <w:highlight w:val="none"/>
        </w:rPr>
        <w:t>条至第</w:t>
      </w:r>
      <w:r>
        <w:rPr>
          <w:rFonts w:hint="eastAsia" w:hAnsi="宋体" w:cs="宋体"/>
          <w:b/>
          <w:bCs/>
          <w:snapToGrid w:val="0"/>
          <w:color w:val="auto"/>
          <w:kern w:val="0"/>
          <w:highlight w:val="none"/>
        </w:rPr>
        <w:t>4</w:t>
      </w:r>
      <w:r>
        <w:rPr>
          <w:rFonts w:hint="eastAsia" w:hAnsi="宋体" w:cs="宋体"/>
          <w:snapToGrid w:val="0"/>
          <w:color w:val="auto"/>
          <w:kern w:val="0"/>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4F691C7F">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    15.5</w:t>
      </w:r>
      <w:r>
        <w:rPr>
          <w:rFonts w:hint="eastAsia" w:hAnsi="宋体" w:cs="宋体"/>
          <w:snapToGrid w:val="0"/>
          <w:color w:val="auto"/>
          <w:kern w:val="0"/>
          <w:highlight w:val="none"/>
        </w:rPr>
        <w:t xml:space="preserve"> 详细评审</w:t>
      </w:r>
      <w:bookmarkStart w:id="55" w:name="_Hlt121629839"/>
      <w:r>
        <w:rPr>
          <w:rFonts w:hint="eastAsia" w:hAnsi="宋体" w:cs="宋体"/>
          <w:snapToGrid w:val="0"/>
          <w:color w:val="auto"/>
          <w:kern w:val="0"/>
          <w:highlight w:val="none"/>
        </w:rPr>
        <w:t>阶段</w:t>
      </w:r>
    </w:p>
    <w:p w14:paraId="7AA415AA">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    15.5.1</w:t>
      </w:r>
      <w:r>
        <w:rPr>
          <w:rFonts w:hint="eastAsia" w:hAnsi="宋体" w:cs="宋体"/>
          <w:bCs/>
          <w:snapToGrid w:val="0"/>
          <w:color w:val="auto"/>
          <w:kern w:val="0"/>
          <w:highlight w:val="none"/>
        </w:rPr>
        <w:t xml:space="preserve"> “综合评估法”评审程序</w:t>
      </w:r>
    </w:p>
    <w:p w14:paraId="74C9E74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评审内容分为商务、技术和投标报价三大部分，综合得分满分为100分。其中，商务满分为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55</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分，技术满分为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15</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分，投标报价部分满分为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3</w:t>
      </w:r>
      <w:r>
        <w:rPr>
          <w:rFonts w:hint="eastAsia" w:hAnsi="宋体" w:cs="宋体"/>
          <w:snapToGrid w:val="0"/>
          <w:color w:val="auto"/>
          <w:kern w:val="0"/>
          <w:highlight w:val="none"/>
          <w:u w:val="single"/>
        </w:rPr>
        <w:t xml:space="preserve">0 </w:t>
      </w:r>
      <w:r>
        <w:rPr>
          <w:rFonts w:hint="eastAsia" w:hAnsi="宋体" w:cs="宋体"/>
          <w:snapToGrid w:val="0"/>
          <w:color w:val="auto"/>
          <w:kern w:val="0"/>
          <w:highlight w:val="none"/>
        </w:rPr>
        <w:t>分。</w:t>
      </w:r>
    </w:p>
    <w:p w14:paraId="49097322">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highlight w:val="none"/>
        </w:rPr>
      </w:pPr>
      <w:r>
        <w:rPr>
          <w:rFonts w:hint="eastAsia" w:hAnsi="宋体" w:cs="宋体"/>
          <w:snapToGrid w:val="0"/>
          <w:color w:val="auto"/>
          <w:kern w:val="0"/>
          <w:highlight w:val="none"/>
        </w:rPr>
        <w:t>除特别注明外，综合得分以及商务、技术、投标报价得分的中间过程计算值和最终值，均按“四舍五入”原则精确到两位小数。</w:t>
      </w:r>
    </w:p>
    <w:p w14:paraId="5D5F80A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（1）商务得分M</w:t>
      </w:r>
      <w:r>
        <w:rPr>
          <w:rFonts w:hint="eastAsia" w:hAnsi="宋体" w:cs="宋体"/>
          <w:snapToGrid w:val="0"/>
          <w:color w:val="auto"/>
          <w:kern w:val="0"/>
          <w:highlight w:val="none"/>
          <w:vertAlign w:val="subscript"/>
        </w:rPr>
        <w:t>1</w:t>
      </w:r>
    </w:p>
    <w:p w14:paraId="7D7767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评标委员会按照《综合评分表》商务部分指定的评分标准对各评分因素进行打分。各评分因素得分之和即为某投标人的商务得分M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w:t>
      </w:r>
    </w:p>
    <w:p w14:paraId="23498F9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（2）技术得分M</w:t>
      </w:r>
      <w:r>
        <w:rPr>
          <w:rFonts w:hint="eastAsia" w:hAnsi="宋体" w:cs="宋体"/>
          <w:snapToGrid w:val="0"/>
          <w:color w:val="auto"/>
          <w:kern w:val="0"/>
          <w:highlight w:val="none"/>
          <w:vertAlign w:val="subscript"/>
        </w:rPr>
        <w:t>2</w:t>
      </w:r>
    </w:p>
    <w:p w14:paraId="47A4028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w:t>
      </w:r>
    </w:p>
    <w:p w14:paraId="13AF220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（3）投标报价得分M</w:t>
      </w:r>
      <w:r>
        <w:rPr>
          <w:rFonts w:hint="eastAsia" w:hAnsi="宋体" w:cs="宋体"/>
          <w:snapToGrid w:val="0"/>
          <w:color w:val="auto"/>
          <w:kern w:val="0"/>
          <w:highlight w:val="none"/>
          <w:vertAlign w:val="subscript"/>
        </w:rPr>
        <w:t>3</w:t>
      </w:r>
    </w:p>
    <w:p w14:paraId="5274240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a．评标委员会按照《综合评分表》投标报价部分指定的方法计算评标基准价D。</w:t>
      </w:r>
    </w:p>
    <w:p w14:paraId="00B3E84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b．采用内插法计算某投标人的投标报价得分M</w:t>
      </w:r>
      <w:r>
        <w:rPr>
          <w:rFonts w:hint="eastAsia" w:hAnsi="宋体" w:cs="宋体"/>
          <w:snapToGrid w:val="0"/>
          <w:color w:val="auto"/>
          <w:kern w:val="0"/>
          <w:highlight w:val="none"/>
          <w:vertAlign w:val="subscript"/>
        </w:rPr>
        <w:t>3</w:t>
      </w:r>
      <w:r>
        <w:rPr>
          <w:rFonts w:hint="eastAsia" w:hAnsi="宋体" w:cs="宋体"/>
          <w:snapToGrid w:val="0"/>
          <w:color w:val="auto"/>
          <w:kern w:val="0"/>
          <w:highlight w:val="none"/>
        </w:rPr>
        <w:t>，即当投标人的投标总价等于评标基准价时得满分，每高于评标基准价一个百分点扣</w:t>
      </w:r>
      <w:r>
        <w:rPr>
          <w:rFonts w:hint="eastAsia" w:hAnsi="宋体" w:cs="宋体"/>
          <w:snapToGrid w:val="0"/>
          <w:color w:val="auto"/>
          <w:kern w:val="0"/>
          <w:highlight w:val="none"/>
          <w:lang w:val="en-US" w:eastAsia="zh-CN"/>
        </w:rPr>
        <w:t>0.5</w:t>
      </w:r>
      <w:r>
        <w:rPr>
          <w:rFonts w:hint="eastAsia" w:hAnsi="宋体" w:cs="宋体"/>
          <w:snapToGrid w:val="0"/>
          <w:color w:val="auto"/>
          <w:kern w:val="0"/>
          <w:highlight w:val="none"/>
        </w:rPr>
        <w:t>分, 每低于评标基准价一个百分点扣0.</w:t>
      </w:r>
      <w:r>
        <w:rPr>
          <w:rFonts w:hint="eastAsia" w:hAnsi="宋体" w:cs="宋体"/>
          <w:snapToGrid w:val="0"/>
          <w:color w:val="auto"/>
          <w:kern w:val="0"/>
          <w:highlight w:val="none"/>
          <w:lang w:val="en-US" w:eastAsia="zh-CN"/>
        </w:rPr>
        <w:t>3</w:t>
      </w:r>
      <w:r>
        <w:rPr>
          <w:rFonts w:hint="eastAsia" w:hAnsi="宋体" w:cs="宋体"/>
          <w:snapToGrid w:val="0"/>
          <w:color w:val="auto"/>
          <w:kern w:val="0"/>
          <w:highlight w:val="none"/>
        </w:rPr>
        <w:t>分，扣完为止。公式如下：</w:t>
      </w:r>
    </w:p>
    <w:p w14:paraId="3641A7FA">
      <w:pPr>
        <w:keepNext w:val="0"/>
        <w:keepLines w:val="0"/>
        <w:pageBreakBefore w:val="0"/>
        <w:wordWrap w:val="0"/>
        <w:topLinePunct w:val="0"/>
        <w:bidi w:val="0"/>
        <w:adjustRightInd w:val="0"/>
        <w:snapToGrid w:val="0"/>
        <w:spacing w:line="500" w:lineRule="exact"/>
        <w:ind w:firstLine="480" w:firstLineChars="200"/>
        <w:jc w:val="center"/>
        <w:textAlignment w:val="auto"/>
        <w:rPr>
          <w:rFonts w:hAnsi="宋体" w:cs="宋体"/>
          <w:snapToGrid w:val="0"/>
          <w:color w:val="auto"/>
          <w:kern w:val="0"/>
          <w:highlight w:val="none"/>
        </w:rPr>
      </w:pP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3</w:t>
      </w:r>
      <w:r>
        <w:rPr>
          <w:rFonts w:hint="eastAsia" w:hAnsi="宋体" w:cs="宋体"/>
          <w:snapToGrid w:val="0"/>
          <w:color w:val="auto"/>
          <w:kern w:val="0"/>
          <w:highlight w:val="none"/>
        </w:rPr>
        <w:t>＝投标报价满分－（|Di－D|÷D）×100×E</w:t>
      </w:r>
    </w:p>
    <w:p w14:paraId="7D5BE61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式中：D为评标基准价，Di为某投标人的投标总价；</w:t>
      </w:r>
    </w:p>
    <w:p w14:paraId="4D67AE7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E为扣分因子。当Di＞D时，E＝</w:t>
      </w:r>
      <w:r>
        <w:rPr>
          <w:rFonts w:hint="eastAsia" w:hAnsi="宋体" w:cs="宋体"/>
          <w:snapToGrid w:val="0"/>
          <w:color w:val="auto"/>
          <w:kern w:val="0"/>
          <w:highlight w:val="none"/>
          <w:lang w:val="en-US" w:eastAsia="zh-CN"/>
        </w:rPr>
        <w:t>0.5</w:t>
      </w:r>
      <w:r>
        <w:rPr>
          <w:rFonts w:hint="eastAsia" w:hAnsi="宋体" w:cs="宋体"/>
          <w:snapToGrid w:val="0"/>
          <w:color w:val="auto"/>
          <w:kern w:val="0"/>
          <w:highlight w:val="none"/>
        </w:rPr>
        <w:t>；当Di＜D时，E＝</w:t>
      </w:r>
      <w:r>
        <w:rPr>
          <w:rFonts w:hint="eastAsia" w:hAnsi="宋体" w:cs="宋体"/>
          <w:snapToGrid w:val="0"/>
          <w:color w:val="auto"/>
          <w:kern w:val="0"/>
          <w:highlight w:val="none"/>
          <w:lang w:val="en-US" w:eastAsia="zh-CN"/>
        </w:rPr>
        <w:t>0.3</w:t>
      </w:r>
      <w:r>
        <w:rPr>
          <w:rFonts w:hint="eastAsia" w:hAnsi="宋体" w:cs="宋体"/>
          <w:snapToGrid w:val="0"/>
          <w:color w:val="auto"/>
          <w:kern w:val="0"/>
          <w:highlight w:val="none"/>
        </w:rPr>
        <w:t>。</w:t>
      </w:r>
    </w:p>
    <w:p w14:paraId="0EFE144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（4）综合得分M</w:t>
      </w:r>
    </w:p>
    <w:p w14:paraId="245E1952">
      <w:pPr>
        <w:keepNext w:val="0"/>
        <w:keepLines w:val="0"/>
        <w:pageBreakBefore w:val="0"/>
        <w:wordWrap w:val="0"/>
        <w:topLinePunct w:val="0"/>
        <w:bidi w:val="0"/>
        <w:adjustRightInd w:val="0"/>
        <w:snapToGrid w:val="0"/>
        <w:spacing w:line="500" w:lineRule="exact"/>
        <w:jc w:val="center"/>
        <w:textAlignment w:val="auto"/>
        <w:rPr>
          <w:rFonts w:hAnsi="宋体" w:cs="宋体"/>
          <w:snapToGrid w:val="0"/>
          <w:color w:val="auto"/>
          <w:kern w:val="0"/>
          <w:highlight w:val="none"/>
        </w:rPr>
      </w:pPr>
      <w:r>
        <w:rPr>
          <w:rFonts w:hint="eastAsia" w:hAnsi="宋体" w:cs="宋体"/>
          <w:snapToGrid w:val="0"/>
          <w:color w:val="auto"/>
          <w:kern w:val="0"/>
          <w:highlight w:val="none"/>
        </w:rPr>
        <w:t>M＝M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3</w:t>
      </w:r>
    </w:p>
    <w:p w14:paraId="015B4829">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auto"/>
          <w:kern w:val="0"/>
          <w:highlight w:val="none"/>
        </w:rPr>
      </w:pPr>
      <w:r>
        <w:rPr>
          <w:rFonts w:hint="eastAsia" w:hAnsi="宋体" w:cs="宋体"/>
          <w:snapToGrid w:val="0"/>
          <w:color w:val="auto"/>
          <w:kern w:val="0"/>
          <w:highlight w:val="none"/>
        </w:rPr>
        <w:t>式中：M为综合得分，M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为商务得分，M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为技术得分，M</w:t>
      </w:r>
      <w:r>
        <w:rPr>
          <w:rFonts w:hint="eastAsia" w:hAnsi="宋体" w:cs="宋体"/>
          <w:snapToGrid w:val="0"/>
          <w:color w:val="auto"/>
          <w:kern w:val="0"/>
          <w:highlight w:val="none"/>
          <w:vertAlign w:val="subscript"/>
        </w:rPr>
        <w:t>3</w:t>
      </w:r>
      <w:r>
        <w:rPr>
          <w:rFonts w:hint="eastAsia" w:ascii="Times New Roman"/>
          <w:snapToGrid w:val="0"/>
          <w:color w:val="auto"/>
          <w:kern w:val="0"/>
          <w:highlight w:val="none"/>
        </w:rPr>
        <w:t>为投标报价得分。</w:t>
      </w:r>
    </w:p>
    <w:p w14:paraId="54DFCA09">
      <w:pPr>
        <w:outlineLvl w:val="9"/>
        <w:rPr>
          <w:rFonts w:hint="eastAsia" w:ascii="宋体" w:hAnsi="宋体" w:eastAsia="宋体" w:cs="宋体"/>
          <w:b/>
          <w:bCs/>
          <w:color w:val="auto"/>
          <w:sz w:val="32"/>
          <w:szCs w:val="22"/>
          <w:highlight w:val="none"/>
          <w:lang w:val="en-US" w:eastAsia="zh-CN"/>
        </w:rPr>
      </w:pPr>
      <w:bookmarkStart w:id="56" w:name="_Toc6276"/>
      <w:bookmarkStart w:id="57" w:name="_Toc31548"/>
    </w:p>
    <w:p w14:paraId="566ABFDA">
      <w:pPr>
        <w:rPr>
          <w:rFonts w:hint="eastAsia"/>
          <w:color w:val="auto"/>
          <w:highlight w:val="none"/>
          <w:lang w:val="en-US" w:eastAsia="zh-CN"/>
        </w:rPr>
      </w:pPr>
    </w:p>
    <w:p w14:paraId="17C17EA4">
      <w:pPr>
        <w:outlineLvl w:val="9"/>
        <w:rPr>
          <w:rFonts w:hint="eastAsia" w:ascii="宋体" w:hAnsi="宋体" w:eastAsia="宋体" w:cs="宋体"/>
          <w:b/>
          <w:bCs/>
          <w:color w:val="auto"/>
          <w:sz w:val="32"/>
          <w:szCs w:val="22"/>
          <w:highlight w:val="none"/>
          <w:lang w:val="en-US" w:eastAsia="zh-CN"/>
        </w:rPr>
      </w:pPr>
    </w:p>
    <w:p w14:paraId="0096D610">
      <w:pPr>
        <w:outlineLvl w:val="9"/>
        <w:rPr>
          <w:rFonts w:hint="eastAsia" w:ascii="宋体" w:hAnsi="宋体" w:eastAsia="宋体" w:cs="宋体"/>
          <w:b/>
          <w:bCs/>
          <w:color w:val="auto"/>
          <w:sz w:val="32"/>
          <w:szCs w:val="22"/>
          <w:highlight w:val="none"/>
          <w:lang w:val="en-US" w:eastAsia="zh-CN"/>
        </w:rPr>
      </w:pPr>
    </w:p>
    <w:p w14:paraId="36C78AF5">
      <w:pPr>
        <w:rPr>
          <w:rFonts w:hint="eastAsia" w:ascii="宋体" w:hAnsi="宋体" w:eastAsia="宋体" w:cs="宋体"/>
          <w:b/>
          <w:bCs/>
          <w:color w:val="auto"/>
          <w:sz w:val="32"/>
          <w:szCs w:val="22"/>
          <w:highlight w:val="none"/>
          <w:lang w:val="en-US" w:eastAsia="zh-CN"/>
        </w:rPr>
      </w:pPr>
    </w:p>
    <w:p w14:paraId="29A1C20E">
      <w:pPr>
        <w:pStyle w:val="39"/>
        <w:rPr>
          <w:rFonts w:hint="eastAsia" w:ascii="宋体" w:hAnsi="宋体" w:eastAsia="宋体" w:cs="宋体"/>
          <w:b/>
          <w:bCs/>
          <w:color w:val="auto"/>
          <w:sz w:val="32"/>
          <w:szCs w:val="22"/>
          <w:highlight w:val="none"/>
          <w:lang w:val="en-US" w:eastAsia="zh-CN"/>
        </w:rPr>
      </w:pPr>
    </w:p>
    <w:p w14:paraId="59A653B5">
      <w:pPr>
        <w:rPr>
          <w:rFonts w:hint="eastAsia" w:ascii="宋体" w:hAnsi="宋体" w:eastAsia="宋体" w:cs="宋体"/>
          <w:b/>
          <w:bCs/>
          <w:color w:val="auto"/>
          <w:sz w:val="32"/>
          <w:szCs w:val="22"/>
          <w:highlight w:val="none"/>
          <w:lang w:val="en-US" w:eastAsia="zh-CN"/>
        </w:rPr>
      </w:pPr>
    </w:p>
    <w:p w14:paraId="583BFD7F">
      <w:pPr>
        <w:rPr>
          <w:rFonts w:hint="eastAsia" w:ascii="宋体" w:hAnsi="宋体" w:eastAsia="宋体" w:cs="宋体"/>
          <w:b/>
          <w:bCs/>
          <w:color w:val="auto"/>
          <w:sz w:val="32"/>
          <w:szCs w:val="22"/>
          <w:highlight w:val="none"/>
          <w:lang w:val="en-US" w:eastAsia="zh-CN"/>
        </w:rPr>
      </w:pPr>
    </w:p>
    <w:p w14:paraId="4A497D7C">
      <w:pPr>
        <w:rPr>
          <w:rFonts w:hint="eastAsia" w:ascii="宋体" w:hAnsi="宋体" w:eastAsia="宋体" w:cs="宋体"/>
          <w:b/>
          <w:bCs/>
          <w:color w:val="auto"/>
          <w:sz w:val="32"/>
          <w:szCs w:val="22"/>
          <w:highlight w:val="none"/>
          <w:lang w:val="en-US" w:eastAsia="zh-CN"/>
        </w:rPr>
      </w:pPr>
    </w:p>
    <w:p w14:paraId="63FB8236">
      <w:pPr>
        <w:rPr>
          <w:rFonts w:hint="eastAsia" w:ascii="宋体" w:hAnsi="宋体" w:eastAsia="宋体" w:cs="宋体"/>
          <w:b/>
          <w:bCs/>
          <w:color w:val="auto"/>
          <w:sz w:val="32"/>
          <w:szCs w:val="22"/>
          <w:highlight w:val="none"/>
          <w:lang w:val="en-US" w:eastAsia="zh-CN"/>
        </w:rPr>
      </w:pPr>
    </w:p>
    <w:p w14:paraId="192640F6">
      <w:pPr>
        <w:rPr>
          <w:rFonts w:hint="eastAsia" w:ascii="宋体" w:hAnsi="宋体" w:eastAsia="宋体" w:cs="宋体"/>
          <w:b/>
          <w:bCs/>
          <w:color w:val="auto"/>
          <w:sz w:val="32"/>
          <w:szCs w:val="22"/>
          <w:highlight w:val="none"/>
          <w:lang w:val="en-US" w:eastAsia="zh-CN"/>
        </w:rPr>
      </w:pPr>
    </w:p>
    <w:p w14:paraId="6B28690E">
      <w:pPr>
        <w:rPr>
          <w:rFonts w:hint="eastAsia" w:ascii="宋体" w:hAnsi="宋体" w:eastAsia="宋体" w:cs="宋体"/>
          <w:b/>
          <w:bCs/>
          <w:color w:val="auto"/>
          <w:sz w:val="32"/>
          <w:szCs w:val="22"/>
          <w:highlight w:val="none"/>
          <w:lang w:val="en-US" w:eastAsia="zh-CN"/>
        </w:rPr>
      </w:pPr>
    </w:p>
    <w:p w14:paraId="6257695D">
      <w:pPr>
        <w:rPr>
          <w:rFonts w:hint="eastAsia" w:ascii="宋体" w:hAnsi="宋体" w:eastAsia="宋体" w:cs="宋体"/>
          <w:b/>
          <w:bCs/>
          <w:color w:val="auto"/>
          <w:sz w:val="32"/>
          <w:szCs w:val="22"/>
          <w:highlight w:val="none"/>
          <w:lang w:val="en-US" w:eastAsia="zh-CN"/>
        </w:rPr>
      </w:pPr>
    </w:p>
    <w:p w14:paraId="77690F4A">
      <w:pPr>
        <w:pStyle w:val="39"/>
        <w:rPr>
          <w:rFonts w:hint="eastAsia" w:ascii="宋体" w:hAnsi="宋体" w:eastAsia="宋体" w:cs="宋体"/>
          <w:b/>
          <w:bCs/>
          <w:color w:val="auto"/>
          <w:sz w:val="32"/>
          <w:szCs w:val="22"/>
          <w:highlight w:val="none"/>
          <w:lang w:val="en-US" w:eastAsia="zh-CN"/>
        </w:rPr>
      </w:pPr>
    </w:p>
    <w:p w14:paraId="0AE73DF4">
      <w:pPr>
        <w:rPr>
          <w:rFonts w:hint="eastAsia" w:ascii="宋体" w:hAnsi="宋体" w:eastAsia="宋体" w:cs="宋体"/>
          <w:b/>
          <w:bCs/>
          <w:color w:val="auto"/>
          <w:sz w:val="32"/>
          <w:szCs w:val="22"/>
          <w:highlight w:val="none"/>
          <w:lang w:val="en-US" w:eastAsia="zh-CN"/>
        </w:rPr>
      </w:pPr>
    </w:p>
    <w:p w14:paraId="18FB062D">
      <w:pPr>
        <w:pStyle w:val="39"/>
        <w:rPr>
          <w:rFonts w:hint="eastAsia" w:ascii="宋体" w:hAnsi="宋体" w:eastAsia="宋体" w:cs="宋体"/>
          <w:b/>
          <w:bCs/>
          <w:color w:val="auto"/>
          <w:sz w:val="32"/>
          <w:szCs w:val="22"/>
          <w:highlight w:val="none"/>
          <w:lang w:val="en-US" w:eastAsia="zh-CN"/>
        </w:rPr>
      </w:pPr>
    </w:p>
    <w:p w14:paraId="27773BC2">
      <w:pPr>
        <w:rPr>
          <w:rFonts w:hint="eastAsia" w:ascii="宋体" w:hAnsi="宋体" w:eastAsia="宋体" w:cs="宋体"/>
          <w:b/>
          <w:bCs/>
          <w:color w:val="auto"/>
          <w:sz w:val="32"/>
          <w:szCs w:val="22"/>
          <w:highlight w:val="none"/>
          <w:lang w:val="en-US" w:eastAsia="zh-CN"/>
        </w:rPr>
      </w:pPr>
    </w:p>
    <w:p w14:paraId="65DF1DB6">
      <w:pPr>
        <w:jc w:val="center"/>
        <w:outlineLvl w:val="9"/>
        <w:rPr>
          <w:rFonts w:hint="eastAsia" w:ascii="宋体" w:hAnsi="宋体" w:eastAsia="宋体" w:cs="宋体"/>
          <w:b/>
          <w:bCs/>
          <w:color w:val="auto"/>
          <w:sz w:val="32"/>
          <w:szCs w:val="22"/>
          <w:highlight w:val="none"/>
        </w:rPr>
      </w:pPr>
      <w:r>
        <w:rPr>
          <w:rFonts w:hint="eastAsia" w:ascii="宋体" w:hAnsi="宋体" w:eastAsia="宋体" w:cs="宋体"/>
          <w:b/>
          <w:bCs/>
          <w:color w:val="auto"/>
          <w:sz w:val="32"/>
          <w:szCs w:val="22"/>
          <w:highlight w:val="none"/>
        </w:rPr>
        <w:t>表1 综合评分表</w:t>
      </w:r>
      <w:bookmarkEnd w:id="56"/>
      <w:bookmarkEnd w:id="57"/>
    </w:p>
    <w:tbl>
      <w:tblPr>
        <w:tblStyle w:val="30"/>
        <w:tblW w:w="103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2"/>
        <w:gridCol w:w="290"/>
        <w:gridCol w:w="4400"/>
        <w:gridCol w:w="4515"/>
      </w:tblGrid>
      <w:tr w14:paraId="0BCF4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0387" w:type="dxa"/>
            <w:gridSpan w:val="4"/>
            <w:noWrap w:val="0"/>
            <w:vAlign w:val="center"/>
          </w:tcPr>
          <w:p w14:paraId="2160E90C">
            <w:pPr>
              <w:keepNext w:val="0"/>
              <w:keepLines w:val="0"/>
              <w:pageBreakBefore w:val="0"/>
              <w:widowControl w:val="0"/>
              <w:kinsoku/>
              <w:wordWrap w:val="0"/>
              <w:overflowPunct/>
              <w:topLinePunct w:val="0"/>
              <w:autoSpaceDE/>
              <w:autoSpaceDN/>
              <w:bidi w:val="0"/>
              <w:adjustRightInd w:val="0"/>
              <w:snapToGrid w:val="0"/>
              <w:spacing w:line="240" w:lineRule="auto"/>
              <w:jc w:val="both"/>
              <w:textAlignment w:val="auto"/>
              <w:rPr>
                <w:rFonts w:hint="eastAsia" w:ascii="宋体" w:hAnsi="宋体" w:eastAsia="宋体" w:cs="宋体"/>
                <w:b/>
                <w:bCs/>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rPr>
              <w:t>商务部分满分：</w:t>
            </w:r>
            <w:r>
              <w:rPr>
                <w:rFonts w:hint="eastAsia" w:ascii="宋体" w:hAnsi="宋体" w:eastAsia="宋体" w:cs="宋体"/>
                <w:b/>
                <w:bCs/>
                <w:strike w:val="0"/>
                <w:dstrike w:val="0"/>
                <w:snapToGrid w:val="0"/>
                <w:color w:val="auto"/>
                <w:kern w:val="0"/>
                <w:sz w:val="21"/>
                <w:szCs w:val="21"/>
                <w:highlight w:val="none"/>
                <w:u w:val="single"/>
                <w:lang w:val="en-US" w:eastAsia="zh-CN"/>
              </w:rPr>
              <w:t>55</w:t>
            </w:r>
            <w:r>
              <w:rPr>
                <w:rFonts w:hint="eastAsia" w:ascii="宋体" w:hAnsi="宋体" w:eastAsia="宋体" w:cs="宋体"/>
                <w:b/>
                <w:bCs/>
                <w:strike w:val="0"/>
                <w:dstrike w:val="0"/>
                <w:snapToGrid w:val="0"/>
                <w:color w:val="auto"/>
                <w:kern w:val="0"/>
                <w:sz w:val="21"/>
                <w:szCs w:val="21"/>
                <w:highlight w:val="none"/>
              </w:rPr>
              <w:t>分。</w:t>
            </w:r>
          </w:p>
        </w:tc>
      </w:tr>
      <w:tr w14:paraId="36B39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182" w:type="dxa"/>
            <w:shd w:val="clear" w:color="auto" w:fill="auto"/>
            <w:noWrap w:val="0"/>
            <w:vAlign w:val="center"/>
          </w:tcPr>
          <w:p w14:paraId="166108D4">
            <w:pPr>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afterAutospacing="0" w:line="240" w:lineRule="auto"/>
              <w:jc w:val="center"/>
              <w:textAlignment w:val="auto"/>
              <w:rPr>
                <w:rFonts w:hint="eastAsia" w:ascii="宋体" w:hAnsi="宋体" w:eastAsia="宋体" w:cs="宋体"/>
                <w:b/>
                <w:bCs/>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评分因素</w:t>
            </w:r>
          </w:p>
        </w:tc>
        <w:tc>
          <w:tcPr>
            <w:tcW w:w="4690" w:type="dxa"/>
            <w:gridSpan w:val="2"/>
            <w:shd w:val="clear" w:color="auto" w:fill="auto"/>
            <w:noWrap w:val="0"/>
            <w:vAlign w:val="center"/>
          </w:tcPr>
          <w:p w14:paraId="60B40220">
            <w:pPr>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afterAutospacing="0" w:line="240" w:lineRule="auto"/>
              <w:jc w:val="center"/>
              <w:textAlignment w:val="auto"/>
              <w:rPr>
                <w:rFonts w:hint="eastAsia" w:ascii="宋体" w:hAnsi="宋体" w:eastAsia="宋体" w:cs="宋体"/>
                <w:b/>
                <w:bCs/>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评分标准</w:t>
            </w:r>
          </w:p>
        </w:tc>
        <w:tc>
          <w:tcPr>
            <w:tcW w:w="4515" w:type="dxa"/>
            <w:noWrap w:val="0"/>
            <w:vAlign w:val="center"/>
          </w:tcPr>
          <w:p w14:paraId="15E6C2DF">
            <w:pPr>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afterAutospacing="0" w:line="240" w:lineRule="auto"/>
              <w:jc w:val="center"/>
              <w:textAlignment w:val="auto"/>
              <w:rPr>
                <w:rFonts w:hint="eastAsia" w:ascii="宋体" w:hAnsi="宋体" w:eastAsia="宋体" w:cs="宋体"/>
                <w:b/>
                <w:bCs/>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备注</w:t>
            </w:r>
          </w:p>
        </w:tc>
      </w:tr>
      <w:tr w14:paraId="2B88C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7" w:hRule="atLeast"/>
          <w:jc w:val="center"/>
        </w:trPr>
        <w:tc>
          <w:tcPr>
            <w:tcW w:w="1182" w:type="dxa"/>
            <w:shd w:val="clear" w:color="auto" w:fill="auto"/>
            <w:noWrap w:val="0"/>
            <w:vAlign w:val="center"/>
          </w:tcPr>
          <w:p w14:paraId="14EA9520">
            <w:pPr>
              <w:pStyle w:val="154"/>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项目总监综合素质</w:t>
            </w:r>
          </w:p>
          <w:p w14:paraId="4897EA26">
            <w:pPr>
              <w:pStyle w:val="154"/>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（3分）</w:t>
            </w:r>
          </w:p>
        </w:tc>
        <w:tc>
          <w:tcPr>
            <w:tcW w:w="4690" w:type="dxa"/>
            <w:gridSpan w:val="2"/>
            <w:shd w:val="clear" w:color="auto" w:fill="auto"/>
            <w:noWrap w:val="0"/>
            <w:vAlign w:val="center"/>
          </w:tcPr>
          <w:p w14:paraId="564E713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拟委派的总监理工程师技术职称情况：</w:t>
            </w:r>
          </w:p>
          <w:p w14:paraId="4E3AE8E0">
            <w:pPr>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具备工程师或以上职称的，得3分；</w:t>
            </w:r>
          </w:p>
          <w:p w14:paraId="50BD7998">
            <w:pPr>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具备助理工程师职称的，得1分；</w:t>
            </w:r>
          </w:p>
          <w:p w14:paraId="076EDED6">
            <w:pPr>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不具备以上职称的，不予计分。</w:t>
            </w:r>
          </w:p>
          <w:p w14:paraId="1CDF7427">
            <w:pPr>
              <w:spacing w:line="400" w:lineRule="exac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说明：本项最高得3分。</w:t>
            </w:r>
          </w:p>
        </w:tc>
        <w:tc>
          <w:tcPr>
            <w:tcW w:w="4515" w:type="dxa"/>
            <w:noWrap w:val="0"/>
            <w:vAlign w:val="center"/>
          </w:tcPr>
          <w:p w14:paraId="0ACBFE26">
            <w:pPr>
              <w:pStyle w:val="10"/>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1.需附职称证彩色扫描件或打印件。</w:t>
            </w:r>
          </w:p>
        </w:tc>
      </w:tr>
      <w:tr w14:paraId="4ED7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5" w:hRule="atLeast"/>
          <w:jc w:val="center"/>
        </w:trPr>
        <w:tc>
          <w:tcPr>
            <w:tcW w:w="1182" w:type="dxa"/>
            <w:shd w:val="clear" w:color="auto" w:fill="auto"/>
            <w:noWrap w:val="0"/>
            <w:vAlign w:val="center"/>
          </w:tcPr>
          <w:p w14:paraId="0566A42B">
            <w:pPr>
              <w:pStyle w:val="154"/>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人员配备程度</w:t>
            </w:r>
          </w:p>
          <w:p w14:paraId="7FA712CA">
            <w:pPr>
              <w:pStyle w:val="154"/>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（4分）</w:t>
            </w:r>
          </w:p>
        </w:tc>
        <w:tc>
          <w:tcPr>
            <w:tcW w:w="4690" w:type="dxa"/>
            <w:gridSpan w:val="2"/>
            <w:shd w:val="clear" w:color="auto" w:fill="auto"/>
            <w:noWrap w:val="0"/>
            <w:vAlign w:val="center"/>
          </w:tcPr>
          <w:p w14:paraId="7A7B7279">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其他拟派人员的数量和专业完全满足表2 《项目监理机构其他人员需求表》（以下简称《需求表》）要求的，得4分，否则不得分。</w:t>
            </w:r>
          </w:p>
        </w:tc>
        <w:tc>
          <w:tcPr>
            <w:tcW w:w="4515" w:type="dxa"/>
            <w:noWrap w:val="0"/>
            <w:vAlign w:val="center"/>
          </w:tcPr>
          <w:p w14:paraId="4D6BFF07">
            <w:pPr>
              <w:pStyle w:val="10"/>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1.拟派专业监理工程师按照《需求表》“持证要求”栏目提供的证书中，有任意一类符合专业要求的，即视其专业满足要求。</w:t>
            </w:r>
          </w:p>
          <w:p w14:paraId="7FCC09C8">
            <w:pPr>
              <w:keepNext w:val="0"/>
              <w:keepLines w:val="0"/>
              <w:pageBreakBefore w:val="0"/>
              <w:numPr>
                <w:ilvl w:val="0"/>
                <w:numId w:val="0"/>
              </w:numPr>
              <w:kinsoku/>
              <w:wordWrap/>
              <w:overflowPunct/>
              <w:topLinePunct w:val="0"/>
              <w:autoSpaceDE/>
              <w:autoSpaceDN/>
              <w:bidi w:val="0"/>
              <w:snapToGrid/>
              <w:spacing w:line="400" w:lineRule="exact"/>
              <w:ind w:left="0" w:leftChars="0" w:firstLine="0" w:firstLineChars="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2.其他拟派人员的数量或专业不满足《需求表》要求的，均视为“不符合要求”。</w:t>
            </w:r>
          </w:p>
        </w:tc>
      </w:tr>
      <w:tr w14:paraId="7F83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5" w:hRule="atLeast"/>
          <w:jc w:val="center"/>
        </w:trPr>
        <w:tc>
          <w:tcPr>
            <w:tcW w:w="1182" w:type="dxa"/>
            <w:shd w:val="clear" w:color="auto" w:fill="auto"/>
            <w:noWrap w:val="0"/>
            <w:vAlign w:val="center"/>
          </w:tcPr>
          <w:p w14:paraId="760387FB">
            <w:pPr>
              <w:pStyle w:val="154"/>
              <w:keepNext w:val="0"/>
              <w:keepLines w:val="0"/>
              <w:pageBreakBefore w:val="0"/>
              <w:widowControl w:val="0"/>
              <w:kinsoku/>
              <w:wordWrap w:val="0"/>
              <w:overflowPunct/>
              <w:topLinePunct w:val="0"/>
              <w:autoSpaceDE/>
              <w:autoSpaceDN/>
              <w:bidi w:val="0"/>
              <w:adjustRightInd/>
              <w:snapToGrid w:val="0"/>
              <w:spacing w:after="0" w:line="360" w:lineRule="exact"/>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技术力量</w:t>
            </w:r>
            <w:r>
              <w:rPr>
                <w:rFonts w:hint="eastAsia" w:ascii="宋体" w:hAnsi="宋体" w:eastAsia="宋体" w:cs="宋体"/>
                <w:b/>
                <w:bCs/>
                <w:snapToGrid w:val="0"/>
                <w:color w:val="auto"/>
                <w:kern w:val="0"/>
                <w:sz w:val="21"/>
                <w:szCs w:val="21"/>
                <w:highlight w:val="none"/>
                <w:lang w:val="en-US" w:eastAsia="zh-CN" w:bidi="ar-SA"/>
              </w:rPr>
              <w:t>（24分）</w:t>
            </w:r>
          </w:p>
        </w:tc>
        <w:tc>
          <w:tcPr>
            <w:tcW w:w="4690" w:type="dxa"/>
            <w:gridSpan w:val="2"/>
            <w:shd w:val="clear" w:color="auto" w:fill="auto"/>
            <w:noWrap w:val="0"/>
            <w:vAlign w:val="center"/>
          </w:tcPr>
          <w:p w14:paraId="4FC6F62B">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1、配备1名造价专业工程师：具有一级造价工程师注册证（土木建筑工程专业）得4分，同时具有工程类专业高级或以上技术职称的加4分，</w:t>
            </w:r>
            <w:r>
              <w:rPr>
                <w:rFonts w:hint="eastAsia" w:ascii="宋体" w:hAnsi="宋体" w:eastAsia="宋体" w:cs="宋体"/>
                <w:b/>
                <w:bCs/>
                <w:snapToGrid w:val="0"/>
                <w:color w:val="auto"/>
                <w:kern w:val="0"/>
                <w:sz w:val="21"/>
                <w:szCs w:val="21"/>
                <w:highlight w:val="none"/>
                <w:lang w:val="en-US" w:eastAsia="zh-CN" w:bidi="ar-SA"/>
              </w:rPr>
              <w:t>本小项最高得8分</w:t>
            </w:r>
            <w:r>
              <w:rPr>
                <w:rFonts w:hint="eastAsia" w:ascii="宋体" w:hAnsi="宋体" w:eastAsia="宋体" w:cs="宋体"/>
                <w:snapToGrid w:val="0"/>
                <w:color w:val="auto"/>
                <w:kern w:val="0"/>
                <w:sz w:val="21"/>
                <w:szCs w:val="21"/>
                <w:highlight w:val="none"/>
                <w:lang w:val="en-US" w:eastAsia="zh-CN" w:bidi="ar-SA"/>
              </w:rPr>
              <w:t xml:space="preserve">。 </w:t>
            </w:r>
          </w:p>
          <w:p w14:paraId="78F5FA5D">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2、配备1名给排水专业监理工程师：具有全国监理工程师注册证得4分，同时具有注册公用设备工程师（给水排水）加4分，</w:t>
            </w:r>
            <w:r>
              <w:rPr>
                <w:rFonts w:hint="eastAsia" w:ascii="宋体" w:hAnsi="宋体" w:eastAsia="宋体" w:cs="宋体"/>
                <w:b/>
                <w:bCs/>
                <w:snapToGrid w:val="0"/>
                <w:color w:val="auto"/>
                <w:kern w:val="0"/>
                <w:sz w:val="21"/>
                <w:szCs w:val="21"/>
                <w:highlight w:val="none"/>
                <w:lang w:val="en-US" w:eastAsia="zh-CN" w:bidi="ar-SA"/>
              </w:rPr>
              <w:t>本小项最高得8分</w:t>
            </w:r>
            <w:r>
              <w:rPr>
                <w:rFonts w:hint="eastAsia" w:ascii="宋体" w:hAnsi="宋体" w:eastAsia="宋体" w:cs="宋体"/>
                <w:snapToGrid w:val="0"/>
                <w:color w:val="auto"/>
                <w:kern w:val="0"/>
                <w:sz w:val="21"/>
                <w:szCs w:val="21"/>
                <w:highlight w:val="none"/>
                <w:lang w:val="en-US" w:eastAsia="zh-CN" w:bidi="ar-SA"/>
              </w:rPr>
              <w:t>。</w:t>
            </w:r>
          </w:p>
          <w:p w14:paraId="12EDAF12">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3、配备1名供配电专业监理工程师：具有全国监理工程师注册证得4分；同时具有注册电气工程师（供配电）加4分，</w:t>
            </w:r>
            <w:r>
              <w:rPr>
                <w:rFonts w:hint="eastAsia" w:ascii="宋体" w:hAnsi="宋体" w:eastAsia="宋体" w:cs="宋体"/>
                <w:b/>
                <w:bCs/>
                <w:snapToGrid w:val="0"/>
                <w:color w:val="auto"/>
                <w:kern w:val="0"/>
                <w:sz w:val="21"/>
                <w:szCs w:val="21"/>
                <w:highlight w:val="none"/>
                <w:lang w:val="en-US" w:eastAsia="zh-CN" w:bidi="ar-SA"/>
              </w:rPr>
              <w:t>本小项最高得8分</w:t>
            </w:r>
            <w:r>
              <w:rPr>
                <w:rFonts w:hint="eastAsia" w:ascii="宋体" w:hAnsi="宋体" w:eastAsia="宋体" w:cs="宋体"/>
                <w:snapToGrid w:val="0"/>
                <w:color w:val="auto"/>
                <w:kern w:val="0"/>
                <w:sz w:val="21"/>
                <w:szCs w:val="21"/>
                <w:highlight w:val="none"/>
                <w:lang w:val="en-US" w:eastAsia="zh-CN" w:bidi="ar-SA"/>
              </w:rPr>
              <w:t>。</w:t>
            </w:r>
          </w:p>
        </w:tc>
        <w:tc>
          <w:tcPr>
            <w:tcW w:w="4515" w:type="dxa"/>
            <w:noWrap w:val="0"/>
            <w:vAlign w:val="center"/>
          </w:tcPr>
          <w:p w14:paraId="1A9BCFA8">
            <w:pPr>
              <w:pStyle w:val="10"/>
              <w:keepNext w:val="0"/>
              <w:keepLines w:val="0"/>
              <w:pageBreakBefore w:val="0"/>
              <w:widowControl w:val="0"/>
              <w:numPr>
                <w:ilvl w:val="0"/>
                <w:numId w:val="2"/>
              </w:numPr>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需提供注册证等相关证书彩色扫描件，所有人员不得重复计分，人员注册类证书必须在本单位注册且在有效期内，须附中国住房和城乡建设部全国建筑市场监管公共服务平台网页查询截图，否则不予计分。</w:t>
            </w:r>
          </w:p>
          <w:p w14:paraId="5769B0FB">
            <w:pPr>
              <w:pStyle w:val="10"/>
              <w:keepNext w:val="0"/>
              <w:keepLines w:val="0"/>
              <w:pageBreakBefore w:val="0"/>
              <w:widowControl w:val="0"/>
              <w:numPr>
                <w:ilvl w:val="0"/>
                <w:numId w:val="2"/>
              </w:numPr>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关于社保：①需提供相应人员近3个月（其中必须有2026年05月）由本单位（或本单位分公司）向政府部门交纳的社会保险证明复印件加盖投标人公章。②已退休人员提供退休证明及返聘合同即可。）</w:t>
            </w:r>
          </w:p>
        </w:tc>
      </w:tr>
      <w:tr w14:paraId="2F16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5" w:hRule="atLeast"/>
          <w:jc w:val="center"/>
        </w:trPr>
        <w:tc>
          <w:tcPr>
            <w:tcW w:w="1182" w:type="dxa"/>
            <w:shd w:val="clear" w:color="auto" w:fill="auto"/>
            <w:noWrap w:val="0"/>
            <w:vAlign w:val="center"/>
          </w:tcPr>
          <w:p w14:paraId="1D784656">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企业奖项</w:t>
            </w:r>
          </w:p>
          <w:p w14:paraId="0F71C32B">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（11分）</w:t>
            </w:r>
          </w:p>
        </w:tc>
        <w:tc>
          <w:tcPr>
            <w:tcW w:w="4690" w:type="dxa"/>
            <w:gridSpan w:val="2"/>
            <w:shd w:val="clear" w:color="auto" w:fill="auto"/>
            <w:noWrap w:val="0"/>
            <w:vAlign w:val="center"/>
          </w:tcPr>
          <w:p w14:paraId="2E316254">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1.自2022年以来，监理项目获得过省级或以上行业协会或主管部门颁发的建设工程优质奖（如优质工程、优质结构等相关奖项），每有一个得2分，</w:t>
            </w:r>
            <w:r>
              <w:rPr>
                <w:rFonts w:hint="eastAsia" w:ascii="宋体" w:hAnsi="宋体" w:eastAsia="宋体" w:cs="宋体"/>
                <w:b/>
                <w:bCs/>
                <w:snapToGrid w:val="0"/>
                <w:color w:val="auto"/>
                <w:kern w:val="0"/>
                <w:sz w:val="21"/>
                <w:szCs w:val="21"/>
                <w:highlight w:val="none"/>
                <w:lang w:val="en-US" w:eastAsia="zh-CN" w:bidi="ar-SA"/>
              </w:rPr>
              <w:t>本小项最高得4分</w:t>
            </w:r>
            <w:r>
              <w:rPr>
                <w:rFonts w:hint="eastAsia" w:ascii="宋体" w:hAnsi="宋体" w:eastAsia="宋体" w:cs="宋体"/>
                <w:snapToGrid w:val="0"/>
                <w:color w:val="auto"/>
                <w:kern w:val="0"/>
                <w:sz w:val="21"/>
                <w:szCs w:val="21"/>
                <w:highlight w:val="none"/>
                <w:lang w:val="en-US" w:eastAsia="zh-CN" w:bidi="ar-SA"/>
              </w:rPr>
              <w:t>。</w:t>
            </w:r>
          </w:p>
          <w:p w14:paraId="61A92BE0">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2.自2022年以来，监理项目获得过省级或以上行业协会或主管部门颁发的安全生产标准化工地（或安全标准化示范工地）奖，每一个得2分，</w:t>
            </w:r>
            <w:r>
              <w:rPr>
                <w:rFonts w:hint="eastAsia" w:ascii="宋体" w:hAnsi="宋体" w:eastAsia="宋体" w:cs="宋体"/>
                <w:b/>
                <w:bCs/>
                <w:snapToGrid w:val="0"/>
                <w:color w:val="auto"/>
                <w:kern w:val="0"/>
                <w:sz w:val="21"/>
                <w:szCs w:val="21"/>
                <w:highlight w:val="none"/>
                <w:lang w:val="en-US" w:eastAsia="zh-CN" w:bidi="ar-SA"/>
              </w:rPr>
              <w:t>本小项最高得4分</w:t>
            </w:r>
            <w:r>
              <w:rPr>
                <w:rFonts w:hint="eastAsia" w:ascii="宋体" w:hAnsi="宋体" w:eastAsia="宋体" w:cs="宋体"/>
                <w:snapToGrid w:val="0"/>
                <w:color w:val="auto"/>
                <w:kern w:val="0"/>
                <w:sz w:val="21"/>
                <w:szCs w:val="21"/>
                <w:highlight w:val="none"/>
                <w:lang w:val="en-US" w:eastAsia="zh-CN" w:bidi="ar-SA"/>
              </w:rPr>
              <w:t>。</w:t>
            </w:r>
          </w:p>
          <w:p w14:paraId="770B1136">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3.自2022年以来，获得过市级或以上监理协会或主管部门颁发的年度优秀监理企业荣誉，每有一个得1分，</w:t>
            </w:r>
            <w:r>
              <w:rPr>
                <w:rFonts w:hint="eastAsia" w:ascii="宋体" w:hAnsi="宋体" w:eastAsia="宋体" w:cs="宋体"/>
                <w:b/>
                <w:bCs/>
                <w:snapToGrid w:val="0"/>
                <w:color w:val="auto"/>
                <w:kern w:val="0"/>
                <w:sz w:val="21"/>
                <w:szCs w:val="21"/>
                <w:highlight w:val="none"/>
                <w:lang w:val="en-US" w:eastAsia="zh-CN" w:bidi="ar-SA"/>
              </w:rPr>
              <w:t>本小项最高得3分</w:t>
            </w:r>
            <w:r>
              <w:rPr>
                <w:rFonts w:hint="eastAsia" w:ascii="宋体" w:hAnsi="宋体" w:eastAsia="宋体" w:cs="宋体"/>
                <w:snapToGrid w:val="0"/>
                <w:color w:val="auto"/>
                <w:kern w:val="0"/>
                <w:sz w:val="21"/>
                <w:szCs w:val="21"/>
                <w:highlight w:val="none"/>
                <w:lang w:val="en-US" w:eastAsia="zh-CN" w:bidi="ar-SA"/>
              </w:rPr>
              <w:t>。</w:t>
            </w:r>
          </w:p>
        </w:tc>
        <w:tc>
          <w:tcPr>
            <w:tcW w:w="4515" w:type="dxa"/>
            <w:noWrap w:val="0"/>
            <w:vAlign w:val="center"/>
          </w:tcPr>
          <w:p w14:paraId="0BA24A32">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1.须提供相关证书彩色扫描件，获奖时间以奖项证明的落款日期为准。</w:t>
            </w:r>
          </w:p>
          <w:p w14:paraId="762194B2">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2.行业协会需能在全国社会组织信用信息公示平台查询，并提供截图。</w:t>
            </w:r>
          </w:p>
          <w:p w14:paraId="7712D11A">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3.颁发机构、获奖时间不符合评分标准和备注规定的不予计分。</w:t>
            </w:r>
          </w:p>
        </w:tc>
      </w:tr>
      <w:tr w14:paraId="3B55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5" w:hRule="atLeast"/>
          <w:jc w:val="center"/>
        </w:trPr>
        <w:tc>
          <w:tcPr>
            <w:tcW w:w="1182" w:type="dxa"/>
            <w:shd w:val="clear" w:color="auto" w:fill="auto"/>
            <w:noWrap w:val="0"/>
            <w:vAlign w:val="center"/>
          </w:tcPr>
          <w:p w14:paraId="362D7301">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企业业绩</w:t>
            </w:r>
          </w:p>
          <w:p w14:paraId="6BA6F0B3">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（8分）</w:t>
            </w:r>
          </w:p>
        </w:tc>
        <w:tc>
          <w:tcPr>
            <w:tcW w:w="4690" w:type="dxa"/>
            <w:gridSpan w:val="2"/>
            <w:shd w:val="clear" w:color="auto" w:fill="auto"/>
            <w:noWrap w:val="0"/>
            <w:vAlign w:val="center"/>
          </w:tcPr>
          <w:p w14:paraId="1514F61C">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2022年1月1日至今，企业监理的项目业绩情况：</w:t>
            </w:r>
          </w:p>
          <w:p w14:paraId="7B670586">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1.完</w:t>
            </w:r>
            <w:r>
              <w:rPr>
                <w:rFonts w:hint="eastAsia" w:ascii="宋体" w:hAnsi="宋体" w:eastAsia="宋体" w:cs="宋体"/>
                <w:snapToGrid w:val="0"/>
                <w:color w:val="auto"/>
                <w:kern w:val="0"/>
                <w:sz w:val="21"/>
                <w:szCs w:val="21"/>
                <w:highlight w:val="none"/>
                <w:u w:val="single"/>
                <w:lang w:val="en-US" w:eastAsia="zh-CN" w:bidi="ar-SA"/>
              </w:rPr>
              <w:t>成过</w:t>
            </w:r>
            <w:r>
              <w:rPr>
                <w:rFonts w:hint="eastAsia" w:ascii="宋体" w:hAnsi="宋体" w:eastAsia="宋体" w:cs="宋体"/>
                <w:snapToGrid w:val="0"/>
                <w:color w:val="auto"/>
                <w:kern w:val="0"/>
                <w:sz w:val="21"/>
                <w:szCs w:val="21"/>
                <w:highlight w:val="none"/>
                <w:lang w:val="en-US" w:eastAsia="zh-CN" w:bidi="ar-SA"/>
              </w:rPr>
              <w:t>类似项目的，每项得2分；</w:t>
            </w:r>
          </w:p>
          <w:p w14:paraId="72C91142">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2.未</w:t>
            </w:r>
            <w:r>
              <w:rPr>
                <w:rFonts w:hint="eastAsia" w:ascii="宋体" w:hAnsi="宋体" w:eastAsia="宋体" w:cs="宋体"/>
                <w:snapToGrid w:val="0"/>
                <w:color w:val="auto"/>
                <w:kern w:val="0"/>
                <w:sz w:val="21"/>
                <w:szCs w:val="21"/>
                <w:highlight w:val="none"/>
                <w:u w:val="single"/>
                <w:lang w:val="en-US" w:eastAsia="zh-CN" w:bidi="ar-SA"/>
              </w:rPr>
              <w:t>完成</w:t>
            </w:r>
            <w:r>
              <w:rPr>
                <w:rFonts w:hint="eastAsia" w:ascii="宋体" w:hAnsi="宋体" w:eastAsia="宋体" w:cs="宋体"/>
                <w:snapToGrid w:val="0"/>
                <w:color w:val="auto"/>
                <w:kern w:val="0"/>
                <w:sz w:val="21"/>
                <w:szCs w:val="21"/>
                <w:highlight w:val="none"/>
                <w:lang w:val="en-US" w:eastAsia="zh-CN" w:bidi="ar-SA"/>
              </w:rPr>
              <w:t>过类似项目的，不予计分。</w:t>
            </w:r>
          </w:p>
          <w:p w14:paraId="02E584D8">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说明：本项最高得8分。</w:t>
            </w:r>
          </w:p>
        </w:tc>
        <w:tc>
          <w:tcPr>
            <w:tcW w:w="4515" w:type="dxa"/>
            <w:noWrap w:val="0"/>
            <w:vAlign w:val="center"/>
          </w:tcPr>
          <w:p w14:paraId="6C7B7846">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1.类似项目指：工程投资额≥1000万元的房屋建筑工程或市政公用工程施工监理服务项目。</w:t>
            </w:r>
          </w:p>
          <w:p w14:paraId="33A0C0FE">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2.须提供项目业绩的中标或中选通知书、监理合同关键页及竣工验收彩色扫描件（或打印件）。</w:t>
            </w:r>
          </w:p>
          <w:p w14:paraId="22D7EB67">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3.项目业绩认定时间以完工或竣工验收时间为准。</w:t>
            </w:r>
          </w:p>
          <w:p w14:paraId="5EA4AA60">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 xml:space="preserve">4.项目业绩有以下情形之一的，该业绩视为无效，不予计分： </w:t>
            </w:r>
          </w:p>
          <w:p w14:paraId="37A1F54A">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 xml:space="preserve">①业绩不属于类似项目的； </w:t>
            </w:r>
          </w:p>
          <w:p w14:paraId="378B7981">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 xml:space="preserve">②业绩时间不符合要求的； </w:t>
            </w:r>
          </w:p>
          <w:p w14:paraId="5B65B8A5">
            <w:pPr>
              <w:pStyle w:val="10"/>
              <w:keepNext w:val="0"/>
              <w:keepLines w:val="0"/>
              <w:pageBreakBefore w:val="0"/>
              <w:widowControl w:val="0"/>
              <w:suppressLineNumbers w:val="0"/>
              <w:kinsoku/>
              <w:wordWrap w:val="0"/>
              <w:overflowPunct/>
              <w:topLinePunct w:val="0"/>
              <w:autoSpaceDE w:val="0"/>
              <w:autoSpaceDN/>
              <w:bidi w:val="0"/>
              <w:adjustRightInd w:val="0"/>
              <w:snapToGrid w:val="0"/>
              <w:spacing w:before="0" w:beforeLines="0" w:beforeAutospacing="0" w:after="0" w:afterLines="0" w:afterAutospacing="0" w:line="380" w:lineRule="exact"/>
              <w:ind w:left="0" w:leftChars="0" w:right="0" w:rightChars="0" w:firstLine="0" w:firstLineChars="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③业绩未完工或竣工验收的。</w:t>
            </w:r>
          </w:p>
        </w:tc>
      </w:tr>
      <w:tr w14:paraId="03B7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2" w:hRule="atLeast"/>
          <w:jc w:val="center"/>
        </w:trPr>
        <w:tc>
          <w:tcPr>
            <w:tcW w:w="1182" w:type="dxa"/>
            <w:shd w:val="clear" w:color="auto" w:fill="auto"/>
            <w:noWrap w:val="0"/>
            <w:vAlign w:val="center"/>
          </w:tcPr>
          <w:p w14:paraId="2D93C674">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企业管理体系</w:t>
            </w:r>
          </w:p>
          <w:p w14:paraId="22151DA4">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（5分）</w:t>
            </w:r>
          </w:p>
        </w:tc>
        <w:tc>
          <w:tcPr>
            <w:tcW w:w="4690" w:type="dxa"/>
            <w:gridSpan w:val="2"/>
            <w:shd w:val="clear" w:color="auto" w:fill="auto"/>
            <w:noWrap w:val="0"/>
            <w:vAlign w:val="center"/>
          </w:tcPr>
          <w:p w14:paraId="3B72B1FA">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投标人同时具有质量管理体系认证证书、职业健康安全管理体系认证证书、环境管理体系认证证书并在有效期的得3分，在此基础上，提供信息安全管理体系认证证书加2分</w:t>
            </w:r>
          </w:p>
          <w:p w14:paraId="6215B959">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注：本项最高得5分。</w:t>
            </w:r>
          </w:p>
        </w:tc>
        <w:tc>
          <w:tcPr>
            <w:tcW w:w="4515" w:type="dxa"/>
            <w:noWrap w:val="0"/>
            <w:vAlign w:val="center"/>
          </w:tcPr>
          <w:p w14:paraId="18B2ED39">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1．企业管理体系需提供官方认可的第三方机构出具的有效的“管理体系认证证书”彩色扫描件及全国认证认可信息公共服务平台（http://cx.cnca.cn/CertECloud/index/index/page）查询结果截图，</w:t>
            </w:r>
            <w:r>
              <w:rPr>
                <w:rFonts w:hint="eastAsia" w:ascii="宋体" w:hAnsi="宋体" w:eastAsia="宋体" w:cs="宋体"/>
                <w:snapToGrid w:val="0"/>
                <w:color w:val="auto"/>
                <w:kern w:val="0"/>
                <w:sz w:val="21"/>
                <w:szCs w:val="21"/>
                <w:highlight w:val="none"/>
                <w:lang w:val="zh-TW" w:eastAsia="zh-CN" w:bidi="ar-SA"/>
              </w:rPr>
              <w:t>证书状态必须为“有效”</w:t>
            </w:r>
            <w:r>
              <w:rPr>
                <w:rFonts w:hint="eastAsia" w:ascii="宋体" w:hAnsi="宋体" w:eastAsia="宋体" w:cs="宋体"/>
                <w:snapToGrid w:val="0"/>
                <w:color w:val="auto"/>
                <w:kern w:val="0"/>
                <w:sz w:val="21"/>
                <w:szCs w:val="21"/>
                <w:highlight w:val="none"/>
                <w:lang w:val="en-US" w:eastAsia="zh-CN" w:bidi="ar-SA"/>
              </w:rPr>
              <w:t>。</w:t>
            </w:r>
          </w:p>
          <w:p w14:paraId="63AAC940">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2．证书不在有效期内的，不予计分。</w:t>
            </w:r>
          </w:p>
        </w:tc>
      </w:tr>
      <w:tr w14:paraId="1E1D1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0387" w:type="dxa"/>
            <w:gridSpan w:val="4"/>
            <w:noWrap w:val="0"/>
            <w:vAlign w:val="top"/>
          </w:tcPr>
          <w:p w14:paraId="3EA19CE0">
            <w:pPr>
              <w:widowControl w:val="0"/>
              <w:wordWrap w:val="0"/>
              <w:adjustRightInd w:val="0"/>
              <w:snapToGrid w:val="0"/>
              <w:spacing w:after="0" w:afterLines="0" w:afterAutospacing="0" w:line="400" w:lineRule="exact"/>
              <w:jc w:val="both"/>
              <w:rPr>
                <w:rFonts w:hint="eastAsia" w:ascii="宋体" w:hAnsi="宋体" w:eastAsia="宋体" w:cs="宋体"/>
                <w:bCs/>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技术部分（监理大纲）满分：15分。</w:t>
            </w:r>
          </w:p>
        </w:tc>
      </w:tr>
      <w:tr w14:paraId="4996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182" w:type="dxa"/>
            <w:noWrap w:val="0"/>
            <w:vAlign w:val="center"/>
          </w:tcPr>
          <w:p w14:paraId="2A4569F2">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bCs/>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评分因素</w:t>
            </w:r>
          </w:p>
        </w:tc>
        <w:tc>
          <w:tcPr>
            <w:tcW w:w="4690" w:type="dxa"/>
            <w:gridSpan w:val="2"/>
            <w:noWrap w:val="0"/>
            <w:vAlign w:val="center"/>
          </w:tcPr>
          <w:p w14:paraId="6DE91DCD">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bCs/>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评分标准</w:t>
            </w:r>
          </w:p>
        </w:tc>
        <w:tc>
          <w:tcPr>
            <w:tcW w:w="4515" w:type="dxa"/>
            <w:noWrap w:val="0"/>
            <w:vAlign w:val="center"/>
          </w:tcPr>
          <w:p w14:paraId="6883C370">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bCs/>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备注</w:t>
            </w:r>
          </w:p>
        </w:tc>
      </w:tr>
      <w:tr w14:paraId="4C2D0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jc w:val="center"/>
        </w:trPr>
        <w:tc>
          <w:tcPr>
            <w:tcW w:w="1182" w:type="dxa"/>
            <w:noWrap w:val="0"/>
            <w:vAlign w:val="center"/>
          </w:tcPr>
          <w:p w14:paraId="3B5CAEA0">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监理依据及工作目标</w:t>
            </w:r>
          </w:p>
          <w:p w14:paraId="11BCAAD4">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（1分）</w:t>
            </w:r>
          </w:p>
        </w:tc>
        <w:tc>
          <w:tcPr>
            <w:tcW w:w="4690" w:type="dxa"/>
            <w:gridSpan w:val="2"/>
            <w:noWrap w:val="0"/>
            <w:vAlign w:val="center"/>
          </w:tcPr>
          <w:p w14:paraId="744BCD81">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【优】得该项因素分的90%～100%（含90%）；</w:t>
            </w:r>
          </w:p>
          <w:p w14:paraId="4EE08261">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【良】得该项因素分的80%～90%（含80%）；</w:t>
            </w:r>
          </w:p>
          <w:p w14:paraId="6CB1C320">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【中】得该项因素分的70%～80%（含70%）；</w:t>
            </w:r>
          </w:p>
          <w:p w14:paraId="0EB663B0">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【差】得该项因素分的60%～70%（含60%）。</w:t>
            </w:r>
          </w:p>
        </w:tc>
        <w:tc>
          <w:tcPr>
            <w:tcW w:w="4515" w:type="dxa"/>
            <w:noWrap w:val="0"/>
            <w:vAlign w:val="center"/>
          </w:tcPr>
          <w:p w14:paraId="0A826A23">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要求依据全面、适用；目标清晰、正确；针对性强。</w:t>
            </w:r>
          </w:p>
        </w:tc>
      </w:tr>
      <w:tr w14:paraId="3C80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jc w:val="center"/>
        </w:trPr>
        <w:tc>
          <w:tcPr>
            <w:tcW w:w="1182" w:type="dxa"/>
            <w:noWrap w:val="0"/>
            <w:vAlign w:val="center"/>
          </w:tcPr>
          <w:p w14:paraId="5840328B">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工程质量</w:t>
            </w:r>
          </w:p>
          <w:p w14:paraId="07B2C792">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监理措施</w:t>
            </w:r>
          </w:p>
          <w:p w14:paraId="5C367F71">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（2分）</w:t>
            </w:r>
          </w:p>
        </w:tc>
        <w:tc>
          <w:tcPr>
            <w:tcW w:w="4690" w:type="dxa"/>
            <w:gridSpan w:val="2"/>
            <w:noWrap w:val="0"/>
            <w:vAlign w:val="center"/>
          </w:tcPr>
          <w:p w14:paraId="6FC2A4C7">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【优】得该项因素分的90%～100%（含90%）；</w:t>
            </w:r>
          </w:p>
          <w:p w14:paraId="771BC0CD">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【良】得该项因素分的80%～90%（含80%）；</w:t>
            </w:r>
          </w:p>
          <w:p w14:paraId="7CB55F67">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【中】得该项因素分的70%～80%（含70%）；</w:t>
            </w:r>
          </w:p>
          <w:p w14:paraId="657F27B5">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【差】得该项因素分的60%～70%（含60%）。</w:t>
            </w:r>
          </w:p>
        </w:tc>
        <w:tc>
          <w:tcPr>
            <w:tcW w:w="4515" w:type="dxa"/>
            <w:vMerge w:val="restart"/>
            <w:noWrap w:val="0"/>
            <w:vAlign w:val="center"/>
          </w:tcPr>
          <w:p w14:paraId="32CDBC2D">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p>
          <w:p w14:paraId="0E85FFE9">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p>
          <w:p w14:paraId="3887B4FE">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p>
          <w:p w14:paraId="0404E59A">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要求目标正确、方法可行、预控和动态管理措施具体、针对性强。脱离本工程实际、机械照搬照抄规范和技术标准的，不能得满分。</w:t>
            </w:r>
          </w:p>
        </w:tc>
      </w:tr>
      <w:tr w14:paraId="098EF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jc w:val="center"/>
        </w:trPr>
        <w:tc>
          <w:tcPr>
            <w:tcW w:w="1182" w:type="dxa"/>
            <w:noWrap w:val="0"/>
            <w:vAlign w:val="center"/>
          </w:tcPr>
          <w:p w14:paraId="47B964A8">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工程进度</w:t>
            </w:r>
          </w:p>
          <w:p w14:paraId="106A7E1F">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监理措施</w:t>
            </w:r>
          </w:p>
          <w:p w14:paraId="4EF5DAF6">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（2分）</w:t>
            </w:r>
          </w:p>
        </w:tc>
        <w:tc>
          <w:tcPr>
            <w:tcW w:w="4690" w:type="dxa"/>
            <w:gridSpan w:val="2"/>
            <w:noWrap w:val="0"/>
            <w:vAlign w:val="center"/>
          </w:tcPr>
          <w:p w14:paraId="1A4B97EC">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【优】得该项因素分的90%～100%（含90%）；</w:t>
            </w:r>
          </w:p>
          <w:p w14:paraId="2E373917">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【良】得该项因素分的80%～90%（含80%）；</w:t>
            </w:r>
          </w:p>
          <w:p w14:paraId="6E171749">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【中】得该项因素分的70%～80%（含70%）；</w:t>
            </w:r>
          </w:p>
          <w:p w14:paraId="5ADBD72E">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【差】得该项因素分的60%～70%（含60%）。</w:t>
            </w:r>
          </w:p>
        </w:tc>
        <w:tc>
          <w:tcPr>
            <w:tcW w:w="4515" w:type="dxa"/>
            <w:vMerge w:val="continue"/>
            <w:noWrap w:val="0"/>
            <w:vAlign w:val="center"/>
          </w:tcPr>
          <w:p w14:paraId="69852245">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p>
        </w:tc>
      </w:tr>
      <w:tr w14:paraId="77B8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jc w:val="center"/>
        </w:trPr>
        <w:tc>
          <w:tcPr>
            <w:tcW w:w="1182" w:type="dxa"/>
            <w:noWrap w:val="0"/>
            <w:vAlign w:val="center"/>
          </w:tcPr>
          <w:p w14:paraId="4FA08C9A">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工程造价</w:t>
            </w:r>
          </w:p>
          <w:p w14:paraId="63105081">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监理措施</w:t>
            </w:r>
          </w:p>
          <w:p w14:paraId="00CCA324">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（2分）</w:t>
            </w:r>
          </w:p>
        </w:tc>
        <w:tc>
          <w:tcPr>
            <w:tcW w:w="4690" w:type="dxa"/>
            <w:gridSpan w:val="2"/>
            <w:noWrap w:val="0"/>
            <w:vAlign w:val="center"/>
          </w:tcPr>
          <w:p w14:paraId="4A59F9B1">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【优】得该项因素分的90%～100%（含90%）；</w:t>
            </w:r>
          </w:p>
          <w:p w14:paraId="56168D0A">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【良】得该项因素分的80%～90%（含80%）；</w:t>
            </w:r>
          </w:p>
          <w:p w14:paraId="7549D84E">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【中】得该项因素分的70%～80%（含70%）；</w:t>
            </w:r>
          </w:p>
          <w:p w14:paraId="6C480877">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【差】得该项因素分的60%～70%（含60%）。</w:t>
            </w:r>
          </w:p>
        </w:tc>
        <w:tc>
          <w:tcPr>
            <w:tcW w:w="4515" w:type="dxa"/>
            <w:vMerge w:val="continue"/>
            <w:noWrap w:val="0"/>
            <w:vAlign w:val="center"/>
          </w:tcPr>
          <w:p w14:paraId="0B9E97BC">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p>
        </w:tc>
      </w:tr>
      <w:tr w14:paraId="03795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jc w:val="center"/>
        </w:trPr>
        <w:tc>
          <w:tcPr>
            <w:tcW w:w="1182" w:type="dxa"/>
            <w:noWrap w:val="0"/>
            <w:vAlign w:val="center"/>
          </w:tcPr>
          <w:p w14:paraId="52C011E2">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安全防护</w:t>
            </w:r>
          </w:p>
          <w:p w14:paraId="07054BED">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监理措施</w:t>
            </w:r>
          </w:p>
          <w:p w14:paraId="5DCEAB5B">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（2分）</w:t>
            </w:r>
          </w:p>
        </w:tc>
        <w:tc>
          <w:tcPr>
            <w:tcW w:w="4690" w:type="dxa"/>
            <w:gridSpan w:val="2"/>
            <w:noWrap w:val="0"/>
            <w:vAlign w:val="center"/>
          </w:tcPr>
          <w:p w14:paraId="63BF3B08">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【优】得该项因素分的90%～100%（含90%）；</w:t>
            </w:r>
          </w:p>
          <w:p w14:paraId="7A10B152">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【良】得该项因素分的80%～90%（含80%）；</w:t>
            </w:r>
          </w:p>
          <w:p w14:paraId="1226BC9E">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【中】得该项因素分的70%～80%（含70%）；</w:t>
            </w:r>
          </w:p>
          <w:p w14:paraId="67710BB4">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【差】得该项因素分的60%～70%（含60%）。</w:t>
            </w:r>
          </w:p>
        </w:tc>
        <w:tc>
          <w:tcPr>
            <w:tcW w:w="4515" w:type="dxa"/>
            <w:vMerge w:val="continue"/>
            <w:noWrap w:val="0"/>
            <w:vAlign w:val="center"/>
          </w:tcPr>
          <w:p w14:paraId="0DEE0DF3">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p>
        </w:tc>
      </w:tr>
      <w:tr w14:paraId="1F2F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jc w:val="center"/>
        </w:trPr>
        <w:tc>
          <w:tcPr>
            <w:tcW w:w="1182" w:type="dxa"/>
            <w:noWrap w:val="0"/>
            <w:vAlign w:val="center"/>
          </w:tcPr>
          <w:p w14:paraId="7126B4B2">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绿色施工</w:t>
            </w:r>
          </w:p>
          <w:p w14:paraId="600BC749">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、文明施工</w:t>
            </w:r>
          </w:p>
          <w:p w14:paraId="1966E494">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监理措施</w:t>
            </w:r>
          </w:p>
          <w:p w14:paraId="564B53D1">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（2分）</w:t>
            </w:r>
          </w:p>
        </w:tc>
        <w:tc>
          <w:tcPr>
            <w:tcW w:w="4690" w:type="dxa"/>
            <w:gridSpan w:val="2"/>
            <w:noWrap w:val="0"/>
            <w:vAlign w:val="center"/>
          </w:tcPr>
          <w:p w14:paraId="398E7BD1">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【优】得该项因素分的90%～100%（含90%）；</w:t>
            </w:r>
          </w:p>
          <w:p w14:paraId="57B8EE43">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【良】得该项因素分的80%～90%（含80%）；</w:t>
            </w:r>
          </w:p>
          <w:p w14:paraId="37157ACC">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【中】得该项因素分的70%～80%（含70%）；</w:t>
            </w:r>
          </w:p>
          <w:p w14:paraId="12DA3C56">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【差】得该项因素分的60%～70%（含60%）。</w:t>
            </w:r>
          </w:p>
        </w:tc>
        <w:tc>
          <w:tcPr>
            <w:tcW w:w="4515" w:type="dxa"/>
            <w:vMerge w:val="continue"/>
            <w:noWrap w:val="0"/>
            <w:vAlign w:val="center"/>
          </w:tcPr>
          <w:p w14:paraId="2527866B">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p>
        </w:tc>
      </w:tr>
      <w:tr w14:paraId="10C7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jc w:val="center"/>
        </w:trPr>
        <w:tc>
          <w:tcPr>
            <w:tcW w:w="1182" w:type="dxa"/>
            <w:noWrap w:val="0"/>
            <w:vAlign w:val="center"/>
          </w:tcPr>
          <w:p w14:paraId="567EE7DC">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合同、信息管理方案</w:t>
            </w:r>
          </w:p>
          <w:p w14:paraId="2D731637">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（1分）</w:t>
            </w:r>
          </w:p>
        </w:tc>
        <w:tc>
          <w:tcPr>
            <w:tcW w:w="4690" w:type="dxa"/>
            <w:gridSpan w:val="2"/>
            <w:noWrap w:val="0"/>
            <w:vAlign w:val="center"/>
          </w:tcPr>
          <w:p w14:paraId="5A2735C0">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【优】得该项因素分的90%～100%（含90%）；</w:t>
            </w:r>
          </w:p>
          <w:p w14:paraId="726D60CB">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【良】得该项因素分的80%～90%（含80%）；</w:t>
            </w:r>
          </w:p>
          <w:p w14:paraId="4B7522BF">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【中】得该项因素分的70%～80%（含70%）；</w:t>
            </w:r>
          </w:p>
          <w:p w14:paraId="50672314">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【差】得该项因素分的60%～70%（含60%）。</w:t>
            </w:r>
          </w:p>
        </w:tc>
        <w:tc>
          <w:tcPr>
            <w:tcW w:w="4515" w:type="dxa"/>
            <w:noWrap w:val="0"/>
            <w:vAlign w:val="center"/>
          </w:tcPr>
          <w:p w14:paraId="649D2E24">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要求各项制度规范清晰，方法科学合理，措施及时有效，针对性强。能够切实防范和处理合同纠纷，提升监理工作效能。</w:t>
            </w:r>
          </w:p>
        </w:tc>
      </w:tr>
      <w:tr w14:paraId="12E8B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jc w:val="center"/>
        </w:trPr>
        <w:tc>
          <w:tcPr>
            <w:tcW w:w="1182" w:type="dxa"/>
            <w:noWrap w:val="0"/>
            <w:vAlign w:val="center"/>
          </w:tcPr>
          <w:p w14:paraId="2BFAEA1A">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组织协调</w:t>
            </w:r>
          </w:p>
          <w:p w14:paraId="725824EC">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内容及措施</w:t>
            </w:r>
          </w:p>
          <w:p w14:paraId="0FEDBAEE">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（1分）</w:t>
            </w:r>
          </w:p>
        </w:tc>
        <w:tc>
          <w:tcPr>
            <w:tcW w:w="4690" w:type="dxa"/>
            <w:gridSpan w:val="2"/>
            <w:noWrap w:val="0"/>
            <w:vAlign w:val="center"/>
          </w:tcPr>
          <w:p w14:paraId="3E5C3BD8">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【优】得该项因素分的90%～100%（含90%）；</w:t>
            </w:r>
          </w:p>
          <w:p w14:paraId="1F7C4933">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【良】得该项因素分的80%～90%（含80%）；</w:t>
            </w:r>
          </w:p>
          <w:p w14:paraId="650350F1">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【中】得该项因素分的70%～80%（含70%）；</w:t>
            </w:r>
          </w:p>
          <w:p w14:paraId="126343E0">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【差】得该项因素分的60%～70%（含60%）。</w:t>
            </w:r>
          </w:p>
        </w:tc>
        <w:tc>
          <w:tcPr>
            <w:tcW w:w="4515" w:type="dxa"/>
            <w:noWrap w:val="0"/>
            <w:vAlign w:val="center"/>
          </w:tcPr>
          <w:p w14:paraId="1F0E89DD">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要求各项制度规范清晰，方法科学合理，措施及时有效，针对性强。能够高效收集、协调、处理、反馈各方各类问题。</w:t>
            </w:r>
          </w:p>
        </w:tc>
      </w:tr>
      <w:tr w14:paraId="339F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jc w:val="center"/>
        </w:trPr>
        <w:tc>
          <w:tcPr>
            <w:tcW w:w="1182" w:type="dxa"/>
            <w:noWrap w:val="0"/>
            <w:vAlign w:val="center"/>
          </w:tcPr>
          <w:p w14:paraId="615620D1">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监理工作重点、难点分析</w:t>
            </w:r>
          </w:p>
          <w:p w14:paraId="2F571159">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（1分）</w:t>
            </w:r>
          </w:p>
        </w:tc>
        <w:tc>
          <w:tcPr>
            <w:tcW w:w="4690" w:type="dxa"/>
            <w:gridSpan w:val="2"/>
            <w:noWrap w:val="0"/>
            <w:vAlign w:val="center"/>
          </w:tcPr>
          <w:p w14:paraId="098142C0">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【优】得该项因素分的90%～100%（含90%）；</w:t>
            </w:r>
          </w:p>
          <w:p w14:paraId="6CC4AFAC">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【良】得该项因素分的80%～90%（含80%）；</w:t>
            </w:r>
          </w:p>
          <w:p w14:paraId="2639CD0C">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【中】得该项因素分的70%～80%（含70%）；</w:t>
            </w:r>
          </w:p>
          <w:p w14:paraId="67A377BD">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【差】得该项因素分的60%～70%（含60%）。</w:t>
            </w:r>
          </w:p>
        </w:tc>
        <w:tc>
          <w:tcPr>
            <w:tcW w:w="4515" w:type="dxa"/>
            <w:noWrap w:val="0"/>
            <w:vAlign w:val="center"/>
          </w:tcPr>
          <w:p w14:paraId="4C701225">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要求方法可行、措施具体、针对性强。</w:t>
            </w:r>
          </w:p>
        </w:tc>
      </w:tr>
      <w:tr w14:paraId="4697D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jc w:val="center"/>
        </w:trPr>
        <w:tc>
          <w:tcPr>
            <w:tcW w:w="1182" w:type="dxa"/>
            <w:noWrap w:val="0"/>
            <w:vAlign w:val="center"/>
          </w:tcPr>
          <w:p w14:paraId="76E46D87">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合理化建议</w:t>
            </w:r>
          </w:p>
          <w:p w14:paraId="5D8EBAC7">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（1分）</w:t>
            </w:r>
          </w:p>
        </w:tc>
        <w:tc>
          <w:tcPr>
            <w:tcW w:w="4690" w:type="dxa"/>
            <w:gridSpan w:val="2"/>
            <w:noWrap w:val="0"/>
            <w:vAlign w:val="center"/>
          </w:tcPr>
          <w:p w14:paraId="07250BD4">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【优】得该项因素分的90%～100%（含90%）；</w:t>
            </w:r>
          </w:p>
          <w:p w14:paraId="2C93555F">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【良】得该项因素分的80%～90%（含80%）；</w:t>
            </w:r>
          </w:p>
          <w:p w14:paraId="710726D8">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【中】得该项因素分的70%～80%（含70%）；</w:t>
            </w:r>
          </w:p>
          <w:p w14:paraId="52DBF5E5">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【差】得该项因素分的60%～70%（含60%）。</w:t>
            </w:r>
          </w:p>
        </w:tc>
        <w:tc>
          <w:tcPr>
            <w:tcW w:w="4515" w:type="dxa"/>
            <w:noWrap w:val="0"/>
            <w:vAlign w:val="center"/>
          </w:tcPr>
          <w:p w14:paraId="79C03F48">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要求方法可行、措施具体、针对性强。</w:t>
            </w:r>
          </w:p>
        </w:tc>
      </w:tr>
      <w:tr w14:paraId="2E6F5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0387" w:type="dxa"/>
            <w:gridSpan w:val="4"/>
            <w:noWrap w:val="0"/>
            <w:vAlign w:val="top"/>
          </w:tcPr>
          <w:p w14:paraId="56A85280">
            <w:pPr>
              <w:widowControl w:val="0"/>
              <w:wordWrap w:val="0"/>
              <w:adjustRightInd w:val="0"/>
              <w:snapToGrid w:val="0"/>
              <w:spacing w:after="0" w:afterLines="0" w:afterAutospacing="0" w:line="400" w:lineRule="exact"/>
              <w:jc w:val="both"/>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投标报价部分满分：30分。</w:t>
            </w:r>
          </w:p>
        </w:tc>
      </w:tr>
      <w:tr w14:paraId="5C29D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472" w:type="dxa"/>
            <w:gridSpan w:val="2"/>
            <w:noWrap w:val="0"/>
            <w:vAlign w:val="top"/>
          </w:tcPr>
          <w:p w14:paraId="3D59B984">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bCs/>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评分事项</w:t>
            </w:r>
          </w:p>
        </w:tc>
        <w:tc>
          <w:tcPr>
            <w:tcW w:w="8915" w:type="dxa"/>
            <w:gridSpan w:val="2"/>
            <w:noWrap w:val="0"/>
            <w:vAlign w:val="center"/>
          </w:tcPr>
          <w:p w14:paraId="55956EAE">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center"/>
              <w:textAlignment w:val="auto"/>
              <w:rPr>
                <w:rFonts w:hint="eastAsia" w:ascii="宋体" w:hAnsi="宋体" w:eastAsia="宋体" w:cs="宋体"/>
                <w:b/>
                <w:bCs/>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评分方法</w:t>
            </w:r>
          </w:p>
        </w:tc>
      </w:tr>
      <w:tr w14:paraId="403C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3" w:hRule="atLeast"/>
          <w:jc w:val="center"/>
        </w:trPr>
        <w:tc>
          <w:tcPr>
            <w:tcW w:w="1472" w:type="dxa"/>
            <w:gridSpan w:val="2"/>
            <w:noWrap w:val="0"/>
            <w:vAlign w:val="center"/>
          </w:tcPr>
          <w:p w14:paraId="1106FC39">
            <w:pPr>
              <w:pStyle w:val="125"/>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投标报价</w:t>
            </w:r>
          </w:p>
          <w:p w14:paraId="21E5E215">
            <w:pPr>
              <w:pStyle w:val="125"/>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p>
        </w:tc>
        <w:tc>
          <w:tcPr>
            <w:tcW w:w="8915" w:type="dxa"/>
            <w:gridSpan w:val="2"/>
            <w:noWrap w:val="0"/>
            <w:vAlign w:val="center"/>
          </w:tcPr>
          <w:p w14:paraId="3755C878">
            <w:pPr>
              <w:keepNext w:val="0"/>
              <w:keepLines w:val="0"/>
              <w:pageBreakBefore w:val="0"/>
              <w:kinsoku/>
              <w:wordWrap w:val="0"/>
              <w:overflowPunct/>
              <w:topLinePunct w:val="0"/>
              <w:autoSpaceDE/>
              <w:autoSpaceDN/>
              <w:bidi w:val="0"/>
              <w:adjustRightInd w:val="0"/>
              <w:snapToGrid w:val="0"/>
              <w:spacing w:line="360" w:lineRule="auto"/>
              <w:ind w:firstLine="420" w:firstLineChars="200"/>
              <w:jc w:val="left"/>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确定最高投标限价下浮系数n：用1～21号球分别代表一个下浮系数，由评委代表从这21个号码中随机抽取3次，每次抽取1个号码，抽出的号球不参与下次抽取。所抽取的3个号码对应下浮系数的算术平均值作为最高投标限价下浮系数n。具体号码对应的下浮系数可参考下表。</w:t>
            </w:r>
          </w:p>
          <w:tbl>
            <w:tblPr>
              <w:tblStyle w:val="30"/>
              <w:tblW w:w="8337" w:type="dxa"/>
              <w:tblInd w:w="-84" w:type="dxa"/>
              <w:tblLayout w:type="fixed"/>
              <w:tblCellMar>
                <w:top w:w="0" w:type="dxa"/>
                <w:left w:w="108" w:type="dxa"/>
                <w:bottom w:w="0" w:type="dxa"/>
                <w:right w:w="108" w:type="dxa"/>
              </w:tblCellMar>
            </w:tblPr>
            <w:tblGrid>
              <w:gridCol w:w="1683"/>
              <w:gridCol w:w="1025"/>
              <w:gridCol w:w="921"/>
              <w:gridCol w:w="959"/>
              <w:gridCol w:w="942"/>
              <w:gridCol w:w="978"/>
              <w:gridCol w:w="920"/>
              <w:gridCol w:w="909"/>
            </w:tblGrid>
            <w:tr w14:paraId="271CCDAC">
              <w:tblPrEx>
                <w:tblCellMar>
                  <w:top w:w="0" w:type="dxa"/>
                  <w:left w:w="108" w:type="dxa"/>
                  <w:bottom w:w="0" w:type="dxa"/>
                  <w:right w:w="108" w:type="dxa"/>
                </w:tblCellMar>
              </w:tblPrEx>
              <w:trPr>
                <w:trHeight w:val="323" w:hRule="atLeast"/>
              </w:trPr>
              <w:tc>
                <w:tcPr>
                  <w:tcW w:w="1683" w:type="dxa"/>
                  <w:tcBorders>
                    <w:top w:val="single" w:color="000000" w:sz="4" w:space="0"/>
                    <w:left w:val="single" w:color="000000" w:sz="4" w:space="0"/>
                    <w:bottom w:val="single" w:color="000000" w:sz="4" w:space="0"/>
                    <w:right w:val="single" w:color="000000" w:sz="4" w:space="0"/>
                  </w:tcBorders>
                  <w:noWrap w:val="0"/>
                  <w:vAlign w:val="center"/>
                </w:tcPr>
                <w:p w14:paraId="6728155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号球</w:t>
                  </w:r>
                </w:p>
              </w:tc>
              <w:tc>
                <w:tcPr>
                  <w:tcW w:w="1025" w:type="dxa"/>
                  <w:tcBorders>
                    <w:top w:val="single" w:color="000000" w:sz="4" w:space="0"/>
                    <w:left w:val="nil"/>
                    <w:bottom w:val="single" w:color="000000" w:sz="4" w:space="0"/>
                    <w:right w:val="single" w:color="000000" w:sz="4" w:space="0"/>
                  </w:tcBorders>
                  <w:noWrap w:val="0"/>
                  <w:vAlign w:val="center"/>
                </w:tcPr>
                <w:p w14:paraId="715D37D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w:t>
                  </w:r>
                </w:p>
              </w:tc>
              <w:tc>
                <w:tcPr>
                  <w:tcW w:w="921" w:type="dxa"/>
                  <w:tcBorders>
                    <w:top w:val="single" w:color="000000" w:sz="4" w:space="0"/>
                    <w:left w:val="nil"/>
                    <w:bottom w:val="single" w:color="000000" w:sz="4" w:space="0"/>
                    <w:right w:val="single" w:color="000000" w:sz="4" w:space="0"/>
                  </w:tcBorders>
                  <w:noWrap w:val="0"/>
                  <w:vAlign w:val="center"/>
                </w:tcPr>
                <w:p w14:paraId="668D019F">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2</w:t>
                  </w:r>
                </w:p>
              </w:tc>
              <w:tc>
                <w:tcPr>
                  <w:tcW w:w="959" w:type="dxa"/>
                  <w:tcBorders>
                    <w:top w:val="single" w:color="000000" w:sz="4" w:space="0"/>
                    <w:left w:val="nil"/>
                    <w:bottom w:val="single" w:color="000000" w:sz="4" w:space="0"/>
                    <w:right w:val="single" w:color="000000" w:sz="4" w:space="0"/>
                  </w:tcBorders>
                  <w:noWrap w:val="0"/>
                  <w:vAlign w:val="center"/>
                </w:tcPr>
                <w:p w14:paraId="53FB560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3</w:t>
                  </w:r>
                </w:p>
              </w:tc>
              <w:tc>
                <w:tcPr>
                  <w:tcW w:w="942" w:type="dxa"/>
                  <w:tcBorders>
                    <w:top w:val="single" w:color="000000" w:sz="4" w:space="0"/>
                    <w:left w:val="nil"/>
                    <w:bottom w:val="single" w:color="000000" w:sz="4" w:space="0"/>
                    <w:right w:val="single" w:color="000000" w:sz="4" w:space="0"/>
                  </w:tcBorders>
                  <w:noWrap w:val="0"/>
                  <w:vAlign w:val="center"/>
                </w:tcPr>
                <w:p w14:paraId="66AB9C8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4</w:t>
                  </w:r>
                </w:p>
              </w:tc>
              <w:tc>
                <w:tcPr>
                  <w:tcW w:w="978" w:type="dxa"/>
                  <w:tcBorders>
                    <w:top w:val="single" w:color="000000" w:sz="4" w:space="0"/>
                    <w:left w:val="nil"/>
                    <w:bottom w:val="single" w:color="000000" w:sz="4" w:space="0"/>
                    <w:right w:val="single" w:color="000000" w:sz="4" w:space="0"/>
                  </w:tcBorders>
                  <w:noWrap w:val="0"/>
                  <w:vAlign w:val="center"/>
                </w:tcPr>
                <w:p w14:paraId="3ECAA1F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5</w:t>
                  </w:r>
                </w:p>
              </w:tc>
              <w:tc>
                <w:tcPr>
                  <w:tcW w:w="920" w:type="dxa"/>
                  <w:tcBorders>
                    <w:top w:val="single" w:color="000000" w:sz="4" w:space="0"/>
                    <w:left w:val="nil"/>
                    <w:bottom w:val="single" w:color="000000" w:sz="4" w:space="0"/>
                    <w:right w:val="single" w:color="000000" w:sz="4" w:space="0"/>
                  </w:tcBorders>
                  <w:noWrap w:val="0"/>
                  <w:vAlign w:val="center"/>
                </w:tcPr>
                <w:p w14:paraId="7081FAE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6</w:t>
                  </w:r>
                </w:p>
              </w:tc>
              <w:tc>
                <w:tcPr>
                  <w:tcW w:w="909" w:type="dxa"/>
                  <w:tcBorders>
                    <w:top w:val="single" w:color="000000" w:sz="4" w:space="0"/>
                    <w:left w:val="nil"/>
                    <w:bottom w:val="single" w:color="000000" w:sz="4" w:space="0"/>
                    <w:right w:val="single" w:color="000000" w:sz="4" w:space="0"/>
                  </w:tcBorders>
                  <w:noWrap w:val="0"/>
                  <w:vAlign w:val="center"/>
                </w:tcPr>
                <w:p w14:paraId="137B3EB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7</w:t>
                  </w:r>
                </w:p>
              </w:tc>
            </w:tr>
            <w:tr w14:paraId="118CEEFC">
              <w:tblPrEx>
                <w:tblCellMar>
                  <w:top w:w="0" w:type="dxa"/>
                  <w:left w:w="108" w:type="dxa"/>
                  <w:bottom w:w="0" w:type="dxa"/>
                  <w:right w:w="108" w:type="dxa"/>
                </w:tblCellMar>
              </w:tblPrEx>
              <w:trPr>
                <w:trHeight w:val="407" w:hRule="atLeast"/>
              </w:trPr>
              <w:tc>
                <w:tcPr>
                  <w:tcW w:w="1683" w:type="dxa"/>
                  <w:tcBorders>
                    <w:top w:val="single" w:color="000000" w:sz="4" w:space="0"/>
                    <w:left w:val="single" w:color="000000" w:sz="4" w:space="0"/>
                    <w:bottom w:val="single" w:color="000000" w:sz="4" w:space="0"/>
                    <w:right w:val="single" w:color="000000" w:sz="4" w:space="0"/>
                  </w:tcBorders>
                  <w:noWrap w:val="0"/>
                  <w:vAlign w:val="center"/>
                </w:tcPr>
                <w:p w14:paraId="74630EC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下浮系数（%）</w:t>
                  </w:r>
                </w:p>
              </w:tc>
              <w:tc>
                <w:tcPr>
                  <w:tcW w:w="1025" w:type="dxa"/>
                  <w:tcBorders>
                    <w:top w:val="single" w:color="000000" w:sz="4" w:space="0"/>
                    <w:left w:val="nil"/>
                    <w:bottom w:val="single" w:color="000000" w:sz="4" w:space="0"/>
                    <w:right w:val="single" w:color="000000" w:sz="4" w:space="0"/>
                  </w:tcBorders>
                  <w:noWrap w:val="0"/>
                  <w:vAlign w:val="center"/>
                </w:tcPr>
                <w:p w14:paraId="6C1F2D2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0</w:t>
                  </w:r>
                </w:p>
              </w:tc>
              <w:tc>
                <w:tcPr>
                  <w:tcW w:w="921" w:type="dxa"/>
                  <w:tcBorders>
                    <w:top w:val="single" w:color="000000" w:sz="4" w:space="0"/>
                    <w:left w:val="nil"/>
                    <w:bottom w:val="single" w:color="000000" w:sz="4" w:space="0"/>
                    <w:right w:val="single" w:color="000000" w:sz="4" w:space="0"/>
                  </w:tcBorders>
                  <w:noWrap w:val="0"/>
                  <w:vAlign w:val="center"/>
                </w:tcPr>
                <w:p w14:paraId="7F7B341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0.1</w:t>
                  </w:r>
                </w:p>
              </w:tc>
              <w:tc>
                <w:tcPr>
                  <w:tcW w:w="959" w:type="dxa"/>
                  <w:tcBorders>
                    <w:top w:val="single" w:color="000000" w:sz="4" w:space="0"/>
                    <w:left w:val="nil"/>
                    <w:bottom w:val="single" w:color="000000" w:sz="4" w:space="0"/>
                    <w:right w:val="single" w:color="000000" w:sz="4" w:space="0"/>
                  </w:tcBorders>
                  <w:noWrap w:val="0"/>
                  <w:vAlign w:val="center"/>
                </w:tcPr>
                <w:p w14:paraId="3395C98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0.2</w:t>
                  </w:r>
                </w:p>
              </w:tc>
              <w:tc>
                <w:tcPr>
                  <w:tcW w:w="942" w:type="dxa"/>
                  <w:tcBorders>
                    <w:top w:val="single" w:color="000000" w:sz="4" w:space="0"/>
                    <w:left w:val="nil"/>
                    <w:bottom w:val="single" w:color="000000" w:sz="4" w:space="0"/>
                    <w:right w:val="single" w:color="000000" w:sz="4" w:space="0"/>
                  </w:tcBorders>
                  <w:noWrap w:val="0"/>
                  <w:vAlign w:val="center"/>
                </w:tcPr>
                <w:p w14:paraId="7AD8E22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0.3</w:t>
                  </w:r>
                </w:p>
              </w:tc>
              <w:tc>
                <w:tcPr>
                  <w:tcW w:w="978" w:type="dxa"/>
                  <w:tcBorders>
                    <w:top w:val="single" w:color="000000" w:sz="4" w:space="0"/>
                    <w:left w:val="nil"/>
                    <w:bottom w:val="single" w:color="000000" w:sz="4" w:space="0"/>
                    <w:right w:val="single" w:color="000000" w:sz="4" w:space="0"/>
                  </w:tcBorders>
                  <w:noWrap w:val="0"/>
                  <w:vAlign w:val="center"/>
                </w:tcPr>
                <w:p w14:paraId="7149B66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0.4</w:t>
                  </w:r>
                </w:p>
              </w:tc>
              <w:tc>
                <w:tcPr>
                  <w:tcW w:w="920" w:type="dxa"/>
                  <w:tcBorders>
                    <w:top w:val="single" w:color="000000" w:sz="4" w:space="0"/>
                    <w:left w:val="nil"/>
                    <w:bottom w:val="single" w:color="000000" w:sz="4" w:space="0"/>
                    <w:right w:val="single" w:color="000000" w:sz="4" w:space="0"/>
                  </w:tcBorders>
                  <w:noWrap w:val="0"/>
                  <w:vAlign w:val="center"/>
                </w:tcPr>
                <w:p w14:paraId="1588C5C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0.5</w:t>
                  </w:r>
                </w:p>
              </w:tc>
              <w:tc>
                <w:tcPr>
                  <w:tcW w:w="909" w:type="dxa"/>
                  <w:tcBorders>
                    <w:top w:val="single" w:color="000000" w:sz="4" w:space="0"/>
                    <w:left w:val="nil"/>
                    <w:bottom w:val="single" w:color="000000" w:sz="4" w:space="0"/>
                    <w:right w:val="single" w:color="000000" w:sz="4" w:space="0"/>
                  </w:tcBorders>
                  <w:noWrap w:val="0"/>
                  <w:vAlign w:val="center"/>
                </w:tcPr>
                <w:p w14:paraId="16553FE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0.6</w:t>
                  </w:r>
                </w:p>
              </w:tc>
            </w:tr>
            <w:tr w14:paraId="4EC16EB5">
              <w:tblPrEx>
                <w:tblCellMar>
                  <w:top w:w="0" w:type="dxa"/>
                  <w:left w:w="108" w:type="dxa"/>
                  <w:bottom w:w="0" w:type="dxa"/>
                  <w:right w:w="108" w:type="dxa"/>
                </w:tblCellMar>
              </w:tblPrEx>
              <w:trPr>
                <w:trHeight w:val="350" w:hRule="atLeast"/>
              </w:trPr>
              <w:tc>
                <w:tcPr>
                  <w:tcW w:w="1683" w:type="dxa"/>
                  <w:tcBorders>
                    <w:top w:val="single" w:color="000000" w:sz="4" w:space="0"/>
                    <w:left w:val="single" w:color="000000" w:sz="4" w:space="0"/>
                    <w:bottom w:val="single" w:color="000000" w:sz="4" w:space="0"/>
                    <w:right w:val="single" w:color="000000" w:sz="4" w:space="0"/>
                  </w:tcBorders>
                  <w:noWrap w:val="0"/>
                  <w:vAlign w:val="center"/>
                </w:tcPr>
                <w:p w14:paraId="0EF3A24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号球</w:t>
                  </w:r>
                </w:p>
              </w:tc>
              <w:tc>
                <w:tcPr>
                  <w:tcW w:w="1025" w:type="dxa"/>
                  <w:tcBorders>
                    <w:top w:val="single" w:color="000000" w:sz="4" w:space="0"/>
                    <w:left w:val="nil"/>
                    <w:bottom w:val="single" w:color="000000" w:sz="4" w:space="0"/>
                    <w:right w:val="single" w:color="000000" w:sz="4" w:space="0"/>
                  </w:tcBorders>
                  <w:noWrap w:val="0"/>
                  <w:vAlign w:val="center"/>
                </w:tcPr>
                <w:p w14:paraId="5716B41F">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8</w:t>
                  </w:r>
                </w:p>
              </w:tc>
              <w:tc>
                <w:tcPr>
                  <w:tcW w:w="921" w:type="dxa"/>
                  <w:tcBorders>
                    <w:top w:val="single" w:color="000000" w:sz="4" w:space="0"/>
                    <w:left w:val="nil"/>
                    <w:bottom w:val="single" w:color="000000" w:sz="4" w:space="0"/>
                    <w:right w:val="single" w:color="000000" w:sz="4" w:space="0"/>
                  </w:tcBorders>
                  <w:noWrap w:val="0"/>
                  <w:vAlign w:val="center"/>
                </w:tcPr>
                <w:p w14:paraId="5A5CA81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9</w:t>
                  </w:r>
                </w:p>
              </w:tc>
              <w:tc>
                <w:tcPr>
                  <w:tcW w:w="959" w:type="dxa"/>
                  <w:tcBorders>
                    <w:top w:val="single" w:color="000000" w:sz="4" w:space="0"/>
                    <w:left w:val="nil"/>
                    <w:bottom w:val="single" w:color="000000" w:sz="4" w:space="0"/>
                    <w:right w:val="single" w:color="000000" w:sz="4" w:space="0"/>
                  </w:tcBorders>
                  <w:noWrap w:val="0"/>
                  <w:vAlign w:val="center"/>
                </w:tcPr>
                <w:p w14:paraId="541BDC2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10</w:t>
                  </w:r>
                </w:p>
              </w:tc>
              <w:tc>
                <w:tcPr>
                  <w:tcW w:w="942" w:type="dxa"/>
                  <w:tcBorders>
                    <w:top w:val="single" w:color="000000" w:sz="4" w:space="0"/>
                    <w:left w:val="nil"/>
                    <w:bottom w:val="single" w:color="000000" w:sz="4" w:space="0"/>
                    <w:right w:val="single" w:color="000000" w:sz="4" w:space="0"/>
                  </w:tcBorders>
                  <w:noWrap w:val="0"/>
                  <w:vAlign w:val="center"/>
                </w:tcPr>
                <w:p w14:paraId="66BFE82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11</w:t>
                  </w:r>
                </w:p>
              </w:tc>
              <w:tc>
                <w:tcPr>
                  <w:tcW w:w="978" w:type="dxa"/>
                  <w:tcBorders>
                    <w:top w:val="single" w:color="000000" w:sz="4" w:space="0"/>
                    <w:left w:val="nil"/>
                    <w:bottom w:val="single" w:color="000000" w:sz="4" w:space="0"/>
                    <w:right w:val="single" w:color="000000" w:sz="4" w:space="0"/>
                  </w:tcBorders>
                  <w:noWrap w:val="0"/>
                  <w:vAlign w:val="center"/>
                </w:tcPr>
                <w:p w14:paraId="65BF7C6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12</w:t>
                  </w:r>
                </w:p>
              </w:tc>
              <w:tc>
                <w:tcPr>
                  <w:tcW w:w="920" w:type="dxa"/>
                  <w:tcBorders>
                    <w:top w:val="single" w:color="000000" w:sz="4" w:space="0"/>
                    <w:left w:val="nil"/>
                    <w:bottom w:val="single" w:color="000000" w:sz="4" w:space="0"/>
                    <w:right w:val="single" w:color="000000" w:sz="4" w:space="0"/>
                  </w:tcBorders>
                  <w:noWrap w:val="0"/>
                  <w:vAlign w:val="center"/>
                </w:tcPr>
                <w:p w14:paraId="39F7B73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13</w:t>
                  </w:r>
                </w:p>
              </w:tc>
              <w:tc>
                <w:tcPr>
                  <w:tcW w:w="909" w:type="dxa"/>
                  <w:tcBorders>
                    <w:top w:val="single" w:color="000000" w:sz="4" w:space="0"/>
                    <w:left w:val="nil"/>
                    <w:bottom w:val="single" w:color="000000" w:sz="4" w:space="0"/>
                    <w:right w:val="single" w:color="000000" w:sz="4" w:space="0"/>
                  </w:tcBorders>
                  <w:noWrap w:val="0"/>
                  <w:vAlign w:val="center"/>
                </w:tcPr>
                <w:p w14:paraId="18F6B39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14</w:t>
                  </w:r>
                </w:p>
              </w:tc>
            </w:tr>
            <w:tr w14:paraId="5ADE84E9">
              <w:tblPrEx>
                <w:tblCellMar>
                  <w:top w:w="0" w:type="dxa"/>
                  <w:left w:w="108" w:type="dxa"/>
                  <w:bottom w:w="0" w:type="dxa"/>
                  <w:right w:w="108" w:type="dxa"/>
                </w:tblCellMar>
              </w:tblPrEx>
              <w:trPr>
                <w:trHeight w:val="407" w:hRule="atLeast"/>
              </w:trPr>
              <w:tc>
                <w:tcPr>
                  <w:tcW w:w="1683" w:type="dxa"/>
                  <w:tcBorders>
                    <w:top w:val="single" w:color="000000" w:sz="4" w:space="0"/>
                    <w:left w:val="single" w:color="000000" w:sz="4" w:space="0"/>
                    <w:bottom w:val="single" w:color="000000" w:sz="4" w:space="0"/>
                    <w:right w:val="single" w:color="000000" w:sz="4" w:space="0"/>
                  </w:tcBorders>
                  <w:noWrap w:val="0"/>
                  <w:vAlign w:val="center"/>
                </w:tcPr>
                <w:p w14:paraId="2BEA781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下浮系数（%）</w:t>
                  </w:r>
                </w:p>
              </w:tc>
              <w:tc>
                <w:tcPr>
                  <w:tcW w:w="1025" w:type="dxa"/>
                  <w:tcBorders>
                    <w:top w:val="single" w:color="000000" w:sz="4" w:space="0"/>
                    <w:left w:val="nil"/>
                    <w:bottom w:val="single" w:color="000000" w:sz="4" w:space="0"/>
                    <w:right w:val="single" w:color="000000" w:sz="4" w:space="0"/>
                  </w:tcBorders>
                  <w:noWrap w:val="0"/>
                  <w:vAlign w:val="center"/>
                </w:tcPr>
                <w:p w14:paraId="53D876C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0.7</w:t>
                  </w:r>
                </w:p>
              </w:tc>
              <w:tc>
                <w:tcPr>
                  <w:tcW w:w="921" w:type="dxa"/>
                  <w:tcBorders>
                    <w:top w:val="single" w:color="000000" w:sz="4" w:space="0"/>
                    <w:left w:val="nil"/>
                    <w:bottom w:val="single" w:color="000000" w:sz="4" w:space="0"/>
                    <w:right w:val="single" w:color="000000" w:sz="4" w:space="0"/>
                  </w:tcBorders>
                  <w:noWrap w:val="0"/>
                  <w:vAlign w:val="center"/>
                </w:tcPr>
                <w:p w14:paraId="4518FA7F">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0.8</w:t>
                  </w:r>
                </w:p>
              </w:tc>
              <w:tc>
                <w:tcPr>
                  <w:tcW w:w="959" w:type="dxa"/>
                  <w:tcBorders>
                    <w:top w:val="single" w:color="000000" w:sz="4" w:space="0"/>
                    <w:left w:val="nil"/>
                    <w:bottom w:val="single" w:color="000000" w:sz="4" w:space="0"/>
                    <w:right w:val="single" w:color="000000" w:sz="4" w:space="0"/>
                  </w:tcBorders>
                  <w:noWrap w:val="0"/>
                  <w:vAlign w:val="center"/>
                </w:tcPr>
                <w:p w14:paraId="3AB2D62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0.9</w:t>
                  </w:r>
                </w:p>
              </w:tc>
              <w:tc>
                <w:tcPr>
                  <w:tcW w:w="942" w:type="dxa"/>
                  <w:tcBorders>
                    <w:top w:val="single" w:color="000000" w:sz="4" w:space="0"/>
                    <w:left w:val="nil"/>
                    <w:bottom w:val="single" w:color="000000" w:sz="4" w:space="0"/>
                    <w:right w:val="single" w:color="000000" w:sz="4" w:space="0"/>
                  </w:tcBorders>
                  <w:noWrap w:val="0"/>
                  <w:vAlign w:val="center"/>
                </w:tcPr>
                <w:p w14:paraId="164B00D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w:t>
                  </w:r>
                </w:p>
              </w:tc>
              <w:tc>
                <w:tcPr>
                  <w:tcW w:w="978" w:type="dxa"/>
                  <w:tcBorders>
                    <w:top w:val="single" w:color="000000" w:sz="4" w:space="0"/>
                    <w:left w:val="nil"/>
                    <w:bottom w:val="single" w:color="000000" w:sz="4" w:space="0"/>
                    <w:right w:val="single" w:color="000000" w:sz="4" w:space="0"/>
                  </w:tcBorders>
                  <w:noWrap w:val="0"/>
                  <w:vAlign w:val="center"/>
                </w:tcPr>
                <w:p w14:paraId="211F9E1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1.1</w:t>
                  </w:r>
                </w:p>
              </w:tc>
              <w:tc>
                <w:tcPr>
                  <w:tcW w:w="920" w:type="dxa"/>
                  <w:tcBorders>
                    <w:top w:val="single" w:color="000000" w:sz="4" w:space="0"/>
                    <w:left w:val="nil"/>
                    <w:bottom w:val="single" w:color="000000" w:sz="4" w:space="0"/>
                    <w:right w:val="single" w:color="000000" w:sz="4" w:space="0"/>
                  </w:tcBorders>
                  <w:noWrap w:val="0"/>
                  <w:vAlign w:val="center"/>
                </w:tcPr>
                <w:p w14:paraId="21ABC9FE">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1.2</w:t>
                  </w:r>
                </w:p>
              </w:tc>
              <w:tc>
                <w:tcPr>
                  <w:tcW w:w="909" w:type="dxa"/>
                  <w:tcBorders>
                    <w:top w:val="single" w:color="000000" w:sz="4" w:space="0"/>
                    <w:left w:val="nil"/>
                    <w:bottom w:val="single" w:color="000000" w:sz="4" w:space="0"/>
                    <w:right w:val="single" w:color="000000" w:sz="4" w:space="0"/>
                  </w:tcBorders>
                  <w:noWrap w:val="0"/>
                  <w:vAlign w:val="center"/>
                </w:tcPr>
                <w:p w14:paraId="7B76951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1.3</w:t>
                  </w:r>
                </w:p>
              </w:tc>
            </w:tr>
            <w:tr w14:paraId="60812DFF">
              <w:tblPrEx>
                <w:tblCellMar>
                  <w:top w:w="0" w:type="dxa"/>
                  <w:left w:w="108" w:type="dxa"/>
                  <w:bottom w:w="0" w:type="dxa"/>
                  <w:right w:w="108" w:type="dxa"/>
                </w:tblCellMar>
              </w:tblPrEx>
              <w:trPr>
                <w:trHeight w:val="369" w:hRule="atLeast"/>
              </w:trPr>
              <w:tc>
                <w:tcPr>
                  <w:tcW w:w="1683" w:type="dxa"/>
                  <w:tcBorders>
                    <w:top w:val="single" w:color="000000" w:sz="4" w:space="0"/>
                    <w:left w:val="single" w:color="000000" w:sz="4" w:space="0"/>
                    <w:bottom w:val="single" w:color="000000" w:sz="4" w:space="0"/>
                    <w:right w:val="single" w:color="000000" w:sz="4" w:space="0"/>
                  </w:tcBorders>
                  <w:noWrap w:val="0"/>
                  <w:vAlign w:val="center"/>
                </w:tcPr>
                <w:p w14:paraId="093661BE">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号球</w:t>
                  </w:r>
                </w:p>
              </w:tc>
              <w:tc>
                <w:tcPr>
                  <w:tcW w:w="1025" w:type="dxa"/>
                  <w:tcBorders>
                    <w:top w:val="single" w:color="000000" w:sz="4" w:space="0"/>
                    <w:left w:val="nil"/>
                    <w:bottom w:val="single" w:color="000000" w:sz="4" w:space="0"/>
                    <w:right w:val="single" w:color="000000" w:sz="4" w:space="0"/>
                  </w:tcBorders>
                  <w:noWrap w:val="0"/>
                  <w:vAlign w:val="center"/>
                </w:tcPr>
                <w:p w14:paraId="5749363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15</w:t>
                  </w:r>
                </w:p>
              </w:tc>
              <w:tc>
                <w:tcPr>
                  <w:tcW w:w="921" w:type="dxa"/>
                  <w:tcBorders>
                    <w:top w:val="single" w:color="000000" w:sz="4" w:space="0"/>
                    <w:left w:val="nil"/>
                    <w:bottom w:val="single" w:color="000000" w:sz="4" w:space="0"/>
                    <w:right w:val="single" w:color="000000" w:sz="4" w:space="0"/>
                  </w:tcBorders>
                  <w:noWrap w:val="0"/>
                  <w:vAlign w:val="center"/>
                </w:tcPr>
                <w:p w14:paraId="687CE7F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16</w:t>
                  </w:r>
                </w:p>
              </w:tc>
              <w:tc>
                <w:tcPr>
                  <w:tcW w:w="959" w:type="dxa"/>
                  <w:tcBorders>
                    <w:top w:val="single" w:color="000000" w:sz="4" w:space="0"/>
                    <w:left w:val="nil"/>
                    <w:bottom w:val="single" w:color="000000" w:sz="4" w:space="0"/>
                    <w:right w:val="single" w:color="000000" w:sz="4" w:space="0"/>
                  </w:tcBorders>
                  <w:noWrap w:val="0"/>
                  <w:vAlign w:val="center"/>
                </w:tcPr>
                <w:p w14:paraId="68DCE49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17</w:t>
                  </w:r>
                </w:p>
              </w:tc>
              <w:tc>
                <w:tcPr>
                  <w:tcW w:w="942" w:type="dxa"/>
                  <w:tcBorders>
                    <w:top w:val="single" w:color="000000" w:sz="4" w:space="0"/>
                    <w:left w:val="nil"/>
                    <w:bottom w:val="single" w:color="000000" w:sz="4" w:space="0"/>
                    <w:right w:val="single" w:color="000000" w:sz="4" w:space="0"/>
                  </w:tcBorders>
                  <w:noWrap w:val="0"/>
                  <w:vAlign w:val="center"/>
                </w:tcPr>
                <w:p w14:paraId="08206AD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18</w:t>
                  </w:r>
                </w:p>
              </w:tc>
              <w:tc>
                <w:tcPr>
                  <w:tcW w:w="978" w:type="dxa"/>
                  <w:tcBorders>
                    <w:top w:val="single" w:color="000000" w:sz="4" w:space="0"/>
                    <w:left w:val="nil"/>
                    <w:bottom w:val="single" w:color="000000" w:sz="4" w:space="0"/>
                    <w:right w:val="single" w:color="000000" w:sz="4" w:space="0"/>
                  </w:tcBorders>
                  <w:noWrap w:val="0"/>
                  <w:vAlign w:val="center"/>
                </w:tcPr>
                <w:p w14:paraId="7A58257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19</w:t>
                  </w:r>
                </w:p>
              </w:tc>
              <w:tc>
                <w:tcPr>
                  <w:tcW w:w="920" w:type="dxa"/>
                  <w:tcBorders>
                    <w:top w:val="single" w:color="000000" w:sz="4" w:space="0"/>
                    <w:left w:val="nil"/>
                    <w:bottom w:val="single" w:color="000000" w:sz="4" w:space="0"/>
                    <w:right w:val="single" w:color="000000" w:sz="4" w:space="0"/>
                  </w:tcBorders>
                  <w:noWrap w:val="0"/>
                  <w:vAlign w:val="center"/>
                </w:tcPr>
                <w:p w14:paraId="2CDBBB8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20</w:t>
                  </w:r>
                </w:p>
              </w:tc>
              <w:tc>
                <w:tcPr>
                  <w:tcW w:w="909" w:type="dxa"/>
                  <w:tcBorders>
                    <w:top w:val="single" w:color="000000" w:sz="4" w:space="0"/>
                    <w:left w:val="nil"/>
                    <w:bottom w:val="single" w:color="000000" w:sz="4" w:space="0"/>
                    <w:right w:val="single" w:color="000000" w:sz="4" w:space="0"/>
                  </w:tcBorders>
                  <w:noWrap w:val="0"/>
                  <w:vAlign w:val="center"/>
                </w:tcPr>
                <w:p w14:paraId="5224612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21</w:t>
                  </w:r>
                </w:p>
              </w:tc>
            </w:tr>
            <w:tr w14:paraId="0800AABE">
              <w:tblPrEx>
                <w:tblCellMar>
                  <w:top w:w="0" w:type="dxa"/>
                  <w:left w:w="108" w:type="dxa"/>
                  <w:bottom w:w="0" w:type="dxa"/>
                  <w:right w:w="108" w:type="dxa"/>
                </w:tblCellMar>
              </w:tblPrEx>
              <w:trPr>
                <w:trHeight w:val="443" w:hRule="atLeast"/>
              </w:trPr>
              <w:tc>
                <w:tcPr>
                  <w:tcW w:w="1683" w:type="dxa"/>
                  <w:tcBorders>
                    <w:top w:val="single" w:color="000000" w:sz="4" w:space="0"/>
                    <w:left w:val="single" w:color="000000" w:sz="4" w:space="0"/>
                    <w:bottom w:val="single" w:color="000000" w:sz="4" w:space="0"/>
                    <w:right w:val="single" w:color="000000" w:sz="4" w:space="0"/>
                  </w:tcBorders>
                  <w:noWrap w:val="0"/>
                  <w:vAlign w:val="center"/>
                </w:tcPr>
                <w:p w14:paraId="697C667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下浮系数（%）</w:t>
                  </w:r>
                </w:p>
              </w:tc>
              <w:tc>
                <w:tcPr>
                  <w:tcW w:w="1025" w:type="dxa"/>
                  <w:tcBorders>
                    <w:top w:val="single" w:color="000000" w:sz="4" w:space="0"/>
                    <w:left w:val="nil"/>
                    <w:bottom w:val="single" w:color="000000" w:sz="4" w:space="0"/>
                    <w:right w:val="single" w:color="000000" w:sz="4" w:space="0"/>
                  </w:tcBorders>
                  <w:noWrap w:val="0"/>
                  <w:vAlign w:val="center"/>
                </w:tcPr>
                <w:p w14:paraId="4EFAD1B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1.4</w:t>
                  </w:r>
                </w:p>
              </w:tc>
              <w:tc>
                <w:tcPr>
                  <w:tcW w:w="921" w:type="dxa"/>
                  <w:tcBorders>
                    <w:top w:val="single" w:color="000000" w:sz="4" w:space="0"/>
                    <w:left w:val="nil"/>
                    <w:bottom w:val="single" w:color="000000" w:sz="4" w:space="0"/>
                    <w:right w:val="single" w:color="000000" w:sz="4" w:space="0"/>
                  </w:tcBorders>
                  <w:noWrap w:val="0"/>
                  <w:vAlign w:val="center"/>
                </w:tcPr>
                <w:p w14:paraId="49C574A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1.5</w:t>
                  </w:r>
                </w:p>
              </w:tc>
              <w:tc>
                <w:tcPr>
                  <w:tcW w:w="959" w:type="dxa"/>
                  <w:tcBorders>
                    <w:top w:val="single" w:color="000000" w:sz="4" w:space="0"/>
                    <w:left w:val="nil"/>
                    <w:bottom w:val="single" w:color="000000" w:sz="4" w:space="0"/>
                    <w:right w:val="single" w:color="000000" w:sz="4" w:space="0"/>
                  </w:tcBorders>
                  <w:noWrap w:val="0"/>
                  <w:vAlign w:val="center"/>
                </w:tcPr>
                <w:p w14:paraId="1EBEE3E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1.6</w:t>
                  </w:r>
                </w:p>
              </w:tc>
              <w:tc>
                <w:tcPr>
                  <w:tcW w:w="942" w:type="dxa"/>
                  <w:tcBorders>
                    <w:top w:val="single" w:color="000000" w:sz="4" w:space="0"/>
                    <w:left w:val="nil"/>
                    <w:bottom w:val="single" w:color="000000" w:sz="4" w:space="0"/>
                    <w:right w:val="single" w:color="000000" w:sz="4" w:space="0"/>
                  </w:tcBorders>
                  <w:noWrap w:val="0"/>
                  <w:vAlign w:val="center"/>
                </w:tcPr>
                <w:p w14:paraId="7353672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1.7</w:t>
                  </w:r>
                </w:p>
              </w:tc>
              <w:tc>
                <w:tcPr>
                  <w:tcW w:w="978" w:type="dxa"/>
                  <w:tcBorders>
                    <w:top w:val="single" w:color="000000" w:sz="4" w:space="0"/>
                    <w:left w:val="nil"/>
                    <w:bottom w:val="single" w:color="000000" w:sz="4" w:space="0"/>
                    <w:right w:val="single" w:color="000000" w:sz="4" w:space="0"/>
                  </w:tcBorders>
                  <w:noWrap w:val="0"/>
                  <w:vAlign w:val="center"/>
                </w:tcPr>
                <w:p w14:paraId="759D889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1.8</w:t>
                  </w:r>
                </w:p>
              </w:tc>
              <w:tc>
                <w:tcPr>
                  <w:tcW w:w="920" w:type="dxa"/>
                  <w:tcBorders>
                    <w:top w:val="single" w:color="000000" w:sz="4" w:space="0"/>
                    <w:left w:val="nil"/>
                    <w:bottom w:val="single" w:color="000000" w:sz="4" w:space="0"/>
                    <w:right w:val="single" w:color="000000" w:sz="4" w:space="0"/>
                  </w:tcBorders>
                  <w:noWrap w:val="0"/>
                  <w:vAlign w:val="center"/>
                </w:tcPr>
                <w:p w14:paraId="5371A35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1.9</w:t>
                  </w:r>
                </w:p>
              </w:tc>
              <w:tc>
                <w:tcPr>
                  <w:tcW w:w="909" w:type="dxa"/>
                  <w:tcBorders>
                    <w:top w:val="single" w:color="000000" w:sz="4" w:space="0"/>
                    <w:left w:val="nil"/>
                    <w:bottom w:val="single" w:color="000000" w:sz="4" w:space="0"/>
                    <w:right w:val="single" w:color="000000" w:sz="4" w:space="0"/>
                  </w:tcBorders>
                  <w:noWrap w:val="0"/>
                  <w:vAlign w:val="center"/>
                </w:tcPr>
                <w:p w14:paraId="2388D8EE">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2</w:t>
                  </w:r>
                </w:p>
              </w:tc>
            </w:tr>
          </w:tbl>
          <w:p w14:paraId="7D0C96D5">
            <w:pPr>
              <w:keepNext w:val="0"/>
              <w:keepLines w:val="0"/>
              <w:pageBreakBefore w:val="0"/>
              <w:kinsoku/>
              <w:wordWrap w:val="0"/>
              <w:overflowPunct/>
              <w:topLinePunct w:val="0"/>
              <w:autoSpaceDE/>
              <w:autoSpaceDN/>
              <w:bidi w:val="0"/>
              <w:adjustRightInd w:val="0"/>
              <w:snapToGrid w:val="0"/>
              <w:spacing w:line="360" w:lineRule="auto"/>
              <w:ind w:firstLine="205" w:firstLineChars="98"/>
              <w:jc w:val="left"/>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p>
          <w:p w14:paraId="068C8CC7">
            <w:pPr>
              <w:keepNext w:val="0"/>
              <w:keepLines w:val="0"/>
              <w:pageBreakBefore w:val="0"/>
              <w:kinsoku/>
              <w:wordWrap w:val="0"/>
              <w:overflowPunct/>
              <w:topLinePunct w:val="0"/>
              <w:autoSpaceDE/>
              <w:autoSpaceDN/>
              <w:bidi w:val="0"/>
              <w:adjustRightInd w:val="0"/>
              <w:snapToGrid w:val="0"/>
              <w:spacing w:line="360" w:lineRule="auto"/>
              <w:ind w:firstLine="205" w:firstLineChars="98"/>
              <w:jc w:val="left"/>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（2）评标基准价D＝最高投标限价×（1－n）</w:t>
            </w:r>
          </w:p>
        </w:tc>
      </w:tr>
      <w:tr w14:paraId="2EBD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1" w:hRule="atLeast"/>
          <w:jc w:val="center"/>
        </w:trPr>
        <w:tc>
          <w:tcPr>
            <w:tcW w:w="1472" w:type="dxa"/>
            <w:gridSpan w:val="2"/>
            <w:noWrap w:val="0"/>
            <w:vAlign w:val="center"/>
          </w:tcPr>
          <w:p w14:paraId="56245B60">
            <w:pPr>
              <w:pStyle w:val="125"/>
              <w:keepNext w:val="0"/>
              <w:keepLines w:val="0"/>
              <w:pageBreakBefore w:val="0"/>
              <w:widowControl w:val="0"/>
              <w:kinsoku/>
              <w:wordWrap w:val="0"/>
              <w:overflowPunct/>
              <w:topLinePunct w:val="0"/>
              <w:autoSpaceDE/>
              <w:autoSpaceDN/>
              <w:bidi w:val="0"/>
              <w:adjustRightInd w:val="0"/>
              <w:snapToGrid w:val="0"/>
              <w:spacing w:before="0" w:after="0" w:line="240" w:lineRule="auto"/>
              <w:ind w:left="0" w:leftChars="0" w:right="0" w:rightChars="0" w:firstLine="0" w:firstLineChars="0"/>
              <w:jc w:val="center"/>
              <w:textAlignment w:val="auto"/>
              <w:outlineLvl w:val="9"/>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投标报价</w:t>
            </w:r>
          </w:p>
          <w:p w14:paraId="7FD7D8C1">
            <w:pPr>
              <w:pStyle w:val="125"/>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得分M3</w:t>
            </w:r>
          </w:p>
        </w:tc>
        <w:tc>
          <w:tcPr>
            <w:tcW w:w="8915" w:type="dxa"/>
            <w:gridSpan w:val="2"/>
            <w:noWrap w:val="0"/>
            <w:vAlign w:val="center"/>
          </w:tcPr>
          <w:p w14:paraId="0727C459">
            <w:pPr>
              <w:keepNext w:val="0"/>
              <w:keepLines w:val="0"/>
              <w:pageBreakBefore w:val="0"/>
              <w:widowControl w:val="0"/>
              <w:kinsoku/>
              <w:wordWrap w:val="0"/>
              <w:overflowPunct/>
              <w:topLinePunct w:val="0"/>
              <w:autoSpaceDE/>
              <w:autoSpaceDN/>
              <w:bidi w:val="0"/>
              <w:adjustRightInd w:val="0"/>
              <w:snapToGrid w:val="0"/>
              <w:spacing w:before="0" w:after="0" w:line="360" w:lineRule="auto"/>
              <w:ind w:left="0" w:leftChars="0" w:right="0" w:rightChars="0" w:firstLine="420" w:firstLineChars="200"/>
              <w:jc w:val="left"/>
              <w:textAlignment w:val="auto"/>
              <w:outlineLvl w:val="9"/>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采用内插法计算某投标人的投标报价得分M3，即当投标人的投标总价等于评标基准价时得满分，每高于评标基准价一个百分点扣0.5分,每低于评标基准价一个百分点扣0.3分，扣完为止。公式如下：</w:t>
            </w:r>
          </w:p>
          <w:p w14:paraId="6B39A7B4">
            <w:pPr>
              <w:keepNext w:val="0"/>
              <w:keepLines w:val="0"/>
              <w:pageBreakBefore w:val="0"/>
              <w:widowControl w:val="0"/>
              <w:kinsoku/>
              <w:wordWrap w:val="0"/>
              <w:overflowPunct/>
              <w:topLinePunct w:val="0"/>
              <w:autoSpaceDE/>
              <w:autoSpaceDN/>
              <w:bidi w:val="0"/>
              <w:adjustRightInd w:val="0"/>
              <w:snapToGrid w:val="0"/>
              <w:spacing w:before="0" w:after="0" w:line="360" w:lineRule="auto"/>
              <w:ind w:left="0" w:leftChars="0" w:right="0" w:rightChars="0" w:firstLine="420" w:firstLineChars="200"/>
              <w:jc w:val="left"/>
              <w:textAlignment w:val="auto"/>
              <w:outlineLvl w:val="9"/>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M3＝投标报价满分－（|Di－D|÷D）×100×E</w:t>
            </w:r>
          </w:p>
          <w:p w14:paraId="5B210027">
            <w:pPr>
              <w:keepNext w:val="0"/>
              <w:keepLines w:val="0"/>
              <w:pageBreakBefore w:val="0"/>
              <w:kinsoku/>
              <w:overflowPunct/>
              <w:topLinePunct w:val="0"/>
              <w:autoSpaceDE/>
              <w:autoSpaceDN/>
              <w:bidi w:val="0"/>
              <w:snapToGrid w:val="0"/>
              <w:spacing w:line="360" w:lineRule="auto"/>
              <w:ind w:left="240" w:leftChars="100"/>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式中：D为评标基准价，Di为某投标人的投标总价；E为扣分因子。当Di＞D时，E＝0.5；当Di＜D时，E＝0.3。</w:t>
            </w:r>
          </w:p>
        </w:tc>
      </w:tr>
      <w:tr w14:paraId="1E3C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472" w:type="dxa"/>
            <w:gridSpan w:val="2"/>
            <w:noWrap w:val="0"/>
            <w:vAlign w:val="center"/>
          </w:tcPr>
          <w:p w14:paraId="59DD28C4">
            <w:pPr>
              <w:pStyle w:val="125"/>
              <w:keepNext w:val="0"/>
              <w:keepLines w:val="0"/>
              <w:pageBreakBefore w:val="0"/>
              <w:kinsoku/>
              <w:wordWrap w:val="0"/>
              <w:overflowPunct/>
              <w:topLinePunct w:val="0"/>
              <w:autoSpaceDE/>
              <w:autoSpaceDN/>
              <w:bidi w:val="0"/>
              <w:adjustRightInd w:val="0"/>
              <w:snapToGrid w:val="0"/>
              <w:spacing w:line="240" w:lineRule="auto"/>
              <w:jc w:val="center"/>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总计100分</w:t>
            </w:r>
          </w:p>
        </w:tc>
        <w:tc>
          <w:tcPr>
            <w:tcW w:w="8915" w:type="dxa"/>
            <w:gridSpan w:val="2"/>
            <w:noWrap w:val="0"/>
            <w:vAlign w:val="center"/>
          </w:tcPr>
          <w:p w14:paraId="78A582E4">
            <w:pPr>
              <w:pStyle w:val="125"/>
              <w:keepNext w:val="0"/>
              <w:keepLines w:val="0"/>
              <w:pageBreakBefore w:val="0"/>
              <w:kinsoku/>
              <w:wordWrap w:val="0"/>
              <w:overflowPunct/>
              <w:topLinePunct w:val="0"/>
              <w:autoSpaceDE/>
              <w:autoSpaceDN/>
              <w:bidi w:val="0"/>
              <w:adjustRightInd w:val="0"/>
              <w:snapToGrid w:val="0"/>
              <w:spacing w:line="240" w:lineRule="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商务部分（55分）＋技术部分（15分）＋投标报价部分（30分）</w:t>
            </w:r>
          </w:p>
        </w:tc>
      </w:tr>
    </w:tbl>
    <w:p w14:paraId="36B4D5F0">
      <w:pPr>
        <w:pStyle w:val="39"/>
        <w:jc w:val="both"/>
        <w:rPr>
          <w:rFonts w:ascii="宋体" w:hAnsi="宋体" w:cs="宋体"/>
          <w:color w:val="auto"/>
          <w:sz w:val="24"/>
          <w:highlight w:val="none"/>
        </w:rPr>
      </w:pPr>
    </w:p>
    <w:p w14:paraId="5A884232">
      <w:pPr>
        <w:wordWrap w:val="0"/>
        <w:adjustRightInd w:val="0"/>
        <w:snapToGrid w:val="0"/>
        <w:spacing w:line="440" w:lineRule="exact"/>
        <w:ind w:firstLine="482" w:firstLineChars="200"/>
        <w:rPr>
          <w:rFonts w:hint="eastAsia" w:ascii="宋体" w:hAnsi="宋体" w:eastAsia="宋体" w:cs="宋体"/>
          <w:b/>
          <w:bCs/>
          <w:color w:val="auto"/>
          <w:kern w:val="0"/>
          <w:szCs w:val="24"/>
          <w:highlight w:val="none"/>
        </w:rPr>
      </w:pPr>
      <w:r>
        <w:rPr>
          <w:rFonts w:hint="eastAsia" w:ascii="宋体" w:hAnsi="宋体" w:eastAsia="宋体" w:cs="宋体"/>
          <w:b/>
          <w:bCs/>
          <w:color w:val="auto"/>
          <w:kern w:val="0"/>
          <w:szCs w:val="24"/>
          <w:highlight w:val="none"/>
        </w:rPr>
        <w:t>注：评分如出现小数点，则保留小数点后两位，第三位四舍五入。</w:t>
      </w:r>
    </w:p>
    <w:p w14:paraId="14FA8372">
      <w:pPr>
        <w:wordWrap w:val="0"/>
        <w:adjustRightInd w:val="0"/>
        <w:snapToGrid w:val="0"/>
        <w:spacing w:line="440" w:lineRule="exact"/>
        <w:ind w:firstLine="480" w:firstLineChars="200"/>
        <w:rPr>
          <w:rFonts w:hint="eastAsia" w:ascii="宋体" w:hAnsi="宋体" w:eastAsia="宋体" w:cs="宋体"/>
          <w:color w:val="auto"/>
          <w:kern w:val="0"/>
          <w:szCs w:val="24"/>
          <w:highlight w:val="none"/>
        </w:rPr>
      </w:pPr>
    </w:p>
    <w:p w14:paraId="284073A0">
      <w:pPr>
        <w:rPr>
          <w:color w:val="auto"/>
          <w:highlight w:val="none"/>
        </w:rPr>
      </w:pPr>
    </w:p>
    <w:p w14:paraId="0D0A51B5">
      <w:pPr>
        <w:rPr>
          <w:rFonts w:hint="eastAsia" w:hAnsi="宋体" w:cs="宋体"/>
          <w:b/>
          <w:bCs/>
          <w:snapToGrid w:val="0"/>
          <w:color w:val="auto"/>
          <w:kern w:val="0"/>
          <w:sz w:val="28"/>
          <w:szCs w:val="28"/>
          <w:highlight w:val="none"/>
        </w:rPr>
      </w:pPr>
      <w:r>
        <w:rPr>
          <w:rFonts w:hint="eastAsia" w:hAnsi="宋体" w:cs="宋体"/>
          <w:b/>
          <w:bCs/>
          <w:snapToGrid w:val="0"/>
          <w:color w:val="auto"/>
          <w:kern w:val="0"/>
          <w:sz w:val="28"/>
          <w:szCs w:val="28"/>
          <w:highlight w:val="none"/>
        </w:rPr>
        <w:br w:type="page"/>
      </w:r>
    </w:p>
    <w:p w14:paraId="42B2D1BE">
      <w:pPr>
        <w:wordWrap w:val="0"/>
        <w:adjustRightInd w:val="0"/>
        <w:snapToGrid w:val="0"/>
        <w:spacing w:after="240" w:afterLines="100" w:line="440" w:lineRule="exact"/>
        <w:jc w:val="center"/>
        <w:rPr>
          <w:rFonts w:hAnsi="宋体" w:cs="宋体"/>
          <w:b/>
          <w:bCs/>
          <w:snapToGrid w:val="0"/>
          <w:color w:val="auto"/>
          <w:kern w:val="0"/>
          <w:sz w:val="28"/>
          <w:szCs w:val="28"/>
          <w:highlight w:val="none"/>
        </w:rPr>
      </w:pPr>
      <w:r>
        <w:rPr>
          <w:rFonts w:hint="eastAsia" w:hAnsi="宋体" w:cs="宋体"/>
          <w:b/>
          <w:bCs/>
          <w:snapToGrid w:val="0"/>
          <w:color w:val="auto"/>
          <w:kern w:val="0"/>
          <w:sz w:val="28"/>
          <w:szCs w:val="28"/>
          <w:highlight w:val="none"/>
        </w:rPr>
        <w:t>表2 项目监理机构其他人员需求表</w:t>
      </w:r>
    </w:p>
    <w:tbl>
      <w:tblPr>
        <w:tblStyle w:val="30"/>
        <w:tblpPr w:leftFromText="180" w:rightFromText="180" w:vertAnchor="text" w:horzAnchor="page" w:tblpX="1278" w:tblpY="309"/>
        <w:tblOverlap w:val="never"/>
        <w:tblW w:w="969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4"/>
        <w:gridCol w:w="2131"/>
        <w:gridCol w:w="1304"/>
        <w:gridCol w:w="5055"/>
      </w:tblGrid>
      <w:tr w14:paraId="441F5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9694" w:type="dxa"/>
            <w:gridSpan w:val="4"/>
            <w:noWrap w:val="0"/>
            <w:vAlign w:val="top"/>
          </w:tcPr>
          <w:p w14:paraId="1BFC8B67">
            <w:pPr>
              <w:spacing w:before="244" w:line="222" w:lineRule="auto"/>
              <w:ind w:left="12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其他监理人员（除总监理工程师外</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3"/>
                <w:sz w:val="24"/>
                <w:szCs w:val="24"/>
                <w:highlight w:val="none"/>
              </w:rPr>
              <w:t>共</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single"/>
                <w:lang w:val="en-US" w:eastAsia="zh-CN"/>
              </w:rPr>
              <w:t>3</w:t>
            </w:r>
            <w:r>
              <w:rPr>
                <w:rFonts w:hint="eastAsia" w:ascii="宋体" w:hAnsi="宋体" w:eastAsia="宋体" w:cs="宋体"/>
                <w:color w:val="auto"/>
                <w:spacing w:val="-3"/>
                <w:sz w:val="24"/>
                <w:szCs w:val="24"/>
                <w:highlight w:val="none"/>
              </w:rPr>
              <w:t>人</w:t>
            </w:r>
          </w:p>
        </w:tc>
      </w:tr>
      <w:tr w14:paraId="042F7A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0" w:hRule="atLeast"/>
        </w:trPr>
        <w:tc>
          <w:tcPr>
            <w:tcW w:w="1204" w:type="dxa"/>
            <w:noWrap w:val="0"/>
            <w:vAlign w:val="top"/>
          </w:tcPr>
          <w:p w14:paraId="6D4A0E6E">
            <w:pPr>
              <w:spacing w:before="271" w:line="222"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职务</w:t>
            </w:r>
          </w:p>
        </w:tc>
        <w:tc>
          <w:tcPr>
            <w:tcW w:w="2131" w:type="dxa"/>
            <w:noWrap w:val="0"/>
            <w:vAlign w:val="top"/>
          </w:tcPr>
          <w:p w14:paraId="71B8D3E8">
            <w:pPr>
              <w:spacing w:before="271" w:line="223" w:lineRule="auto"/>
              <w:ind w:left="61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专业要求</w:t>
            </w:r>
          </w:p>
        </w:tc>
        <w:tc>
          <w:tcPr>
            <w:tcW w:w="1304" w:type="dxa"/>
            <w:noWrap w:val="0"/>
            <w:vAlign w:val="top"/>
          </w:tcPr>
          <w:p w14:paraId="12F12E69">
            <w:pPr>
              <w:spacing w:before="122" w:line="238" w:lineRule="auto"/>
              <w:ind w:left="117" w:right="107" w:firstLine="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数量要求</w:t>
            </w:r>
          </w:p>
        </w:tc>
        <w:tc>
          <w:tcPr>
            <w:tcW w:w="5055" w:type="dxa"/>
            <w:noWrap w:val="0"/>
            <w:vAlign w:val="top"/>
          </w:tcPr>
          <w:p w14:paraId="075F3AD5">
            <w:pPr>
              <w:spacing w:before="271" w:line="223" w:lineRule="auto"/>
              <w:ind w:left="227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持证要求</w:t>
            </w:r>
          </w:p>
        </w:tc>
      </w:tr>
      <w:tr w14:paraId="75C21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4" w:hRule="atLeast"/>
        </w:trPr>
        <w:tc>
          <w:tcPr>
            <w:tcW w:w="1204" w:type="dxa"/>
            <w:vMerge w:val="restart"/>
            <w:noWrap w:val="0"/>
            <w:vAlign w:val="top"/>
          </w:tcPr>
          <w:p w14:paraId="29B124F6">
            <w:pPr>
              <w:spacing w:line="250" w:lineRule="auto"/>
              <w:rPr>
                <w:rFonts w:hint="eastAsia" w:ascii="宋体" w:hAnsi="宋体" w:eastAsia="宋体" w:cs="宋体"/>
                <w:color w:val="auto"/>
                <w:sz w:val="24"/>
                <w:szCs w:val="24"/>
                <w:highlight w:val="none"/>
              </w:rPr>
            </w:pPr>
          </w:p>
          <w:p w14:paraId="42CBBC9E">
            <w:pPr>
              <w:spacing w:line="250" w:lineRule="auto"/>
              <w:rPr>
                <w:rFonts w:hint="eastAsia" w:ascii="宋体" w:hAnsi="宋体" w:eastAsia="宋体" w:cs="宋体"/>
                <w:color w:val="auto"/>
                <w:sz w:val="24"/>
                <w:szCs w:val="24"/>
                <w:highlight w:val="none"/>
              </w:rPr>
            </w:pPr>
          </w:p>
          <w:p w14:paraId="51CA2724">
            <w:pPr>
              <w:spacing w:line="251" w:lineRule="auto"/>
              <w:rPr>
                <w:rFonts w:hint="eastAsia" w:ascii="宋体" w:hAnsi="宋体" w:eastAsia="宋体" w:cs="宋体"/>
                <w:color w:val="auto"/>
                <w:sz w:val="24"/>
                <w:szCs w:val="24"/>
                <w:highlight w:val="none"/>
              </w:rPr>
            </w:pPr>
          </w:p>
          <w:p w14:paraId="5BF1F2D4">
            <w:pPr>
              <w:spacing w:line="251" w:lineRule="auto"/>
              <w:rPr>
                <w:rFonts w:hint="eastAsia" w:ascii="宋体" w:hAnsi="宋体" w:eastAsia="宋体" w:cs="宋体"/>
                <w:color w:val="auto"/>
                <w:sz w:val="24"/>
                <w:szCs w:val="24"/>
                <w:highlight w:val="none"/>
              </w:rPr>
            </w:pPr>
          </w:p>
          <w:p w14:paraId="3C85FFEC">
            <w:pPr>
              <w:spacing w:line="251" w:lineRule="auto"/>
              <w:rPr>
                <w:rFonts w:hint="eastAsia" w:ascii="宋体" w:hAnsi="宋体" w:eastAsia="宋体" w:cs="宋体"/>
                <w:color w:val="auto"/>
                <w:sz w:val="24"/>
                <w:szCs w:val="24"/>
                <w:highlight w:val="none"/>
              </w:rPr>
            </w:pPr>
          </w:p>
          <w:p w14:paraId="394FC062">
            <w:pPr>
              <w:spacing w:line="251" w:lineRule="auto"/>
              <w:rPr>
                <w:rFonts w:hint="eastAsia" w:ascii="宋体" w:hAnsi="宋体" w:eastAsia="宋体" w:cs="宋体"/>
                <w:color w:val="auto"/>
                <w:sz w:val="24"/>
                <w:szCs w:val="24"/>
                <w:highlight w:val="none"/>
              </w:rPr>
            </w:pPr>
          </w:p>
          <w:p w14:paraId="2B2FF19B">
            <w:pPr>
              <w:spacing w:line="251" w:lineRule="auto"/>
              <w:rPr>
                <w:rFonts w:hint="eastAsia" w:ascii="宋体" w:hAnsi="宋体" w:eastAsia="宋体" w:cs="宋体"/>
                <w:color w:val="auto"/>
                <w:sz w:val="24"/>
                <w:szCs w:val="24"/>
                <w:highlight w:val="none"/>
              </w:rPr>
            </w:pPr>
          </w:p>
          <w:p w14:paraId="06B6E0ED">
            <w:pPr>
              <w:pStyle w:val="156"/>
              <w:spacing w:before="78" w:line="264" w:lineRule="auto"/>
              <w:ind w:left="239" w:right="110" w:hanging="12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专业监理</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工程师</w:t>
            </w:r>
          </w:p>
        </w:tc>
        <w:tc>
          <w:tcPr>
            <w:tcW w:w="2131" w:type="dxa"/>
            <w:noWrap w:val="0"/>
            <w:vAlign w:val="center"/>
          </w:tcPr>
          <w:p w14:paraId="26AE6924">
            <w:pPr>
              <w:pStyle w:val="156"/>
              <w:spacing w:before="78" w:line="219" w:lineRule="auto"/>
              <w:ind w:left="337"/>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市政公用</w:t>
            </w:r>
            <w:r>
              <w:rPr>
                <w:rFonts w:hint="eastAsia" w:ascii="宋体" w:hAnsi="宋体" w:eastAsia="宋体" w:cs="宋体"/>
                <w:color w:val="auto"/>
                <w:spacing w:val="-3"/>
                <w:sz w:val="24"/>
                <w:szCs w:val="24"/>
                <w:highlight w:val="none"/>
              </w:rPr>
              <w:t>工程</w:t>
            </w:r>
          </w:p>
        </w:tc>
        <w:tc>
          <w:tcPr>
            <w:tcW w:w="1304" w:type="dxa"/>
            <w:noWrap w:val="0"/>
            <w:vAlign w:val="center"/>
          </w:tcPr>
          <w:p w14:paraId="52A2E36A">
            <w:pPr>
              <w:pStyle w:val="156"/>
              <w:spacing w:before="79" w:line="183"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p>
        </w:tc>
        <w:tc>
          <w:tcPr>
            <w:tcW w:w="5055" w:type="dxa"/>
            <w:vMerge w:val="restart"/>
            <w:noWrap w:val="0"/>
            <w:vAlign w:val="top"/>
          </w:tcPr>
          <w:p w14:paraId="406B206E">
            <w:pPr>
              <w:pStyle w:val="156"/>
              <w:spacing w:before="78" w:line="219"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符合以下</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2"/>
                <w:sz w:val="24"/>
                <w:szCs w:val="24"/>
                <w:highlight w:val="none"/>
              </w:rPr>
              <w:t>3 种情形之一均可：</w:t>
            </w:r>
          </w:p>
          <w:p w14:paraId="4866EE09">
            <w:pPr>
              <w:pStyle w:val="156"/>
              <w:spacing w:before="74" w:line="248" w:lineRule="auto"/>
              <w:ind w:left="114" w:right="108" w:firstLine="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1．具备注册监理工程师执业资格，持有效的注册</w:t>
            </w:r>
            <w:r>
              <w:rPr>
                <w:rFonts w:hint="eastAsia" w:ascii="宋体" w:hAnsi="宋体" w:eastAsia="宋体" w:cs="宋体"/>
                <w:color w:val="auto"/>
                <w:spacing w:val="-4"/>
                <w:sz w:val="24"/>
                <w:szCs w:val="24"/>
                <w:highlight w:val="none"/>
              </w:rPr>
              <w:t>证书；</w:t>
            </w:r>
          </w:p>
          <w:p w14:paraId="3791DCA4">
            <w:pPr>
              <w:pStyle w:val="156"/>
              <w:spacing w:before="77" w:line="257" w:lineRule="auto"/>
              <w:ind w:left="113" w:right="25" w:hanging="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5"/>
                <w:sz w:val="24"/>
                <w:szCs w:val="24"/>
                <w:highlight w:val="none"/>
              </w:rPr>
              <w:t>具备工程类注册执业资格，并经监理业务培训。</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持有效的注册证书、省级建设行政主管部门或其授</w:t>
            </w:r>
            <w:r>
              <w:rPr>
                <w:rFonts w:hint="eastAsia" w:ascii="宋体" w:hAnsi="宋体" w:eastAsia="宋体" w:cs="宋体"/>
                <w:color w:val="auto"/>
                <w:spacing w:val="-1"/>
                <w:sz w:val="24"/>
                <w:szCs w:val="24"/>
                <w:highlight w:val="none"/>
              </w:rPr>
              <w:t>权的组织（机构）颁发的岗位证书；</w:t>
            </w:r>
          </w:p>
          <w:p w14:paraId="54078D6A">
            <w:pPr>
              <w:pStyle w:val="156"/>
              <w:spacing w:before="77" w:line="257" w:lineRule="auto"/>
              <w:ind w:left="115" w:right="10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经监理业务</w:t>
            </w:r>
            <w:r>
              <w:rPr>
                <w:rFonts w:hint="eastAsia" w:ascii="宋体" w:hAnsi="宋体" w:eastAsia="宋体" w:cs="宋体"/>
                <w:color w:val="auto"/>
                <w:spacing w:val="-4"/>
                <w:sz w:val="24"/>
                <w:szCs w:val="24"/>
                <w:highlight w:val="none"/>
              </w:rPr>
              <w:t>培训</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4"/>
                <w:sz w:val="24"/>
                <w:szCs w:val="24"/>
                <w:highlight w:val="none"/>
              </w:rPr>
              <w:t>持有效的省级建设行政主管部门</w:t>
            </w:r>
            <w:r>
              <w:rPr>
                <w:rFonts w:hint="eastAsia" w:ascii="宋体" w:hAnsi="宋体" w:eastAsia="宋体" w:cs="宋体"/>
                <w:color w:val="auto"/>
                <w:spacing w:val="-1"/>
                <w:sz w:val="24"/>
                <w:szCs w:val="24"/>
                <w:highlight w:val="none"/>
              </w:rPr>
              <w:t>或其授权的组织（机构）颁发的岗位证书。</w:t>
            </w:r>
          </w:p>
          <w:p w14:paraId="6C6A0DDA">
            <w:pPr>
              <w:pStyle w:val="156"/>
              <w:spacing w:before="76" w:line="263" w:lineRule="auto"/>
              <w:ind w:left="118" w:right="106" w:hanging="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注：专业类别以注册执业证书或专业监理工程师证</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书或毕业证所列明的专业为准。</w:t>
            </w:r>
          </w:p>
        </w:tc>
      </w:tr>
      <w:tr w14:paraId="38A44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2" w:hRule="atLeast"/>
        </w:trPr>
        <w:tc>
          <w:tcPr>
            <w:tcW w:w="1204" w:type="dxa"/>
            <w:vMerge w:val="continue"/>
            <w:noWrap w:val="0"/>
            <w:vAlign w:val="top"/>
          </w:tcPr>
          <w:p w14:paraId="1B1D2976">
            <w:pPr>
              <w:pStyle w:val="156"/>
              <w:spacing w:before="78" w:line="264" w:lineRule="auto"/>
              <w:ind w:left="239" w:right="110" w:hanging="121"/>
              <w:rPr>
                <w:rFonts w:hint="eastAsia" w:ascii="宋体" w:hAnsi="宋体" w:eastAsia="宋体" w:cs="宋体"/>
                <w:color w:val="auto"/>
                <w:spacing w:val="-3"/>
                <w:sz w:val="24"/>
                <w:szCs w:val="24"/>
                <w:highlight w:val="none"/>
              </w:rPr>
            </w:pPr>
          </w:p>
        </w:tc>
        <w:tc>
          <w:tcPr>
            <w:tcW w:w="2131" w:type="dxa"/>
            <w:noWrap w:val="0"/>
            <w:vAlign w:val="center"/>
          </w:tcPr>
          <w:p w14:paraId="04483EF2">
            <w:pPr>
              <w:pStyle w:val="156"/>
              <w:spacing w:before="78" w:line="219" w:lineRule="auto"/>
              <w:jc w:val="center"/>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房屋建筑工程</w:t>
            </w:r>
          </w:p>
        </w:tc>
        <w:tc>
          <w:tcPr>
            <w:tcW w:w="1304" w:type="dxa"/>
            <w:noWrap w:val="0"/>
            <w:vAlign w:val="center"/>
          </w:tcPr>
          <w:p w14:paraId="6AB04272">
            <w:pPr>
              <w:pStyle w:val="156"/>
              <w:spacing w:before="79" w:line="183" w:lineRule="auto"/>
              <w:ind w:left="281"/>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5055" w:type="dxa"/>
            <w:vMerge w:val="continue"/>
            <w:noWrap w:val="0"/>
            <w:vAlign w:val="top"/>
          </w:tcPr>
          <w:p w14:paraId="2EF5A353">
            <w:pPr>
              <w:pStyle w:val="156"/>
              <w:spacing w:before="76" w:line="263" w:lineRule="auto"/>
              <w:ind w:left="118" w:right="106" w:hanging="4"/>
              <w:rPr>
                <w:rFonts w:hint="eastAsia" w:ascii="宋体" w:hAnsi="宋体" w:eastAsia="宋体" w:cs="宋体"/>
                <w:color w:val="auto"/>
                <w:spacing w:val="-4"/>
                <w:sz w:val="24"/>
                <w:szCs w:val="24"/>
                <w:highlight w:val="none"/>
              </w:rPr>
            </w:pPr>
          </w:p>
        </w:tc>
      </w:tr>
      <w:tr w14:paraId="405E9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5" w:hRule="atLeast"/>
        </w:trPr>
        <w:tc>
          <w:tcPr>
            <w:tcW w:w="1204" w:type="dxa"/>
            <w:noWrap w:val="0"/>
            <w:vAlign w:val="center"/>
          </w:tcPr>
          <w:p w14:paraId="4CB913FF">
            <w:pPr>
              <w:pStyle w:val="156"/>
              <w:spacing w:before="78" w:line="221" w:lineRule="auto"/>
              <w:ind w:left="238"/>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监理员</w:t>
            </w:r>
          </w:p>
        </w:tc>
        <w:tc>
          <w:tcPr>
            <w:tcW w:w="2131" w:type="dxa"/>
            <w:noWrap w:val="0"/>
            <w:vAlign w:val="center"/>
          </w:tcPr>
          <w:p w14:paraId="633C0F56">
            <w:pPr>
              <w:pStyle w:val="27"/>
              <w:wordWrap w:val="0"/>
              <w:adjustRightInd w:val="0"/>
              <w:snapToGrid w:val="0"/>
              <w:spacing w:line="360" w:lineRule="exac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具备岗位证书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（有效期内）</w:t>
            </w:r>
          </w:p>
        </w:tc>
        <w:tc>
          <w:tcPr>
            <w:tcW w:w="1304" w:type="dxa"/>
            <w:noWrap w:val="0"/>
            <w:vAlign w:val="center"/>
          </w:tcPr>
          <w:p w14:paraId="254C13C9">
            <w:pPr>
              <w:pStyle w:val="27"/>
              <w:wordWrap w:val="0"/>
              <w:adjustRightInd w:val="0"/>
              <w:snapToGrid w:val="0"/>
              <w:spacing w:line="360" w:lineRule="exact"/>
              <w:ind w:left="0" w:leftChars="0" w:right="0" w:rightChars="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p>
        </w:tc>
        <w:tc>
          <w:tcPr>
            <w:tcW w:w="5055" w:type="dxa"/>
            <w:noWrap w:val="0"/>
            <w:vAlign w:val="center"/>
          </w:tcPr>
          <w:p w14:paraId="7DCA7CEF">
            <w:pPr>
              <w:pStyle w:val="27"/>
              <w:wordWrap w:val="0"/>
              <w:adjustRightInd w:val="0"/>
              <w:snapToGrid w:val="0"/>
              <w:spacing w:line="360" w:lineRule="exact"/>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经监理业务培训，持有效的省级建设行政主管部门或其授权的组织（机构）颁发的岗位证书。</w:t>
            </w:r>
          </w:p>
        </w:tc>
      </w:tr>
    </w:tbl>
    <w:p w14:paraId="037699B3">
      <w:pPr>
        <w:wordWrap w:val="0"/>
        <w:adjustRightInd w:val="0"/>
        <w:snapToGrid w:val="0"/>
        <w:spacing w:line="440" w:lineRule="exact"/>
        <w:ind w:firstLine="480" w:firstLineChars="200"/>
        <w:rPr>
          <w:rFonts w:hint="eastAsia" w:hAnsi="宋体" w:cs="宋体"/>
          <w:color w:val="auto"/>
          <w:kern w:val="0"/>
          <w:szCs w:val="24"/>
          <w:highlight w:val="none"/>
        </w:rPr>
      </w:pPr>
    </w:p>
    <w:p w14:paraId="3E67B8DA">
      <w:pPr>
        <w:wordWrap w:val="0"/>
        <w:adjustRightInd w:val="0"/>
        <w:snapToGrid w:val="0"/>
        <w:spacing w:line="440" w:lineRule="exact"/>
        <w:ind w:firstLine="480" w:firstLineChars="200"/>
        <w:rPr>
          <w:rFonts w:ascii="Times New Roman"/>
          <w:snapToGrid w:val="0"/>
          <w:color w:val="auto"/>
          <w:kern w:val="0"/>
          <w:highlight w:val="none"/>
        </w:rPr>
      </w:pPr>
      <w:r>
        <w:rPr>
          <w:rFonts w:hint="eastAsia" w:hAnsi="宋体" w:cs="宋体"/>
          <w:color w:val="auto"/>
          <w:kern w:val="0"/>
          <w:szCs w:val="24"/>
          <w:highlight w:val="none"/>
        </w:rPr>
        <w:t>注：</w:t>
      </w:r>
      <w:r>
        <w:rPr>
          <w:rFonts w:hint="eastAsia" w:ascii="宋体" w:hAnsi="宋体" w:eastAsia="宋体" w:cs="宋体"/>
          <w:color w:val="auto"/>
          <w:kern w:val="0"/>
          <w:sz w:val="24"/>
          <w:szCs w:val="24"/>
          <w:highlight w:val="none"/>
          <w:lang w:val="en-US" w:eastAsia="zh-CN" w:bidi="ar"/>
        </w:rPr>
        <w:t>以上人员一人一岗，不得重复。除总监理工程师外，本需求表拟委派的项目监理机构其他人员只作为综合评分的评审依据，不属于资格评审、形式评审、响应性评审的审查内容，不得作为否决投标条件。</w:t>
      </w:r>
    </w:p>
    <w:p w14:paraId="1021FFCB">
      <w:pPr>
        <w:rPr>
          <w:color w:val="auto"/>
          <w:highlight w:val="none"/>
        </w:rPr>
      </w:pPr>
    </w:p>
    <w:p w14:paraId="07D9C16A">
      <w:pPr>
        <w:adjustRightInd w:val="0"/>
        <w:snapToGrid w:val="0"/>
        <w:spacing w:line="440" w:lineRule="exact"/>
        <w:ind w:firstLine="480" w:firstLineChars="200"/>
        <w:rPr>
          <w:rFonts w:hAnsi="宋体" w:cs="宋体"/>
          <w:snapToGrid w:val="0"/>
          <w:color w:val="auto"/>
          <w:kern w:val="0"/>
          <w:highlight w:val="none"/>
        </w:rPr>
      </w:pPr>
      <w:r>
        <w:rPr>
          <w:rFonts w:hint="eastAsia" w:hAnsi="宋体" w:cs="宋体"/>
          <w:snapToGrid w:val="0"/>
          <w:color w:val="auto"/>
          <w:kern w:val="0"/>
          <w:highlight w:val="none"/>
        </w:rPr>
        <w:br w:type="page"/>
      </w:r>
    </w:p>
    <w:p w14:paraId="499742D9">
      <w:pPr>
        <w:wordWrap w:val="0"/>
        <w:adjustRightInd w:val="0"/>
        <w:snapToGrid w:val="0"/>
        <w:spacing w:line="440" w:lineRule="exact"/>
        <w:ind w:firstLine="482" w:firstLineChars="200"/>
        <w:rPr>
          <w:rFonts w:hAnsi="宋体" w:cs="宋体"/>
          <w:b/>
          <w:bCs/>
          <w:snapToGrid w:val="0"/>
          <w:color w:val="auto"/>
          <w:kern w:val="0"/>
          <w:szCs w:val="24"/>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15F6EFDA">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 xml:space="preserve">15.5.2 </w:t>
      </w:r>
      <w:r>
        <w:rPr>
          <w:rFonts w:hint="eastAsia" w:hAnsi="宋体" w:cs="宋体"/>
          <w:snapToGrid w:val="0"/>
          <w:color w:val="auto"/>
          <w:kern w:val="0"/>
          <w:szCs w:val="24"/>
          <w:highlight w:val="none"/>
        </w:rPr>
        <w:t>否决投标说明</w:t>
      </w:r>
    </w:p>
    <w:p w14:paraId="4CADBCAA">
      <w:pPr>
        <w:wordWrap w:val="0"/>
        <w:adjustRightInd w:val="0"/>
        <w:snapToGrid w:val="0"/>
        <w:spacing w:line="360" w:lineRule="auto"/>
        <w:ind w:firstLine="562"/>
        <w:rPr>
          <w:rFonts w:hAnsi="宋体" w:cs="宋体"/>
          <w:snapToGrid w:val="0"/>
          <w:color w:val="auto"/>
          <w:kern w:val="0"/>
          <w:szCs w:val="24"/>
          <w:highlight w:val="none"/>
        </w:rPr>
      </w:pPr>
      <w:r>
        <w:rPr>
          <w:rFonts w:hint="eastAsia" w:hAnsi="宋体" w:cs="宋体"/>
          <w:snapToGrid w:val="0"/>
          <w:color w:val="auto"/>
          <w:kern w:val="0"/>
          <w:szCs w:val="24"/>
          <w:highlight w:val="none"/>
        </w:rPr>
        <w:t>详细评审阶段否决投标的全部条件，在本章第四节“否决投标条件”第</w:t>
      </w:r>
      <w:r>
        <w:rPr>
          <w:rFonts w:hint="eastAsia" w:hAnsi="宋体" w:cs="宋体"/>
          <w:b/>
          <w:bCs/>
          <w:snapToGrid w:val="0"/>
          <w:color w:val="auto"/>
          <w:kern w:val="0"/>
          <w:szCs w:val="24"/>
          <w:highlight w:val="none"/>
        </w:rPr>
        <w:t>4</w:t>
      </w:r>
      <w:r>
        <w:rPr>
          <w:rFonts w:hint="eastAsia" w:hAnsi="宋体" w:cs="宋体"/>
          <w:snapToGrid w:val="0"/>
          <w:color w:val="auto"/>
          <w:kern w:val="0"/>
          <w:szCs w:val="24"/>
          <w:highlight w:val="none"/>
        </w:rPr>
        <w:t>条中集中列示。投标人有其中所列任何一种情形的，由评标委员会否决其投标。经详细评审后，若所有投标均被否决，招标人应当依法重新招标。</w:t>
      </w:r>
    </w:p>
    <w:p w14:paraId="200CF558">
      <w:pPr>
        <w:wordWrap w:val="0"/>
        <w:adjustRightInd w:val="0"/>
        <w:snapToGrid w:val="0"/>
        <w:spacing w:line="360" w:lineRule="auto"/>
        <w:ind w:firstLine="482" w:firstLineChars="200"/>
        <w:rPr>
          <w:rFonts w:hAnsi="宋体" w:cs="宋体"/>
          <w:b/>
          <w:snapToGrid w:val="0"/>
          <w:color w:val="auto"/>
          <w:kern w:val="0"/>
          <w:szCs w:val="24"/>
          <w:highlight w:val="none"/>
        </w:rPr>
      </w:pPr>
      <w:r>
        <w:rPr>
          <w:rFonts w:hint="eastAsia" w:hAnsi="宋体" w:cs="宋体"/>
          <w:b/>
          <w:bCs/>
          <w:snapToGrid w:val="0"/>
          <w:color w:val="auto"/>
          <w:kern w:val="0"/>
          <w:szCs w:val="24"/>
          <w:highlight w:val="none"/>
        </w:rPr>
        <w:t>注：投标人在详细评审阶段根据评分方法提供的佐证材料，其合法性、有效性和准确性不符合要求的，有关评分因素的评分按相应评分标准处理，但不否决投标。</w:t>
      </w:r>
    </w:p>
    <w:p w14:paraId="189E4120">
      <w:pPr>
        <w:wordWrap w:val="0"/>
        <w:adjustRightInd w:val="0"/>
        <w:snapToGrid w:val="0"/>
        <w:spacing w:line="360" w:lineRule="auto"/>
        <w:ind w:firstLine="482" w:firstLineChars="200"/>
        <w:outlineLvl w:val="2"/>
        <w:rPr>
          <w:rFonts w:hAnsi="宋体" w:cs="宋体"/>
          <w:b/>
          <w:snapToGrid w:val="0"/>
          <w:color w:val="auto"/>
          <w:kern w:val="0"/>
          <w:szCs w:val="24"/>
          <w:highlight w:val="none"/>
        </w:rPr>
      </w:pPr>
      <w:bookmarkStart w:id="58" w:name="_Toc14762"/>
      <w:r>
        <w:rPr>
          <w:rFonts w:hint="eastAsia" w:hAnsi="宋体" w:cs="宋体"/>
          <w:b/>
          <w:snapToGrid w:val="0"/>
          <w:color w:val="auto"/>
          <w:kern w:val="0"/>
          <w:szCs w:val="24"/>
          <w:highlight w:val="none"/>
        </w:rPr>
        <w:t>16．推荐中标候选人</w:t>
      </w:r>
      <w:bookmarkEnd w:id="58"/>
    </w:p>
    <w:p w14:paraId="68FFBF61">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16.1</w:t>
      </w:r>
      <w:r>
        <w:rPr>
          <w:rFonts w:hint="eastAsia" w:hAnsi="宋体" w:cs="宋体"/>
          <w:snapToGrid w:val="0"/>
          <w:color w:val="auto"/>
          <w:kern w:val="0"/>
          <w:szCs w:val="24"/>
          <w:highlight w:val="none"/>
        </w:rPr>
        <w:t xml:space="preserve"> 确定排名</w:t>
      </w:r>
    </w:p>
    <w:p w14:paraId="43452BB1">
      <w:pPr>
        <w:wordWrap w:val="0"/>
        <w:adjustRightInd w:val="0"/>
        <w:snapToGrid w:val="0"/>
        <w:spacing w:line="360" w:lineRule="auto"/>
        <w:ind w:firstLine="480" w:firstLineChars="200"/>
        <w:rPr>
          <w:rFonts w:hAnsi="宋体" w:cs="宋体"/>
          <w:snapToGrid w:val="0"/>
          <w:color w:val="auto"/>
          <w:kern w:val="0"/>
          <w:szCs w:val="24"/>
          <w:highlight w:val="none"/>
        </w:rPr>
      </w:pPr>
      <w:r>
        <w:rPr>
          <w:rFonts w:hint="eastAsia" w:hAnsi="宋体" w:cs="宋体"/>
          <w:snapToGrid w:val="0"/>
          <w:color w:val="auto"/>
          <w:kern w:val="0"/>
          <w:szCs w:val="24"/>
          <w:highlight w:val="none"/>
        </w:rPr>
        <w:t>评标委员会汇总、比较所有投标人的综合得分后，按照综合得分由高到低的次序排列。综合得分相等时，以投标总价低的优先；投标总价也相等的，以监理大纲得分高的优先；如果监理大纲得分也相等，由评标委员会投票确定。</w:t>
      </w:r>
    </w:p>
    <w:p w14:paraId="30F053FB">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16.2</w:t>
      </w:r>
      <w:r>
        <w:rPr>
          <w:rFonts w:hint="eastAsia" w:hAnsi="宋体" w:cs="宋体"/>
          <w:snapToGrid w:val="0"/>
          <w:color w:val="auto"/>
          <w:kern w:val="0"/>
          <w:szCs w:val="24"/>
          <w:highlight w:val="none"/>
        </w:rPr>
        <w:t xml:space="preserve"> 推荐方法</w:t>
      </w:r>
    </w:p>
    <w:p w14:paraId="498191B7">
      <w:pPr>
        <w:wordWrap w:val="0"/>
        <w:adjustRightInd w:val="0"/>
        <w:snapToGrid w:val="0"/>
        <w:spacing w:line="360" w:lineRule="auto"/>
        <w:ind w:firstLine="480" w:firstLineChars="200"/>
        <w:rPr>
          <w:rFonts w:hAnsi="宋体" w:cs="宋体"/>
          <w:snapToGrid w:val="0"/>
          <w:color w:val="auto"/>
          <w:kern w:val="0"/>
          <w:szCs w:val="24"/>
          <w:highlight w:val="none"/>
        </w:rPr>
      </w:pPr>
      <w:r>
        <w:rPr>
          <w:rFonts w:hint="eastAsia" w:hAnsi="宋体" w:cs="宋体"/>
          <w:snapToGrid w:val="0"/>
          <w:color w:val="auto"/>
          <w:kern w:val="0"/>
          <w:szCs w:val="24"/>
          <w:highlight w:val="none"/>
        </w:rPr>
        <w:t>（1）有效投标人数量达到或超过3个的，评标委员会将前三名投标人作为中标候选人向招标人推荐，并标明排列顺序。</w:t>
      </w:r>
    </w:p>
    <w:p w14:paraId="02C4DCFF">
      <w:pPr>
        <w:wordWrap w:val="0"/>
        <w:adjustRightInd w:val="0"/>
        <w:snapToGrid w:val="0"/>
        <w:spacing w:line="360" w:lineRule="auto"/>
        <w:ind w:firstLine="480" w:firstLineChars="200"/>
        <w:rPr>
          <w:rFonts w:hAnsi="宋体" w:cs="宋体"/>
          <w:color w:val="auto"/>
          <w:szCs w:val="24"/>
          <w:highlight w:val="none"/>
        </w:rPr>
      </w:pPr>
      <w:r>
        <w:rPr>
          <w:rFonts w:hint="eastAsia" w:hAnsi="宋体" w:cs="宋体"/>
          <w:snapToGrid w:val="0"/>
          <w:color w:val="auto"/>
          <w:kern w:val="0"/>
          <w:szCs w:val="24"/>
          <w:highlight w:val="none"/>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714FCB8F">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16.3</w:t>
      </w:r>
      <w:r>
        <w:rPr>
          <w:rFonts w:hint="eastAsia" w:hAnsi="宋体" w:cs="宋体"/>
          <w:snapToGrid w:val="0"/>
          <w:color w:val="auto"/>
          <w:kern w:val="0"/>
          <w:szCs w:val="24"/>
          <w:highlight w:val="none"/>
        </w:rPr>
        <w:t xml:space="preserve"> 评标委员会完成评标后，应向招标人提交由全体评标委员会成员签字的评标报告和中标候选人名单。</w:t>
      </w:r>
    </w:p>
    <w:p w14:paraId="741B7D3F">
      <w:pPr>
        <w:wordWrap w:val="0"/>
        <w:adjustRightInd w:val="0"/>
        <w:snapToGrid w:val="0"/>
        <w:spacing w:line="360" w:lineRule="auto"/>
        <w:ind w:firstLine="482" w:firstLineChars="200"/>
        <w:outlineLvl w:val="2"/>
        <w:rPr>
          <w:rFonts w:hAnsi="宋体" w:cs="宋体"/>
          <w:b/>
          <w:snapToGrid w:val="0"/>
          <w:color w:val="auto"/>
          <w:kern w:val="0"/>
          <w:szCs w:val="24"/>
          <w:highlight w:val="none"/>
        </w:rPr>
      </w:pPr>
      <w:bookmarkStart w:id="59" w:name="_Toc10545"/>
      <w:r>
        <w:rPr>
          <w:rFonts w:hint="eastAsia" w:hAnsi="宋体" w:cs="宋体"/>
          <w:b/>
          <w:snapToGrid w:val="0"/>
          <w:color w:val="auto"/>
          <w:kern w:val="0"/>
          <w:szCs w:val="24"/>
          <w:highlight w:val="none"/>
        </w:rPr>
        <w:t>17．中标候选人公示</w:t>
      </w:r>
      <w:bookmarkEnd w:id="59"/>
    </w:p>
    <w:p w14:paraId="0789FBF9">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17.1</w:t>
      </w:r>
      <w:r>
        <w:rPr>
          <w:rFonts w:hint="eastAsia" w:hAnsi="宋体" w:cs="宋体"/>
          <w:bCs/>
          <w:snapToGrid w:val="0"/>
          <w:color w:val="auto"/>
          <w:kern w:val="0"/>
          <w:szCs w:val="24"/>
          <w:highlight w:val="none"/>
        </w:rPr>
        <w:t xml:space="preserve"> </w:t>
      </w:r>
      <w:r>
        <w:rPr>
          <w:rFonts w:hint="eastAsia" w:hAnsi="宋体" w:cs="宋体"/>
          <w:snapToGrid w:val="0"/>
          <w:color w:val="auto"/>
          <w:kern w:val="0"/>
          <w:szCs w:val="24"/>
          <w:highlight w:val="none"/>
        </w:rPr>
        <w:t>招标人自收到评标委员会提交的书面评标报告和中标候选人名单之日起3日内，将评标结果（即中标候选人名单）、中标候选人投标文件（指商务标书分册）、评标过程（评标专家姓名用代码标记）一并在广东省招标投标监管网（https://www.gdzwfw.gov.cn/ztbjg-portal/#/index）及全国公共资源交易平台（广东省·韶关市）（https://ygp.gdzwfw.gov.cn/ggzy-portal/#/440200/index）进行公示，公示期不得少于3天。</w:t>
      </w:r>
    </w:p>
    <w:p w14:paraId="62A93F9A">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17.2</w:t>
      </w:r>
      <w:r>
        <w:rPr>
          <w:rFonts w:hint="eastAsia" w:hAnsi="宋体" w:cs="宋体"/>
          <w:snapToGrid w:val="0"/>
          <w:color w:val="auto"/>
          <w:kern w:val="0"/>
          <w:szCs w:val="24"/>
          <w:highlight w:val="none"/>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074B2CC9">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17.3</w:t>
      </w:r>
      <w:r>
        <w:rPr>
          <w:rFonts w:hint="eastAsia" w:hAnsi="宋体" w:cs="宋体"/>
          <w:snapToGrid w:val="0"/>
          <w:color w:val="auto"/>
          <w:kern w:val="0"/>
          <w:szCs w:val="24"/>
          <w:highlight w:val="none"/>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3E4D3842">
      <w:pPr>
        <w:wordWrap w:val="0"/>
        <w:adjustRightInd w:val="0"/>
        <w:snapToGrid w:val="0"/>
        <w:spacing w:line="360" w:lineRule="auto"/>
        <w:outlineLvl w:val="1"/>
        <w:rPr>
          <w:rFonts w:hAnsi="宋体" w:cs="宋体"/>
          <w:snapToGrid w:val="0"/>
          <w:color w:val="auto"/>
          <w:kern w:val="0"/>
          <w:highlight w:val="none"/>
        </w:rPr>
      </w:pPr>
      <w:bookmarkStart w:id="60" w:name="_Toc15333"/>
      <w:r>
        <w:rPr>
          <w:rFonts w:hint="eastAsia" w:hAnsi="宋体" w:cs="宋体"/>
          <w:b/>
          <w:bCs/>
          <w:snapToGrid w:val="0"/>
          <w:color w:val="auto"/>
          <w:kern w:val="0"/>
          <w:highlight w:val="none"/>
        </w:rPr>
        <w:t>第四节 否决投标条件</w:t>
      </w:r>
      <w:bookmarkEnd w:id="60"/>
    </w:p>
    <w:p w14:paraId="1217DA6A">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auto"/>
          <w:kern w:val="0"/>
          <w:highlight w:val="none"/>
        </w:rPr>
        <w:t>投标人未有列入本节情形的，评标时一律不得否决其投标。</w:t>
      </w:r>
      <w:r>
        <w:rPr>
          <w:rFonts w:hint="eastAsia" w:hAnsi="宋体" w:cs="宋体"/>
          <w:snapToGrid w:val="0"/>
          <w:color w:val="auto"/>
          <w:kern w:val="0"/>
          <w:highlight w:val="none"/>
        </w:rPr>
        <w:t>本节所称“规定”均指招标文件的规定。</w:t>
      </w:r>
    </w:p>
    <w:p w14:paraId="487AC297">
      <w:pPr>
        <w:wordWrap w:val="0"/>
        <w:adjustRightInd w:val="0"/>
        <w:snapToGrid w:val="0"/>
        <w:spacing w:line="360" w:lineRule="auto"/>
        <w:ind w:firstLine="480"/>
        <w:outlineLvl w:val="2"/>
        <w:rPr>
          <w:rFonts w:hAnsi="宋体" w:cs="宋体"/>
          <w:snapToGrid w:val="0"/>
          <w:color w:val="auto"/>
          <w:kern w:val="0"/>
          <w:highlight w:val="none"/>
        </w:rPr>
      </w:pPr>
      <w:bookmarkStart w:id="61" w:name="_Toc24092"/>
      <w:r>
        <w:rPr>
          <w:rFonts w:hint="eastAsia" w:hAnsi="宋体" w:cs="宋体"/>
          <w:b/>
          <w:bCs/>
          <w:snapToGrid w:val="0"/>
          <w:color w:val="auto"/>
          <w:kern w:val="0"/>
          <w:highlight w:val="none"/>
        </w:rPr>
        <w:t>1．资格评审环节</w:t>
      </w:r>
      <w:bookmarkEnd w:id="61"/>
    </w:p>
    <w:p w14:paraId="3AA2319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投标人有下列情形之一的，评标委员会应否决其投标。被否决的投标，不进入形式评审环节。</w:t>
      </w:r>
    </w:p>
    <w:p w14:paraId="584038E0">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（1）有本章第三节第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条“禁止投标条款”规定的任何一种情形；</w:t>
      </w:r>
    </w:p>
    <w:p w14:paraId="6367D39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（2）投标人资质不符合</w:t>
      </w:r>
      <w:r>
        <w:rPr>
          <w:rFonts w:hint="eastAsia" w:hAnsi="宋体" w:cs="宋体"/>
          <w:snapToGrid w:val="0"/>
          <w:color w:val="auto"/>
          <w:kern w:val="0"/>
          <w:szCs w:val="18"/>
          <w:highlight w:val="none"/>
        </w:rPr>
        <w:t>规定的；</w:t>
      </w:r>
    </w:p>
    <w:p w14:paraId="199BFDE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（3）投标人名称与营业执照、资质证书上的企业名称相互不一致的；其资质证书不是由住房城乡建设主管部门颁发的；营业执照、资质证书被吊销、暂扣或不在有效期内的；</w:t>
      </w:r>
    </w:p>
    <w:p w14:paraId="60FCF188">
      <w:pPr>
        <w:wordWrap w:val="0"/>
        <w:adjustRightInd w:val="0"/>
        <w:snapToGrid w:val="0"/>
        <w:spacing w:line="360" w:lineRule="auto"/>
        <w:ind w:firstLine="480"/>
        <w:rPr>
          <w:rFonts w:hAnsi="宋体" w:cs="宋体"/>
          <w:b/>
          <w:bCs/>
          <w:snapToGrid w:val="0"/>
          <w:color w:val="auto"/>
          <w:kern w:val="0"/>
          <w:highlight w:val="none"/>
        </w:rPr>
      </w:pPr>
      <w:r>
        <w:rPr>
          <w:rFonts w:hint="eastAsia" w:hAnsi="宋体" w:cs="宋体"/>
          <w:b/>
          <w:bCs/>
          <w:snapToGrid w:val="0"/>
          <w:color w:val="auto"/>
          <w:kern w:val="0"/>
          <w:highlight w:val="none"/>
        </w:rPr>
        <w:t>注：投标人已经工商变更，但其企业资质证书的企业名称未完成变更的，不得否决其投标；投标人营业执照、资质证书之间登记的信息不一致，应当允许投标人澄清，不得直接否决其投标。</w:t>
      </w:r>
    </w:p>
    <w:p w14:paraId="425792C2">
      <w:pPr>
        <w:wordWrap w:val="0"/>
        <w:adjustRightInd w:val="0"/>
        <w:snapToGrid w:val="0"/>
        <w:spacing w:line="360" w:lineRule="auto"/>
        <w:ind w:firstLine="480"/>
        <w:rPr>
          <w:rFonts w:hAnsi="宋体" w:cs="宋体"/>
          <w:b/>
          <w:bCs/>
          <w:snapToGrid w:val="0"/>
          <w:color w:val="auto"/>
          <w:kern w:val="0"/>
          <w:szCs w:val="22"/>
          <w:highlight w:val="none"/>
        </w:rPr>
      </w:pPr>
      <w:r>
        <w:rPr>
          <w:rFonts w:hint="eastAsia" w:hAnsi="宋体" w:cs="宋体"/>
          <w:b/>
          <w:bCs/>
          <w:snapToGrid w:val="0"/>
          <w:color w:val="auto"/>
          <w:kern w:val="0"/>
          <w:highlight w:val="none"/>
        </w:rPr>
        <w:t>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r>
        <w:rPr>
          <w:rFonts w:hint="eastAsia" w:hAnsi="宋体" w:cs="宋体"/>
          <w:b/>
          <w:bCs/>
          <w:snapToGrid w:val="0"/>
          <w:color w:val="auto"/>
          <w:kern w:val="0"/>
          <w:szCs w:val="22"/>
          <w:highlight w:val="none"/>
        </w:rPr>
        <w:t xml:space="preserve">  </w:t>
      </w:r>
    </w:p>
    <w:p w14:paraId="0A6B74E3">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》未经任职项目建设单位盖章同意、又未提交任职项目建设单位另行出具的书面同意意见的；</w:t>
      </w:r>
    </w:p>
    <w:p w14:paraId="10954423">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（5）拟派总监理工程师的注册证书不是住房和城乡建设主管部门颁发的，或注册单位与投标人不一致的，或不在有效期内的；</w:t>
      </w:r>
    </w:p>
    <w:p w14:paraId="24597860">
      <w:pPr>
        <w:wordWrap w:val="0"/>
        <w:adjustRightInd w:val="0"/>
        <w:snapToGrid w:val="0"/>
        <w:spacing w:line="360" w:lineRule="auto"/>
        <w:ind w:firstLine="480"/>
        <w:rPr>
          <w:rFonts w:hAnsi="宋体" w:cs="宋体"/>
          <w:b/>
          <w:bCs/>
          <w:snapToGrid w:val="0"/>
          <w:color w:val="auto"/>
          <w:kern w:val="0"/>
          <w:highlight w:val="none"/>
        </w:rPr>
      </w:pPr>
      <w:r>
        <w:rPr>
          <w:rFonts w:hint="eastAsia" w:hAnsi="宋体" w:cs="宋体"/>
          <w:b/>
          <w:bCs/>
          <w:snapToGrid w:val="0"/>
          <w:color w:val="auto"/>
          <w:kern w:val="0"/>
          <w:highlight w:val="none"/>
        </w:rPr>
        <w:t>注：投标人已经工商变更，但其员工执业资格注册证书的注册单位名称未完成变更的，不得否决其投标。</w:t>
      </w:r>
    </w:p>
    <w:p w14:paraId="7D393B0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（6）招标文件规定不接受联合体投标，但以联合体投标的；</w:t>
      </w:r>
    </w:p>
    <w:p w14:paraId="6F29274A">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（7）投标人为外省企业，但未提供“进粤企业和人员诚信信息登记平台”企业和拟派人员信息情况打印页或网页截图的。</w:t>
      </w:r>
    </w:p>
    <w:p w14:paraId="68BFFAD2">
      <w:pPr>
        <w:wordWrap w:val="0"/>
        <w:adjustRightInd w:val="0"/>
        <w:snapToGrid w:val="0"/>
        <w:spacing w:line="360" w:lineRule="auto"/>
        <w:ind w:firstLine="480"/>
        <w:outlineLvl w:val="2"/>
        <w:rPr>
          <w:rFonts w:hAnsi="宋体" w:cs="宋体"/>
          <w:snapToGrid w:val="0"/>
          <w:color w:val="auto"/>
          <w:kern w:val="0"/>
          <w:highlight w:val="none"/>
        </w:rPr>
      </w:pPr>
      <w:bookmarkStart w:id="62" w:name="_Toc11759"/>
      <w:r>
        <w:rPr>
          <w:rFonts w:hint="eastAsia" w:hAnsi="宋体" w:cs="宋体"/>
          <w:b/>
          <w:bCs/>
          <w:snapToGrid w:val="0"/>
          <w:color w:val="auto"/>
          <w:kern w:val="0"/>
          <w:highlight w:val="none"/>
        </w:rPr>
        <w:t>2．形式评审环节</w:t>
      </w:r>
      <w:bookmarkEnd w:id="62"/>
    </w:p>
    <w:p w14:paraId="0BEB2819">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投标人有下列情形之一的，评标委员会应否决其投标。被否决的投标，不进入响应性评审环节。</w:t>
      </w:r>
    </w:p>
    <w:p w14:paraId="03B11B29">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（8）投标文件各分册未按招标文件规定加盖电子印章的；</w:t>
      </w:r>
    </w:p>
    <w:p w14:paraId="417CE6D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（9）本章第三节第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”的组成内容（包括该组成内容的所附资料）中，任何一项有缺漏的；</w:t>
      </w:r>
    </w:p>
    <w:p w14:paraId="0E9CAD6F">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（10）关键字迹模糊、无法辨认，</w:t>
      </w:r>
      <w:r>
        <w:rPr>
          <w:rFonts w:hint="eastAsia" w:hAnsi="宋体" w:cs="宋体"/>
          <w:b/>
          <w:bCs/>
          <w:snapToGrid w:val="0"/>
          <w:color w:val="auto"/>
          <w:kern w:val="0"/>
          <w:highlight w:val="none"/>
        </w:rPr>
        <w:t>且该种过错将导致评标委员会无法作出投标文件是否响应招标文件实质性要求的</w:t>
      </w:r>
      <w:r>
        <w:rPr>
          <w:rFonts w:hint="eastAsia" w:hAnsi="宋体" w:cs="宋体"/>
          <w:snapToGrid w:val="0"/>
          <w:color w:val="auto"/>
          <w:kern w:val="0"/>
          <w:highlight w:val="none"/>
        </w:rPr>
        <w:t>；出现手工涂改、行间插字或删除，但未加盖单位章或由投标人的法定代表人或其委托代理人签字确认的；</w:t>
      </w:r>
    </w:p>
    <w:p w14:paraId="10F29CE2">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（11）投标文件未按规定签字、盖章的；</w:t>
      </w:r>
    </w:p>
    <w:p w14:paraId="06540D4A">
      <w:pPr>
        <w:wordWrap w:val="0"/>
        <w:adjustRightInd w:val="0"/>
        <w:snapToGrid w:val="0"/>
        <w:spacing w:line="360" w:lineRule="auto"/>
        <w:ind w:firstLine="480"/>
        <w:outlineLvl w:val="2"/>
        <w:rPr>
          <w:rFonts w:hAnsi="宋体" w:cs="宋体"/>
          <w:b/>
          <w:bCs/>
          <w:snapToGrid w:val="0"/>
          <w:color w:val="auto"/>
          <w:kern w:val="0"/>
          <w:highlight w:val="none"/>
        </w:rPr>
      </w:pPr>
      <w:bookmarkStart w:id="63" w:name="_Toc2750"/>
      <w:r>
        <w:rPr>
          <w:rFonts w:hint="eastAsia" w:hAnsi="宋体" w:cs="宋体"/>
          <w:b/>
          <w:bCs/>
          <w:snapToGrid w:val="0"/>
          <w:color w:val="auto"/>
          <w:kern w:val="0"/>
          <w:highlight w:val="none"/>
        </w:rPr>
        <w:t>3．响应性评审环节</w:t>
      </w:r>
      <w:bookmarkEnd w:id="63"/>
    </w:p>
    <w:p w14:paraId="1D351E7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投标人有下列情形之一的，评标委员会应否决其投标。被否决的投标，不进入详细评审阶段。</w:t>
      </w:r>
    </w:p>
    <w:p w14:paraId="1F3A077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（12）投标有效期、服务期限不符合规定的；擅自修改、遗漏《投标函》《各项承诺一览表》实质性内容的；</w:t>
      </w:r>
    </w:p>
    <w:p w14:paraId="59233012">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（13）出现两个或两个以上投标总价的（同一个投标总价大、小写不一致的除外）；投标总价超出最高投标限价的；</w:t>
      </w:r>
    </w:p>
    <w:p w14:paraId="493FD87D">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auto"/>
          <w:kern w:val="0"/>
          <w:highlight w:val="none"/>
        </w:rPr>
        <w:t>且该种过错将导致“三控制”目标无法实现的</w:t>
      </w:r>
      <w:r>
        <w:rPr>
          <w:rFonts w:hint="eastAsia" w:hAnsi="宋体" w:cs="宋体"/>
          <w:snapToGrid w:val="0"/>
          <w:color w:val="auto"/>
          <w:kern w:val="0"/>
          <w:highlight w:val="none"/>
        </w:rPr>
        <w:t>。</w:t>
      </w:r>
    </w:p>
    <w:p w14:paraId="5BE2B7EB">
      <w:pPr>
        <w:wordWrap w:val="0"/>
        <w:adjustRightInd w:val="0"/>
        <w:snapToGrid w:val="0"/>
        <w:spacing w:line="360" w:lineRule="auto"/>
        <w:ind w:firstLine="480"/>
        <w:outlineLvl w:val="2"/>
        <w:rPr>
          <w:rFonts w:hAnsi="宋体" w:cs="宋体"/>
          <w:b/>
          <w:bCs/>
          <w:snapToGrid w:val="0"/>
          <w:color w:val="auto"/>
          <w:kern w:val="0"/>
          <w:highlight w:val="none"/>
        </w:rPr>
      </w:pPr>
      <w:bookmarkStart w:id="64" w:name="_Toc108"/>
      <w:r>
        <w:rPr>
          <w:rFonts w:hint="eastAsia" w:hAnsi="宋体" w:cs="宋体"/>
          <w:b/>
          <w:bCs/>
          <w:snapToGrid w:val="0"/>
          <w:color w:val="auto"/>
          <w:kern w:val="0"/>
          <w:highlight w:val="none"/>
        </w:rPr>
        <w:t>4．其他</w:t>
      </w:r>
      <w:bookmarkEnd w:id="64"/>
    </w:p>
    <w:p w14:paraId="33D6B34F">
      <w:pPr>
        <w:wordWrap w:val="0"/>
        <w:adjustRightInd w:val="0"/>
        <w:snapToGrid w:val="0"/>
        <w:spacing w:line="360" w:lineRule="auto"/>
        <w:ind w:firstLine="480"/>
        <w:rPr>
          <w:rFonts w:hAnsi="宋体" w:cs="宋体"/>
          <w:snapToGrid w:val="0"/>
          <w:color w:val="auto"/>
          <w:kern w:val="0"/>
          <w:szCs w:val="22"/>
          <w:highlight w:val="none"/>
        </w:rPr>
      </w:pPr>
      <w:r>
        <w:rPr>
          <w:rFonts w:hint="eastAsia" w:hAnsi="宋体" w:cs="宋体"/>
          <w:snapToGrid w:val="0"/>
          <w:color w:val="auto"/>
          <w:kern w:val="0"/>
          <w:highlight w:val="none"/>
        </w:rPr>
        <w:t>在任何评标环节（或阶段），投标人有下列情形之一的，评标委员会应否决其投标。</w:t>
      </w:r>
      <w:r>
        <w:rPr>
          <w:rFonts w:hint="eastAsia" w:hAnsi="宋体" w:cs="宋体"/>
          <w:snapToGrid w:val="0"/>
          <w:color w:val="auto"/>
          <w:kern w:val="0"/>
          <w:szCs w:val="22"/>
          <w:highlight w:val="none"/>
        </w:rPr>
        <w:t>被否决的投标，不进入下一环节（或阶段）。</w:t>
      </w:r>
    </w:p>
    <w:p w14:paraId="44A9DAF4">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（15）不按评标委员会要求澄清、说明或补正的；</w:t>
      </w:r>
    </w:p>
    <w:p w14:paraId="7391988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（16）有下列情形之一，被评标委员会认定属于串通投标的：</w:t>
      </w:r>
    </w:p>
    <w:p w14:paraId="163A4EC1">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①不同投标人的投标文件两处以上（含两处）错、漏一致；</w:t>
      </w:r>
    </w:p>
    <w:p w14:paraId="6C9CC9B1">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②不同投标人的投标各项报价存在异常一致或者呈规律性变化；</w:t>
      </w:r>
    </w:p>
    <w:p w14:paraId="2226122B">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③不同投标人的投标文件由同一单位或者同一个人编制；</w:t>
      </w:r>
    </w:p>
    <w:p w14:paraId="3DAC3E25">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④不同投标人的投标文件中投标资料（包括电子资料）相互混装或项目班子成员出现同一人；</w:t>
      </w:r>
    </w:p>
    <w:p w14:paraId="3E85253F">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⑤不同投标人的投标文件由同一电脑编制或同一台附属设备打印；</w:t>
      </w:r>
    </w:p>
    <w:p w14:paraId="5D55D8A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⑥不同投标人的投标保证由同一企业或同一账户资金缴纳；</w:t>
      </w:r>
    </w:p>
    <w:p w14:paraId="6CFCE064">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⑦不同投标人委托同一个人或注册在同一家企业的注册人员或同一家企业为其投标提供投标咨询、商务报价、技术咨询（招标项目本身要求采用专有技术的除外）等服务。</w:t>
      </w:r>
    </w:p>
    <w:bookmarkEnd w:id="55"/>
    <w:p w14:paraId="6D1FC16A">
      <w:pPr>
        <w:wordWrap w:val="0"/>
        <w:adjustRightInd w:val="0"/>
        <w:snapToGrid w:val="0"/>
        <w:spacing w:line="360" w:lineRule="auto"/>
        <w:ind w:firstLine="480"/>
        <w:rPr>
          <w:rFonts w:hAnsi="宋体" w:cs="宋体"/>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753E11E4">
      <w:pPr>
        <w:pStyle w:val="2"/>
        <w:wordWrap w:val="0"/>
        <w:autoSpaceDE/>
        <w:autoSpaceDN/>
        <w:snapToGrid w:val="0"/>
        <w:spacing w:line="440" w:lineRule="exact"/>
        <w:jc w:val="center"/>
        <w:rPr>
          <w:rFonts w:hAnsi="宋体" w:cs="宋体"/>
          <w:b/>
          <w:snapToGrid w:val="0"/>
          <w:color w:val="auto"/>
          <w:sz w:val="32"/>
          <w:szCs w:val="22"/>
          <w:highlight w:val="none"/>
        </w:rPr>
      </w:pPr>
      <w:bookmarkStart w:id="65" w:name="_Hlt69669771"/>
      <w:bookmarkEnd w:id="65"/>
      <w:bookmarkStart w:id="66" w:name="_Hlt112206772"/>
      <w:bookmarkEnd w:id="66"/>
      <w:bookmarkStart w:id="67" w:name="_Hlt70150994"/>
      <w:bookmarkEnd w:id="67"/>
      <w:bookmarkStart w:id="68" w:name="_Hlt87952408"/>
      <w:bookmarkEnd w:id="68"/>
      <w:bookmarkStart w:id="69" w:name="_Toc26691"/>
      <w:bookmarkStart w:id="70" w:name="_Hlt69698769"/>
      <w:bookmarkStart w:id="71" w:name="_Hlt69698722"/>
      <w:bookmarkStart w:id="72" w:name="_Hlt69698741"/>
      <w:r>
        <w:rPr>
          <w:rFonts w:hint="eastAsia" w:hAnsi="宋体" w:cs="宋体"/>
          <w:b/>
          <w:snapToGrid w:val="0"/>
          <w:color w:val="auto"/>
          <w:sz w:val="32"/>
          <w:szCs w:val="22"/>
          <w:highlight w:val="none"/>
        </w:rPr>
        <w:t>第</w:t>
      </w:r>
      <w:bookmarkStart w:id="73" w:name="_Hlt69669171"/>
      <w:bookmarkEnd w:id="73"/>
      <w:r>
        <w:rPr>
          <w:rFonts w:hint="eastAsia" w:hAnsi="宋体" w:cs="宋体"/>
          <w:b/>
          <w:snapToGrid w:val="0"/>
          <w:color w:val="auto"/>
          <w:sz w:val="32"/>
          <w:szCs w:val="22"/>
          <w:highlight w:val="none"/>
        </w:rPr>
        <w:t>二章</w:t>
      </w:r>
      <w:bookmarkStart w:id="74" w:name="_Hlt87793839"/>
      <w:bookmarkEnd w:id="74"/>
      <w:r>
        <w:rPr>
          <w:rFonts w:hint="eastAsia" w:hAnsi="宋体" w:cs="宋体"/>
          <w:b/>
          <w:snapToGrid w:val="0"/>
          <w:color w:val="auto"/>
          <w:sz w:val="32"/>
          <w:szCs w:val="22"/>
          <w:highlight w:val="none"/>
        </w:rPr>
        <w:t xml:space="preserve"> 中标人须知</w:t>
      </w:r>
      <w:bookmarkEnd w:id="69"/>
    </w:p>
    <w:bookmarkEnd w:id="70"/>
    <w:bookmarkEnd w:id="71"/>
    <w:bookmarkEnd w:id="72"/>
    <w:p w14:paraId="38AEC5D6">
      <w:pPr>
        <w:bidi w:val="0"/>
        <w:rPr>
          <w:color w:val="auto"/>
          <w:highlight w:val="none"/>
        </w:rPr>
      </w:pPr>
    </w:p>
    <w:p w14:paraId="2973E3A6">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highlight w:val="none"/>
        </w:rPr>
      </w:pPr>
      <w:bookmarkStart w:id="75" w:name="_Toc9571"/>
      <w:bookmarkStart w:id="76" w:name="_Toc18336"/>
      <w:bookmarkStart w:id="77" w:name="_Toc30174"/>
      <w:bookmarkStart w:id="78" w:name="_Toc15170"/>
      <w:bookmarkStart w:id="79" w:name="_Toc21594"/>
      <w:bookmarkStart w:id="80" w:name="_Toc20100"/>
      <w:bookmarkStart w:id="81" w:name="_Toc31521"/>
      <w:bookmarkStart w:id="82" w:name="_Hlt69698776"/>
      <w:r>
        <w:rPr>
          <w:rFonts w:hint="eastAsia" w:hAnsi="宋体" w:cs="宋体"/>
          <w:b/>
          <w:snapToGrid w:val="0"/>
          <w:color w:val="auto"/>
          <w:kern w:val="0"/>
          <w:szCs w:val="24"/>
          <w:highlight w:val="none"/>
        </w:rPr>
        <w:t>1．中标通知书</w:t>
      </w:r>
      <w:bookmarkEnd w:id="75"/>
      <w:bookmarkEnd w:id="76"/>
      <w:bookmarkEnd w:id="77"/>
      <w:bookmarkEnd w:id="78"/>
      <w:bookmarkEnd w:id="79"/>
      <w:bookmarkEnd w:id="80"/>
      <w:bookmarkEnd w:id="81"/>
    </w:p>
    <w:p w14:paraId="0274BDBC">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00542F9A">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highlight w:val="none"/>
        </w:rPr>
      </w:pPr>
      <w:bookmarkStart w:id="83" w:name="_Toc19384"/>
      <w:bookmarkStart w:id="84" w:name="_Toc6432"/>
      <w:bookmarkStart w:id="85" w:name="_Toc17251"/>
      <w:bookmarkStart w:id="86" w:name="_Toc28601"/>
      <w:bookmarkStart w:id="87" w:name="_Toc30560"/>
      <w:bookmarkStart w:id="88" w:name="_Toc23133"/>
      <w:bookmarkStart w:id="89" w:name="_Toc1519"/>
      <w:r>
        <w:rPr>
          <w:rFonts w:hint="eastAsia" w:hAnsi="宋体" w:cs="宋体"/>
          <w:b/>
          <w:bCs/>
          <w:snapToGrid w:val="0"/>
          <w:color w:val="auto"/>
          <w:kern w:val="0"/>
          <w:szCs w:val="24"/>
          <w:highlight w:val="none"/>
        </w:rPr>
        <w:t>2．中标结果公示</w:t>
      </w:r>
      <w:bookmarkEnd w:id="83"/>
      <w:bookmarkEnd w:id="84"/>
      <w:bookmarkEnd w:id="85"/>
      <w:bookmarkEnd w:id="86"/>
      <w:bookmarkEnd w:id="87"/>
      <w:bookmarkEnd w:id="88"/>
      <w:bookmarkEnd w:id="89"/>
    </w:p>
    <w:p w14:paraId="7ED5CFDA">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auto"/>
          <w:kern w:val="0"/>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w:t>
      </w:r>
      <w:r>
        <w:rPr>
          <w:rFonts w:hint="eastAsia" w:ascii="宋体" w:hAnsi="宋体" w:eastAsia="宋体" w:cs="宋体"/>
          <w:snapToGrid w:val="0"/>
          <w:color w:val="auto"/>
          <w:kern w:val="0"/>
          <w:sz w:val="24"/>
          <w:szCs w:val="24"/>
          <w:highlight w:val="none"/>
          <w:lang w:eastAsia="zh-CN"/>
        </w:rPr>
        <w:t>（https://zbtb.gd.gov.cn/#/index）</w:t>
      </w:r>
      <w:r>
        <w:rPr>
          <w:rFonts w:hint="eastAsia" w:ascii="宋体" w:hAnsi="宋体" w:eastAsia="宋体" w:cs="宋体"/>
          <w:snapToGrid w:val="0"/>
          <w:color w:val="auto"/>
          <w:kern w:val="0"/>
          <w:sz w:val="24"/>
          <w:szCs w:val="24"/>
          <w:highlight w:val="none"/>
        </w:rPr>
        <w:t>及</w:t>
      </w:r>
      <w:r>
        <w:rPr>
          <w:rFonts w:hint="eastAsia" w:ascii="宋体" w:hAnsi="宋体" w:eastAsia="宋体" w:cs="宋体"/>
          <w:snapToGrid w:val="0"/>
          <w:color w:val="auto"/>
          <w:kern w:val="0"/>
          <w:sz w:val="24"/>
          <w:szCs w:val="24"/>
          <w:highlight w:val="none"/>
          <w:lang w:val="en-US"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进行公示。</w:t>
      </w:r>
    </w:p>
    <w:p w14:paraId="35923DB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90" w:name="_Toc32035"/>
      <w:bookmarkStart w:id="91" w:name="_Toc16211"/>
      <w:bookmarkStart w:id="92" w:name="_Toc22628"/>
      <w:bookmarkStart w:id="93" w:name="_Toc20923"/>
      <w:bookmarkStart w:id="94" w:name="_Toc25367"/>
      <w:bookmarkStart w:id="95" w:name="_Toc7804"/>
      <w:bookmarkStart w:id="96" w:name="_Toc23475"/>
      <w:r>
        <w:rPr>
          <w:rFonts w:hint="eastAsia" w:hAnsi="宋体" w:cs="宋体"/>
          <w:b/>
          <w:bCs/>
          <w:snapToGrid w:val="0"/>
          <w:color w:val="auto"/>
          <w:kern w:val="0"/>
          <w:szCs w:val="24"/>
          <w:highlight w:val="none"/>
          <w:lang w:val="en-US" w:eastAsia="zh-CN"/>
        </w:rPr>
        <w:t>3</w:t>
      </w:r>
      <w:r>
        <w:rPr>
          <w:rFonts w:hint="eastAsia" w:hAnsi="宋体" w:cs="宋体"/>
          <w:b/>
          <w:bCs/>
          <w:snapToGrid w:val="0"/>
          <w:color w:val="auto"/>
          <w:kern w:val="0"/>
          <w:szCs w:val="24"/>
          <w:highlight w:val="none"/>
        </w:rPr>
        <w:t>．合同订立</w:t>
      </w:r>
      <w:bookmarkEnd w:id="90"/>
      <w:bookmarkEnd w:id="91"/>
      <w:bookmarkEnd w:id="92"/>
      <w:bookmarkEnd w:id="93"/>
      <w:bookmarkEnd w:id="94"/>
      <w:bookmarkEnd w:id="95"/>
      <w:bookmarkEnd w:id="96"/>
    </w:p>
    <w:p w14:paraId="414BA1F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3</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招标人应当自中标通知书发出之日起</w:t>
      </w:r>
      <w:r>
        <w:rPr>
          <w:rFonts w:hint="eastAsia" w:hAnsi="宋体" w:cs="宋体"/>
          <w:snapToGrid w:val="0"/>
          <w:color w:val="auto"/>
          <w:kern w:val="0"/>
          <w:szCs w:val="24"/>
          <w:highlight w:val="none"/>
          <w:u w:val="single"/>
        </w:rPr>
        <w:t xml:space="preserve"> 30 </w:t>
      </w:r>
      <w:r>
        <w:rPr>
          <w:rFonts w:hint="eastAsia" w:hAnsi="宋体" w:cs="宋体"/>
          <w:snapToGrid w:val="0"/>
          <w:color w:val="auto"/>
          <w:kern w:val="0"/>
          <w:szCs w:val="24"/>
          <w:highlight w:val="none"/>
        </w:rPr>
        <w:t>日内，按照招标文件、中标人的投标文件与中标人订立书面合同。</w:t>
      </w:r>
    </w:p>
    <w:p w14:paraId="0F09877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3</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合同的标的、质量、履行期限条款和合同的价款、风险分担等主要条款，应当与招标文件、中标人的投标文件的内容一致。中标人在签订合同时不得向招标人提出附加条件。</w:t>
      </w:r>
    </w:p>
    <w:p w14:paraId="45D646C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3</w:t>
      </w:r>
      <w:r>
        <w:rPr>
          <w:rFonts w:hint="eastAsia" w:hAnsi="宋体" w:cs="宋体"/>
          <w:b/>
          <w:bCs/>
          <w:snapToGrid w:val="0"/>
          <w:color w:val="auto"/>
          <w:kern w:val="0"/>
          <w:szCs w:val="24"/>
          <w:highlight w:val="none"/>
        </w:rPr>
        <w:t>.3</w:t>
      </w:r>
      <w:r>
        <w:rPr>
          <w:rFonts w:hint="eastAsia" w:hAnsi="宋体" w:cs="宋体"/>
          <w:snapToGrid w:val="0"/>
          <w:color w:val="auto"/>
          <w:kern w:val="0"/>
          <w:szCs w:val="24"/>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66C3067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3</w:t>
      </w:r>
      <w:r>
        <w:rPr>
          <w:rFonts w:hint="eastAsia" w:hAnsi="宋体" w:cs="宋体"/>
          <w:b/>
          <w:bCs/>
          <w:snapToGrid w:val="0"/>
          <w:color w:val="auto"/>
          <w:kern w:val="0"/>
          <w:szCs w:val="24"/>
          <w:highlight w:val="none"/>
        </w:rPr>
        <w:t>.4</w:t>
      </w:r>
      <w:r>
        <w:rPr>
          <w:rFonts w:hint="eastAsia" w:hAnsi="宋体" w:cs="宋体"/>
          <w:snapToGrid w:val="0"/>
          <w:color w:val="auto"/>
          <w:kern w:val="0"/>
          <w:szCs w:val="24"/>
          <w:highlight w:val="none"/>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3979727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97" w:name="_Toc2474"/>
      <w:bookmarkStart w:id="98" w:name="_Toc13450"/>
      <w:bookmarkStart w:id="99" w:name="_Toc4554"/>
      <w:bookmarkStart w:id="100" w:name="_Toc11598"/>
      <w:bookmarkStart w:id="101" w:name="_Toc3858"/>
      <w:bookmarkStart w:id="102" w:name="_Toc6741"/>
      <w:bookmarkStart w:id="103" w:name="_Toc25887"/>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．放弃中标的处理</w:t>
      </w:r>
      <w:bookmarkEnd w:id="97"/>
      <w:bookmarkEnd w:id="98"/>
      <w:bookmarkEnd w:id="99"/>
      <w:bookmarkEnd w:id="100"/>
      <w:bookmarkEnd w:id="101"/>
      <w:bookmarkEnd w:id="102"/>
      <w:bookmarkEnd w:id="103"/>
    </w:p>
    <w:p w14:paraId="0516D98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0F8BAA6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3B06BC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04" w:name="_Toc15893"/>
      <w:bookmarkStart w:id="105" w:name="_Toc11571"/>
      <w:bookmarkStart w:id="106" w:name="_Toc26352"/>
      <w:bookmarkStart w:id="107" w:name="_Toc19037"/>
      <w:bookmarkStart w:id="108" w:name="_Toc17549"/>
      <w:bookmarkStart w:id="109" w:name="_Toc8282"/>
      <w:bookmarkStart w:id="110" w:name="_Toc500"/>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．分包</w:t>
      </w:r>
      <w:bookmarkEnd w:id="104"/>
      <w:bookmarkEnd w:id="105"/>
      <w:bookmarkEnd w:id="106"/>
      <w:bookmarkEnd w:id="107"/>
      <w:bookmarkEnd w:id="108"/>
      <w:bookmarkEnd w:id="109"/>
      <w:bookmarkEnd w:id="110"/>
    </w:p>
    <w:p w14:paraId="327A851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合同范围内的监理服务严禁分包，一经发现，委托人有权解除合同，由此引起的一切经济损失和法律责任由监理人自行承担。</w:t>
      </w:r>
    </w:p>
    <w:p w14:paraId="41B4FFE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111" w:name="_Toc2527"/>
      <w:bookmarkStart w:id="112" w:name="_Toc25358"/>
      <w:bookmarkStart w:id="113" w:name="_Toc17560"/>
      <w:bookmarkStart w:id="114" w:name="_Toc15497"/>
      <w:bookmarkStart w:id="115" w:name="_Toc19712"/>
      <w:bookmarkStart w:id="116" w:name="_Toc18249"/>
      <w:bookmarkStart w:id="117" w:name="_Toc19761"/>
      <w:r>
        <w:rPr>
          <w:rFonts w:hint="eastAsia" w:hAnsi="宋体" w:cs="宋体"/>
          <w:b/>
          <w:bCs/>
          <w:snapToGrid w:val="0"/>
          <w:color w:val="auto"/>
          <w:kern w:val="0"/>
          <w:szCs w:val="24"/>
          <w:highlight w:val="none"/>
          <w:lang w:val="en-US" w:eastAsia="zh-CN"/>
        </w:rPr>
        <w:t>6</w:t>
      </w:r>
      <w:r>
        <w:rPr>
          <w:rFonts w:hint="eastAsia" w:hAnsi="宋体" w:cs="宋体"/>
          <w:b/>
          <w:bCs/>
          <w:snapToGrid w:val="0"/>
          <w:color w:val="auto"/>
          <w:kern w:val="0"/>
          <w:szCs w:val="24"/>
          <w:highlight w:val="none"/>
        </w:rPr>
        <w:t>．监理服务期限</w:t>
      </w:r>
      <w:bookmarkEnd w:id="111"/>
      <w:bookmarkEnd w:id="112"/>
      <w:bookmarkEnd w:id="113"/>
      <w:bookmarkEnd w:id="114"/>
      <w:bookmarkEnd w:id="115"/>
      <w:bookmarkEnd w:id="116"/>
      <w:bookmarkEnd w:id="117"/>
    </w:p>
    <w:p w14:paraId="30BB80E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6</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当满足专用合同条款约定的开始监理条件时，委托人应提前7天向监理人发出开始监理通知。监理服务期限自开始监理通知中载明的开始监理日期起计算。</w:t>
      </w:r>
    </w:p>
    <w:p w14:paraId="6103160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6</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在合同履行过程中，由于下列原因造成监理服务期限延误的，委托人应当延长监理服务期限并增加监理酬金，具体方法在专用合同条款中约定。</w:t>
      </w:r>
    </w:p>
    <w:p w14:paraId="4F8CD8C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（1）合同变更；</w:t>
      </w:r>
    </w:p>
    <w:p w14:paraId="0E80925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（2）因委托人原因导致的监理工作暂停；</w:t>
      </w:r>
    </w:p>
    <w:p w14:paraId="0812C2F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（3）未按合同约定及时支付监理服务酬金；</w:t>
      </w:r>
    </w:p>
    <w:p w14:paraId="645AEFD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（4）未及时履行合同约定的相关义务；</w:t>
      </w:r>
    </w:p>
    <w:p w14:paraId="023F4B6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（5）由于承包人（指在本招标项目监理范围内，与委托人签订勘察、设计、施工承包合同的当事人，下同）延误、行政管理造成的监理服务期限延误；</w:t>
      </w:r>
    </w:p>
    <w:p w14:paraId="423AD89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（6）造成监理服务期限延误的其他原因。</w:t>
      </w:r>
    </w:p>
    <w:p w14:paraId="497F007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18" w:name="_Toc13950"/>
      <w:bookmarkStart w:id="119" w:name="_Toc6532"/>
      <w:bookmarkStart w:id="120" w:name="_Toc13195"/>
      <w:bookmarkStart w:id="121" w:name="_Toc17664"/>
      <w:bookmarkStart w:id="122" w:name="_Toc25479"/>
      <w:bookmarkStart w:id="123" w:name="_Toc24771"/>
      <w:bookmarkStart w:id="124" w:name="_Toc21651"/>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．项目监理机构</w:t>
      </w:r>
      <w:bookmarkEnd w:id="118"/>
      <w:bookmarkEnd w:id="119"/>
      <w:bookmarkEnd w:id="120"/>
      <w:bookmarkEnd w:id="121"/>
      <w:bookmarkEnd w:id="122"/>
      <w:bookmarkEnd w:id="123"/>
      <w:bookmarkEnd w:id="124"/>
    </w:p>
    <w:p w14:paraId="56E3A7F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监理人派驻项目监理机构的人员必须为其投标文件确定的人员，否则委托人有权解除合同。</w:t>
      </w:r>
    </w:p>
    <w:p w14:paraId="6AE100F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1D16DA6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highlight w:val="none"/>
        </w:rPr>
      </w:pPr>
      <w:bookmarkStart w:id="125" w:name="_Toc27412"/>
      <w:bookmarkStart w:id="126" w:name="_Toc13908"/>
      <w:bookmarkStart w:id="127" w:name="_Toc19789"/>
      <w:bookmarkStart w:id="128" w:name="_Toc23097"/>
      <w:bookmarkStart w:id="129" w:name="_Toc20449"/>
      <w:bookmarkStart w:id="130" w:name="_Toc22671"/>
      <w:bookmarkStart w:id="131" w:name="_Toc20861"/>
      <w:r>
        <w:rPr>
          <w:rFonts w:hint="eastAsia" w:hAnsi="宋体" w:cs="宋体"/>
          <w:b/>
          <w:snapToGrid w:val="0"/>
          <w:color w:val="auto"/>
          <w:kern w:val="0"/>
          <w:szCs w:val="24"/>
          <w:highlight w:val="none"/>
          <w:lang w:val="en-US" w:eastAsia="zh-CN"/>
        </w:rPr>
        <w:t>8</w:t>
      </w:r>
      <w:r>
        <w:rPr>
          <w:rFonts w:hint="eastAsia" w:hAnsi="宋体" w:cs="宋体"/>
          <w:b/>
          <w:snapToGrid w:val="0"/>
          <w:color w:val="auto"/>
          <w:kern w:val="0"/>
          <w:szCs w:val="24"/>
          <w:highlight w:val="none"/>
        </w:rPr>
        <w:t>．安全防护</w:t>
      </w:r>
      <w:bookmarkEnd w:id="125"/>
      <w:bookmarkEnd w:id="126"/>
      <w:bookmarkEnd w:id="127"/>
      <w:bookmarkEnd w:id="128"/>
      <w:bookmarkEnd w:id="129"/>
      <w:bookmarkEnd w:id="130"/>
      <w:bookmarkEnd w:id="131"/>
    </w:p>
    <w:p w14:paraId="5A05282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监理人应按照安全监理有关规定，采取严格、科学的安全防护措施，确保监理人员人身安全，承担由于自身安全防护措施不力所造成的安全事故责任和发生的费用。</w:t>
      </w:r>
    </w:p>
    <w:p w14:paraId="22D9768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highlight w:val="none"/>
        </w:rPr>
      </w:pPr>
      <w:bookmarkStart w:id="132" w:name="_Toc29233"/>
      <w:bookmarkStart w:id="133" w:name="_Toc13413"/>
      <w:bookmarkStart w:id="134" w:name="_Toc17881"/>
      <w:bookmarkStart w:id="135" w:name="_Toc9618"/>
      <w:bookmarkStart w:id="136" w:name="_Toc29399"/>
      <w:bookmarkStart w:id="137" w:name="_Toc16174"/>
      <w:bookmarkStart w:id="138" w:name="_Toc1181"/>
      <w:r>
        <w:rPr>
          <w:rFonts w:hint="eastAsia" w:hAnsi="宋体" w:cs="宋体"/>
          <w:b/>
          <w:snapToGrid w:val="0"/>
          <w:color w:val="auto"/>
          <w:kern w:val="0"/>
          <w:szCs w:val="24"/>
          <w:highlight w:val="none"/>
          <w:lang w:val="en-US" w:eastAsia="zh-CN"/>
        </w:rPr>
        <w:t>9</w:t>
      </w:r>
      <w:r>
        <w:rPr>
          <w:rFonts w:hint="eastAsia" w:hAnsi="宋体" w:cs="宋体"/>
          <w:b/>
          <w:snapToGrid w:val="0"/>
          <w:color w:val="auto"/>
          <w:kern w:val="0"/>
          <w:szCs w:val="24"/>
          <w:highlight w:val="none"/>
        </w:rPr>
        <w:t>．接受监督</w:t>
      </w:r>
      <w:bookmarkEnd w:id="132"/>
      <w:bookmarkEnd w:id="133"/>
      <w:bookmarkEnd w:id="134"/>
      <w:bookmarkEnd w:id="135"/>
      <w:bookmarkEnd w:id="136"/>
      <w:bookmarkEnd w:id="137"/>
      <w:bookmarkEnd w:id="138"/>
    </w:p>
    <w:p w14:paraId="30A0867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bCs/>
          <w:snapToGrid w:val="0"/>
          <w:color w:val="auto"/>
          <w:kern w:val="0"/>
          <w:szCs w:val="24"/>
          <w:highlight w:val="none"/>
        </w:rPr>
      </w:pPr>
      <w:r>
        <w:rPr>
          <w:rFonts w:hint="eastAsia" w:hAnsi="宋体" w:cs="宋体"/>
          <w:snapToGrid w:val="0"/>
          <w:color w:val="auto"/>
          <w:kern w:val="0"/>
          <w:szCs w:val="24"/>
          <w:highlight w:val="none"/>
        </w:rPr>
        <w:t>监理人应严格按照法律、法规以及</w:t>
      </w:r>
      <w:r>
        <w:rPr>
          <w:rFonts w:hint="eastAsia" w:hAnsi="宋体" w:cs="宋体"/>
          <w:bCs/>
          <w:snapToGrid w:val="0"/>
          <w:color w:val="auto"/>
          <w:kern w:val="0"/>
          <w:szCs w:val="24"/>
          <w:highlight w:val="none"/>
        </w:rPr>
        <w:t>《建设工程监理规范》（GB/T 50319—2013）有关规定实施监理，同时须</w:t>
      </w:r>
      <w:r>
        <w:rPr>
          <w:rFonts w:hint="eastAsia" w:hAnsi="宋体" w:cs="宋体"/>
          <w:snapToGrid w:val="0"/>
          <w:color w:val="auto"/>
          <w:kern w:val="0"/>
          <w:szCs w:val="24"/>
          <w:highlight w:val="none"/>
        </w:rPr>
        <w:t>服从委托人以及建设行政主管部门对监理工作全方位的监督，及时将监理大纲、监理规划、监理实施细则等监理文件报委托人审查备案。</w:t>
      </w:r>
    </w:p>
    <w:p w14:paraId="4F44B3C2">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bCs/>
          <w:snapToGrid w:val="0"/>
          <w:color w:val="auto"/>
          <w:kern w:val="0"/>
          <w:szCs w:val="24"/>
          <w:highlight w:val="none"/>
        </w:rPr>
      </w:pPr>
      <w:bookmarkStart w:id="139" w:name="_Toc14327"/>
      <w:bookmarkStart w:id="140" w:name="_Toc22251"/>
      <w:bookmarkStart w:id="141" w:name="_Toc26662"/>
      <w:bookmarkStart w:id="142" w:name="_Toc18397"/>
      <w:bookmarkStart w:id="143" w:name="_Toc25424"/>
      <w:bookmarkStart w:id="144" w:name="_Toc4730"/>
      <w:bookmarkStart w:id="145" w:name="_Toc30319"/>
      <w:r>
        <w:rPr>
          <w:rFonts w:hint="eastAsia" w:hAnsi="宋体" w:cs="宋体"/>
          <w:b/>
          <w:snapToGrid w:val="0"/>
          <w:color w:val="auto"/>
          <w:kern w:val="0"/>
          <w:szCs w:val="24"/>
          <w:highlight w:val="none"/>
          <w:lang w:val="en-US" w:eastAsia="zh-CN"/>
        </w:rPr>
        <w:t>10</w:t>
      </w:r>
      <w:r>
        <w:rPr>
          <w:rFonts w:hint="eastAsia" w:hAnsi="宋体" w:cs="宋体"/>
          <w:b/>
          <w:snapToGrid w:val="0"/>
          <w:color w:val="auto"/>
          <w:kern w:val="0"/>
          <w:szCs w:val="24"/>
          <w:highlight w:val="none"/>
        </w:rPr>
        <w:t>．监理档案移交</w:t>
      </w:r>
      <w:bookmarkEnd w:id="139"/>
      <w:bookmarkEnd w:id="140"/>
      <w:bookmarkEnd w:id="141"/>
      <w:bookmarkEnd w:id="142"/>
      <w:bookmarkEnd w:id="143"/>
      <w:bookmarkEnd w:id="144"/>
      <w:bookmarkEnd w:id="145"/>
    </w:p>
    <w:p w14:paraId="0A84C971">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项目竣工验收后，监理人应向委托人提交一式</w:t>
      </w:r>
      <w:r>
        <w:rPr>
          <w:rFonts w:hint="eastAsia" w:hAnsi="宋体" w:cs="宋体"/>
          <w:bCs/>
          <w:snapToGrid w:val="0"/>
          <w:color w:val="auto"/>
          <w:kern w:val="0"/>
          <w:szCs w:val="24"/>
          <w:highlight w:val="none"/>
          <w:u w:val="single"/>
        </w:rPr>
        <w:t xml:space="preserve"> </w:t>
      </w:r>
      <w:r>
        <w:rPr>
          <w:rFonts w:hint="eastAsia" w:hAnsi="宋体" w:cs="宋体"/>
          <w:bCs/>
          <w:snapToGrid w:val="0"/>
          <w:color w:val="auto"/>
          <w:kern w:val="0"/>
          <w:szCs w:val="24"/>
          <w:highlight w:val="none"/>
          <w:u w:val="single"/>
          <w:lang w:val="en-US" w:eastAsia="zh-CN"/>
        </w:rPr>
        <w:t>八</w:t>
      </w:r>
      <w:r>
        <w:rPr>
          <w:rFonts w:hint="eastAsia" w:hAnsi="宋体" w:cs="宋体"/>
          <w:bCs/>
          <w:snapToGrid w:val="0"/>
          <w:color w:val="auto"/>
          <w:kern w:val="0"/>
          <w:szCs w:val="24"/>
          <w:highlight w:val="none"/>
          <w:u w:val="single"/>
        </w:rPr>
        <w:t xml:space="preserve"> </w:t>
      </w:r>
      <w:r>
        <w:rPr>
          <w:rFonts w:hint="eastAsia" w:hAnsi="宋体" w:cs="宋体"/>
          <w:bCs/>
          <w:snapToGrid w:val="0"/>
          <w:color w:val="auto"/>
          <w:kern w:val="0"/>
          <w:szCs w:val="24"/>
          <w:highlight w:val="none"/>
        </w:rPr>
        <w:t>份符合《建设工程监理规范》（GB/T 50319—2013）以及《韶关市城市建设档案管理办法》要求的监理档案。</w:t>
      </w:r>
    </w:p>
    <w:p w14:paraId="5584A208">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trike/>
          <w:snapToGrid w:val="0"/>
          <w:color w:val="auto"/>
          <w:kern w:val="0"/>
          <w:szCs w:val="24"/>
          <w:highlight w:val="none"/>
        </w:rPr>
      </w:pPr>
      <w:bookmarkStart w:id="146" w:name="_Toc25842"/>
      <w:bookmarkStart w:id="147" w:name="_Toc6629"/>
      <w:bookmarkStart w:id="148" w:name="_Toc13775"/>
      <w:bookmarkStart w:id="149" w:name="_Toc13197"/>
      <w:bookmarkStart w:id="150" w:name="_Toc16612"/>
      <w:bookmarkStart w:id="151" w:name="_Toc2540"/>
      <w:bookmarkStart w:id="152" w:name="_Toc24329"/>
      <w:r>
        <w:rPr>
          <w:rFonts w:hint="eastAsia" w:hAnsi="宋体" w:cs="宋体"/>
          <w:b/>
          <w:bCs/>
          <w:snapToGrid w:val="0"/>
          <w:color w:val="auto"/>
          <w:kern w:val="0"/>
          <w:szCs w:val="24"/>
          <w:highlight w:val="none"/>
          <w:lang w:val="en-US" w:eastAsia="zh-CN"/>
        </w:rPr>
        <w:t>11</w:t>
      </w:r>
      <w:r>
        <w:rPr>
          <w:rFonts w:hint="eastAsia" w:hAnsi="宋体" w:cs="宋体"/>
          <w:b/>
          <w:snapToGrid w:val="0"/>
          <w:color w:val="auto"/>
          <w:kern w:val="0"/>
          <w:szCs w:val="24"/>
          <w:highlight w:val="none"/>
        </w:rPr>
        <w:t>．不良行为处理</w:t>
      </w:r>
      <w:bookmarkEnd w:id="146"/>
      <w:bookmarkEnd w:id="147"/>
      <w:bookmarkEnd w:id="148"/>
      <w:bookmarkEnd w:id="149"/>
      <w:bookmarkEnd w:id="150"/>
      <w:bookmarkEnd w:id="151"/>
      <w:bookmarkEnd w:id="152"/>
    </w:p>
    <w:p w14:paraId="592B2A4A">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监理人及其有关人员有下列行为之一的，委托人应及时报请建设行政主管部门查处。</w:t>
      </w:r>
    </w:p>
    <w:p w14:paraId="50117E1F">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（1）转让监理业务的；</w:t>
      </w:r>
    </w:p>
    <w:p w14:paraId="2FD725B3">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（2）非原参加投标中标的总监理工程师负责组织监理或在实施过程中擅自更换总监理工程师的、项目监理机构的其他监理人员与中标文件确定的人员不相符的；</w:t>
      </w:r>
    </w:p>
    <w:p w14:paraId="33CD3D6B">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（3）与建设单位、施工单位串通，签认虚假工程量或工程造价的；</w:t>
      </w:r>
    </w:p>
    <w:p w14:paraId="0555CF8A">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（4）现场监理不到位的；</w:t>
      </w:r>
    </w:p>
    <w:p w14:paraId="647021A1">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（5）非本人资格证书注册单位从事监理工作的；</w:t>
      </w:r>
    </w:p>
    <w:p w14:paraId="70D7610D">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（6）总监理工程师承担超过三项工程监理任务的；</w:t>
      </w:r>
    </w:p>
    <w:p w14:paraId="6D987050">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（7）违反有关法律、法规、规章规定的其它行为。</w:t>
      </w:r>
    </w:p>
    <w:p w14:paraId="4D4C07B1">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1"/>
        <w:rPr>
          <w:rFonts w:ascii="宋体" w:hAnsi="宋体" w:cs="宋体"/>
          <w:b/>
          <w:bCs/>
          <w:snapToGrid w:val="0"/>
          <w:color w:val="auto"/>
          <w:kern w:val="0"/>
          <w:szCs w:val="24"/>
          <w:highlight w:val="none"/>
        </w:rPr>
      </w:pPr>
      <w:bookmarkStart w:id="153" w:name="_Toc15923"/>
      <w:bookmarkStart w:id="154" w:name="_Toc19488"/>
      <w:bookmarkStart w:id="155" w:name="_Toc29467"/>
      <w:bookmarkStart w:id="156" w:name="_Toc2784"/>
      <w:bookmarkStart w:id="157" w:name="_Toc32628"/>
      <w:bookmarkStart w:id="158" w:name="_Toc28837"/>
      <w:bookmarkStart w:id="159" w:name="_Toc15431"/>
      <w:r>
        <w:rPr>
          <w:rFonts w:hint="eastAsia" w:ascii="宋体" w:hAnsi="宋体" w:cs="宋体"/>
          <w:b/>
          <w:bCs/>
          <w:snapToGrid w:val="0"/>
          <w:color w:val="auto"/>
          <w:kern w:val="0"/>
          <w:szCs w:val="24"/>
          <w:highlight w:val="none"/>
          <w:lang w:val="en-US" w:eastAsia="zh-CN"/>
        </w:rPr>
        <w:t>12</w:t>
      </w:r>
      <w:r>
        <w:rPr>
          <w:rFonts w:hint="eastAsia" w:ascii="宋体" w:hAnsi="宋体" w:cs="宋体"/>
          <w:b/>
          <w:snapToGrid w:val="0"/>
          <w:color w:val="auto"/>
          <w:kern w:val="0"/>
          <w:szCs w:val="24"/>
          <w:highlight w:val="none"/>
        </w:rPr>
        <w:t>．</w:t>
      </w:r>
      <w:r>
        <w:rPr>
          <w:rFonts w:hint="eastAsia" w:ascii="宋体" w:hAnsi="宋体" w:cs="宋体"/>
          <w:b/>
          <w:bCs/>
          <w:snapToGrid w:val="0"/>
          <w:color w:val="auto"/>
          <w:kern w:val="0"/>
          <w:szCs w:val="24"/>
          <w:highlight w:val="none"/>
        </w:rPr>
        <w:t>信用评价条款内容</w:t>
      </w:r>
      <w:bookmarkEnd w:id="153"/>
      <w:bookmarkEnd w:id="154"/>
      <w:bookmarkEnd w:id="155"/>
      <w:bookmarkEnd w:id="156"/>
      <w:bookmarkEnd w:id="157"/>
      <w:bookmarkEnd w:id="158"/>
      <w:bookmarkEnd w:id="159"/>
    </w:p>
    <w:p w14:paraId="0399564B">
      <w:pPr>
        <w:pStyle w:val="81"/>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由委托人决定是否对监理人的履约情况进行信用评价。若进行信用评价，评价条款由委托人自拟，条款内容可参考人员到位情况、服务配合程度、服务成果质量、项目后期服务以及信用评价结果的运用等。</w:t>
      </w:r>
    </w:p>
    <w:p w14:paraId="37B488CA">
      <w:pPr>
        <w:pStyle w:val="81"/>
        <w:wordWrap w:val="0"/>
        <w:adjustRightInd w:val="0"/>
        <w:snapToGrid w:val="0"/>
        <w:spacing w:line="360" w:lineRule="auto"/>
        <w:ind w:firstLine="560"/>
        <w:rPr>
          <w:rFonts w:hAnsi="宋体" w:cs="宋体"/>
          <w:b/>
          <w:bCs/>
          <w:snapToGrid w:val="0"/>
          <w:color w:val="auto"/>
          <w:kern w:val="0"/>
          <w:highlight w:val="none"/>
        </w:rPr>
        <w:sectPr>
          <w:endnotePr>
            <w:numFmt w:val="decimal"/>
          </w:endnotePr>
          <w:pgSz w:w="11906" w:h="16838"/>
          <w:pgMar w:top="1417" w:right="1417" w:bottom="1417" w:left="1417" w:header="850" w:footer="992" w:gutter="0"/>
          <w:pgNumType w:fmt="decimal"/>
          <w:cols w:space="720" w:num="1"/>
          <w:docGrid w:linePitch="327" w:charSpace="0"/>
        </w:sectPr>
      </w:pPr>
    </w:p>
    <w:p w14:paraId="279B0700">
      <w:pPr>
        <w:pStyle w:val="2"/>
        <w:wordWrap w:val="0"/>
        <w:autoSpaceDE/>
        <w:autoSpaceDN/>
        <w:snapToGrid w:val="0"/>
        <w:spacing w:line="500" w:lineRule="exact"/>
        <w:jc w:val="center"/>
        <w:rPr>
          <w:rFonts w:hAnsi="宋体" w:cs="宋体"/>
          <w:b/>
          <w:snapToGrid w:val="0"/>
          <w:color w:val="auto"/>
          <w:sz w:val="32"/>
          <w:szCs w:val="32"/>
          <w:highlight w:val="none"/>
        </w:rPr>
      </w:pPr>
      <w:r>
        <w:rPr>
          <w:rFonts w:hint="eastAsia" w:hAnsi="宋体" w:cs="宋体"/>
          <w:b/>
          <w:snapToGrid w:val="0"/>
          <w:color w:val="auto"/>
          <w:sz w:val="32"/>
          <w:szCs w:val="32"/>
          <w:highlight w:val="none"/>
        </w:rPr>
        <w:t>　</w:t>
      </w:r>
      <w:bookmarkStart w:id="160" w:name="_Toc29099"/>
      <w:bookmarkStart w:id="161" w:name="_Toc18424"/>
      <w:bookmarkStart w:id="162" w:name="_Toc8611"/>
      <w:bookmarkStart w:id="163" w:name="_Hlt69698713"/>
      <w:bookmarkStart w:id="164" w:name="_Hlt69698765"/>
      <w:r>
        <w:rPr>
          <w:rFonts w:hint="eastAsia" w:hAnsi="宋体" w:cs="宋体"/>
          <w:b/>
          <w:snapToGrid w:val="0"/>
          <w:color w:val="auto"/>
          <w:sz w:val="32"/>
          <w:szCs w:val="32"/>
          <w:highlight w:val="none"/>
        </w:rPr>
        <w:t>第三章</w:t>
      </w:r>
      <w:bookmarkStart w:id="165" w:name="_Hlt87793831"/>
      <w:bookmarkEnd w:id="165"/>
      <w:r>
        <w:rPr>
          <w:rFonts w:hint="eastAsia" w:hAnsi="宋体" w:cs="宋体"/>
          <w:b/>
          <w:snapToGrid w:val="0"/>
          <w:color w:val="auto"/>
          <w:sz w:val="32"/>
          <w:szCs w:val="32"/>
          <w:highlight w:val="none"/>
        </w:rPr>
        <w:t xml:space="preserve"> 拟签订合同的主要条款</w:t>
      </w:r>
      <w:bookmarkEnd w:id="160"/>
      <w:bookmarkEnd w:id="161"/>
      <w:bookmarkEnd w:id="162"/>
    </w:p>
    <w:bookmarkEnd w:id="163"/>
    <w:bookmarkEnd w:id="164"/>
    <w:p w14:paraId="6140F73B">
      <w:pPr>
        <w:wordWrap w:val="0"/>
        <w:autoSpaceDE/>
        <w:autoSpaceDN/>
        <w:snapToGrid w:val="0"/>
        <w:spacing w:line="440" w:lineRule="exact"/>
        <w:ind w:firstLine="480"/>
        <w:jc w:val="both"/>
        <w:outlineLvl w:val="9"/>
        <w:rPr>
          <w:rFonts w:hAnsi="宋体" w:cs="宋体"/>
          <w:b/>
          <w:snapToGrid w:val="0"/>
          <w:color w:val="auto"/>
          <w:szCs w:val="24"/>
          <w:highlight w:val="none"/>
        </w:rPr>
      </w:pPr>
      <w:bookmarkStart w:id="166" w:name="_Toc322793288"/>
      <w:bookmarkStart w:id="167" w:name="_Toc326916629"/>
    </w:p>
    <w:bookmarkEnd w:id="166"/>
    <w:bookmarkEnd w:id="167"/>
    <w:p w14:paraId="16328E8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68" w:name="_Toc869"/>
      <w:bookmarkStart w:id="169" w:name="_Toc3741"/>
      <w:bookmarkStart w:id="170" w:name="_Toc12203"/>
      <w:bookmarkStart w:id="171" w:name="_Toc4588"/>
      <w:bookmarkStart w:id="172" w:name="_Toc6392"/>
      <w:bookmarkStart w:id="173" w:name="_Toc1983"/>
      <w:bookmarkStart w:id="174" w:name="_Toc11616"/>
      <w:r>
        <w:rPr>
          <w:rFonts w:hint="eastAsia" w:hAnsi="宋体" w:cs="宋体"/>
          <w:b/>
          <w:bCs/>
          <w:snapToGrid w:val="0"/>
          <w:color w:val="auto"/>
          <w:kern w:val="0"/>
          <w:szCs w:val="24"/>
          <w:highlight w:val="none"/>
        </w:rPr>
        <w:t>1．现场办公条件</w:t>
      </w:r>
      <w:bookmarkEnd w:id="168"/>
      <w:bookmarkEnd w:id="169"/>
      <w:bookmarkEnd w:id="170"/>
      <w:bookmarkEnd w:id="171"/>
      <w:bookmarkEnd w:id="172"/>
      <w:bookmarkEnd w:id="173"/>
      <w:bookmarkEnd w:id="174"/>
    </w:p>
    <w:p w14:paraId="17C6269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1.1</w:t>
      </w:r>
      <w:r>
        <w:rPr>
          <w:rFonts w:hint="eastAsia" w:hAnsi="宋体" w:cs="宋体"/>
          <w:snapToGrid w:val="0"/>
          <w:color w:val="auto"/>
          <w:kern w:val="0"/>
          <w:szCs w:val="24"/>
          <w:highlight w:val="none"/>
        </w:rPr>
        <w:t xml:space="preserve"> 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2D88E0A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1.2</w:t>
      </w:r>
      <w:r>
        <w:rPr>
          <w:rFonts w:hint="eastAsia" w:hAnsi="宋体" w:cs="宋体"/>
          <w:snapToGrid w:val="0"/>
          <w:color w:val="auto"/>
          <w:kern w:val="0"/>
          <w:szCs w:val="24"/>
          <w:highlight w:val="none"/>
        </w:rPr>
        <w:t xml:space="preserve"> 监理人应按照工程需要，自行配备以下的设施、设备：</w:t>
      </w:r>
    </w:p>
    <w:p w14:paraId="40A4B7F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（1）办公桌椅、文件柜、床铺被褥、供冷采暖设施等办公和生活设施；</w:t>
      </w:r>
    </w:p>
    <w:p w14:paraId="2DA0336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（2）电脑、投影、打印机、复印机、传真机等办公设备及其耗材；</w:t>
      </w:r>
    </w:p>
    <w:p w14:paraId="3EB0D5B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（3）拍摄、录音、录像等取证器材；</w:t>
      </w:r>
    </w:p>
    <w:p w14:paraId="2EBCB87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（4）信息化管理软件或系统；</w:t>
      </w:r>
    </w:p>
    <w:p w14:paraId="04BD850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（5）通信和交通工具；</w:t>
      </w:r>
    </w:p>
    <w:p w14:paraId="63CAEEA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（6）本招标项目必备的规范标准、图集等书籍手册；</w:t>
      </w:r>
    </w:p>
    <w:p w14:paraId="478E91D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（7）安全帽、安全鞋、安全手套、安全服装、手电筒等安全防护用具；</w:t>
      </w:r>
    </w:p>
    <w:p w14:paraId="246A630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w:t>
      </w:r>
      <w:r>
        <w:rPr>
          <w:rFonts w:hint="eastAsia" w:hAnsi="宋体" w:cs="宋体"/>
          <w:snapToGrid w:val="0"/>
          <w:color w:val="auto"/>
          <w:kern w:val="0"/>
          <w:szCs w:val="24"/>
          <w:highlight w:val="none"/>
          <w:u w:val="single"/>
        </w:rPr>
        <w:t xml:space="preserve"> 打卡  </w:t>
      </w:r>
      <w:r>
        <w:rPr>
          <w:rFonts w:hint="eastAsia" w:hAnsi="宋体" w:cs="宋体"/>
          <w:snapToGrid w:val="0"/>
          <w:color w:val="auto"/>
          <w:kern w:val="0"/>
          <w:szCs w:val="24"/>
          <w:highlight w:val="none"/>
        </w:rPr>
        <w:t>考勤设备；</w:t>
      </w:r>
    </w:p>
    <w:p w14:paraId="7D9402E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（9）其他与监理工作有关的设备与用品。</w:t>
      </w:r>
    </w:p>
    <w:p w14:paraId="34986EE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175" w:name="_Toc6176"/>
      <w:bookmarkStart w:id="176" w:name="_Toc14419"/>
      <w:bookmarkStart w:id="177" w:name="_Toc29743"/>
      <w:bookmarkStart w:id="178" w:name="_Toc6311"/>
      <w:bookmarkStart w:id="179" w:name="_Toc15844"/>
      <w:bookmarkStart w:id="180" w:name="_Toc29914"/>
      <w:bookmarkStart w:id="181" w:name="_Toc8261"/>
      <w:r>
        <w:rPr>
          <w:rFonts w:hint="eastAsia" w:hAnsi="宋体" w:cs="宋体"/>
          <w:b/>
          <w:bCs/>
          <w:snapToGrid w:val="0"/>
          <w:color w:val="auto"/>
          <w:kern w:val="0"/>
          <w:szCs w:val="24"/>
          <w:highlight w:val="none"/>
        </w:rPr>
        <w:t>2．酬金</w:t>
      </w:r>
      <w:bookmarkEnd w:id="175"/>
      <w:bookmarkEnd w:id="176"/>
      <w:bookmarkEnd w:id="177"/>
      <w:bookmarkEnd w:id="178"/>
      <w:bookmarkEnd w:id="179"/>
      <w:bookmarkEnd w:id="180"/>
      <w:bookmarkEnd w:id="181"/>
    </w:p>
    <w:p w14:paraId="118B268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2.1</w:t>
      </w:r>
      <w:r>
        <w:rPr>
          <w:rFonts w:hint="eastAsia" w:hAnsi="宋体" w:cs="宋体"/>
          <w:snapToGrid w:val="0"/>
          <w:color w:val="auto"/>
          <w:kern w:val="0"/>
          <w:szCs w:val="24"/>
          <w:highlight w:val="none"/>
        </w:rPr>
        <w:t xml:space="preserve"> “酬金”指监理人履行本合同义务，委托人按照本合同约定（包括按照合同约定进行的变更和调整）给付监理人的金额，由正常工作酬金、附加工作酬金（若有）、合理化建议奖励（若有）组成。“正常工作酬金”指监理人完成正常工作，委托人应给付监理人并在协议书中载明的签约酬金额。“附加工作酬金”指监理人完成附加工作，委托人应给付监理人的金额。“合理化建议奖励”指监理人在服务过程中提出的合理化建议，使委托人获得经济效益的，双方在合同专用条件中约定的奖励金额。</w:t>
      </w:r>
    </w:p>
    <w:p w14:paraId="361F057A">
      <w:pPr>
        <w:keepNext w:val="0"/>
        <w:keepLines w:val="0"/>
        <w:pageBreakBefore w:val="0"/>
        <w:widowControl w:val="0"/>
        <w:kinsoku/>
        <w:wordWrap w:val="0"/>
        <w:overflowPunct/>
        <w:topLinePunct w:val="0"/>
        <w:autoSpaceDE/>
        <w:autoSpaceDN/>
        <w:bidi w:val="0"/>
        <w:adjustRightInd w:val="0"/>
        <w:spacing w:line="360" w:lineRule="auto"/>
        <w:ind w:firstLine="482" w:firstLineChars="200"/>
        <w:textAlignment w:val="auto"/>
        <w:rPr>
          <w:rFonts w:hint="eastAsia" w:hAnsi="宋体" w:cs="宋体"/>
          <w:b/>
          <w:bCs/>
          <w:snapToGrid w:val="0"/>
          <w:color w:val="auto"/>
          <w:kern w:val="0"/>
          <w:szCs w:val="24"/>
          <w:highlight w:val="none"/>
        </w:rPr>
      </w:pPr>
      <w:r>
        <w:rPr>
          <w:rFonts w:hint="eastAsia" w:hAnsi="宋体" w:cs="宋体"/>
          <w:b/>
          <w:bCs/>
          <w:snapToGrid w:val="0"/>
          <w:color w:val="auto"/>
          <w:kern w:val="0"/>
          <w:szCs w:val="24"/>
          <w:highlight w:val="none"/>
        </w:rPr>
        <w:t>2.2 酬金结算原则：</w:t>
      </w:r>
    </w:p>
    <w:p w14:paraId="4A47653B">
      <w:pPr>
        <w:pStyle w:val="15"/>
        <w:ind w:firstLine="480" w:firstLineChars="200"/>
        <w:rPr>
          <w:color w:val="auto"/>
          <w:highlight w:val="none"/>
        </w:rPr>
      </w:pPr>
      <w:r>
        <w:rPr>
          <w:rFonts w:hint="eastAsia"/>
          <w:color w:val="auto"/>
          <w:highlight w:val="none"/>
        </w:rPr>
        <w:t>监理服务费结算时以县财政投资评审中心审核后的建安工程费为计算依据。</w:t>
      </w:r>
    </w:p>
    <w:p w14:paraId="6569E26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bookmarkStart w:id="182" w:name="_Toc6502"/>
      <w:bookmarkStart w:id="183" w:name="_Toc17740"/>
      <w:bookmarkStart w:id="184" w:name="_Toc31657"/>
      <w:bookmarkStart w:id="185" w:name="_Toc31653"/>
      <w:bookmarkStart w:id="186" w:name="_Toc18979"/>
      <w:r>
        <w:rPr>
          <w:rFonts w:hint="eastAsia" w:ascii="宋体" w:hAnsi="宋体" w:eastAsia="宋体" w:cs="宋体"/>
          <w:snapToGrid w:val="0"/>
          <w:color w:val="auto"/>
          <w:kern w:val="0"/>
          <w:szCs w:val="24"/>
          <w:highlight w:val="none"/>
        </w:rPr>
        <w:t>结算价按以下方式结算：监理服务费=县财政投资评审中心审核后的建安工程费×监理服务费的中标费率（监理费的中标费率=监理费中标价÷建安工程费暂定价×100%）。监理服务费的中标费率，四舍五入保留三位小数。</w:t>
      </w:r>
    </w:p>
    <w:p w14:paraId="70741DAB">
      <w:pPr>
        <w:keepNext w:val="0"/>
        <w:keepLines w:val="0"/>
        <w:pageBreakBefore w:val="0"/>
        <w:widowControl w:val="0"/>
        <w:kinsoku/>
        <w:wordWrap w:val="0"/>
        <w:overflowPunct/>
        <w:topLinePunct w:val="0"/>
        <w:autoSpaceDE/>
        <w:autoSpaceDN/>
        <w:bidi w:val="0"/>
        <w:adjustRightInd w:val="0"/>
        <w:snapToGrid w:val="0"/>
        <w:spacing w:before="165" w:beforeLines="50" w:line="360" w:lineRule="auto"/>
        <w:ind w:firstLine="482" w:firstLineChars="200"/>
        <w:textAlignment w:val="auto"/>
        <w:outlineLvl w:val="1"/>
        <w:rPr>
          <w:rFonts w:hint="eastAsia" w:ascii="宋体" w:hAnsi="宋体" w:eastAsia="宋体" w:cs="宋体"/>
          <w:b/>
          <w:bCs/>
          <w:snapToGrid w:val="0"/>
          <w:color w:val="auto"/>
          <w:kern w:val="0"/>
          <w:szCs w:val="24"/>
          <w:highlight w:val="none"/>
        </w:rPr>
      </w:pPr>
      <w:bookmarkStart w:id="187" w:name="_Toc26832"/>
      <w:bookmarkStart w:id="188" w:name="_Toc25802"/>
      <w:r>
        <w:rPr>
          <w:rFonts w:hint="eastAsia" w:ascii="宋体" w:hAnsi="宋体" w:eastAsia="宋体" w:cs="宋体"/>
          <w:b/>
          <w:bCs/>
          <w:snapToGrid w:val="0"/>
          <w:color w:val="auto"/>
          <w:kern w:val="0"/>
          <w:szCs w:val="24"/>
          <w:highlight w:val="none"/>
        </w:rPr>
        <w:t>3．酬金发票</w:t>
      </w:r>
      <w:bookmarkEnd w:id="182"/>
      <w:bookmarkEnd w:id="183"/>
      <w:bookmarkEnd w:id="184"/>
      <w:bookmarkEnd w:id="185"/>
      <w:bookmarkEnd w:id="186"/>
      <w:bookmarkEnd w:id="187"/>
      <w:bookmarkEnd w:id="188"/>
    </w:p>
    <w:p w14:paraId="12A2B8A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委托人每次支付酬金前，监理人均应提供有效的增值税</w:t>
      </w:r>
      <w:r>
        <w:rPr>
          <w:rFonts w:hint="eastAsia" w:hAnsi="宋体" w:cs="宋体"/>
          <w:snapToGrid w:val="0"/>
          <w:color w:val="auto"/>
          <w:kern w:val="0"/>
          <w:szCs w:val="24"/>
          <w:highlight w:val="none"/>
          <w:u w:val="single"/>
        </w:rPr>
        <w:t xml:space="preserve"> 普通 </w:t>
      </w:r>
      <w:r>
        <w:rPr>
          <w:rFonts w:hint="eastAsia" w:hAnsi="宋体" w:cs="宋体"/>
          <w:snapToGrid w:val="0"/>
          <w:color w:val="auto"/>
          <w:kern w:val="0"/>
          <w:szCs w:val="24"/>
          <w:highlight w:val="none"/>
        </w:rPr>
        <w:t xml:space="preserve">发票。如果监理人无法提供符合要求的酬金发票，由此造成的相应损失由监理人承担。 </w:t>
      </w:r>
    </w:p>
    <w:p w14:paraId="5ACF4B88">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highlight w:val="none"/>
        </w:rPr>
      </w:pPr>
      <w:bookmarkStart w:id="189" w:name="_Toc22603"/>
      <w:bookmarkStart w:id="190" w:name="_Toc32105"/>
      <w:bookmarkStart w:id="191" w:name="_Toc30294"/>
      <w:bookmarkStart w:id="192" w:name="_Toc23136"/>
      <w:bookmarkStart w:id="193" w:name="_Toc2147"/>
      <w:bookmarkStart w:id="194" w:name="_Toc7557"/>
      <w:bookmarkStart w:id="195" w:name="_Toc32408"/>
      <w:r>
        <w:rPr>
          <w:rFonts w:hint="eastAsia" w:hAnsi="宋体" w:cs="宋体"/>
          <w:b/>
          <w:bCs/>
          <w:snapToGrid w:val="0"/>
          <w:color w:val="auto"/>
          <w:kern w:val="0"/>
          <w:szCs w:val="24"/>
          <w:highlight w:val="none"/>
        </w:rPr>
        <w:t>4．违约责任</w:t>
      </w:r>
      <w:bookmarkEnd w:id="189"/>
      <w:bookmarkEnd w:id="190"/>
      <w:bookmarkEnd w:id="191"/>
      <w:bookmarkEnd w:id="192"/>
      <w:bookmarkEnd w:id="193"/>
      <w:bookmarkEnd w:id="194"/>
      <w:bookmarkEnd w:id="195"/>
    </w:p>
    <w:p w14:paraId="55073FAD">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9"/>
        <w:rPr>
          <w:rFonts w:hAnsi="宋体" w:cs="宋体"/>
          <w:snapToGrid w:val="0"/>
          <w:color w:val="auto"/>
          <w:kern w:val="0"/>
          <w:szCs w:val="24"/>
          <w:highlight w:val="none"/>
        </w:rPr>
      </w:pPr>
      <w:bookmarkStart w:id="196" w:name="_Toc28133"/>
      <w:bookmarkStart w:id="197" w:name="_Toc5443"/>
      <w:bookmarkStart w:id="198" w:name="_Toc1598"/>
      <w:bookmarkStart w:id="199" w:name="_Toc15047"/>
      <w:bookmarkStart w:id="200" w:name="_Toc9349"/>
      <w:r>
        <w:rPr>
          <w:rFonts w:hint="eastAsia" w:hAnsi="宋体" w:cs="宋体"/>
          <w:b/>
          <w:bCs/>
          <w:snapToGrid w:val="0"/>
          <w:color w:val="auto"/>
          <w:kern w:val="0"/>
          <w:szCs w:val="24"/>
          <w:highlight w:val="none"/>
        </w:rPr>
        <w:t>4.1</w:t>
      </w:r>
      <w:r>
        <w:rPr>
          <w:rFonts w:hint="eastAsia" w:hAnsi="宋体" w:cs="宋体"/>
          <w:snapToGrid w:val="0"/>
          <w:color w:val="auto"/>
          <w:kern w:val="0"/>
          <w:szCs w:val="24"/>
          <w:highlight w:val="none"/>
        </w:rPr>
        <w:t xml:space="preserve"> 监理人的违约责任</w:t>
      </w:r>
      <w:bookmarkEnd w:id="196"/>
      <w:bookmarkEnd w:id="197"/>
      <w:bookmarkEnd w:id="198"/>
      <w:bookmarkEnd w:id="199"/>
      <w:bookmarkEnd w:id="200"/>
    </w:p>
    <w:p w14:paraId="63AF8635">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监理人未履行本合同义务的，应承担相应的责任。</w:t>
      </w:r>
    </w:p>
    <w:p w14:paraId="42FE6BFE">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4.1.1</w:t>
      </w:r>
      <w:r>
        <w:rPr>
          <w:rFonts w:hint="eastAsia" w:hAnsi="宋体" w:cs="宋体"/>
          <w:snapToGrid w:val="0"/>
          <w:color w:val="auto"/>
          <w:kern w:val="0"/>
          <w:szCs w:val="24"/>
          <w:highlight w:val="none"/>
        </w:rPr>
        <w:t xml:space="preserve"> 因监理人违反本合同约定给委托人造成损失的，监理人应当赔偿委托人损失。</w:t>
      </w:r>
    </w:p>
    <w:p w14:paraId="55267E38">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rPr>
        <w:sym w:font="Wingdings" w:char="00D8"/>
      </w:r>
      <w:r>
        <w:rPr>
          <w:rFonts w:hint="eastAsia" w:hAnsi="宋体" w:cs="宋体"/>
          <w:snapToGrid w:val="0"/>
          <w:color w:val="auto"/>
          <w:kern w:val="0"/>
          <w:szCs w:val="24"/>
          <w:highlight w:val="none"/>
        </w:rPr>
        <w:t xml:space="preserve"> 监理人赔偿金额按下列方法确定：赔偿金＝直接经济损失×正常工作酬金÷</w:t>
      </w:r>
      <w:r>
        <w:rPr>
          <w:rFonts w:hint="eastAsia" w:hAnsi="宋体" w:cs="宋体"/>
          <w:snapToGrid w:val="0"/>
          <w:color w:val="auto"/>
          <w:kern w:val="0"/>
          <w:highlight w:val="none"/>
          <w:u w:val="single"/>
        </w:rPr>
        <w:t>项目建安费（总额不超过税后合同监理</w:t>
      </w:r>
      <w:r>
        <w:rPr>
          <w:rFonts w:hint="eastAsia" w:hAnsi="宋体" w:cs="宋体"/>
          <w:snapToGrid w:val="0"/>
          <w:color w:val="auto"/>
          <w:kern w:val="0"/>
          <w:szCs w:val="24"/>
          <w:highlight w:val="none"/>
          <w:u w:val="single"/>
        </w:rPr>
        <w:t>服务</w:t>
      </w:r>
      <w:r>
        <w:rPr>
          <w:rFonts w:hint="eastAsia" w:hAnsi="宋体" w:cs="宋体"/>
          <w:snapToGrid w:val="0"/>
          <w:color w:val="auto"/>
          <w:kern w:val="0"/>
          <w:highlight w:val="none"/>
          <w:u w:val="single"/>
        </w:rPr>
        <w:t>费）</w:t>
      </w:r>
      <w:r>
        <w:rPr>
          <w:rFonts w:hint="eastAsia" w:hAnsi="宋体" w:cs="宋体"/>
          <w:snapToGrid w:val="0"/>
          <w:color w:val="auto"/>
          <w:kern w:val="0"/>
          <w:szCs w:val="24"/>
          <w:highlight w:val="none"/>
        </w:rPr>
        <w:t>。</w:t>
      </w:r>
    </w:p>
    <w:p w14:paraId="7BD964F6">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监理人承担部分赔偿责任的，其承担赔偿金额由双方协商确定。</w:t>
      </w:r>
    </w:p>
    <w:p w14:paraId="2F6A9375">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4.1.2</w:t>
      </w:r>
      <w:r>
        <w:rPr>
          <w:rFonts w:hint="eastAsia" w:hAnsi="宋体" w:cs="宋体"/>
          <w:snapToGrid w:val="0"/>
          <w:color w:val="auto"/>
          <w:kern w:val="0"/>
          <w:szCs w:val="24"/>
          <w:highlight w:val="none"/>
        </w:rPr>
        <w:t xml:space="preserve"> 监理人向委托人的索赔不成立时，监理人应赔偿委托人由此发生的费用。</w:t>
      </w:r>
    </w:p>
    <w:p w14:paraId="1AAA5D3E">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9"/>
        <w:rPr>
          <w:rFonts w:hAnsi="宋体" w:cs="宋体"/>
          <w:snapToGrid w:val="0"/>
          <w:color w:val="auto"/>
          <w:kern w:val="0"/>
          <w:szCs w:val="24"/>
          <w:highlight w:val="none"/>
        </w:rPr>
      </w:pPr>
      <w:bookmarkStart w:id="201" w:name="_Toc27680"/>
      <w:bookmarkStart w:id="202" w:name="_Toc7205"/>
      <w:bookmarkStart w:id="203" w:name="_Toc2188"/>
      <w:bookmarkStart w:id="204" w:name="_Toc13002"/>
      <w:bookmarkStart w:id="205" w:name="_Toc28294"/>
      <w:r>
        <w:rPr>
          <w:rFonts w:hint="eastAsia" w:hAnsi="宋体" w:cs="宋体"/>
          <w:b/>
          <w:bCs/>
          <w:snapToGrid w:val="0"/>
          <w:color w:val="auto"/>
          <w:kern w:val="0"/>
          <w:szCs w:val="24"/>
          <w:highlight w:val="none"/>
        </w:rPr>
        <w:t>4.2</w:t>
      </w:r>
      <w:r>
        <w:rPr>
          <w:rFonts w:hint="eastAsia" w:hAnsi="宋体" w:cs="宋体"/>
          <w:snapToGrid w:val="0"/>
          <w:color w:val="auto"/>
          <w:kern w:val="0"/>
          <w:szCs w:val="24"/>
          <w:highlight w:val="none"/>
        </w:rPr>
        <w:t xml:space="preserve"> 委托人的违约责任</w:t>
      </w:r>
      <w:bookmarkEnd w:id="201"/>
      <w:bookmarkEnd w:id="202"/>
      <w:bookmarkEnd w:id="203"/>
      <w:bookmarkEnd w:id="204"/>
      <w:bookmarkEnd w:id="205"/>
    </w:p>
    <w:p w14:paraId="77AD8D7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委托人未履行本合同义务的，应承担相应的责任。</w:t>
      </w:r>
    </w:p>
    <w:p w14:paraId="1739BA7E">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4.2.1</w:t>
      </w:r>
      <w:r>
        <w:rPr>
          <w:rFonts w:hint="eastAsia" w:hAnsi="宋体" w:cs="宋体"/>
          <w:snapToGrid w:val="0"/>
          <w:color w:val="auto"/>
          <w:kern w:val="0"/>
          <w:szCs w:val="24"/>
          <w:highlight w:val="none"/>
        </w:rPr>
        <w:t xml:space="preserve"> 委托人违反本合同约定造成监理人损失的，委托人应予以赔偿。</w:t>
      </w:r>
    </w:p>
    <w:p w14:paraId="7D33D44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4.2.2</w:t>
      </w:r>
      <w:r>
        <w:rPr>
          <w:rFonts w:hint="eastAsia" w:hAnsi="宋体" w:cs="宋体"/>
          <w:snapToGrid w:val="0"/>
          <w:color w:val="auto"/>
          <w:kern w:val="0"/>
          <w:szCs w:val="24"/>
          <w:highlight w:val="none"/>
        </w:rPr>
        <w:t xml:space="preserve"> 委托人向监理人的索赔不成立时，应赔偿监理人由此引起的费用。</w:t>
      </w:r>
    </w:p>
    <w:p w14:paraId="21DE849C">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4.2.3</w:t>
      </w:r>
      <w:r>
        <w:rPr>
          <w:rFonts w:hint="eastAsia" w:hAnsi="宋体" w:cs="宋体"/>
          <w:snapToGrid w:val="0"/>
          <w:color w:val="auto"/>
          <w:kern w:val="0"/>
          <w:szCs w:val="24"/>
          <w:highlight w:val="none"/>
        </w:rPr>
        <w:t xml:space="preserve"> 委托人未能按期支付酬金超过28天，应支付逾期付款利息。委托人逾期付款利息按下列方法确定：逾期付款利息＝当期应付款总额×银行同期贷款利率×拖延支付天数。</w:t>
      </w:r>
    </w:p>
    <w:p w14:paraId="78CEB19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9"/>
        <w:rPr>
          <w:rFonts w:hAnsi="宋体" w:cs="宋体"/>
          <w:snapToGrid w:val="0"/>
          <w:color w:val="auto"/>
          <w:kern w:val="0"/>
          <w:szCs w:val="24"/>
          <w:highlight w:val="none"/>
        </w:rPr>
      </w:pPr>
      <w:bookmarkStart w:id="206" w:name="_Toc7356"/>
      <w:bookmarkStart w:id="207" w:name="_Toc11108"/>
      <w:bookmarkStart w:id="208" w:name="_Toc7301"/>
      <w:bookmarkStart w:id="209" w:name="_Toc23199"/>
      <w:bookmarkStart w:id="210" w:name="_Toc3546"/>
      <w:r>
        <w:rPr>
          <w:rFonts w:hint="eastAsia" w:hAnsi="宋体" w:cs="宋体"/>
          <w:b/>
          <w:bCs/>
          <w:snapToGrid w:val="0"/>
          <w:color w:val="auto"/>
          <w:kern w:val="0"/>
          <w:szCs w:val="24"/>
          <w:highlight w:val="none"/>
        </w:rPr>
        <w:t>4.3</w:t>
      </w:r>
      <w:r>
        <w:rPr>
          <w:rFonts w:hint="eastAsia" w:hAnsi="宋体" w:cs="宋体"/>
          <w:snapToGrid w:val="0"/>
          <w:color w:val="auto"/>
          <w:kern w:val="0"/>
          <w:szCs w:val="24"/>
          <w:highlight w:val="none"/>
        </w:rPr>
        <w:t xml:space="preserve"> 除外责任</w:t>
      </w:r>
      <w:bookmarkEnd w:id="206"/>
      <w:bookmarkEnd w:id="207"/>
      <w:bookmarkEnd w:id="208"/>
      <w:bookmarkEnd w:id="209"/>
      <w:bookmarkEnd w:id="210"/>
    </w:p>
    <w:p w14:paraId="172A7A5A">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因非监理人的原因，且监理人无过错，发生工程质量事故、安全事故、工期延误等造成的损失，监理人不承担赔偿责任。</w:t>
      </w:r>
    </w:p>
    <w:p w14:paraId="146787C3">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因不可抗力导致本合同全部或部分不能履行时，双方各自承担其因此而造成的损失、损害。</w:t>
      </w:r>
    </w:p>
    <w:p w14:paraId="772ADBF1">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highlight w:val="none"/>
        </w:rPr>
      </w:pPr>
      <w:bookmarkStart w:id="211" w:name="_Toc27138"/>
      <w:bookmarkStart w:id="212" w:name="_Toc26193"/>
      <w:bookmarkStart w:id="213" w:name="_Toc17944"/>
      <w:bookmarkStart w:id="214" w:name="_Toc29596"/>
      <w:bookmarkStart w:id="215" w:name="_Toc27702"/>
      <w:bookmarkStart w:id="216" w:name="_Toc8777"/>
      <w:bookmarkStart w:id="217" w:name="_Toc13029"/>
      <w:r>
        <w:rPr>
          <w:rFonts w:hint="eastAsia" w:hAnsi="宋体" w:cs="宋体"/>
          <w:b/>
          <w:bCs/>
          <w:snapToGrid w:val="0"/>
          <w:color w:val="auto"/>
          <w:kern w:val="0"/>
          <w:szCs w:val="24"/>
          <w:highlight w:val="none"/>
        </w:rPr>
        <w:t>5．支付</w:t>
      </w:r>
      <w:bookmarkEnd w:id="211"/>
      <w:bookmarkEnd w:id="212"/>
      <w:bookmarkEnd w:id="213"/>
      <w:bookmarkEnd w:id="214"/>
      <w:bookmarkEnd w:id="215"/>
      <w:bookmarkEnd w:id="216"/>
      <w:bookmarkEnd w:id="217"/>
    </w:p>
    <w:p w14:paraId="2E24E54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9"/>
        <w:rPr>
          <w:rFonts w:hAnsi="宋体" w:cs="宋体"/>
          <w:snapToGrid w:val="0"/>
          <w:color w:val="auto"/>
          <w:kern w:val="0"/>
          <w:szCs w:val="24"/>
          <w:highlight w:val="none"/>
        </w:rPr>
      </w:pPr>
      <w:bookmarkStart w:id="218" w:name="_Toc624"/>
      <w:bookmarkStart w:id="219" w:name="_Toc13619"/>
      <w:bookmarkStart w:id="220" w:name="_Toc9024"/>
      <w:bookmarkStart w:id="221" w:name="_Toc29230"/>
      <w:bookmarkStart w:id="222" w:name="_Toc26599"/>
      <w:r>
        <w:rPr>
          <w:rFonts w:hint="eastAsia" w:hAnsi="宋体" w:cs="宋体"/>
          <w:b/>
          <w:bCs/>
          <w:snapToGrid w:val="0"/>
          <w:color w:val="auto"/>
          <w:kern w:val="0"/>
          <w:szCs w:val="24"/>
          <w:highlight w:val="none"/>
        </w:rPr>
        <w:t>5.1</w:t>
      </w:r>
      <w:r>
        <w:rPr>
          <w:rFonts w:hint="eastAsia" w:hAnsi="宋体" w:cs="宋体"/>
          <w:snapToGrid w:val="0"/>
          <w:color w:val="auto"/>
          <w:kern w:val="0"/>
          <w:szCs w:val="24"/>
          <w:highlight w:val="none"/>
        </w:rPr>
        <w:t xml:space="preserve"> 支付货币</w:t>
      </w:r>
      <w:bookmarkEnd w:id="218"/>
      <w:bookmarkEnd w:id="219"/>
      <w:bookmarkEnd w:id="220"/>
      <w:bookmarkEnd w:id="221"/>
      <w:bookmarkEnd w:id="222"/>
    </w:p>
    <w:p w14:paraId="29792D2E">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酬金均以人民币支付。</w:t>
      </w:r>
    </w:p>
    <w:p w14:paraId="68370C1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23" w:name="_Toc3949"/>
      <w:bookmarkStart w:id="224" w:name="_Toc7275"/>
      <w:bookmarkStart w:id="225" w:name="_Toc30132"/>
      <w:bookmarkStart w:id="226" w:name="_Toc22466"/>
      <w:bookmarkStart w:id="227" w:name="_Toc10949"/>
      <w:r>
        <w:rPr>
          <w:rFonts w:hint="eastAsia" w:hAnsi="宋体" w:cs="宋体"/>
          <w:b/>
          <w:bCs/>
          <w:snapToGrid w:val="0"/>
          <w:color w:val="auto"/>
          <w:kern w:val="0"/>
          <w:szCs w:val="24"/>
          <w:highlight w:val="none"/>
        </w:rPr>
        <w:t>5.2</w:t>
      </w:r>
      <w:r>
        <w:rPr>
          <w:rFonts w:hint="eastAsia" w:hAnsi="宋体" w:cs="宋体"/>
          <w:snapToGrid w:val="0"/>
          <w:color w:val="auto"/>
          <w:kern w:val="0"/>
          <w:szCs w:val="24"/>
          <w:highlight w:val="none"/>
        </w:rPr>
        <w:t xml:space="preserve"> 支付申请</w:t>
      </w:r>
      <w:bookmarkEnd w:id="223"/>
      <w:bookmarkEnd w:id="224"/>
      <w:bookmarkEnd w:id="225"/>
      <w:bookmarkEnd w:id="226"/>
      <w:bookmarkEnd w:id="227"/>
    </w:p>
    <w:p w14:paraId="13763A9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监理人应在本合同约定的每次应付款时间的7天前，向委托人提交支付申请书。支付申请书应当说明当期应付款总额，并列出当期应支付的款项及其金额。</w:t>
      </w:r>
    </w:p>
    <w:p w14:paraId="7845CB0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b/>
          <w:bCs/>
          <w:snapToGrid w:val="0"/>
          <w:color w:val="auto"/>
          <w:kern w:val="0"/>
          <w:szCs w:val="24"/>
          <w:highlight w:val="none"/>
        </w:rPr>
      </w:pPr>
      <w:bookmarkStart w:id="228" w:name="_Toc6641"/>
      <w:bookmarkStart w:id="229" w:name="_Toc6801"/>
      <w:bookmarkStart w:id="230" w:name="_Toc17883"/>
      <w:bookmarkStart w:id="231" w:name="_Toc25652"/>
      <w:bookmarkStart w:id="232" w:name="_Toc10664"/>
      <w:r>
        <w:rPr>
          <w:rFonts w:hint="eastAsia" w:hAnsi="宋体" w:cs="宋体"/>
          <w:b/>
          <w:bCs/>
          <w:snapToGrid w:val="0"/>
          <w:color w:val="auto"/>
          <w:kern w:val="0"/>
          <w:szCs w:val="24"/>
          <w:highlight w:val="none"/>
        </w:rPr>
        <w:t>5.3 支付酬金</w:t>
      </w:r>
      <w:bookmarkEnd w:id="228"/>
      <w:bookmarkEnd w:id="229"/>
      <w:bookmarkEnd w:id="230"/>
      <w:bookmarkEnd w:id="231"/>
      <w:bookmarkEnd w:id="232"/>
    </w:p>
    <w:p w14:paraId="3ACFFFD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5.3.1 正常工作酬金的支付计划为：</w:t>
      </w:r>
    </w:p>
    <w:p w14:paraId="7942C61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auto"/>
          <w:kern w:val="0"/>
          <w:szCs w:val="24"/>
          <w:highlight w:val="none"/>
        </w:rPr>
      </w:pPr>
      <w:r>
        <w:rPr>
          <w:rFonts w:hint="eastAsia" w:hAnsi="宋体" w:cs="宋体"/>
          <w:b/>
          <w:bCs/>
          <w:snapToGrid w:val="0"/>
          <w:color w:val="auto"/>
          <w:kern w:val="0"/>
          <w:szCs w:val="24"/>
          <w:highlight w:val="none"/>
        </w:rPr>
        <w:t>（1）签订合同开工后，支付监理服务费合同价款的</w:t>
      </w:r>
      <w:r>
        <w:rPr>
          <w:rFonts w:hint="eastAsia" w:hAnsi="宋体" w:cs="宋体"/>
          <w:b/>
          <w:bCs/>
          <w:snapToGrid w:val="0"/>
          <w:color w:val="auto"/>
          <w:kern w:val="0"/>
          <w:szCs w:val="24"/>
          <w:highlight w:val="none"/>
          <w:lang w:val="en-US" w:eastAsia="zh-CN"/>
        </w:rPr>
        <w:t>30</w:t>
      </w:r>
      <w:r>
        <w:rPr>
          <w:rFonts w:hint="eastAsia" w:hAnsi="宋体" w:cs="宋体"/>
          <w:b/>
          <w:bCs/>
          <w:snapToGrid w:val="0"/>
          <w:color w:val="auto"/>
          <w:kern w:val="0"/>
          <w:szCs w:val="24"/>
          <w:highlight w:val="none"/>
        </w:rPr>
        <w:t>%；</w:t>
      </w:r>
    </w:p>
    <w:p w14:paraId="675EF92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auto"/>
          <w:kern w:val="0"/>
          <w:szCs w:val="24"/>
          <w:highlight w:val="none"/>
        </w:rPr>
      </w:pPr>
      <w:r>
        <w:rPr>
          <w:rFonts w:hint="eastAsia" w:hAnsi="宋体" w:cs="宋体"/>
          <w:b/>
          <w:bCs/>
          <w:snapToGrid w:val="0"/>
          <w:color w:val="auto"/>
          <w:kern w:val="0"/>
          <w:szCs w:val="24"/>
          <w:highlight w:val="none"/>
        </w:rPr>
        <w:t>（2）本项目施工阶段按</w:t>
      </w:r>
      <w:r>
        <w:rPr>
          <w:rFonts w:hint="eastAsia" w:hAnsi="宋体" w:cs="宋体"/>
          <w:b/>
          <w:bCs/>
          <w:snapToGrid w:val="0"/>
          <w:color w:val="auto"/>
          <w:kern w:val="0"/>
          <w:szCs w:val="24"/>
          <w:highlight w:val="none"/>
          <w:lang w:val="en-US" w:eastAsia="zh-CN"/>
        </w:rPr>
        <w:t>月度</w:t>
      </w:r>
      <w:r>
        <w:rPr>
          <w:rFonts w:hint="eastAsia" w:hAnsi="宋体" w:cs="宋体"/>
          <w:b/>
          <w:bCs/>
          <w:snapToGrid w:val="0"/>
          <w:color w:val="auto"/>
          <w:kern w:val="0"/>
          <w:szCs w:val="24"/>
          <w:highlight w:val="none"/>
        </w:rPr>
        <w:t>分期支付监理服务费；具体分期支付方式如下：</w:t>
      </w:r>
    </w:p>
    <w:p w14:paraId="49716CE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auto"/>
          <w:kern w:val="0"/>
          <w:szCs w:val="24"/>
          <w:highlight w:val="none"/>
        </w:rPr>
      </w:pPr>
      <w:r>
        <w:rPr>
          <w:rFonts w:hint="eastAsia" w:hAnsi="宋体" w:cs="宋体"/>
          <w:b/>
          <w:bCs/>
          <w:snapToGrid w:val="0"/>
          <w:color w:val="auto"/>
          <w:kern w:val="0"/>
          <w:szCs w:val="24"/>
          <w:highlight w:val="none"/>
          <w:lang w:val="en-US" w:eastAsia="zh-CN"/>
        </w:rPr>
        <w:t>月</w:t>
      </w:r>
      <w:r>
        <w:rPr>
          <w:rFonts w:hint="eastAsia" w:hAnsi="宋体" w:cs="宋体"/>
          <w:b/>
          <w:bCs/>
          <w:snapToGrid w:val="0"/>
          <w:color w:val="auto"/>
          <w:kern w:val="0"/>
          <w:szCs w:val="24"/>
          <w:highlight w:val="none"/>
        </w:rPr>
        <w:t>度监理服务费=</w:t>
      </w:r>
      <w:r>
        <w:rPr>
          <w:rFonts w:hint="eastAsia" w:hAnsi="宋体" w:cs="宋体"/>
          <w:b/>
          <w:bCs/>
          <w:snapToGrid w:val="0"/>
          <w:color w:val="auto"/>
          <w:kern w:val="0"/>
          <w:szCs w:val="24"/>
          <w:highlight w:val="none"/>
          <w:lang w:val="en-US" w:eastAsia="zh-CN"/>
        </w:rPr>
        <w:t>月</w:t>
      </w:r>
      <w:r>
        <w:rPr>
          <w:rFonts w:hint="eastAsia" w:hAnsi="宋体" w:cs="宋体"/>
          <w:b/>
          <w:bCs/>
          <w:snapToGrid w:val="0"/>
          <w:color w:val="auto"/>
          <w:kern w:val="0"/>
          <w:szCs w:val="24"/>
          <w:highlight w:val="none"/>
        </w:rPr>
        <w:t>度实际所有专业施工完成投资额×</w:t>
      </w:r>
      <w:r>
        <w:rPr>
          <w:rFonts w:hint="eastAsia" w:hAnsi="宋体" w:cs="宋体"/>
          <w:b/>
          <w:bCs/>
          <w:snapToGrid w:val="0"/>
          <w:color w:val="auto"/>
          <w:kern w:val="0"/>
          <w:szCs w:val="24"/>
          <w:highlight w:val="none"/>
          <w:lang w:val="en-US" w:eastAsia="zh-CN"/>
        </w:rPr>
        <w:t>90</w:t>
      </w:r>
      <w:r>
        <w:rPr>
          <w:rFonts w:hint="eastAsia" w:hAnsi="宋体" w:cs="宋体"/>
          <w:b/>
          <w:bCs/>
          <w:snapToGrid w:val="0"/>
          <w:color w:val="auto"/>
          <w:kern w:val="0"/>
          <w:szCs w:val="24"/>
          <w:highlight w:val="none"/>
        </w:rPr>
        <w:t>%作为计算基数计算监理服务费；施工过程中累计支付的监理服务费不得超过监理服务费合同价款的</w:t>
      </w:r>
      <w:r>
        <w:rPr>
          <w:rFonts w:hint="eastAsia" w:hAnsi="宋体" w:cs="宋体"/>
          <w:b/>
          <w:bCs/>
          <w:snapToGrid w:val="0"/>
          <w:color w:val="auto"/>
          <w:kern w:val="0"/>
          <w:szCs w:val="24"/>
          <w:highlight w:val="none"/>
          <w:lang w:val="en-US" w:eastAsia="zh-CN"/>
        </w:rPr>
        <w:t>9</w:t>
      </w:r>
      <w:r>
        <w:rPr>
          <w:rFonts w:hint="eastAsia" w:hAnsi="宋体" w:cs="宋体"/>
          <w:b/>
          <w:bCs/>
          <w:snapToGrid w:val="0"/>
          <w:color w:val="auto"/>
          <w:kern w:val="0"/>
          <w:szCs w:val="24"/>
          <w:highlight w:val="none"/>
        </w:rPr>
        <w:t>0%。</w:t>
      </w:r>
    </w:p>
    <w:p w14:paraId="5D72191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auto"/>
          <w:kern w:val="0"/>
          <w:szCs w:val="24"/>
          <w:highlight w:val="none"/>
        </w:rPr>
      </w:pPr>
      <w:r>
        <w:rPr>
          <w:rFonts w:hint="eastAsia" w:hAnsi="宋体" w:cs="宋体"/>
          <w:b/>
          <w:bCs/>
          <w:snapToGrid w:val="0"/>
          <w:color w:val="auto"/>
          <w:kern w:val="0"/>
          <w:szCs w:val="24"/>
          <w:highlight w:val="none"/>
        </w:rPr>
        <w:t>（3）工程竣工验收合格备案后，委托人于次月向监理人支付至监理服务费结算价的</w:t>
      </w:r>
      <w:r>
        <w:rPr>
          <w:rFonts w:hint="eastAsia" w:hAnsi="宋体" w:cs="宋体"/>
          <w:b/>
          <w:bCs/>
          <w:snapToGrid w:val="0"/>
          <w:color w:val="auto"/>
          <w:kern w:val="0"/>
          <w:szCs w:val="24"/>
          <w:highlight w:val="none"/>
          <w:lang w:val="en-US" w:eastAsia="zh-CN"/>
        </w:rPr>
        <w:t>100</w:t>
      </w:r>
      <w:r>
        <w:rPr>
          <w:rFonts w:hint="eastAsia" w:hAnsi="宋体" w:cs="宋体"/>
          <w:b/>
          <w:bCs/>
          <w:snapToGrid w:val="0"/>
          <w:color w:val="auto"/>
          <w:kern w:val="0"/>
          <w:szCs w:val="24"/>
          <w:highlight w:val="none"/>
        </w:rPr>
        <w:t>%。</w:t>
      </w:r>
    </w:p>
    <w:p w14:paraId="04D9AD3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5.3.2</w:t>
      </w:r>
      <w:r>
        <w:rPr>
          <w:rFonts w:hint="eastAsia" w:hAnsi="宋体" w:cs="宋体"/>
          <w:snapToGrid w:val="0"/>
          <w:color w:val="auto"/>
          <w:kern w:val="0"/>
          <w:szCs w:val="24"/>
          <w:highlight w:val="none"/>
        </w:rPr>
        <w:t xml:space="preserve"> 合理化建议奖励的支付。奖励金额在合理化建议被采纳后，与最近一期的正常工作酬金同期支付。</w:t>
      </w:r>
    </w:p>
    <w:p w14:paraId="3A8929AE">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rPr>
        <w:sym w:font="Wingdings" w:char="00D8"/>
      </w:r>
      <w:r>
        <w:rPr>
          <w:rFonts w:hint="eastAsia" w:hAnsi="宋体" w:cs="宋体"/>
          <w:snapToGrid w:val="0"/>
          <w:color w:val="auto"/>
          <w:kern w:val="0"/>
          <w:szCs w:val="24"/>
          <w:highlight w:val="none"/>
        </w:rPr>
        <w:t xml:space="preserve"> 合理化建议奖励金额的确定方法为：</w:t>
      </w:r>
    </w:p>
    <w:p w14:paraId="3D58F44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奖励金额＝项目投资节省额×奖励金额的比率；</w:t>
      </w:r>
    </w:p>
    <w:p w14:paraId="7FDEBB63">
      <w:pPr>
        <w:keepNext w:val="0"/>
        <w:keepLines w:val="0"/>
        <w:pageBreakBefore w:val="0"/>
        <w:widowControl w:val="0"/>
        <w:kinsoku/>
        <w:wordWrap w:val="0"/>
        <w:overflowPunct/>
        <w:topLinePunct w:val="0"/>
        <w:autoSpaceDE/>
        <w:autoSpaceDN/>
        <w:bidi w:val="0"/>
        <w:adjustRightInd w:val="0"/>
        <w:spacing w:line="360" w:lineRule="auto"/>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奖励金额的比率为</w:t>
      </w:r>
      <w:r>
        <w:rPr>
          <w:rFonts w:hint="eastAsia" w:hAnsi="宋体" w:cs="宋体"/>
          <w:snapToGrid w:val="0"/>
          <w:color w:val="auto"/>
          <w:kern w:val="0"/>
          <w:highlight w:val="none"/>
          <w:u w:val="single"/>
        </w:rPr>
        <w:t xml:space="preserve">  / </w:t>
      </w:r>
      <w:r>
        <w:rPr>
          <w:rFonts w:hint="eastAsia" w:hAnsi="宋体" w:cs="宋体"/>
          <w:snapToGrid w:val="0"/>
          <w:color w:val="auto"/>
          <w:kern w:val="0"/>
          <w:highlight w:val="none"/>
        </w:rPr>
        <w:t>%。</w:t>
      </w:r>
    </w:p>
    <w:p w14:paraId="32DEDE95">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highlight w:val="none"/>
        </w:rPr>
      </w:pPr>
      <w:r>
        <w:rPr>
          <w:rFonts w:hint="eastAsia" w:hAnsi="宋体" w:cs="宋体"/>
          <w:snapToGrid w:val="0"/>
          <w:color w:val="auto"/>
          <w:kern w:val="0"/>
          <w:highlight w:val="none"/>
        </w:rPr>
        <w:t xml:space="preserve">  </w:t>
      </w:r>
      <w:r>
        <w:rPr>
          <w:rFonts w:hint="eastAsia" w:hAnsi="宋体" w:cs="宋体"/>
          <w:snapToGrid w:val="0"/>
          <w:color w:val="auto"/>
          <w:kern w:val="0"/>
          <w:szCs w:val="24"/>
          <w:highlight w:val="none"/>
        </w:rPr>
        <w:sym w:font="Wingdings" w:char="00D8"/>
      </w:r>
      <w:r>
        <w:rPr>
          <w:rFonts w:hint="eastAsia" w:hAnsi="宋体" w:cs="宋体"/>
          <w:snapToGrid w:val="0"/>
          <w:color w:val="auto"/>
          <w:kern w:val="0"/>
          <w:szCs w:val="24"/>
          <w:highlight w:val="none"/>
        </w:rPr>
        <w:t xml:space="preserve"> </w:t>
      </w:r>
      <w:r>
        <w:rPr>
          <w:rFonts w:hint="eastAsia" w:hAnsi="宋体" w:cs="宋体"/>
          <w:snapToGrid w:val="0"/>
          <w:color w:val="auto"/>
          <w:kern w:val="0"/>
          <w:highlight w:val="none"/>
        </w:rPr>
        <w:t>合理化建议奖励金额的确定方法为：</w:t>
      </w:r>
      <w:r>
        <w:rPr>
          <w:rFonts w:hint="eastAsia" w:hAnsi="宋体" w:cs="宋体"/>
          <w:snapToGrid w:val="0"/>
          <w:color w:val="auto"/>
          <w:kern w:val="0"/>
          <w:highlight w:val="none"/>
          <w:u w:val="single"/>
        </w:rPr>
        <w:t xml:space="preserve"> / </w:t>
      </w:r>
      <w:r>
        <w:rPr>
          <w:rFonts w:hint="eastAsia" w:hAnsi="宋体" w:cs="宋体"/>
          <w:snapToGrid w:val="0"/>
          <w:color w:val="auto"/>
          <w:kern w:val="0"/>
          <w:highlight w:val="none"/>
        </w:rPr>
        <w:t>。</w:t>
      </w:r>
    </w:p>
    <w:p w14:paraId="6EF671D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33" w:name="_Toc2043"/>
      <w:bookmarkStart w:id="234" w:name="_Toc26984"/>
      <w:bookmarkStart w:id="235" w:name="_Toc11530"/>
      <w:bookmarkStart w:id="236" w:name="_Toc30854"/>
      <w:bookmarkStart w:id="237" w:name="_Toc14938"/>
      <w:r>
        <w:rPr>
          <w:rFonts w:hint="eastAsia" w:hAnsi="宋体" w:cs="宋体"/>
          <w:b/>
          <w:bCs/>
          <w:snapToGrid w:val="0"/>
          <w:color w:val="auto"/>
          <w:kern w:val="0"/>
          <w:szCs w:val="24"/>
          <w:highlight w:val="none"/>
        </w:rPr>
        <w:t>5.4</w:t>
      </w:r>
      <w:r>
        <w:rPr>
          <w:rFonts w:hint="eastAsia" w:hAnsi="宋体" w:cs="宋体"/>
          <w:snapToGrid w:val="0"/>
          <w:color w:val="auto"/>
          <w:kern w:val="0"/>
          <w:szCs w:val="24"/>
          <w:highlight w:val="none"/>
        </w:rPr>
        <w:t xml:space="preserve"> 有争议部分的付款</w:t>
      </w:r>
      <w:bookmarkEnd w:id="233"/>
      <w:bookmarkEnd w:id="234"/>
      <w:bookmarkEnd w:id="235"/>
      <w:bookmarkEnd w:id="236"/>
      <w:bookmarkEnd w:id="237"/>
    </w:p>
    <w:p w14:paraId="0963C95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委托人对监理人提交的支付申请书有异议时，应当在收到监理人提交的支付申请书后7天内，以书面形式向监理人发出异议通知。无异议部分的款项应按期支付，有异议部分的款项按本章第</w:t>
      </w:r>
      <w:r>
        <w:rPr>
          <w:rFonts w:hint="eastAsia" w:hAnsi="宋体" w:cs="宋体"/>
          <w:b/>
          <w:bCs/>
          <w:snapToGrid w:val="0"/>
          <w:color w:val="auto"/>
          <w:kern w:val="0"/>
          <w:szCs w:val="24"/>
          <w:highlight w:val="none"/>
        </w:rPr>
        <w:t>7</w:t>
      </w:r>
      <w:r>
        <w:rPr>
          <w:rFonts w:hint="eastAsia" w:hAnsi="宋体" w:cs="宋体"/>
          <w:snapToGrid w:val="0"/>
          <w:color w:val="auto"/>
          <w:kern w:val="0"/>
          <w:szCs w:val="24"/>
          <w:highlight w:val="none"/>
        </w:rPr>
        <w:t>条处理。</w:t>
      </w:r>
    </w:p>
    <w:p w14:paraId="4F9CC68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238" w:name="_Toc22042"/>
      <w:bookmarkStart w:id="239" w:name="_Toc14349"/>
      <w:bookmarkStart w:id="240" w:name="_Toc878"/>
      <w:bookmarkStart w:id="241" w:name="_Toc8398"/>
      <w:bookmarkStart w:id="242" w:name="_Toc5107"/>
      <w:bookmarkStart w:id="243" w:name="_Toc12317"/>
      <w:bookmarkStart w:id="244" w:name="_Toc11091"/>
      <w:r>
        <w:rPr>
          <w:rFonts w:hint="eastAsia" w:hAnsi="宋体" w:cs="宋体"/>
          <w:b/>
          <w:bCs/>
          <w:snapToGrid w:val="0"/>
          <w:color w:val="auto"/>
          <w:kern w:val="0"/>
          <w:szCs w:val="24"/>
          <w:highlight w:val="none"/>
        </w:rPr>
        <w:t>6．合同生效、变更、暂停、解除与终止</w:t>
      </w:r>
      <w:bookmarkEnd w:id="238"/>
      <w:bookmarkEnd w:id="239"/>
      <w:bookmarkEnd w:id="240"/>
      <w:bookmarkEnd w:id="241"/>
      <w:bookmarkEnd w:id="242"/>
      <w:bookmarkEnd w:id="243"/>
      <w:bookmarkEnd w:id="244"/>
    </w:p>
    <w:p w14:paraId="021C1E7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45" w:name="_Toc27810"/>
      <w:bookmarkStart w:id="246" w:name="_Toc5937"/>
      <w:bookmarkStart w:id="247" w:name="_Toc23029"/>
      <w:bookmarkStart w:id="248" w:name="_Toc27548"/>
      <w:bookmarkStart w:id="249" w:name="_Toc20360"/>
      <w:r>
        <w:rPr>
          <w:rFonts w:hint="eastAsia" w:hAnsi="宋体" w:cs="宋体"/>
          <w:b/>
          <w:bCs/>
          <w:snapToGrid w:val="0"/>
          <w:color w:val="auto"/>
          <w:kern w:val="0"/>
          <w:szCs w:val="24"/>
          <w:highlight w:val="none"/>
        </w:rPr>
        <w:t>6.1</w:t>
      </w:r>
      <w:r>
        <w:rPr>
          <w:rFonts w:hint="eastAsia" w:hAnsi="宋体" w:cs="宋体"/>
          <w:snapToGrid w:val="0"/>
          <w:color w:val="auto"/>
          <w:kern w:val="0"/>
          <w:szCs w:val="24"/>
          <w:highlight w:val="none"/>
        </w:rPr>
        <w:t xml:space="preserve"> 生效</w:t>
      </w:r>
      <w:bookmarkEnd w:id="245"/>
      <w:bookmarkEnd w:id="246"/>
      <w:bookmarkEnd w:id="247"/>
      <w:bookmarkEnd w:id="248"/>
      <w:bookmarkEnd w:id="249"/>
    </w:p>
    <w:p w14:paraId="655FBEA8">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rPr>
        <w:sym w:font="Wingdings" w:char="00D8"/>
      </w:r>
      <w:r>
        <w:rPr>
          <w:rFonts w:hint="eastAsia" w:hAnsi="宋体" w:cs="宋体"/>
          <w:snapToGrid w:val="0"/>
          <w:color w:val="auto"/>
          <w:kern w:val="0"/>
          <w:szCs w:val="24"/>
          <w:highlight w:val="none"/>
        </w:rPr>
        <w:t xml:space="preserve"> 委托人和监理人的法定代表人或其授权代理人在协议书上签字并盖单位章后本合同生效。</w:t>
      </w:r>
    </w:p>
    <w:p w14:paraId="4F79E542">
      <w:pPr>
        <w:keepNext w:val="0"/>
        <w:keepLines w:val="0"/>
        <w:pageBreakBefore w:val="0"/>
        <w:widowControl w:val="0"/>
        <w:kinsoku/>
        <w:wordWrap w:val="0"/>
        <w:overflowPunct/>
        <w:topLinePunct w:val="0"/>
        <w:autoSpaceDE/>
        <w:autoSpaceDN/>
        <w:bidi w:val="0"/>
        <w:adjustRightInd w:val="0"/>
        <w:snapToGrid w:val="0"/>
        <w:spacing w:line="360" w:lineRule="auto"/>
        <w:textAlignment w:val="auto"/>
        <w:outlineLvl w:val="9"/>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bookmarkStart w:id="250" w:name="_Toc636"/>
      <w:bookmarkStart w:id="251" w:name="_Toc497"/>
      <w:bookmarkStart w:id="252" w:name="_Toc9359"/>
      <w:bookmarkStart w:id="253" w:name="_Toc1739"/>
      <w:bookmarkStart w:id="254" w:name="_Toc15312"/>
      <w:r>
        <w:rPr>
          <w:rFonts w:hint="eastAsia" w:hAnsi="宋体" w:cs="宋体"/>
          <w:b/>
          <w:bCs/>
          <w:snapToGrid w:val="0"/>
          <w:color w:val="auto"/>
          <w:kern w:val="0"/>
          <w:szCs w:val="24"/>
          <w:highlight w:val="none"/>
        </w:rPr>
        <w:t>6.2</w:t>
      </w:r>
      <w:r>
        <w:rPr>
          <w:rFonts w:hint="eastAsia" w:hAnsi="宋体" w:cs="宋体"/>
          <w:snapToGrid w:val="0"/>
          <w:color w:val="auto"/>
          <w:kern w:val="0"/>
          <w:szCs w:val="24"/>
          <w:highlight w:val="none"/>
        </w:rPr>
        <w:t xml:space="preserve"> 变更</w:t>
      </w:r>
      <w:bookmarkEnd w:id="250"/>
      <w:bookmarkEnd w:id="251"/>
      <w:bookmarkEnd w:id="252"/>
      <w:bookmarkEnd w:id="253"/>
      <w:bookmarkEnd w:id="254"/>
    </w:p>
    <w:p w14:paraId="3376E0D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6.2.1</w:t>
      </w:r>
      <w:r>
        <w:rPr>
          <w:rFonts w:hint="eastAsia" w:hAnsi="宋体" w:cs="宋体"/>
          <w:snapToGrid w:val="0"/>
          <w:color w:val="auto"/>
          <w:kern w:val="0"/>
          <w:szCs w:val="24"/>
          <w:highlight w:val="none"/>
        </w:rPr>
        <w:t xml:space="preserve"> 任何一方提出变更请求时，双方经协商一致后可进行变更。</w:t>
      </w:r>
    </w:p>
    <w:p w14:paraId="1DDF370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6.2.2</w:t>
      </w:r>
      <w:r>
        <w:rPr>
          <w:rFonts w:hint="eastAsia" w:hAnsi="宋体" w:cs="宋体"/>
          <w:snapToGrid w:val="0"/>
          <w:color w:val="auto"/>
          <w:kern w:val="0"/>
          <w:szCs w:val="24"/>
          <w:highlight w:val="none"/>
        </w:rPr>
        <w:t>除不可抗力外，因非监理人原因导致监理人履行合同期限延长、内容增加时，监理人应当将此情况与可能产生的影响及时通知委托人。增加的监理工作时间、工作内容应视为附加工作。</w:t>
      </w:r>
    </w:p>
    <w:p w14:paraId="00073683">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sym w:font="Wingdings" w:char="00D8"/>
      </w:r>
      <w:r>
        <w:rPr>
          <w:rFonts w:hint="eastAsia" w:hAnsi="宋体" w:cs="宋体"/>
          <w:snapToGrid w:val="0"/>
          <w:color w:val="auto"/>
          <w:kern w:val="0"/>
          <w:szCs w:val="24"/>
          <w:highlight w:val="none"/>
        </w:rPr>
        <w:t xml:space="preserve"> 发生以上情形的附加工作酬金的确定方法为：</w:t>
      </w:r>
      <w:r>
        <w:rPr>
          <w:rFonts w:hint="eastAsia" w:hAnsi="宋体" w:cs="宋体"/>
          <w:snapToGrid w:val="0"/>
          <w:color w:val="auto"/>
          <w:kern w:val="0"/>
          <w:highlight w:val="none"/>
          <w:u w:val="single"/>
        </w:rPr>
        <w:t xml:space="preserve">双方协商 </w:t>
      </w:r>
      <w:r>
        <w:rPr>
          <w:rFonts w:hint="eastAsia" w:hAnsi="宋体" w:cs="宋体"/>
          <w:snapToGrid w:val="0"/>
          <w:color w:val="auto"/>
          <w:kern w:val="0"/>
          <w:szCs w:val="24"/>
          <w:highlight w:val="none"/>
        </w:rPr>
        <w:t>。</w:t>
      </w:r>
    </w:p>
    <w:p w14:paraId="7F23D40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6.2.3</w:t>
      </w:r>
      <w:r>
        <w:rPr>
          <w:rFonts w:hint="eastAsia" w:hAnsi="宋体" w:cs="宋体"/>
          <w:snapToGrid w:val="0"/>
          <w:color w:val="auto"/>
          <w:kern w:val="0"/>
          <w:szCs w:val="24"/>
          <w:highlight w:val="none"/>
        </w:rPr>
        <w:t xml:space="preserve"> 合同生效后，如果实际情况发生变化使得监理人不能完成全部或部分工作时，监理人应立即通知委托人。除不可抗力外，其善后工作以及恢复服务的准备工作应为附加工作。监理人用于恢复服务的准备时间不应超过28天。</w:t>
      </w:r>
    </w:p>
    <w:p w14:paraId="01D77DF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rPr>
        <w:sym w:font="Wingdings" w:char="00D8"/>
      </w:r>
      <w:r>
        <w:rPr>
          <w:rFonts w:hint="eastAsia" w:hAnsi="宋体" w:cs="宋体"/>
          <w:snapToGrid w:val="0"/>
          <w:color w:val="auto"/>
          <w:kern w:val="0"/>
          <w:szCs w:val="24"/>
          <w:highlight w:val="none"/>
        </w:rPr>
        <w:t xml:space="preserve"> 发生以上情形的附加工作酬金的确定方法为：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highlight w:val="none"/>
          <w:u w:val="single"/>
        </w:rPr>
        <w:t xml:space="preserve">双方协商 </w:t>
      </w:r>
      <w:r>
        <w:rPr>
          <w:rFonts w:hint="eastAsia" w:hAnsi="宋体" w:cs="宋体"/>
          <w:snapToGrid w:val="0"/>
          <w:color w:val="auto"/>
          <w:kern w:val="0"/>
          <w:szCs w:val="24"/>
          <w:highlight w:val="none"/>
        </w:rPr>
        <w:t>。</w:t>
      </w:r>
    </w:p>
    <w:p w14:paraId="754227F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6.2.4</w:t>
      </w:r>
      <w:r>
        <w:rPr>
          <w:rFonts w:hint="eastAsia" w:hAnsi="宋体" w:cs="宋体"/>
          <w:snapToGrid w:val="0"/>
          <w:color w:val="auto"/>
          <w:kern w:val="0"/>
          <w:szCs w:val="24"/>
          <w:highlight w:val="none"/>
        </w:rPr>
        <w:t xml:space="preserve"> 合同签订后，遇有与招标项目相关的法律法规、标准颁布或修订的，双方应遵照执行。由此引起监理与相关服务的范围、时间、酬金变化的，双方应通过协商进行相应调整。</w:t>
      </w:r>
    </w:p>
    <w:p w14:paraId="62D7E48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6.2.5</w:t>
      </w:r>
      <w:r>
        <w:rPr>
          <w:rFonts w:hint="eastAsia" w:hAnsi="宋体" w:cs="宋体"/>
          <w:snapToGrid w:val="0"/>
          <w:color w:val="auto"/>
          <w:kern w:val="0"/>
          <w:szCs w:val="24"/>
          <w:highlight w:val="none"/>
        </w:rPr>
        <w:t xml:space="preserve"> 因非监理人原因造成项目</w:t>
      </w:r>
      <w:r>
        <w:rPr>
          <w:rFonts w:hint="eastAsia" w:hAnsi="宋体" w:cs="宋体"/>
          <w:snapToGrid w:val="0"/>
          <w:color w:val="auto"/>
          <w:kern w:val="0"/>
          <w:szCs w:val="24"/>
          <w:highlight w:val="none"/>
          <w:u w:val="single"/>
        </w:rPr>
        <w:t xml:space="preserve"> 预算 </w:t>
      </w:r>
      <w:r>
        <w:rPr>
          <w:rFonts w:hint="eastAsia" w:hAnsi="宋体" w:cs="宋体"/>
          <w:snapToGrid w:val="0"/>
          <w:color w:val="auto"/>
          <w:kern w:val="0"/>
          <w:szCs w:val="24"/>
          <w:highlight w:val="none"/>
        </w:rPr>
        <w:t>投资额增加时，正常工作酬金应作相应调整。</w:t>
      </w:r>
    </w:p>
    <w:p w14:paraId="04EB0397">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rPr>
        <w:sym w:font="Wingdings" w:char="00D8"/>
      </w:r>
      <w:r>
        <w:rPr>
          <w:rFonts w:hint="eastAsia" w:hAnsi="宋体" w:cs="宋体"/>
          <w:snapToGrid w:val="0"/>
          <w:color w:val="auto"/>
          <w:kern w:val="0"/>
          <w:szCs w:val="24"/>
          <w:highlight w:val="none"/>
        </w:rPr>
        <w:t xml:space="preserve"> 发生以上情形的正常工作酬金增加额的确定方法为：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highlight w:val="none"/>
          <w:u w:val="single"/>
        </w:rPr>
        <w:t>双方协商</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w:t>
      </w:r>
    </w:p>
    <w:p w14:paraId="067994A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6.2.6</w:t>
      </w:r>
      <w:r>
        <w:rPr>
          <w:rFonts w:hint="eastAsia" w:hAnsi="宋体" w:cs="宋体"/>
          <w:snapToGrid w:val="0"/>
          <w:color w:val="auto"/>
          <w:kern w:val="0"/>
          <w:szCs w:val="24"/>
          <w:highlight w:val="none"/>
        </w:rPr>
        <w:t xml:space="preserve"> 因工程规模、监理范围的变化导致监理人的正常工作量减少时，按减少工作量的比例从协议书约定的正常工作酬金中扣减相同比例的酬金。</w:t>
      </w:r>
    </w:p>
    <w:p w14:paraId="3293E8C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55" w:name="_Toc19127"/>
      <w:bookmarkStart w:id="256" w:name="_Toc17200"/>
      <w:bookmarkStart w:id="257" w:name="_Toc26037"/>
      <w:bookmarkStart w:id="258" w:name="_Toc12797"/>
      <w:bookmarkStart w:id="259" w:name="_Toc4131"/>
      <w:r>
        <w:rPr>
          <w:rFonts w:hint="eastAsia" w:hAnsi="宋体" w:cs="宋体"/>
          <w:b/>
          <w:bCs/>
          <w:snapToGrid w:val="0"/>
          <w:color w:val="auto"/>
          <w:kern w:val="0"/>
          <w:szCs w:val="24"/>
          <w:highlight w:val="none"/>
        </w:rPr>
        <w:t>6.3</w:t>
      </w:r>
      <w:r>
        <w:rPr>
          <w:rFonts w:hint="eastAsia" w:hAnsi="宋体" w:cs="宋体"/>
          <w:snapToGrid w:val="0"/>
          <w:color w:val="auto"/>
          <w:kern w:val="0"/>
          <w:szCs w:val="24"/>
          <w:highlight w:val="none"/>
        </w:rPr>
        <w:t xml:space="preserve"> 暂停与解除</w:t>
      </w:r>
      <w:bookmarkEnd w:id="255"/>
      <w:bookmarkEnd w:id="256"/>
      <w:bookmarkEnd w:id="257"/>
      <w:bookmarkEnd w:id="258"/>
      <w:bookmarkEnd w:id="259"/>
    </w:p>
    <w:p w14:paraId="20E69EF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除双方协商一致可以解除本合同外，当一方无正当理由未履行本合同约定的义务时，另一方可以根据本合同约定暂停履行本合同直至解除本合同。</w:t>
      </w:r>
    </w:p>
    <w:p w14:paraId="4E2F346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6.3.1</w:t>
      </w:r>
      <w:r>
        <w:rPr>
          <w:rFonts w:hint="eastAsia" w:hAnsi="宋体" w:cs="宋体"/>
          <w:snapToGrid w:val="0"/>
          <w:color w:val="auto"/>
          <w:kern w:val="0"/>
          <w:szCs w:val="24"/>
          <w:highlight w:val="none"/>
        </w:rPr>
        <w:t xml:space="preserve">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5096850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因解除本合同或解除监理人的部分义务导致监理人遭受的损失，除依法可以免除责任的情况外，应由委托人予以补偿，补偿金额由双方协商确定。</w:t>
      </w:r>
    </w:p>
    <w:p w14:paraId="11E7E79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解除本合同的协议必须采取书面形式，协议未达成之前，本合同仍然有效。</w:t>
      </w:r>
    </w:p>
    <w:p w14:paraId="1030A8C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6.3.2</w:t>
      </w:r>
      <w:r>
        <w:rPr>
          <w:rFonts w:hint="eastAsia" w:hAnsi="宋体" w:cs="宋体"/>
          <w:snapToGrid w:val="0"/>
          <w:color w:val="auto"/>
          <w:kern w:val="0"/>
          <w:szCs w:val="24"/>
          <w:highlight w:val="none"/>
        </w:rPr>
        <w:t xml:space="preserve">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225046B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本章第</w:t>
      </w:r>
      <w:r>
        <w:rPr>
          <w:rFonts w:hint="eastAsia" w:hAnsi="宋体" w:cs="宋体"/>
          <w:b/>
          <w:bCs/>
          <w:snapToGrid w:val="0"/>
          <w:color w:val="auto"/>
          <w:kern w:val="0"/>
          <w:szCs w:val="24"/>
          <w:highlight w:val="none"/>
        </w:rPr>
        <w:t>4.2</w:t>
      </w:r>
      <w:r>
        <w:rPr>
          <w:rFonts w:hint="eastAsia" w:hAnsi="宋体" w:cs="宋体"/>
          <w:snapToGrid w:val="0"/>
          <w:color w:val="auto"/>
          <w:kern w:val="0"/>
          <w:szCs w:val="24"/>
          <w:highlight w:val="none"/>
        </w:rPr>
        <w:t>条约定的责任。</w:t>
      </w:r>
    </w:p>
    <w:p w14:paraId="7F4EE27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6.3.3</w:t>
      </w:r>
      <w:r>
        <w:rPr>
          <w:rFonts w:hint="eastAsia" w:hAnsi="宋体" w:cs="宋体"/>
          <w:snapToGrid w:val="0"/>
          <w:color w:val="auto"/>
          <w:kern w:val="0"/>
          <w:szCs w:val="24"/>
          <w:highlight w:val="none"/>
        </w:rPr>
        <w:t xml:space="preserve">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本章第</w:t>
      </w:r>
      <w:r>
        <w:rPr>
          <w:rFonts w:hint="eastAsia" w:hAnsi="宋体" w:cs="宋体"/>
          <w:b/>
          <w:bCs/>
          <w:snapToGrid w:val="0"/>
          <w:color w:val="auto"/>
          <w:kern w:val="0"/>
          <w:szCs w:val="24"/>
          <w:highlight w:val="none"/>
        </w:rPr>
        <w:t>4.1</w:t>
      </w:r>
      <w:r>
        <w:rPr>
          <w:rFonts w:hint="eastAsia" w:hAnsi="宋体" w:cs="宋体"/>
          <w:snapToGrid w:val="0"/>
          <w:color w:val="auto"/>
          <w:kern w:val="0"/>
          <w:szCs w:val="24"/>
          <w:highlight w:val="none"/>
        </w:rPr>
        <w:t>条约定的责任。</w:t>
      </w:r>
    </w:p>
    <w:p w14:paraId="5545402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6.3.4</w:t>
      </w:r>
      <w:r>
        <w:rPr>
          <w:rFonts w:hint="eastAsia" w:hAnsi="宋体" w:cs="宋体"/>
          <w:snapToGrid w:val="0"/>
          <w:color w:val="auto"/>
          <w:kern w:val="0"/>
          <w:szCs w:val="24"/>
          <w:highlight w:val="none"/>
        </w:rPr>
        <w:t xml:space="preserve"> 监理人在专用条件</w:t>
      </w:r>
      <w:r>
        <w:rPr>
          <w:rFonts w:hint="eastAsia" w:hAnsi="宋体" w:cs="宋体"/>
          <w:b/>
          <w:bCs/>
          <w:snapToGrid w:val="0"/>
          <w:color w:val="auto"/>
          <w:kern w:val="0"/>
          <w:szCs w:val="24"/>
          <w:highlight w:val="none"/>
        </w:rPr>
        <w:t>5.3</w:t>
      </w:r>
      <w:r>
        <w:rPr>
          <w:rFonts w:hint="eastAsia" w:hAnsi="宋体" w:cs="宋体"/>
          <w:snapToGrid w:val="0"/>
          <w:color w:val="auto"/>
          <w:kern w:val="0"/>
          <w:szCs w:val="24"/>
          <w:highlight w:val="none"/>
        </w:rPr>
        <w:t>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本章第</w:t>
      </w:r>
      <w:r>
        <w:rPr>
          <w:rFonts w:hint="eastAsia" w:hAnsi="宋体" w:cs="宋体"/>
          <w:b/>
          <w:bCs/>
          <w:snapToGrid w:val="0"/>
          <w:color w:val="auto"/>
          <w:kern w:val="0"/>
          <w:szCs w:val="24"/>
          <w:highlight w:val="none"/>
        </w:rPr>
        <w:t>4.2.3</w:t>
      </w:r>
      <w:r>
        <w:rPr>
          <w:rFonts w:hint="eastAsia" w:hAnsi="宋体" w:cs="宋体"/>
          <w:snapToGrid w:val="0"/>
          <w:color w:val="auto"/>
          <w:kern w:val="0"/>
          <w:szCs w:val="24"/>
          <w:highlight w:val="none"/>
        </w:rPr>
        <w:t>目约定的责任。</w:t>
      </w:r>
    </w:p>
    <w:p w14:paraId="611FCE7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6.3.5</w:t>
      </w:r>
      <w:r>
        <w:rPr>
          <w:rFonts w:hint="eastAsia" w:hAnsi="宋体" w:cs="宋体"/>
          <w:snapToGrid w:val="0"/>
          <w:color w:val="auto"/>
          <w:kern w:val="0"/>
          <w:szCs w:val="24"/>
          <w:highlight w:val="none"/>
        </w:rPr>
        <w:t xml:space="preserve"> 因不可抗力致使本合同部分或全部不能履行时，一方应立即通知另一方，可暂停或解除本合同。</w:t>
      </w:r>
    </w:p>
    <w:p w14:paraId="57AA312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6.3.6</w:t>
      </w:r>
      <w:r>
        <w:rPr>
          <w:rFonts w:hint="eastAsia" w:hAnsi="宋体" w:cs="宋体"/>
          <w:snapToGrid w:val="0"/>
          <w:color w:val="auto"/>
          <w:kern w:val="0"/>
          <w:szCs w:val="24"/>
          <w:highlight w:val="none"/>
        </w:rPr>
        <w:t xml:space="preserve"> 本合同解除后，本合同约定的有关结算、清理、争议解决方式的条件仍然有效。</w:t>
      </w:r>
    </w:p>
    <w:p w14:paraId="0565B5E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60" w:name="_Toc24610"/>
      <w:bookmarkStart w:id="261" w:name="_Toc18202"/>
      <w:bookmarkStart w:id="262" w:name="_Toc14952"/>
      <w:bookmarkStart w:id="263" w:name="_Toc12239"/>
      <w:bookmarkStart w:id="264" w:name="_Toc20646"/>
      <w:r>
        <w:rPr>
          <w:rFonts w:hint="eastAsia" w:hAnsi="宋体" w:cs="宋体"/>
          <w:b/>
          <w:bCs/>
          <w:snapToGrid w:val="0"/>
          <w:color w:val="auto"/>
          <w:kern w:val="0"/>
          <w:szCs w:val="24"/>
          <w:highlight w:val="none"/>
        </w:rPr>
        <w:t>6.4</w:t>
      </w:r>
      <w:r>
        <w:rPr>
          <w:rFonts w:hint="eastAsia" w:hAnsi="宋体" w:cs="宋体"/>
          <w:snapToGrid w:val="0"/>
          <w:color w:val="auto"/>
          <w:kern w:val="0"/>
          <w:szCs w:val="24"/>
          <w:highlight w:val="none"/>
        </w:rPr>
        <w:t xml:space="preserve"> 终止</w:t>
      </w:r>
      <w:bookmarkEnd w:id="260"/>
      <w:bookmarkEnd w:id="261"/>
      <w:bookmarkEnd w:id="262"/>
      <w:bookmarkEnd w:id="263"/>
      <w:bookmarkEnd w:id="264"/>
    </w:p>
    <w:p w14:paraId="3B9EB4F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以下条件全部满足时，本合同即告终止：</w:t>
      </w:r>
    </w:p>
    <w:p w14:paraId="5F75BD6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（1）监理人完成本合同约定的全部工作；</w:t>
      </w:r>
    </w:p>
    <w:p w14:paraId="2E996FF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（2）委托人与监理人结清并支付全部酬金。</w:t>
      </w:r>
    </w:p>
    <w:p w14:paraId="2E165A9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265" w:name="_Toc10507"/>
      <w:bookmarkStart w:id="266" w:name="_Toc27687"/>
      <w:bookmarkStart w:id="267" w:name="_Toc5945"/>
      <w:bookmarkStart w:id="268" w:name="_Toc31410"/>
      <w:bookmarkStart w:id="269" w:name="_Toc3840"/>
      <w:bookmarkStart w:id="270" w:name="_Toc11683"/>
      <w:bookmarkStart w:id="271" w:name="_Toc23908"/>
      <w:r>
        <w:rPr>
          <w:rFonts w:hint="eastAsia" w:hAnsi="宋体" w:cs="宋体"/>
          <w:b/>
          <w:bCs/>
          <w:snapToGrid w:val="0"/>
          <w:color w:val="auto"/>
          <w:kern w:val="0"/>
          <w:szCs w:val="24"/>
          <w:highlight w:val="none"/>
        </w:rPr>
        <w:t>7．争议解决</w:t>
      </w:r>
      <w:bookmarkEnd w:id="265"/>
      <w:bookmarkEnd w:id="266"/>
      <w:bookmarkEnd w:id="267"/>
      <w:bookmarkEnd w:id="268"/>
      <w:bookmarkEnd w:id="269"/>
      <w:bookmarkEnd w:id="270"/>
      <w:bookmarkEnd w:id="271"/>
    </w:p>
    <w:p w14:paraId="0FB8D02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72" w:name="_Toc1230"/>
      <w:bookmarkStart w:id="273" w:name="_Toc9224"/>
      <w:bookmarkStart w:id="274" w:name="_Toc30247"/>
      <w:bookmarkStart w:id="275" w:name="_Toc23681"/>
      <w:bookmarkStart w:id="276" w:name="_Toc28417"/>
      <w:r>
        <w:rPr>
          <w:rFonts w:hint="eastAsia" w:hAnsi="宋体" w:cs="宋体"/>
          <w:b/>
          <w:bCs/>
          <w:snapToGrid w:val="0"/>
          <w:color w:val="auto"/>
          <w:kern w:val="0"/>
          <w:szCs w:val="24"/>
          <w:highlight w:val="none"/>
        </w:rPr>
        <w:t>7.1</w:t>
      </w:r>
      <w:r>
        <w:rPr>
          <w:rFonts w:hint="eastAsia" w:hAnsi="宋体" w:cs="宋体"/>
          <w:snapToGrid w:val="0"/>
          <w:color w:val="auto"/>
          <w:kern w:val="0"/>
          <w:szCs w:val="24"/>
          <w:highlight w:val="none"/>
        </w:rPr>
        <w:t xml:space="preserve"> 协商</w:t>
      </w:r>
      <w:bookmarkEnd w:id="272"/>
      <w:bookmarkEnd w:id="273"/>
      <w:bookmarkEnd w:id="274"/>
      <w:bookmarkEnd w:id="275"/>
      <w:bookmarkEnd w:id="276"/>
    </w:p>
    <w:p w14:paraId="37080BA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双方应本着诚信原则协商解决彼此间的争议。</w:t>
      </w:r>
    </w:p>
    <w:p w14:paraId="4D067E1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77" w:name="_Toc15685"/>
      <w:bookmarkStart w:id="278" w:name="_Toc18626"/>
      <w:bookmarkStart w:id="279" w:name="_Toc17958"/>
      <w:bookmarkStart w:id="280" w:name="_Toc20870"/>
      <w:bookmarkStart w:id="281" w:name="_Toc21833"/>
      <w:r>
        <w:rPr>
          <w:rFonts w:hint="eastAsia" w:hAnsi="宋体" w:cs="宋体"/>
          <w:b/>
          <w:bCs/>
          <w:snapToGrid w:val="0"/>
          <w:color w:val="auto"/>
          <w:kern w:val="0"/>
          <w:szCs w:val="24"/>
          <w:highlight w:val="none"/>
        </w:rPr>
        <w:t>7.2</w:t>
      </w:r>
      <w:r>
        <w:rPr>
          <w:rFonts w:hint="eastAsia" w:hAnsi="宋体" w:cs="宋体"/>
          <w:snapToGrid w:val="0"/>
          <w:color w:val="auto"/>
          <w:kern w:val="0"/>
          <w:szCs w:val="24"/>
          <w:highlight w:val="none"/>
        </w:rPr>
        <w:t xml:space="preserve"> 调解</w:t>
      </w:r>
      <w:bookmarkEnd w:id="277"/>
      <w:bookmarkEnd w:id="278"/>
      <w:bookmarkEnd w:id="279"/>
      <w:bookmarkEnd w:id="280"/>
      <w:bookmarkEnd w:id="281"/>
    </w:p>
    <w:p w14:paraId="3EFB6DB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如果双方不能在14天内或双方商定的其他时间内解决本合同争议，可以将其提交给</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highlight w:val="none"/>
          <w:u w:val="single"/>
        </w:rPr>
        <w:t>行政主管部门</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进行调解。</w:t>
      </w:r>
    </w:p>
    <w:p w14:paraId="14A1AD8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82" w:name="_Toc2607"/>
      <w:bookmarkStart w:id="283" w:name="_Toc28948"/>
      <w:bookmarkStart w:id="284" w:name="_Toc22092"/>
      <w:bookmarkStart w:id="285" w:name="_Toc18545"/>
      <w:bookmarkStart w:id="286" w:name="_Toc27051"/>
      <w:r>
        <w:rPr>
          <w:rFonts w:hint="eastAsia" w:hAnsi="宋体" w:cs="宋体"/>
          <w:b/>
          <w:bCs/>
          <w:snapToGrid w:val="0"/>
          <w:color w:val="auto"/>
          <w:kern w:val="0"/>
          <w:szCs w:val="24"/>
          <w:highlight w:val="none"/>
        </w:rPr>
        <w:t>7.3</w:t>
      </w:r>
      <w:r>
        <w:rPr>
          <w:rFonts w:hint="eastAsia" w:hAnsi="宋体" w:cs="宋体"/>
          <w:snapToGrid w:val="0"/>
          <w:color w:val="auto"/>
          <w:kern w:val="0"/>
          <w:szCs w:val="24"/>
          <w:highlight w:val="none"/>
        </w:rPr>
        <w:t xml:space="preserve"> 仲裁或诉讼</w:t>
      </w:r>
      <w:bookmarkEnd w:id="282"/>
      <w:bookmarkEnd w:id="283"/>
      <w:bookmarkEnd w:id="284"/>
      <w:bookmarkEnd w:id="285"/>
      <w:bookmarkEnd w:id="286"/>
    </w:p>
    <w:p w14:paraId="61528E4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双方均有权不经调解直接向专用条件约定的仲裁机构申请仲裁或向有管辖权的人民法院提起诉讼。</w:t>
      </w:r>
    </w:p>
    <w:p w14:paraId="0E711EE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本合同争议的最终解决方式为下列第</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u w:val="single"/>
          <w:lang w:val="en-US" w:eastAsia="zh-CN"/>
        </w:rPr>
        <w:t>2</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种方式：</w:t>
      </w:r>
    </w:p>
    <w:p w14:paraId="11E3E449">
      <w:pPr>
        <w:keepNext w:val="0"/>
        <w:keepLines w:val="0"/>
        <w:pageBreakBefore w:val="0"/>
        <w:widowControl w:val="0"/>
        <w:kinsoku/>
        <w:wordWrap w:val="0"/>
        <w:overflowPunct/>
        <w:topLinePunct w:val="0"/>
        <w:autoSpaceDE/>
        <w:autoSpaceDN/>
        <w:bidi w:val="0"/>
        <w:adjustRightInd w:val="0"/>
        <w:spacing w:line="360" w:lineRule="auto"/>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（1）提请</w:t>
      </w:r>
      <w:r>
        <w:rPr>
          <w:rFonts w:hint="eastAsia" w:hAnsi="宋体" w:cs="宋体"/>
          <w:snapToGrid w:val="0"/>
          <w:color w:val="auto"/>
          <w:kern w:val="0"/>
          <w:highlight w:val="none"/>
          <w:u w:val="single"/>
        </w:rPr>
        <w:t xml:space="preserve"> </w:t>
      </w:r>
      <w:r>
        <w:rPr>
          <w:rFonts w:hint="eastAsia" w:ascii="Times New Roman"/>
          <w:snapToGrid w:val="0"/>
          <w:color w:val="auto"/>
          <w:kern w:val="0"/>
          <w:highlight w:val="none"/>
          <w:u w:val="single"/>
          <w:lang w:val="en-US" w:eastAsia="zh-CN"/>
        </w:rPr>
        <w:t>翁源县</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仲裁委员会进行仲裁。</w:t>
      </w:r>
    </w:p>
    <w:p w14:paraId="547019AC">
      <w:pPr>
        <w:keepNext w:val="0"/>
        <w:keepLines w:val="0"/>
        <w:pageBreakBefore w:val="0"/>
        <w:widowControl w:val="0"/>
        <w:kinsoku/>
        <w:wordWrap w:val="0"/>
        <w:overflowPunct/>
        <w:topLinePunct w:val="0"/>
        <w:autoSpaceDE/>
        <w:autoSpaceDN/>
        <w:bidi w:val="0"/>
        <w:adjustRightInd w:val="0"/>
        <w:spacing w:line="360" w:lineRule="auto"/>
        <w:ind w:firstLine="480" w:firstLineChars="200"/>
        <w:textAlignment w:val="auto"/>
        <w:rPr>
          <w:color w:val="auto"/>
          <w:highlight w:val="none"/>
        </w:rPr>
      </w:pPr>
      <w:r>
        <w:rPr>
          <w:rFonts w:hint="eastAsia" w:hAnsi="宋体" w:cs="宋体"/>
          <w:snapToGrid w:val="0"/>
          <w:color w:val="auto"/>
          <w:kern w:val="0"/>
          <w:highlight w:val="none"/>
        </w:rPr>
        <w:t>（2）向</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翁源县</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人民法院提起诉讼。</w:t>
      </w:r>
    </w:p>
    <w:p w14:paraId="45635C7C">
      <w:pPr>
        <w:pStyle w:val="38"/>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2BD5F75F">
      <w:pPr>
        <w:pStyle w:val="38"/>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02406185">
      <w:pPr>
        <w:pStyle w:val="38"/>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7954D41">
      <w:pPr>
        <w:pStyle w:val="38"/>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4454FEDC">
      <w:pPr>
        <w:pStyle w:val="38"/>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bookmarkEnd w:id="82"/>
    <w:p w14:paraId="00DFB3FB">
      <w:pPr>
        <w:pStyle w:val="2"/>
        <w:tabs>
          <w:tab w:val="left" w:pos="885"/>
        </w:tabs>
        <w:wordWrap w:val="0"/>
        <w:autoSpaceDE/>
        <w:autoSpaceDN/>
        <w:snapToGrid w:val="0"/>
        <w:spacing w:line="440" w:lineRule="exact"/>
        <w:ind w:left="885" w:hanging="885"/>
        <w:jc w:val="center"/>
        <w:rPr>
          <w:rFonts w:ascii="Times New Roman"/>
          <w:b/>
          <w:snapToGrid w:val="0"/>
          <w:color w:val="auto"/>
          <w:sz w:val="32"/>
          <w:szCs w:val="22"/>
          <w:highlight w:val="none"/>
        </w:rPr>
      </w:pPr>
      <w:bookmarkStart w:id="287" w:name="_Toc29177"/>
      <w:bookmarkStart w:id="288" w:name="_Toc21669"/>
      <w:bookmarkStart w:id="289" w:name="_Toc12650"/>
      <w:bookmarkStart w:id="290" w:name="_Hlt69698796"/>
      <w:r>
        <w:rPr>
          <w:rFonts w:hint="eastAsia" w:ascii="Times New Roman"/>
          <w:b/>
          <w:snapToGrid w:val="0"/>
          <w:color w:val="auto"/>
          <w:sz w:val="32"/>
          <w:szCs w:val="22"/>
          <w:highlight w:val="none"/>
        </w:rPr>
        <w:t>第四章</w:t>
      </w:r>
      <w:bookmarkStart w:id="291" w:name="_Hlt87793853"/>
      <w:bookmarkEnd w:id="291"/>
      <w:r>
        <w:rPr>
          <w:rFonts w:hint="eastAsia" w:ascii="Times New Roman"/>
          <w:b/>
          <w:snapToGrid w:val="0"/>
          <w:color w:val="auto"/>
          <w:sz w:val="32"/>
          <w:szCs w:val="22"/>
          <w:highlight w:val="none"/>
        </w:rPr>
        <w:t xml:space="preserve"> 技术要求</w:t>
      </w:r>
      <w:bookmarkEnd w:id="287"/>
      <w:bookmarkEnd w:id="288"/>
      <w:bookmarkEnd w:id="289"/>
    </w:p>
    <w:bookmarkEnd w:id="290"/>
    <w:p w14:paraId="69F644B1">
      <w:pPr>
        <w:wordWrap w:val="0"/>
        <w:adjustRightInd w:val="0"/>
        <w:snapToGrid w:val="0"/>
        <w:spacing w:line="440" w:lineRule="exact"/>
        <w:rPr>
          <w:rFonts w:hint="eastAsia" w:hAnsi="宋体" w:cs="宋体"/>
          <w:bCs/>
          <w:snapToGrid w:val="0"/>
          <w:color w:val="auto"/>
          <w:kern w:val="0"/>
          <w:highlight w:val="none"/>
        </w:rPr>
      </w:pPr>
      <w:bookmarkStart w:id="292" w:name="_Hlt66104926"/>
      <w:bookmarkEnd w:id="292"/>
      <w:bookmarkStart w:id="293" w:name="_Hlt69358207"/>
      <w:bookmarkEnd w:id="293"/>
      <w:bookmarkStart w:id="294" w:name="_Hlt75685840"/>
      <w:bookmarkEnd w:id="294"/>
      <w:bookmarkStart w:id="295" w:name="_Hlt80411122"/>
      <w:bookmarkEnd w:id="295"/>
      <w:bookmarkStart w:id="296" w:name="_Hlt87793370"/>
      <w:bookmarkEnd w:id="296"/>
      <w:bookmarkStart w:id="297" w:name="_Hlt69359335"/>
      <w:bookmarkEnd w:id="297"/>
      <w:bookmarkStart w:id="298" w:name="_Hlt87793346"/>
      <w:bookmarkEnd w:id="298"/>
      <w:bookmarkStart w:id="299" w:name="_Hlt69357851"/>
      <w:bookmarkEnd w:id="299"/>
      <w:bookmarkStart w:id="300" w:name="_Hlt69265216"/>
      <w:bookmarkEnd w:id="300"/>
      <w:bookmarkStart w:id="301" w:name="_Hlt69116854"/>
      <w:bookmarkEnd w:id="301"/>
      <w:bookmarkStart w:id="302" w:name="_Hlt68774758"/>
      <w:bookmarkEnd w:id="302"/>
      <w:bookmarkStart w:id="303" w:name="_Toc7515"/>
      <w:bookmarkStart w:id="304" w:name="_Toc2392"/>
    </w:p>
    <w:bookmarkEnd w:id="303"/>
    <w:bookmarkEnd w:id="304"/>
    <w:p w14:paraId="1ECFD6A4">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bookmarkStart w:id="305" w:name="_Hlt69635247"/>
      <w:bookmarkEnd w:id="305"/>
      <w:bookmarkStart w:id="306" w:name="_Hlt69116863"/>
      <w:bookmarkEnd w:id="306"/>
      <w:bookmarkStart w:id="307" w:name="_Hlt69265207"/>
      <w:bookmarkEnd w:id="307"/>
      <w:bookmarkStart w:id="308" w:name="_Hlt66848640"/>
      <w:bookmarkEnd w:id="308"/>
      <w:bookmarkStart w:id="309" w:name="_Hlt69358336"/>
      <w:bookmarkEnd w:id="309"/>
      <w:bookmarkStart w:id="310" w:name="_Hlt69338190"/>
      <w:bookmarkEnd w:id="310"/>
      <w:bookmarkStart w:id="311" w:name="_Toc29899"/>
      <w:bookmarkStart w:id="312" w:name="_Toc29213"/>
      <w:bookmarkStart w:id="313" w:name="_Toc25992"/>
      <w:bookmarkStart w:id="314" w:name="_Toc22126"/>
      <w:bookmarkStart w:id="315" w:name="_Toc16011"/>
      <w:bookmarkStart w:id="316" w:name="_Hlt69698785"/>
      <w:r>
        <w:rPr>
          <w:rFonts w:hint="eastAsia" w:ascii="宋体" w:hAnsi="宋体" w:eastAsia="宋体" w:cs="宋体"/>
          <w:b/>
          <w:snapToGrid w:val="0"/>
          <w:color w:val="auto"/>
          <w:kern w:val="0"/>
          <w:highlight w:val="none"/>
        </w:rPr>
        <w:t>1．房屋建筑工程建设项目</w:t>
      </w:r>
      <w:bookmarkEnd w:id="311"/>
      <w:bookmarkEnd w:id="312"/>
      <w:bookmarkEnd w:id="313"/>
      <w:bookmarkEnd w:id="314"/>
    </w:p>
    <w:p w14:paraId="4B9FF91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bookmarkStart w:id="317" w:name="_Hlt69359245"/>
      <w:bookmarkEnd w:id="317"/>
      <w:bookmarkStart w:id="318" w:name="_Hlt69359243"/>
      <w:bookmarkEnd w:id="318"/>
      <w:bookmarkStart w:id="319" w:name="_Hlt69116858"/>
      <w:bookmarkEnd w:id="319"/>
      <w:bookmarkStart w:id="320" w:name="_Hlt69359086"/>
      <w:bookmarkEnd w:id="320"/>
      <w:bookmarkStart w:id="321" w:name="_Hlt69635252"/>
      <w:bookmarkEnd w:id="321"/>
      <w:bookmarkStart w:id="322" w:name="_Hlt78709799"/>
      <w:bookmarkEnd w:id="322"/>
      <w:bookmarkStart w:id="323" w:name="_Hlt69358458"/>
      <w:bookmarkEnd w:id="323"/>
      <w:r>
        <w:rPr>
          <w:rFonts w:hint="eastAsia" w:ascii="宋体" w:hAnsi="宋体" w:eastAsia="宋体" w:cs="宋体"/>
          <w:b w:val="0"/>
          <w:bCs/>
          <w:caps w:val="0"/>
          <w:smallCaps w:val="0"/>
          <w:snapToGrid w:val="0"/>
          <w:color w:val="auto"/>
          <w:spacing w:val="0"/>
          <w:kern w:val="0"/>
          <w:highlight w:val="none"/>
          <w:lang w:eastAsia="zh-CN"/>
        </w:rPr>
        <w:t>房屋建筑工程建设项目必须执行的现行技术规范，包括且不限于：</w:t>
      </w:r>
    </w:p>
    <w:p w14:paraId="6EFD45B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《建筑工程施工质量验收统一标准》；</w:t>
      </w:r>
    </w:p>
    <w:p w14:paraId="2AFE1AB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《建筑地基基础工程施工质量验收规范》；</w:t>
      </w:r>
    </w:p>
    <w:p w14:paraId="2382E13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《砌体工程施工质量验收规范》；</w:t>
      </w:r>
    </w:p>
    <w:p w14:paraId="2A76B62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《混凝土结构工程施工质量验收规范》；</w:t>
      </w:r>
    </w:p>
    <w:p w14:paraId="5ED1B4E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《屋面工程质量验收规范》；</w:t>
      </w:r>
    </w:p>
    <w:p w14:paraId="33A489D3">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《地下防水工程质量验收规范》；</w:t>
      </w:r>
    </w:p>
    <w:p w14:paraId="4E6FF6B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bookmarkStart w:id="324" w:name="_Hlt78795211"/>
      <w:bookmarkEnd w:id="324"/>
      <w:r>
        <w:rPr>
          <w:rFonts w:hint="eastAsia" w:ascii="宋体" w:hAnsi="宋体" w:eastAsia="宋体" w:cs="宋体"/>
          <w:b w:val="0"/>
          <w:bCs/>
          <w:caps w:val="0"/>
          <w:smallCaps w:val="0"/>
          <w:snapToGrid w:val="0"/>
          <w:color w:val="auto"/>
          <w:spacing w:val="0"/>
          <w:kern w:val="0"/>
          <w:highlight w:val="none"/>
        </w:rPr>
        <w:t>《建筑地面工程施工质量验收规范》；</w:t>
      </w:r>
    </w:p>
    <w:p w14:paraId="39CE731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《建筑装饰装修工程施工质量验收规范》；</w:t>
      </w:r>
    </w:p>
    <w:p w14:paraId="7C04B7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《建筑给排水及采暖工程施工质量验收规范》；</w:t>
      </w:r>
    </w:p>
    <w:p w14:paraId="1A832710">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《建筑电气工程施工质量验收规范》；</w:t>
      </w:r>
    </w:p>
    <w:p w14:paraId="3E48EFC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（11）《住建部绿色建筑评价标准》；</w:t>
      </w:r>
    </w:p>
    <w:p w14:paraId="51C413A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（12）《建筑节能与可再生能源利用通用规范》（GB55015-2021）；</w:t>
      </w:r>
    </w:p>
    <w:p w14:paraId="42DB23A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（13）《建筑环境通用规范》；</w:t>
      </w:r>
    </w:p>
    <w:p w14:paraId="37CBC5F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14</w:t>
      </w:r>
      <w:r>
        <w:rPr>
          <w:rFonts w:hint="eastAsia" w:ascii="宋体" w:hAnsi="宋体" w:eastAsia="宋体" w:cs="宋体"/>
          <w:b w:val="0"/>
          <w:bCs/>
          <w:caps w:val="0"/>
          <w:smallCaps w:val="0"/>
          <w:snapToGrid w:val="0"/>
          <w:color w:val="auto"/>
          <w:spacing w:val="0"/>
          <w:kern w:val="0"/>
          <w:highlight w:val="none"/>
          <w:lang w:eastAsia="zh-CN"/>
        </w:rPr>
        <w:t>）《广东省住房和城乡建设厅绿色施工导则》；</w:t>
      </w:r>
    </w:p>
    <w:p w14:paraId="45C9051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15</w:t>
      </w:r>
      <w:r>
        <w:rPr>
          <w:rFonts w:hint="eastAsia" w:ascii="宋体" w:hAnsi="宋体" w:eastAsia="宋体" w:cs="宋体"/>
          <w:b w:val="0"/>
          <w:bCs/>
          <w:caps w:val="0"/>
          <w:smallCaps w:val="0"/>
          <w:snapToGrid w:val="0"/>
          <w:color w:val="auto"/>
          <w:spacing w:val="0"/>
          <w:kern w:val="0"/>
          <w:highlight w:val="none"/>
          <w:lang w:eastAsia="zh-CN"/>
        </w:rPr>
        <w:t>）《广东省建筑工程绿色施工评价标准》；</w:t>
      </w:r>
    </w:p>
    <w:p w14:paraId="56DD458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（16）《广东省建筑节能与绿色建筑工程施工质量验收规范》</w:t>
      </w:r>
    </w:p>
    <w:p w14:paraId="0AA7F84B">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其他现行国家</w:t>
      </w:r>
      <w:r>
        <w:rPr>
          <w:rFonts w:hint="eastAsia" w:ascii="宋体" w:hAnsi="宋体" w:eastAsia="宋体" w:cs="宋体"/>
          <w:b w:val="0"/>
          <w:bCs/>
          <w:caps w:val="0"/>
          <w:smallCaps w:val="0"/>
          <w:snapToGrid w:val="0"/>
          <w:color w:val="auto"/>
          <w:spacing w:val="0"/>
          <w:kern w:val="0"/>
          <w:highlight w:val="none"/>
          <w:lang w:eastAsia="zh-CN"/>
        </w:rPr>
        <w:t>、广东省关于房建工程的</w:t>
      </w:r>
      <w:r>
        <w:rPr>
          <w:rFonts w:hint="eastAsia" w:ascii="宋体" w:hAnsi="宋体" w:eastAsia="宋体" w:cs="宋体"/>
          <w:b w:val="0"/>
          <w:bCs/>
          <w:caps w:val="0"/>
          <w:smallCaps w:val="0"/>
          <w:snapToGrid w:val="0"/>
          <w:color w:val="auto"/>
          <w:spacing w:val="0"/>
          <w:kern w:val="0"/>
          <w:highlight w:val="none"/>
        </w:rPr>
        <w:t>施工</w:t>
      </w:r>
      <w:r>
        <w:rPr>
          <w:rFonts w:hint="eastAsia" w:ascii="宋体" w:hAnsi="宋体" w:eastAsia="宋体" w:cs="宋体"/>
          <w:b w:val="0"/>
          <w:bCs/>
          <w:caps w:val="0"/>
          <w:smallCaps w:val="0"/>
          <w:snapToGrid w:val="0"/>
          <w:color w:val="auto"/>
          <w:spacing w:val="0"/>
          <w:kern w:val="0"/>
          <w:highlight w:val="none"/>
          <w:lang w:eastAsia="zh-CN"/>
        </w:rPr>
        <w:t>及验收</w:t>
      </w:r>
      <w:r>
        <w:rPr>
          <w:rFonts w:hint="eastAsia" w:ascii="宋体" w:hAnsi="宋体" w:eastAsia="宋体" w:cs="宋体"/>
          <w:b w:val="0"/>
          <w:bCs/>
          <w:caps w:val="0"/>
          <w:smallCaps w:val="0"/>
          <w:snapToGrid w:val="0"/>
          <w:color w:val="auto"/>
          <w:spacing w:val="0"/>
          <w:kern w:val="0"/>
          <w:highlight w:val="none"/>
        </w:rPr>
        <w:t>规范</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w:t>
      </w:r>
      <w:r>
        <w:rPr>
          <w:rFonts w:hint="eastAsia" w:ascii="宋体" w:hAnsi="宋体" w:eastAsia="宋体" w:cs="宋体"/>
          <w:b w:val="0"/>
          <w:bCs/>
          <w:caps w:val="0"/>
          <w:smallCaps w:val="0"/>
          <w:snapToGrid w:val="0"/>
          <w:color w:val="auto"/>
          <w:spacing w:val="0"/>
          <w:kern w:val="0"/>
          <w:highlight w:val="none"/>
        </w:rPr>
        <w:t>标准。</w:t>
      </w:r>
    </w:p>
    <w:p w14:paraId="45654C5C">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Cs/>
          <w:snapToGrid w:val="0"/>
          <w:color w:val="auto"/>
          <w:kern w:val="0"/>
          <w:highlight w:val="none"/>
        </w:rPr>
      </w:pPr>
    </w:p>
    <w:p w14:paraId="019DA053">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Cs/>
          <w:snapToGrid w:val="0"/>
          <w:color w:val="auto"/>
          <w:kern w:val="0"/>
          <w:highlight w:val="none"/>
        </w:rPr>
      </w:pPr>
      <w:bookmarkStart w:id="325" w:name="_Toc3631"/>
      <w:bookmarkStart w:id="326" w:name="_Toc2706"/>
      <w:bookmarkStart w:id="327" w:name="_Toc23789"/>
      <w:bookmarkStart w:id="328" w:name="_Toc16196"/>
      <w:r>
        <w:rPr>
          <w:rFonts w:hint="eastAsia" w:ascii="宋体" w:hAnsi="宋体" w:eastAsia="宋体" w:cs="宋体"/>
          <w:b/>
          <w:snapToGrid w:val="0"/>
          <w:color w:val="auto"/>
          <w:kern w:val="0"/>
          <w:highlight w:val="none"/>
        </w:rPr>
        <w:t>2．市政基础设施工程建设项目</w:t>
      </w:r>
      <w:bookmarkEnd w:id="325"/>
      <w:bookmarkEnd w:id="326"/>
      <w:bookmarkEnd w:id="327"/>
      <w:bookmarkEnd w:id="328"/>
    </w:p>
    <w:p w14:paraId="499DBC66">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 w:val="0"/>
          <w:bCs/>
          <w:snapToGrid w:val="0"/>
          <w:color w:val="auto"/>
          <w:kern w:val="0"/>
          <w:szCs w:val="28"/>
          <w:highlight w:val="none"/>
        </w:rPr>
      </w:pPr>
      <w:r>
        <w:rPr>
          <w:rFonts w:hint="eastAsia" w:ascii="宋体" w:hAnsi="宋体" w:eastAsia="宋体" w:cs="宋体"/>
          <w:b w:val="0"/>
          <w:bCs/>
          <w:snapToGrid w:val="0"/>
          <w:color w:val="auto"/>
          <w:kern w:val="0"/>
          <w:highlight w:val="none"/>
        </w:rPr>
        <w:t>市政基础设施工程建设项目必须执行的现行技术规范，包括且不限于：</w:t>
      </w:r>
    </w:p>
    <w:p w14:paraId="444FEA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lang w:val="en-US" w:eastAsia="zh-CN"/>
        </w:rPr>
        <w:t>1</w:t>
      </w: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rPr>
        <w:t>《公路路基施工技术规范》</w:t>
      </w:r>
      <w:r>
        <w:rPr>
          <w:rFonts w:hint="eastAsia" w:ascii="宋体" w:hAnsi="宋体" w:eastAsia="宋体" w:cs="宋体"/>
          <w:b w:val="0"/>
          <w:bCs/>
          <w:caps w:val="0"/>
          <w:smallCaps w:val="0"/>
          <w:snapToGrid w:val="0"/>
          <w:color w:val="auto"/>
          <w:spacing w:val="0"/>
          <w:kern w:val="0"/>
          <w:highlight w:val="none"/>
        </w:rPr>
        <w:t>；</w:t>
      </w:r>
    </w:p>
    <w:p w14:paraId="308030B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《市政道路工程质量检验评定标准》；</w:t>
      </w:r>
    </w:p>
    <w:p w14:paraId="40CE13C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《市政排水管渠工程质量检验评定标准》；</w:t>
      </w:r>
    </w:p>
    <w:p w14:paraId="0BBF4B9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《给水排水管道工程施工及验收规范》；</w:t>
      </w:r>
    </w:p>
    <w:p w14:paraId="45EE277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《城市道路路基工程施工及验收规范》；</w:t>
      </w:r>
    </w:p>
    <w:p w14:paraId="3F50DB6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《水泥砼路面施工及验收规范》；</w:t>
      </w:r>
    </w:p>
    <w:p w14:paraId="08D3BB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《公路水泥砼路面施工技术规范》；</w:t>
      </w:r>
    </w:p>
    <w:p w14:paraId="1D6C46CE">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《埋地硬聚氯乙烯排水管道工程技术规程》；</w:t>
      </w:r>
    </w:p>
    <w:p w14:paraId="6CA9A66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《沥青路面施工及验收规范》；</w:t>
      </w:r>
    </w:p>
    <w:p w14:paraId="750FA0F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《广东省</w:t>
      </w:r>
      <w:r>
        <w:rPr>
          <w:rFonts w:hint="eastAsia" w:ascii="宋体" w:hAnsi="宋体" w:eastAsia="宋体" w:cs="宋体"/>
          <w:b w:val="0"/>
          <w:bCs/>
          <w:caps w:val="0"/>
          <w:smallCaps w:val="0"/>
          <w:snapToGrid w:val="0"/>
          <w:color w:val="auto"/>
          <w:spacing w:val="0"/>
          <w:kern w:val="0"/>
          <w:highlight w:val="none"/>
          <w:lang w:eastAsia="zh-CN"/>
        </w:rPr>
        <w:t>市政</w:t>
      </w:r>
      <w:r>
        <w:rPr>
          <w:rFonts w:hint="eastAsia" w:ascii="宋体" w:hAnsi="宋体" w:eastAsia="宋体" w:cs="宋体"/>
          <w:b w:val="0"/>
          <w:bCs/>
          <w:caps w:val="0"/>
          <w:smallCaps w:val="0"/>
          <w:snapToGrid w:val="0"/>
          <w:color w:val="auto"/>
          <w:spacing w:val="0"/>
          <w:kern w:val="0"/>
          <w:highlight w:val="none"/>
        </w:rPr>
        <w:t>工程施工质量技术资料统一用表》。</w:t>
      </w:r>
    </w:p>
    <w:p w14:paraId="27EDDC2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329" w:name="_Toc20464"/>
      <w:bookmarkStart w:id="330" w:name="_Toc8840"/>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i w:val="0"/>
          <w:iCs w:val="0"/>
          <w:color w:val="auto"/>
          <w:kern w:val="0"/>
          <w:szCs w:val="21"/>
          <w:highlight w:val="none"/>
        </w:rPr>
        <w:t>《城市道路照明设计标准》（CJJ45-2015）；</w:t>
      </w:r>
      <w:bookmarkEnd w:id="329"/>
      <w:bookmarkEnd w:id="330"/>
    </w:p>
    <w:p w14:paraId="01A36CBB">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szCs w:val="21"/>
          <w:highlight w:val="none"/>
        </w:rPr>
      </w:pPr>
      <w:bookmarkStart w:id="331" w:name="_Toc8828"/>
      <w:bookmarkStart w:id="332" w:name="_Toc12769"/>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12</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《低压配电设计规范》（GB50054-2011）；</w:t>
      </w:r>
      <w:bookmarkEnd w:id="331"/>
      <w:bookmarkEnd w:id="332"/>
    </w:p>
    <w:p w14:paraId="59EE4D3F">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333" w:name="_Toc5338"/>
      <w:bookmarkStart w:id="334" w:name="_Toc17054"/>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13</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《城市道路照明工程施工及验收规程》（CJJ89-2012）；</w:t>
      </w:r>
      <w:bookmarkEnd w:id="333"/>
      <w:bookmarkEnd w:id="334"/>
    </w:p>
    <w:p w14:paraId="17E5A6B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lang w:val="en-US" w:eastAsia="zh-CN"/>
        </w:rPr>
      </w:pPr>
      <w:bookmarkStart w:id="335" w:name="_Toc17302"/>
      <w:bookmarkStart w:id="336" w:name="_Toc15704"/>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14</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LED道路照明工程技术规范</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DB44/T 1898-2016</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bookmarkEnd w:id="335"/>
      <w:bookmarkEnd w:id="336"/>
    </w:p>
    <w:p w14:paraId="0F08A875">
      <w:pPr>
        <w:pStyle w:val="152"/>
        <w:keepNext w:val="0"/>
        <w:keepLines w:val="0"/>
        <w:pageBreakBefore w:val="0"/>
        <w:kinsoku/>
        <w:overflowPunct/>
        <w:topLinePunct w:val="0"/>
        <w:bidi w:val="0"/>
        <w:spacing w:line="500" w:lineRule="exact"/>
        <w:ind w:left="0" w:leftChars="0" w:firstLine="480" w:firstLineChars="200"/>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15</w:t>
      </w:r>
      <w:r>
        <w:rPr>
          <w:rFonts w:hint="eastAsia" w:ascii="宋体" w:hAnsi="宋体" w:eastAsia="宋体" w:cs="宋体"/>
          <w:b w:val="0"/>
          <w:bCs/>
          <w:i w:val="0"/>
          <w:iCs w:val="0"/>
          <w:color w:val="auto"/>
          <w:kern w:val="0"/>
          <w:szCs w:val="21"/>
          <w:highlight w:val="none"/>
          <w:lang w:eastAsia="zh-CN"/>
        </w:rPr>
        <w:t>）《灯具第</w:t>
      </w:r>
      <w:r>
        <w:rPr>
          <w:rFonts w:hint="eastAsia" w:ascii="宋体" w:hAnsi="宋体" w:eastAsia="宋体" w:cs="宋体"/>
          <w:b w:val="0"/>
          <w:bCs/>
          <w:i w:val="0"/>
          <w:iCs w:val="0"/>
          <w:color w:val="auto"/>
          <w:kern w:val="0"/>
          <w:szCs w:val="21"/>
          <w:highlight w:val="none"/>
          <w:lang w:val="en-US" w:eastAsia="zh-CN"/>
        </w:rPr>
        <w:t>1部分：一般要求与试验</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GB7000.1-2015</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p>
    <w:p w14:paraId="64E0630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16</w:t>
      </w:r>
      <w:r>
        <w:rPr>
          <w:rFonts w:hint="eastAsia" w:ascii="宋体" w:hAnsi="宋体" w:eastAsia="宋体" w:cs="宋体"/>
          <w:b w:val="0"/>
          <w:bCs/>
          <w:i w:val="0"/>
          <w:iCs w:val="0"/>
          <w:color w:val="auto"/>
          <w:kern w:val="0"/>
          <w:szCs w:val="21"/>
          <w:highlight w:val="none"/>
          <w:lang w:eastAsia="zh-CN"/>
        </w:rPr>
        <w:t>）《电缆工程电缆设计标准》（</w:t>
      </w:r>
      <w:r>
        <w:rPr>
          <w:rFonts w:hint="eastAsia" w:ascii="宋体" w:hAnsi="宋体" w:eastAsia="宋体" w:cs="宋体"/>
          <w:b w:val="0"/>
          <w:bCs/>
          <w:i w:val="0"/>
          <w:iCs w:val="0"/>
          <w:color w:val="auto"/>
          <w:kern w:val="0"/>
          <w:szCs w:val="21"/>
          <w:highlight w:val="none"/>
          <w:lang w:val="en-US" w:eastAsia="zh-CN"/>
        </w:rPr>
        <w:t>GB50217-2018</w:t>
      </w:r>
      <w:r>
        <w:rPr>
          <w:rFonts w:hint="eastAsia" w:ascii="宋体" w:hAnsi="宋体" w:eastAsia="宋体" w:cs="宋体"/>
          <w:b w:val="0"/>
          <w:bCs/>
          <w:i w:val="0"/>
          <w:iCs w:val="0"/>
          <w:color w:val="auto"/>
          <w:kern w:val="0"/>
          <w:szCs w:val="21"/>
          <w:highlight w:val="none"/>
          <w:lang w:eastAsia="zh-CN"/>
        </w:rPr>
        <w:t>）；</w:t>
      </w:r>
    </w:p>
    <w:p w14:paraId="5900E6A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lang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）其他现行国家、广东省关于市政工程的技术及验收规范、</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规程、标准。</w:t>
      </w:r>
    </w:p>
    <w:p w14:paraId="2BD73719">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p>
    <w:p w14:paraId="20839665">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bookmarkStart w:id="337" w:name="_Toc5246"/>
      <w:bookmarkStart w:id="338" w:name="_Toc20571"/>
      <w:r>
        <w:rPr>
          <w:rFonts w:hint="eastAsia" w:ascii="宋体" w:hAnsi="宋体" w:eastAsia="宋体" w:cs="宋体"/>
          <w:b/>
          <w:snapToGrid w:val="0"/>
          <w:color w:val="auto"/>
          <w:kern w:val="0"/>
          <w:highlight w:val="none"/>
        </w:rPr>
        <w:t>3．备查要求</w:t>
      </w:r>
      <w:bookmarkEnd w:id="337"/>
      <w:bookmarkEnd w:id="338"/>
    </w:p>
    <w:p w14:paraId="06C3D4AC">
      <w:pPr>
        <w:keepNext w:val="0"/>
        <w:keepLines w:val="0"/>
        <w:pageBreakBefore w:val="0"/>
        <w:kinsoku/>
        <w:wordWrap w:val="0"/>
        <w:overflowPunct/>
        <w:topLinePunct w:val="0"/>
        <w:bidi w:val="0"/>
        <w:adjustRightInd w:val="0"/>
        <w:snapToGrid w:val="0"/>
        <w:spacing w:line="500" w:lineRule="exact"/>
        <w:ind w:firstLine="560"/>
        <w:rPr>
          <w:rFonts w:hint="eastAsia" w:ascii="宋体" w:hAnsi="宋体" w:eastAsia="宋体" w:cs="宋体"/>
          <w:strike/>
          <w:snapToGrid w:val="0"/>
          <w:color w:val="auto"/>
          <w:kern w:val="0"/>
          <w:highlight w:val="none"/>
        </w:rPr>
        <w:sectPr>
          <w:endnotePr>
            <w:numFmt w:val="decimal"/>
          </w:endnotePr>
          <w:pgSz w:w="11906" w:h="16838"/>
          <w:pgMar w:top="1417" w:right="1417" w:bottom="1417" w:left="1417" w:header="850" w:footer="992" w:gutter="0"/>
          <w:pgNumType w:fmt="decimal"/>
          <w:cols w:space="0" w:num="1"/>
          <w:rtlGutter w:val="0"/>
          <w:docGrid w:linePitch="327" w:charSpace="0"/>
        </w:sectPr>
      </w:pPr>
      <w:r>
        <w:rPr>
          <w:rFonts w:hint="eastAsia" w:ascii="宋体" w:hAnsi="宋体" w:eastAsia="宋体" w:cs="宋体"/>
          <w:b w:val="0"/>
          <w:bCs/>
          <w:snapToGrid w:val="0"/>
          <w:color w:val="auto"/>
          <w:kern w:val="0"/>
          <w:highlight w:val="none"/>
        </w:rPr>
        <w:t>监理人必须在施工现场准备至少一套上述规范，委托人可随时检</w:t>
      </w:r>
      <w:r>
        <w:rPr>
          <w:rFonts w:hint="eastAsia" w:ascii="宋体" w:hAnsi="宋体" w:eastAsia="宋体" w:cs="宋体"/>
          <w:bCs/>
          <w:snapToGrid w:val="0"/>
          <w:color w:val="auto"/>
          <w:kern w:val="0"/>
          <w:highlight w:val="none"/>
        </w:rPr>
        <w:t>查监理人的上述规范，并监督监理人按规范要求执行。</w:t>
      </w:r>
      <w:bookmarkStart w:id="339" w:name="_Hlt69670335"/>
      <w:bookmarkEnd w:id="339"/>
    </w:p>
    <w:p w14:paraId="2C01AB53">
      <w:pPr>
        <w:pStyle w:val="2"/>
        <w:wordWrap w:val="0"/>
        <w:autoSpaceDE/>
        <w:autoSpaceDN/>
        <w:snapToGrid w:val="0"/>
        <w:spacing w:line="440" w:lineRule="exact"/>
        <w:jc w:val="center"/>
        <w:rPr>
          <w:rFonts w:ascii="Times New Roman"/>
          <w:b/>
          <w:snapToGrid w:val="0"/>
          <w:color w:val="auto"/>
          <w:sz w:val="32"/>
          <w:szCs w:val="22"/>
          <w:highlight w:val="none"/>
        </w:rPr>
      </w:pPr>
      <w:bookmarkStart w:id="340" w:name="_Toc31650"/>
      <w:r>
        <w:rPr>
          <w:rFonts w:hint="eastAsia" w:ascii="Times New Roman"/>
          <w:b/>
          <w:snapToGrid w:val="0"/>
          <w:color w:val="auto"/>
          <w:sz w:val="32"/>
          <w:szCs w:val="22"/>
          <w:highlight w:val="none"/>
        </w:rPr>
        <w:t xml:space="preserve">第五章 </w:t>
      </w:r>
      <w:bookmarkStart w:id="341" w:name="_Hlt75747044"/>
      <w:bookmarkEnd w:id="341"/>
      <w:r>
        <w:rPr>
          <w:rFonts w:hint="eastAsia" w:ascii="Times New Roman"/>
          <w:b/>
          <w:snapToGrid w:val="0"/>
          <w:color w:val="auto"/>
          <w:sz w:val="32"/>
          <w:szCs w:val="22"/>
          <w:highlight w:val="none"/>
        </w:rPr>
        <w:t>投标文件格式</w:t>
      </w:r>
      <w:bookmarkEnd w:id="315"/>
      <w:bookmarkEnd w:id="340"/>
    </w:p>
    <w:bookmarkEnd w:id="316"/>
    <w:p w14:paraId="7A6D8682">
      <w:pPr>
        <w:pStyle w:val="70"/>
        <w:keepNext w:val="0"/>
        <w:keepLines w:val="0"/>
        <w:widowControl w:val="0"/>
        <w:wordWrap w:val="0"/>
        <w:adjustRightInd w:val="0"/>
        <w:snapToGrid w:val="0"/>
        <w:spacing w:before="0" w:after="0" w:line="240" w:lineRule="auto"/>
        <w:ind w:left="3640" w:leftChars="15" w:hanging="3604" w:hangingChars="1496"/>
        <w:jc w:val="both"/>
        <w:outlineLvl w:val="9"/>
        <w:rPr>
          <w:rFonts w:ascii="Times New Roman"/>
          <w:b/>
          <w:snapToGrid w:val="0"/>
          <w:color w:val="auto"/>
          <w:highlight w:val="none"/>
        </w:rPr>
      </w:pPr>
      <w:bookmarkStart w:id="342" w:name="_附件二：近三年度主要施工项目（竣工及在建）一览表"/>
      <w:bookmarkEnd w:id="342"/>
      <w:bookmarkStart w:id="343" w:name="_附件五：综合评审合理低价法"/>
      <w:bookmarkEnd w:id="343"/>
      <w:bookmarkStart w:id="344" w:name="_附件二：工期承诺书"/>
      <w:bookmarkEnd w:id="344"/>
      <w:bookmarkStart w:id="345" w:name="_附件一：投标函"/>
      <w:bookmarkEnd w:id="345"/>
      <w:bookmarkStart w:id="346" w:name="_附件四：工期承诺书"/>
      <w:bookmarkEnd w:id="346"/>
      <w:bookmarkStart w:id="347" w:name="_附件一：对招标文件条款自愿接受承诺书"/>
      <w:bookmarkEnd w:id="347"/>
      <w:bookmarkStart w:id="348" w:name="_Toc200338097"/>
      <w:bookmarkStart w:id="349" w:name="_Toc137621693"/>
      <w:bookmarkStart w:id="350" w:name="_Toc66849200"/>
      <w:bookmarkStart w:id="351" w:name="_Hlt66847557"/>
    </w:p>
    <w:p w14:paraId="605BD047">
      <w:pPr>
        <w:pStyle w:val="70"/>
        <w:keepNext w:val="0"/>
        <w:keepLines w:val="0"/>
        <w:widowControl w:val="0"/>
        <w:wordWrap w:val="0"/>
        <w:adjustRightInd w:val="0"/>
        <w:snapToGrid w:val="0"/>
        <w:spacing w:before="0" w:after="0" w:line="240" w:lineRule="auto"/>
        <w:ind w:left="3640" w:leftChars="15" w:hanging="3604" w:hangingChars="1496"/>
        <w:jc w:val="both"/>
        <w:outlineLvl w:val="1"/>
        <w:rPr>
          <w:rFonts w:ascii="Times New Roman"/>
          <w:b/>
          <w:snapToGrid w:val="0"/>
          <w:color w:val="auto"/>
          <w:highlight w:val="none"/>
        </w:rPr>
      </w:pPr>
      <w:bookmarkStart w:id="352" w:name="_Toc63"/>
      <w:bookmarkStart w:id="353" w:name="_Toc29754"/>
      <w:r>
        <w:rPr>
          <w:rFonts w:hint="eastAsia" w:ascii="Times New Roman"/>
          <w:b/>
          <w:snapToGrid w:val="0"/>
          <w:color w:val="auto"/>
          <w:highlight w:val="none"/>
        </w:rPr>
        <w:t>格式一 封面</w:t>
      </w:r>
      <w:bookmarkEnd w:id="352"/>
      <w:bookmarkEnd w:id="353"/>
    </w:p>
    <w:p w14:paraId="5DF40F53">
      <w:pPr>
        <w:pStyle w:val="71"/>
        <w:widowControl w:val="0"/>
        <w:wordWrap w:val="0"/>
        <w:adjustRightInd w:val="0"/>
        <w:snapToGrid w:val="0"/>
        <w:spacing w:line="240" w:lineRule="auto"/>
        <w:rPr>
          <w:rFonts w:ascii="Times New Roman"/>
          <w:b/>
          <w:snapToGrid w:val="0"/>
          <w:color w:val="auto"/>
          <w:sz w:val="24"/>
          <w:highlight w:val="none"/>
        </w:rPr>
      </w:pPr>
    </w:p>
    <w:p w14:paraId="6FBB4A80">
      <w:pPr>
        <w:pStyle w:val="71"/>
        <w:widowControl w:val="0"/>
        <w:wordWrap w:val="0"/>
        <w:adjustRightInd w:val="0"/>
        <w:snapToGrid w:val="0"/>
        <w:spacing w:line="240" w:lineRule="auto"/>
        <w:jc w:val="right"/>
        <w:rPr>
          <w:rFonts w:ascii="Times New Roman"/>
          <w:b/>
          <w:snapToGrid w:val="0"/>
          <w:color w:val="auto"/>
          <w:sz w:val="24"/>
          <w:highlight w:val="none"/>
        </w:rPr>
      </w:pPr>
    </w:p>
    <w:p w14:paraId="59746A92">
      <w:pPr>
        <w:pStyle w:val="71"/>
        <w:widowControl w:val="0"/>
        <w:wordWrap w:val="0"/>
        <w:adjustRightInd w:val="0"/>
        <w:snapToGrid w:val="0"/>
        <w:spacing w:line="240" w:lineRule="auto"/>
        <w:rPr>
          <w:rFonts w:ascii="Times New Roman"/>
          <w:b/>
          <w:snapToGrid w:val="0"/>
          <w:color w:val="auto"/>
          <w:sz w:val="24"/>
          <w:highlight w:val="none"/>
        </w:rPr>
      </w:pPr>
    </w:p>
    <w:p w14:paraId="0294BCEE">
      <w:pPr>
        <w:pStyle w:val="71"/>
        <w:widowControl w:val="0"/>
        <w:wordWrap w:val="0"/>
        <w:adjustRightInd w:val="0"/>
        <w:snapToGrid w:val="0"/>
        <w:spacing w:line="240" w:lineRule="auto"/>
        <w:rPr>
          <w:rFonts w:ascii="Times New Roman"/>
          <w:b/>
          <w:snapToGrid w:val="0"/>
          <w:color w:val="auto"/>
          <w:sz w:val="24"/>
          <w:highlight w:val="none"/>
        </w:rPr>
      </w:pPr>
    </w:p>
    <w:p w14:paraId="7513099E">
      <w:pPr>
        <w:pStyle w:val="71"/>
        <w:widowControl w:val="0"/>
        <w:wordWrap w:val="0"/>
        <w:adjustRightInd w:val="0"/>
        <w:snapToGrid w:val="0"/>
        <w:spacing w:line="240" w:lineRule="auto"/>
        <w:rPr>
          <w:rFonts w:ascii="Times New Roman"/>
          <w:b/>
          <w:snapToGrid w:val="0"/>
          <w:color w:val="auto"/>
          <w:sz w:val="24"/>
          <w:highlight w:val="none"/>
        </w:rPr>
      </w:pPr>
    </w:p>
    <w:p w14:paraId="4875FFE9">
      <w:pPr>
        <w:pStyle w:val="71"/>
        <w:widowControl w:val="0"/>
        <w:wordWrap w:val="0"/>
        <w:adjustRightInd w:val="0"/>
        <w:snapToGrid w:val="0"/>
        <w:spacing w:line="240" w:lineRule="auto"/>
        <w:rPr>
          <w:rFonts w:ascii="Times New Roman"/>
          <w:b/>
          <w:snapToGrid w:val="0"/>
          <w:color w:val="auto"/>
          <w:sz w:val="24"/>
          <w:highlight w:val="none"/>
        </w:rPr>
      </w:pPr>
    </w:p>
    <w:p w14:paraId="2D9D39D4">
      <w:pPr>
        <w:pStyle w:val="71"/>
        <w:widowControl w:val="0"/>
        <w:wordWrap w:val="0"/>
        <w:adjustRightInd w:val="0"/>
        <w:snapToGrid w:val="0"/>
        <w:spacing w:line="240" w:lineRule="auto"/>
        <w:rPr>
          <w:rFonts w:ascii="Times New Roman"/>
          <w:b/>
          <w:snapToGrid w:val="0"/>
          <w:color w:val="auto"/>
          <w:sz w:val="24"/>
          <w:highlight w:val="none"/>
        </w:rPr>
      </w:pPr>
    </w:p>
    <w:p w14:paraId="5F4307BB">
      <w:pPr>
        <w:pStyle w:val="71"/>
        <w:widowControl w:val="0"/>
        <w:wordWrap w:val="0"/>
        <w:adjustRightInd w:val="0"/>
        <w:snapToGrid w:val="0"/>
        <w:spacing w:line="240" w:lineRule="auto"/>
        <w:rPr>
          <w:rFonts w:ascii="Times New Roman"/>
          <w:b/>
          <w:snapToGrid w:val="0"/>
          <w:color w:val="auto"/>
          <w:sz w:val="24"/>
          <w:highlight w:val="none"/>
        </w:rPr>
      </w:pPr>
    </w:p>
    <w:p w14:paraId="0005A7BA">
      <w:pPr>
        <w:pStyle w:val="71"/>
        <w:widowControl w:val="0"/>
        <w:wordWrap w:val="0"/>
        <w:adjustRightInd w:val="0"/>
        <w:snapToGrid w:val="0"/>
        <w:spacing w:line="240" w:lineRule="auto"/>
        <w:rPr>
          <w:rFonts w:ascii="Times New Roman"/>
          <w:b/>
          <w:snapToGrid w:val="0"/>
          <w:color w:val="auto"/>
          <w:sz w:val="24"/>
          <w:highlight w:val="none"/>
        </w:rPr>
      </w:pPr>
    </w:p>
    <w:p w14:paraId="38D03B0C">
      <w:pPr>
        <w:pStyle w:val="71"/>
        <w:widowControl w:val="0"/>
        <w:wordWrap w:val="0"/>
        <w:adjustRightInd w:val="0"/>
        <w:snapToGrid w:val="0"/>
        <w:spacing w:line="240" w:lineRule="auto"/>
        <w:rPr>
          <w:rFonts w:ascii="Times New Roman"/>
          <w:b/>
          <w:snapToGrid w:val="0"/>
          <w:color w:val="auto"/>
          <w:sz w:val="24"/>
          <w:highlight w:val="none"/>
        </w:rPr>
      </w:pPr>
    </w:p>
    <w:p w14:paraId="01F56212">
      <w:pPr>
        <w:pStyle w:val="71"/>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Cs/>
          <w:snapToGrid w:val="0"/>
          <w:color w:val="auto"/>
          <w:sz w:val="48"/>
          <w:szCs w:val="48"/>
          <w:highlight w:val="none"/>
          <w:u w:val="single"/>
        </w:rPr>
        <w:t xml:space="preserve">             </w:t>
      </w:r>
      <w:r>
        <w:rPr>
          <w:rFonts w:hint="eastAsia" w:ascii="Times New Roman"/>
          <w:b/>
          <w:snapToGrid w:val="0"/>
          <w:color w:val="auto"/>
          <w:sz w:val="48"/>
          <w:szCs w:val="48"/>
          <w:highlight w:val="none"/>
        </w:rPr>
        <w:t>（项目名称）招标</w:t>
      </w:r>
    </w:p>
    <w:p w14:paraId="3BD1E3C7">
      <w:pPr>
        <w:pStyle w:val="71"/>
        <w:widowControl w:val="0"/>
        <w:wordWrap w:val="0"/>
        <w:adjustRightInd w:val="0"/>
        <w:snapToGrid w:val="0"/>
        <w:spacing w:line="240" w:lineRule="auto"/>
        <w:ind w:firstLine="0"/>
        <w:jc w:val="center"/>
        <w:rPr>
          <w:rFonts w:ascii="Times New Roman"/>
          <w:b/>
          <w:snapToGrid w:val="0"/>
          <w:color w:val="auto"/>
          <w:sz w:val="32"/>
          <w:highlight w:val="none"/>
        </w:rPr>
      </w:pPr>
    </w:p>
    <w:p w14:paraId="3D2A6112">
      <w:pPr>
        <w:pStyle w:val="71"/>
        <w:widowControl w:val="0"/>
        <w:wordWrap w:val="0"/>
        <w:adjustRightInd w:val="0"/>
        <w:snapToGrid w:val="0"/>
        <w:spacing w:line="240" w:lineRule="auto"/>
        <w:ind w:firstLine="0"/>
        <w:jc w:val="center"/>
        <w:rPr>
          <w:rFonts w:ascii="Times New Roman"/>
          <w:b/>
          <w:snapToGrid w:val="0"/>
          <w:color w:val="auto"/>
          <w:sz w:val="72"/>
          <w:highlight w:val="none"/>
        </w:rPr>
      </w:pPr>
      <w:r>
        <w:rPr>
          <w:rFonts w:hint="eastAsia" w:ascii="Times New Roman"/>
          <w:b/>
          <w:snapToGrid w:val="0"/>
          <w:color w:val="auto"/>
          <w:sz w:val="72"/>
          <w:highlight w:val="none"/>
        </w:rPr>
        <w:t>投  标  文  件</w:t>
      </w:r>
    </w:p>
    <w:p w14:paraId="5A4D8E98">
      <w:pPr>
        <w:pStyle w:val="71"/>
        <w:widowControl w:val="0"/>
        <w:wordWrap w:val="0"/>
        <w:adjustRightInd w:val="0"/>
        <w:snapToGrid w:val="0"/>
        <w:spacing w:line="240" w:lineRule="auto"/>
        <w:ind w:firstLine="0"/>
        <w:jc w:val="center"/>
        <w:rPr>
          <w:rFonts w:ascii="Times New Roman"/>
          <w:b/>
          <w:snapToGrid w:val="0"/>
          <w:color w:val="auto"/>
          <w:sz w:val="32"/>
          <w:highlight w:val="none"/>
        </w:rPr>
      </w:pPr>
    </w:p>
    <w:p w14:paraId="189B292E">
      <w:pPr>
        <w:pStyle w:val="71"/>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
          <w:snapToGrid w:val="0"/>
          <w:color w:val="auto"/>
          <w:sz w:val="48"/>
          <w:szCs w:val="48"/>
          <w:highlight w:val="none"/>
        </w:rPr>
        <w:t>（商务标书／监理大纲）</w:t>
      </w:r>
    </w:p>
    <w:p w14:paraId="21D0A39E">
      <w:pPr>
        <w:pStyle w:val="71"/>
        <w:widowControl w:val="0"/>
        <w:wordWrap w:val="0"/>
        <w:adjustRightInd w:val="0"/>
        <w:snapToGrid w:val="0"/>
        <w:spacing w:line="240" w:lineRule="auto"/>
        <w:rPr>
          <w:rFonts w:ascii="Times New Roman"/>
          <w:b/>
          <w:snapToGrid w:val="0"/>
          <w:color w:val="auto"/>
          <w:highlight w:val="none"/>
        </w:rPr>
      </w:pPr>
    </w:p>
    <w:p w14:paraId="47BA86B9">
      <w:pPr>
        <w:pStyle w:val="71"/>
        <w:widowControl w:val="0"/>
        <w:wordWrap w:val="0"/>
        <w:adjustRightInd w:val="0"/>
        <w:snapToGrid w:val="0"/>
        <w:spacing w:line="240" w:lineRule="auto"/>
        <w:rPr>
          <w:rFonts w:ascii="Times New Roman"/>
          <w:b/>
          <w:snapToGrid w:val="0"/>
          <w:color w:val="auto"/>
          <w:sz w:val="32"/>
          <w:highlight w:val="none"/>
        </w:rPr>
      </w:pPr>
    </w:p>
    <w:p w14:paraId="65C3F1D5">
      <w:pPr>
        <w:pStyle w:val="71"/>
        <w:widowControl w:val="0"/>
        <w:wordWrap w:val="0"/>
        <w:adjustRightInd w:val="0"/>
        <w:snapToGrid w:val="0"/>
        <w:spacing w:line="240" w:lineRule="auto"/>
        <w:rPr>
          <w:rFonts w:ascii="Times New Roman"/>
          <w:b/>
          <w:snapToGrid w:val="0"/>
          <w:color w:val="auto"/>
          <w:sz w:val="32"/>
          <w:highlight w:val="none"/>
        </w:rPr>
      </w:pPr>
    </w:p>
    <w:p w14:paraId="04CF17A0">
      <w:pPr>
        <w:pStyle w:val="71"/>
        <w:widowControl w:val="0"/>
        <w:wordWrap w:val="0"/>
        <w:adjustRightInd w:val="0"/>
        <w:snapToGrid w:val="0"/>
        <w:spacing w:line="240" w:lineRule="auto"/>
        <w:rPr>
          <w:rFonts w:ascii="Times New Roman"/>
          <w:b/>
          <w:snapToGrid w:val="0"/>
          <w:color w:val="auto"/>
          <w:sz w:val="32"/>
          <w:highlight w:val="none"/>
        </w:rPr>
      </w:pPr>
    </w:p>
    <w:p w14:paraId="70B9E93C">
      <w:pPr>
        <w:pStyle w:val="71"/>
        <w:widowControl w:val="0"/>
        <w:wordWrap w:val="0"/>
        <w:adjustRightInd w:val="0"/>
        <w:snapToGrid w:val="0"/>
        <w:spacing w:line="240" w:lineRule="auto"/>
        <w:rPr>
          <w:rFonts w:ascii="Times New Roman"/>
          <w:b/>
          <w:snapToGrid w:val="0"/>
          <w:color w:val="auto"/>
          <w:sz w:val="32"/>
          <w:highlight w:val="none"/>
        </w:rPr>
      </w:pPr>
    </w:p>
    <w:p w14:paraId="1ECCE2FB">
      <w:pPr>
        <w:pStyle w:val="71"/>
        <w:widowControl w:val="0"/>
        <w:wordWrap w:val="0"/>
        <w:adjustRightInd w:val="0"/>
        <w:snapToGrid w:val="0"/>
        <w:spacing w:line="240" w:lineRule="auto"/>
        <w:rPr>
          <w:rFonts w:ascii="Times New Roman"/>
          <w:b/>
          <w:snapToGrid w:val="0"/>
          <w:color w:val="auto"/>
          <w:sz w:val="32"/>
          <w:highlight w:val="none"/>
        </w:rPr>
      </w:pPr>
    </w:p>
    <w:p w14:paraId="1EB2808C">
      <w:pPr>
        <w:pStyle w:val="71"/>
        <w:widowControl w:val="0"/>
        <w:wordWrap w:val="0"/>
        <w:adjustRightInd w:val="0"/>
        <w:snapToGrid w:val="0"/>
        <w:spacing w:line="240" w:lineRule="auto"/>
        <w:rPr>
          <w:rFonts w:ascii="Times New Roman"/>
          <w:b/>
          <w:snapToGrid w:val="0"/>
          <w:color w:val="auto"/>
          <w:sz w:val="32"/>
          <w:highlight w:val="none"/>
        </w:rPr>
      </w:pPr>
    </w:p>
    <w:p w14:paraId="759F596E">
      <w:pPr>
        <w:pStyle w:val="71"/>
        <w:widowControl w:val="0"/>
        <w:wordWrap w:val="0"/>
        <w:adjustRightInd w:val="0"/>
        <w:snapToGrid w:val="0"/>
        <w:spacing w:line="240" w:lineRule="auto"/>
        <w:rPr>
          <w:rFonts w:ascii="Times New Roman"/>
          <w:b/>
          <w:snapToGrid w:val="0"/>
          <w:color w:val="auto"/>
          <w:sz w:val="32"/>
          <w:highlight w:val="none"/>
        </w:rPr>
      </w:pPr>
    </w:p>
    <w:p w14:paraId="146D5E17">
      <w:pPr>
        <w:pStyle w:val="71"/>
        <w:widowControl w:val="0"/>
        <w:wordWrap w:val="0"/>
        <w:adjustRightInd w:val="0"/>
        <w:snapToGrid w:val="0"/>
        <w:spacing w:line="240" w:lineRule="auto"/>
        <w:rPr>
          <w:rFonts w:ascii="Times New Roman"/>
          <w:b/>
          <w:snapToGrid w:val="0"/>
          <w:color w:val="auto"/>
          <w:sz w:val="32"/>
          <w:highlight w:val="none"/>
        </w:rPr>
      </w:pPr>
    </w:p>
    <w:p w14:paraId="6742C860">
      <w:pPr>
        <w:pStyle w:val="71"/>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投标人：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（盖单位章）</w:t>
      </w:r>
    </w:p>
    <w:p w14:paraId="4DAF0F5D">
      <w:pPr>
        <w:pStyle w:val="71"/>
        <w:widowControl w:val="0"/>
        <w:wordWrap w:val="0"/>
        <w:adjustRightInd w:val="0"/>
        <w:snapToGrid w:val="0"/>
        <w:spacing w:line="240" w:lineRule="auto"/>
        <w:ind w:firstLine="0"/>
        <w:jc w:val="center"/>
        <w:rPr>
          <w:rFonts w:ascii="Times New Roman"/>
          <w:bCs/>
          <w:snapToGrid w:val="0"/>
          <w:color w:val="auto"/>
          <w:sz w:val="32"/>
          <w:highlight w:val="none"/>
        </w:rPr>
      </w:pPr>
    </w:p>
    <w:p w14:paraId="0642C6A2">
      <w:pPr>
        <w:pStyle w:val="71"/>
        <w:widowControl w:val="0"/>
        <w:wordWrap w:val="0"/>
        <w:adjustRightInd w:val="0"/>
        <w:snapToGrid w:val="0"/>
        <w:spacing w:line="240" w:lineRule="auto"/>
        <w:ind w:firstLine="0"/>
        <w:jc w:val="center"/>
        <w:rPr>
          <w:rFonts w:ascii="Times New Roman"/>
          <w:bCs/>
          <w:snapToGrid w:val="0"/>
          <w:color w:val="auto"/>
          <w:sz w:val="32"/>
          <w:highlight w:val="none"/>
        </w:rPr>
      </w:pPr>
    </w:p>
    <w:p w14:paraId="60435907">
      <w:pPr>
        <w:pStyle w:val="71"/>
        <w:widowControl w:val="0"/>
        <w:wordWrap w:val="0"/>
        <w:adjustRightInd w:val="0"/>
        <w:snapToGrid w:val="0"/>
        <w:spacing w:line="240" w:lineRule="auto"/>
        <w:ind w:firstLine="0"/>
        <w:jc w:val="center"/>
        <w:rPr>
          <w:rFonts w:ascii="Times New Roman"/>
          <w:bCs/>
          <w:snapToGrid w:val="0"/>
          <w:color w:val="auto"/>
          <w:sz w:val="32"/>
          <w:highlight w:val="none"/>
        </w:rPr>
      </w:pPr>
    </w:p>
    <w:p w14:paraId="6A449385">
      <w:pPr>
        <w:pStyle w:val="71"/>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法定代表人或其委托代理人：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（签字或盖章）</w:t>
      </w:r>
    </w:p>
    <w:p w14:paraId="234CEA92">
      <w:pPr>
        <w:pStyle w:val="71"/>
        <w:widowControl w:val="0"/>
        <w:wordWrap w:val="0"/>
        <w:adjustRightInd w:val="0"/>
        <w:snapToGrid w:val="0"/>
        <w:spacing w:line="240" w:lineRule="auto"/>
        <w:ind w:firstLine="0"/>
        <w:jc w:val="center"/>
        <w:rPr>
          <w:rFonts w:ascii="Times New Roman"/>
          <w:bCs/>
          <w:snapToGrid w:val="0"/>
          <w:color w:val="auto"/>
          <w:sz w:val="32"/>
          <w:highlight w:val="none"/>
        </w:rPr>
      </w:pPr>
    </w:p>
    <w:p w14:paraId="565FD46B">
      <w:pPr>
        <w:pStyle w:val="71"/>
        <w:widowControl w:val="0"/>
        <w:wordWrap w:val="0"/>
        <w:adjustRightInd w:val="0"/>
        <w:snapToGrid w:val="0"/>
        <w:spacing w:line="240" w:lineRule="auto"/>
        <w:ind w:firstLine="0"/>
        <w:jc w:val="center"/>
        <w:rPr>
          <w:rFonts w:ascii="Times New Roman"/>
          <w:bCs/>
          <w:snapToGrid w:val="0"/>
          <w:color w:val="auto"/>
          <w:sz w:val="32"/>
          <w:highlight w:val="none"/>
          <w:u w:val="single"/>
        </w:rPr>
      </w:pPr>
    </w:p>
    <w:p w14:paraId="1A771D3C">
      <w:pPr>
        <w:pStyle w:val="71"/>
        <w:widowControl w:val="0"/>
        <w:wordWrap w:val="0"/>
        <w:adjustRightInd w:val="0"/>
        <w:snapToGrid w:val="0"/>
        <w:spacing w:line="240" w:lineRule="auto"/>
        <w:ind w:firstLine="0"/>
        <w:jc w:val="center"/>
        <w:rPr>
          <w:rFonts w:ascii="Times New Roman"/>
          <w:b/>
          <w:snapToGrid w:val="0"/>
          <w:color w:val="auto"/>
          <w:highlight w:val="none"/>
        </w:rPr>
      </w:pP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年</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月</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日</w:t>
      </w:r>
    </w:p>
    <w:p w14:paraId="2B7C22CA">
      <w:pPr>
        <w:pStyle w:val="71"/>
        <w:widowControl w:val="0"/>
        <w:wordWrap w:val="0"/>
        <w:adjustRightInd w:val="0"/>
        <w:snapToGrid w:val="0"/>
        <w:rPr>
          <w:rFonts w:ascii="Times New Roman"/>
          <w:b/>
          <w:snapToGrid w:val="0"/>
          <w:color w:val="auto"/>
          <w:highlight w:val="none"/>
        </w:rPr>
      </w:pPr>
    </w:p>
    <w:p w14:paraId="60968DD1">
      <w:pPr>
        <w:pStyle w:val="71"/>
        <w:widowControl w:val="0"/>
        <w:wordWrap w:val="0"/>
        <w:adjustRightInd w:val="0"/>
        <w:snapToGrid w:val="0"/>
        <w:rPr>
          <w:rFonts w:ascii="Times New Roman"/>
          <w:b/>
          <w:snapToGrid w:val="0"/>
          <w:color w:val="auto"/>
          <w:highlight w:val="none"/>
        </w:rPr>
      </w:pPr>
    </w:p>
    <w:p w14:paraId="20B8FB5C">
      <w:pPr>
        <w:pStyle w:val="71"/>
        <w:widowControl w:val="0"/>
        <w:wordWrap w:val="0"/>
        <w:adjustRightInd w:val="0"/>
        <w:snapToGrid w:val="0"/>
        <w:rPr>
          <w:rFonts w:ascii="Times New Roman"/>
          <w:b/>
          <w:snapToGrid w:val="0"/>
          <w:color w:val="auto"/>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15A266C5">
      <w:pPr>
        <w:pStyle w:val="3"/>
        <w:wordWrap w:val="0"/>
        <w:autoSpaceDE/>
        <w:autoSpaceDN/>
        <w:snapToGrid w:val="0"/>
        <w:spacing w:line="440" w:lineRule="exact"/>
        <w:rPr>
          <w:rFonts w:ascii="Times New Roman"/>
          <w:b/>
          <w:snapToGrid w:val="0"/>
          <w:color w:val="auto"/>
          <w:highlight w:val="none"/>
        </w:rPr>
      </w:pPr>
      <w:bookmarkStart w:id="354" w:name="_Toc16614"/>
      <w:bookmarkStart w:id="355" w:name="_Toc21838"/>
      <w:bookmarkStart w:id="356" w:name="_Toc106418843"/>
      <w:bookmarkStart w:id="357" w:name="_Toc104711098"/>
      <w:r>
        <w:rPr>
          <w:rFonts w:hint="eastAsia" w:ascii="Times New Roman"/>
          <w:b/>
          <w:snapToGrid w:val="0"/>
          <w:color w:val="auto"/>
          <w:highlight w:val="none"/>
        </w:rPr>
        <w:t>格式</w:t>
      </w:r>
      <w:bookmarkStart w:id="358" w:name="_Hlt97526007"/>
      <w:bookmarkEnd w:id="358"/>
      <w:r>
        <w:rPr>
          <w:rFonts w:hint="eastAsia" w:ascii="Times New Roman"/>
          <w:b/>
          <w:snapToGrid w:val="0"/>
          <w:color w:val="auto"/>
          <w:highlight w:val="none"/>
        </w:rPr>
        <w:t>二 投标函</w:t>
      </w:r>
      <w:bookmarkEnd w:id="354"/>
      <w:bookmarkEnd w:id="355"/>
    </w:p>
    <w:p w14:paraId="47DFBF08">
      <w:pPr>
        <w:wordWrap w:val="0"/>
        <w:adjustRightInd w:val="0"/>
        <w:snapToGrid w:val="0"/>
        <w:spacing w:before="260" w:after="260" w:line="440" w:lineRule="exact"/>
        <w:jc w:val="center"/>
        <w:rPr>
          <w:rFonts w:ascii="Times New Roman"/>
          <w:b/>
          <w:snapToGrid w:val="0"/>
          <w:color w:val="auto"/>
          <w:kern w:val="0"/>
          <w:highlight w:val="none"/>
        </w:rPr>
      </w:pPr>
      <w:r>
        <w:rPr>
          <w:rFonts w:hint="eastAsia" w:ascii="Times New Roman"/>
          <w:b/>
          <w:snapToGrid w:val="0"/>
          <w:color w:val="auto"/>
          <w:kern w:val="0"/>
          <w:sz w:val="30"/>
          <w:highlight w:val="none"/>
        </w:rPr>
        <w:t>投</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标</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函</w:t>
      </w:r>
      <w:bookmarkEnd w:id="356"/>
      <w:bookmarkEnd w:id="357"/>
    </w:p>
    <w:p w14:paraId="7699421D">
      <w:pPr>
        <w:wordWrap w:val="0"/>
        <w:adjustRightInd w:val="0"/>
        <w:snapToGrid w:val="0"/>
        <w:spacing w:line="440" w:lineRule="exact"/>
        <w:jc w:val="center"/>
        <w:rPr>
          <w:rFonts w:ascii="Times New Roman"/>
          <w:b/>
          <w:snapToGrid w:val="0"/>
          <w:color w:val="auto"/>
          <w:kern w:val="0"/>
          <w:highlight w:val="none"/>
        </w:rPr>
      </w:pPr>
    </w:p>
    <w:p w14:paraId="6A37BA44">
      <w:pPr>
        <w:wordWrap w:val="0"/>
        <w:adjustRightInd w:val="0"/>
        <w:snapToGrid w:val="0"/>
        <w:spacing w:line="440" w:lineRule="exact"/>
        <w:rPr>
          <w:rFonts w:ascii="Times New Roman"/>
          <w:snapToGrid w:val="0"/>
          <w:color w:val="auto"/>
          <w:kern w:val="0"/>
          <w:highlight w:val="none"/>
        </w:rPr>
      </w:pPr>
      <w:r>
        <w:rPr>
          <w:rFonts w:hint="eastAsia" w:ascii="Times New Roman"/>
          <w:snapToGrid w:val="0"/>
          <w:color w:val="auto"/>
          <w:kern w:val="0"/>
          <w:highlight w:val="none"/>
        </w:rPr>
        <w:t>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（招标人名称）</w:t>
      </w:r>
    </w:p>
    <w:p w14:paraId="72F2551D">
      <w:pPr>
        <w:wordWrap w:val="0"/>
        <w:adjustRightInd w:val="0"/>
        <w:snapToGrid w:val="0"/>
        <w:spacing w:line="500" w:lineRule="exact"/>
        <w:ind w:firstLine="570"/>
        <w:rPr>
          <w:rFonts w:hAnsi="宋体" w:cs="宋体"/>
          <w:snapToGrid w:val="0"/>
          <w:color w:val="auto"/>
          <w:kern w:val="0"/>
          <w:highlight w:val="none"/>
          <w:u w:val="single"/>
        </w:rPr>
      </w:pPr>
      <w:r>
        <w:rPr>
          <w:rFonts w:hint="eastAsia" w:hAnsi="宋体" w:cs="宋体"/>
          <w:snapToGrid w:val="0"/>
          <w:color w:val="auto"/>
          <w:kern w:val="0"/>
          <w:highlight w:val="none"/>
        </w:rPr>
        <w:t xml:space="preserve">1. </w:t>
      </w:r>
      <w:r>
        <w:rPr>
          <w:rFonts w:hint="eastAsia" w:hAnsi="宋体" w:cs="宋体"/>
          <w:snapToGrid w:val="0"/>
          <w:color w:val="auto"/>
          <w:kern w:val="0"/>
          <w:szCs w:val="22"/>
          <w:highlight w:val="none"/>
        </w:rPr>
        <w:t>我方在仔细研究</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（项目名称）（以下简称“本项目”）监理招标文件的全部内容后，结合自身资质、能力和特点，愿意接受招标文件的全部内容和条件。兹以人民币（大写）：</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 xml:space="preserve">（小写）：（¥ </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）的投标总价（其中，增值税税率为</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）竞投本项目监理及相关服务</w:t>
      </w:r>
      <w:r>
        <w:rPr>
          <w:rFonts w:hint="eastAsia" w:hAnsi="宋体" w:cs="宋体"/>
          <w:snapToGrid w:val="0"/>
          <w:color w:val="auto"/>
          <w:kern w:val="0"/>
          <w:szCs w:val="22"/>
          <w:highlight w:val="none"/>
          <w:lang w:eastAsia="zh-CN"/>
        </w:rPr>
        <w:t>，投标取费费率为</w:t>
      </w:r>
      <w:r>
        <w:rPr>
          <w:rFonts w:hint="eastAsia" w:hAnsi="宋体" w:cs="宋体"/>
          <w:snapToGrid w:val="0"/>
          <w:color w:val="auto"/>
          <w:kern w:val="0"/>
          <w:szCs w:val="22"/>
          <w:highlight w:val="none"/>
          <w:u w:val="single"/>
          <w:lang w:eastAsia="zh-CN"/>
        </w:rPr>
        <w:t xml:space="preserve">     </w:t>
      </w:r>
      <w:r>
        <w:rPr>
          <w:rFonts w:hint="eastAsia" w:hAnsi="宋体" w:cs="宋体"/>
          <w:snapToGrid w:val="0"/>
          <w:color w:val="auto"/>
          <w:kern w:val="0"/>
          <w:szCs w:val="22"/>
          <w:highlight w:val="none"/>
          <w:lang w:eastAsia="zh-CN"/>
        </w:rPr>
        <w:t>%</w:t>
      </w:r>
      <w:r>
        <w:rPr>
          <w:rFonts w:hint="eastAsia" w:hAnsi="宋体" w:cs="宋体"/>
          <w:snapToGrid w:val="0"/>
          <w:color w:val="auto"/>
          <w:kern w:val="0"/>
          <w:szCs w:val="22"/>
          <w:highlight w:val="none"/>
        </w:rPr>
        <w:t>。</w:t>
      </w:r>
    </w:p>
    <w:p w14:paraId="00F3B9EA">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2. 如果我方中标，我方保证按照委托人发出的开始监理通知中写明的日期开始本项目的</w:t>
      </w:r>
      <w:r>
        <w:rPr>
          <w:rFonts w:hint="eastAsia" w:hAnsi="宋体" w:cs="宋体"/>
          <w:snapToGrid w:val="0"/>
          <w:color w:val="auto"/>
          <w:kern w:val="0"/>
          <w:highlight w:val="none"/>
          <w:u w:val="single"/>
        </w:rPr>
        <w:t xml:space="preserve"> 监理及相关服务 </w:t>
      </w:r>
      <w:r>
        <w:rPr>
          <w:rFonts w:hint="eastAsia" w:hAnsi="宋体" w:cs="宋体"/>
          <w:snapToGrid w:val="0"/>
          <w:color w:val="auto"/>
          <w:kern w:val="0"/>
          <w:highlight w:val="none"/>
        </w:rPr>
        <w:t>，并在合同约定的服务期限内完成合同规定的全部义务。</w:t>
      </w:r>
    </w:p>
    <w:p w14:paraId="15BBEB3D">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3. 本投标函在你方接收我方递交的投标文件之日起、到招标文件规定的投标有效期期满前对我方具有约束力。我方随时准备接受你方发出的中标通知书。</w:t>
      </w:r>
    </w:p>
    <w:p w14:paraId="3731041C">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4．我方在此声明，我方不存在本项目招标文件第一章第三节第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条“禁止投标条款”所列出的任何一种情形，并愿意承担因我方就此弄虚作假所引起的一切法律后果。</w:t>
      </w:r>
    </w:p>
    <w:p w14:paraId="50382544">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14:paraId="076EB960">
      <w:pPr>
        <w:wordWrap w:val="0"/>
        <w:adjustRightInd w:val="0"/>
        <w:snapToGrid w:val="0"/>
        <w:spacing w:line="440" w:lineRule="exact"/>
        <w:ind w:firstLine="570"/>
        <w:rPr>
          <w:rFonts w:hAnsi="宋体" w:cs="宋体"/>
          <w:snapToGrid w:val="0"/>
          <w:color w:val="auto"/>
          <w:kern w:val="0"/>
          <w:highlight w:val="none"/>
        </w:rPr>
      </w:pPr>
      <w:bookmarkStart w:id="359" w:name="_Hlt68771070"/>
      <w:bookmarkEnd w:id="359"/>
      <w:r>
        <w:rPr>
          <w:rFonts w:hint="eastAsia" w:hAnsi="宋体" w:cs="宋体"/>
          <w:snapToGrid w:val="0"/>
          <w:color w:val="auto"/>
          <w:kern w:val="0"/>
          <w:highlight w:val="none"/>
        </w:rPr>
        <w:t>6. 我方理解你方不一定要接纳收到的最低投标总价或任何投标总价的投标人中标，也不要求你方解释我方是否中标的原因。</w:t>
      </w:r>
    </w:p>
    <w:p w14:paraId="1AF7B45F">
      <w:pPr>
        <w:wordWrap w:val="0"/>
        <w:adjustRightInd w:val="0"/>
        <w:snapToGrid w:val="0"/>
        <w:spacing w:line="440" w:lineRule="exact"/>
        <w:ind w:firstLine="570"/>
        <w:rPr>
          <w:rFonts w:ascii="Times New Roman"/>
          <w:snapToGrid w:val="0"/>
          <w:color w:val="auto"/>
          <w:kern w:val="0"/>
          <w:highlight w:val="none"/>
        </w:rPr>
      </w:pPr>
      <w:r>
        <w:rPr>
          <w:rFonts w:hint="eastAsia" w:ascii="Times New Roman"/>
          <w:snapToGrid w:val="0"/>
          <w:color w:val="auto"/>
          <w:kern w:val="0"/>
          <w:highlight w:val="none"/>
        </w:rPr>
        <w:t xml:space="preserve">  </w:t>
      </w:r>
    </w:p>
    <w:p w14:paraId="428C057D">
      <w:pPr>
        <w:wordWrap w:val="0"/>
        <w:adjustRightInd w:val="0"/>
        <w:snapToGrid w:val="0"/>
        <w:spacing w:line="440" w:lineRule="exact"/>
        <w:rPr>
          <w:rFonts w:ascii="Times New Roman"/>
          <w:snapToGrid w:val="0"/>
          <w:color w:val="auto"/>
          <w:kern w:val="0"/>
          <w:highlight w:val="none"/>
        </w:rPr>
      </w:pPr>
    </w:p>
    <w:p w14:paraId="276EABA1">
      <w:pPr>
        <w:wordWrap w:val="0"/>
        <w:adjustRightInd w:val="0"/>
        <w:snapToGrid w:val="0"/>
        <w:spacing w:line="440" w:lineRule="exact"/>
        <w:jc w:val="right"/>
        <w:rPr>
          <w:rFonts w:ascii="Times New Roman"/>
          <w:snapToGrid w:val="0"/>
          <w:color w:val="auto"/>
          <w:kern w:val="0"/>
          <w:highlight w:val="none"/>
        </w:rPr>
      </w:pPr>
      <w:r>
        <w:rPr>
          <w:rFonts w:hint="eastAsia" w:ascii="Times New Roman"/>
          <w:snapToGrid w:val="0"/>
          <w:color w:val="auto"/>
          <w:kern w:val="0"/>
          <w:highlight w:val="none"/>
        </w:rPr>
        <w:t xml:space="preserve">    投标人：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（盖单位章）</w:t>
      </w:r>
    </w:p>
    <w:p w14:paraId="4CA7B314">
      <w:pPr>
        <w:wordWrap w:val="0"/>
        <w:adjustRightInd w:val="0"/>
        <w:snapToGrid w:val="0"/>
        <w:spacing w:line="440" w:lineRule="exact"/>
        <w:jc w:val="right"/>
        <w:rPr>
          <w:rFonts w:ascii="Times New Roman"/>
          <w:snapToGrid w:val="0"/>
          <w:color w:val="auto"/>
          <w:kern w:val="0"/>
          <w:highlight w:val="none"/>
        </w:rPr>
      </w:pPr>
    </w:p>
    <w:p w14:paraId="387ED88C">
      <w:pPr>
        <w:wordWrap w:val="0"/>
        <w:adjustRightInd w:val="0"/>
        <w:snapToGrid w:val="0"/>
        <w:spacing w:line="440" w:lineRule="exact"/>
        <w:ind w:firstLine="480" w:firstLineChars="200"/>
        <w:jc w:val="right"/>
        <w:rPr>
          <w:rFonts w:ascii="Times New Roman"/>
          <w:snapToGrid w:val="0"/>
          <w:color w:val="auto"/>
          <w:kern w:val="0"/>
          <w:highlight w:val="none"/>
        </w:rPr>
      </w:pPr>
      <w:r>
        <w:rPr>
          <w:rFonts w:hint="eastAsia" w:ascii="Times New Roman"/>
          <w:snapToGrid w:val="0"/>
          <w:color w:val="auto"/>
          <w:kern w:val="0"/>
          <w:highlight w:val="none"/>
        </w:rPr>
        <w:t>法定代表人或其委托代理人：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（签字或盖章）</w:t>
      </w:r>
    </w:p>
    <w:p w14:paraId="54249B59">
      <w:pPr>
        <w:wordWrap w:val="0"/>
        <w:adjustRightInd w:val="0"/>
        <w:snapToGrid w:val="0"/>
        <w:spacing w:line="440" w:lineRule="exact"/>
        <w:ind w:firstLine="480" w:firstLineChars="200"/>
        <w:jc w:val="right"/>
        <w:rPr>
          <w:rFonts w:ascii="Times New Roman"/>
          <w:snapToGrid w:val="0"/>
          <w:color w:val="auto"/>
          <w:kern w:val="0"/>
          <w:highlight w:val="none"/>
        </w:rPr>
      </w:pPr>
    </w:p>
    <w:p w14:paraId="28DC9D94">
      <w:pPr>
        <w:wordWrap w:val="0"/>
        <w:adjustRightInd w:val="0"/>
        <w:snapToGrid w:val="0"/>
        <w:spacing w:line="440" w:lineRule="exact"/>
        <w:jc w:val="left"/>
        <w:rPr>
          <w:rFonts w:ascii="Times New Roman"/>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25B8347D">
      <w:pPr>
        <w:pStyle w:val="71"/>
        <w:widowControl w:val="0"/>
        <w:wordWrap w:val="0"/>
        <w:adjustRightInd w:val="0"/>
        <w:snapToGrid w:val="0"/>
        <w:spacing w:line="400" w:lineRule="exact"/>
        <w:ind w:firstLine="0"/>
        <w:outlineLvl w:val="1"/>
        <w:rPr>
          <w:rFonts w:hAnsi="宋体" w:cs="宋体"/>
          <w:b/>
          <w:snapToGrid w:val="0"/>
          <w:color w:val="auto"/>
          <w:sz w:val="24"/>
          <w:highlight w:val="none"/>
        </w:rPr>
      </w:pPr>
      <w:bookmarkStart w:id="360" w:name="_Toc4599"/>
      <w:r>
        <w:rPr>
          <w:rFonts w:hint="eastAsia" w:hAnsi="宋体" w:cs="宋体"/>
          <w:b/>
          <w:snapToGrid w:val="0"/>
          <w:color w:val="auto"/>
          <w:sz w:val="24"/>
          <w:highlight w:val="none"/>
        </w:rPr>
        <w:t>格式三 各项承诺一览表</w:t>
      </w:r>
      <w:bookmarkEnd w:id="360"/>
    </w:p>
    <w:p w14:paraId="20B05016">
      <w:pPr>
        <w:pStyle w:val="70"/>
        <w:keepNext w:val="0"/>
        <w:keepLines w:val="0"/>
        <w:widowControl w:val="0"/>
        <w:wordWrap w:val="0"/>
        <w:adjustRightInd w:val="0"/>
        <w:snapToGrid w:val="0"/>
        <w:spacing w:before="260" w:after="260" w:line="440" w:lineRule="exact"/>
        <w:ind w:firstLine="0"/>
        <w:outlineLvl w:val="9"/>
        <w:rPr>
          <w:rFonts w:hAnsi="宋体" w:cs="宋体"/>
          <w:b/>
          <w:snapToGrid w:val="0"/>
          <w:color w:val="auto"/>
          <w:highlight w:val="none"/>
        </w:rPr>
      </w:pPr>
      <w:bookmarkStart w:id="361" w:name="_Toc18253"/>
      <w:bookmarkStart w:id="362" w:name="_Toc27092"/>
      <w:bookmarkStart w:id="363" w:name="_Toc7685"/>
      <w:bookmarkStart w:id="364" w:name="_Toc11270"/>
      <w:bookmarkStart w:id="365" w:name="_Toc24548"/>
      <w:r>
        <w:rPr>
          <w:rFonts w:hint="eastAsia" w:hAnsi="宋体" w:cs="宋体"/>
          <w:b/>
          <w:snapToGrid w:val="0"/>
          <w:color w:val="auto"/>
          <w:sz w:val="30"/>
          <w:highlight w:val="none"/>
        </w:rPr>
        <w:t>各项承诺一览表</w:t>
      </w:r>
      <w:bookmarkEnd w:id="361"/>
      <w:bookmarkEnd w:id="362"/>
      <w:bookmarkEnd w:id="363"/>
      <w:bookmarkEnd w:id="364"/>
      <w:bookmarkEnd w:id="365"/>
    </w:p>
    <w:tbl>
      <w:tblPr>
        <w:tblStyle w:val="30"/>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4A97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4" w:hRule="atLeast"/>
          <w:jc w:val="center"/>
        </w:trPr>
        <w:tc>
          <w:tcPr>
            <w:tcW w:w="716" w:type="dxa"/>
            <w:tcBorders>
              <w:tl2br w:val="nil"/>
              <w:tr2bl w:val="nil"/>
            </w:tcBorders>
            <w:vAlign w:val="center"/>
          </w:tcPr>
          <w:p w14:paraId="4B001337">
            <w:pPr>
              <w:pStyle w:val="72"/>
              <w:wordWrap w:val="0"/>
              <w:adjustRightInd w:val="0"/>
              <w:snapToGrid w:val="0"/>
              <w:spacing w:line="380" w:lineRule="exact"/>
              <w:jc w:val="center"/>
              <w:rPr>
                <w:rFonts w:hAnsi="宋体" w:cs="宋体"/>
                <w:bCs/>
                <w:snapToGrid w:val="0"/>
                <w:color w:val="auto"/>
                <w:kern w:val="0"/>
                <w:szCs w:val="21"/>
                <w:highlight w:val="none"/>
              </w:rPr>
            </w:pPr>
            <w:r>
              <w:rPr>
                <w:rFonts w:hint="eastAsia" w:hAnsi="宋体" w:cs="宋体"/>
                <w:bCs/>
                <w:snapToGrid w:val="0"/>
                <w:color w:val="auto"/>
                <w:kern w:val="0"/>
                <w:szCs w:val="21"/>
                <w:highlight w:val="none"/>
              </w:rPr>
              <w:t>序号</w:t>
            </w:r>
          </w:p>
        </w:tc>
        <w:tc>
          <w:tcPr>
            <w:tcW w:w="1573" w:type="dxa"/>
            <w:tcBorders>
              <w:tl2br w:val="nil"/>
              <w:tr2bl w:val="nil"/>
            </w:tcBorders>
            <w:vAlign w:val="center"/>
          </w:tcPr>
          <w:p w14:paraId="0DD645C3">
            <w:pPr>
              <w:pStyle w:val="72"/>
              <w:wordWrap w:val="0"/>
              <w:adjustRightInd w:val="0"/>
              <w:snapToGrid w:val="0"/>
              <w:spacing w:line="380" w:lineRule="exact"/>
              <w:jc w:val="center"/>
              <w:rPr>
                <w:rFonts w:hAnsi="宋体" w:cs="宋体"/>
                <w:bCs/>
                <w:snapToGrid w:val="0"/>
                <w:color w:val="auto"/>
                <w:kern w:val="0"/>
                <w:szCs w:val="21"/>
                <w:highlight w:val="none"/>
              </w:rPr>
            </w:pPr>
            <w:r>
              <w:rPr>
                <w:rFonts w:hint="eastAsia" w:hAnsi="宋体" w:cs="宋体"/>
                <w:bCs/>
                <w:snapToGrid w:val="0"/>
                <w:color w:val="auto"/>
                <w:kern w:val="0"/>
                <w:szCs w:val="21"/>
                <w:highlight w:val="none"/>
              </w:rPr>
              <w:t>承诺事项</w:t>
            </w:r>
          </w:p>
        </w:tc>
        <w:tc>
          <w:tcPr>
            <w:tcW w:w="2923" w:type="dxa"/>
            <w:tcBorders>
              <w:tl2br w:val="nil"/>
              <w:tr2bl w:val="nil"/>
            </w:tcBorders>
            <w:vAlign w:val="center"/>
          </w:tcPr>
          <w:p w14:paraId="286917BA">
            <w:pPr>
              <w:pStyle w:val="72"/>
              <w:wordWrap w:val="0"/>
              <w:adjustRightInd w:val="0"/>
              <w:snapToGrid w:val="0"/>
              <w:spacing w:line="380" w:lineRule="exact"/>
              <w:jc w:val="center"/>
              <w:rPr>
                <w:rFonts w:hAnsi="宋体" w:cs="宋体"/>
                <w:bCs/>
                <w:snapToGrid w:val="0"/>
                <w:color w:val="auto"/>
                <w:kern w:val="0"/>
                <w:szCs w:val="21"/>
                <w:highlight w:val="none"/>
              </w:rPr>
            </w:pPr>
            <w:r>
              <w:rPr>
                <w:rFonts w:hint="eastAsia" w:hAnsi="宋体" w:cs="宋体"/>
                <w:bCs/>
                <w:snapToGrid w:val="0"/>
                <w:color w:val="auto"/>
                <w:kern w:val="0"/>
                <w:szCs w:val="21"/>
                <w:highlight w:val="none"/>
              </w:rPr>
              <w:t>承诺内容</w:t>
            </w:r>
          </w:p>
        </w:tc>
        <w:tc>
          <w:tcPr>
            <w:tcW w:w="4019" w:type="dxa"/>
            <w:tcBorders>
              <w:tl2br w:val="nil"/>
              <w:tr2bl w:val="nil"/>
            </w:tcBorders>
            <w:vAlign w:val="center"/>
          </w:tcPr>
          <w:p w14:paraId="5A051E55">
            <w:pPr>
              <w:pStyle w:val="72"/>
              <w:wordWrap w:val="0"/>
              <w:adjustRightInd w:val="0"/>
              <w:snapToGrid w:val="0"/>
              <w:spacing w:line="380" w:lineRule="exact"/>
              <w:jc w:val="center"/>
              <w:rPr>
                <w:rFonts w:hAnsi="宋体" w:cs="宋体"/>
                <w:bCs/>
                <w:snapToGrid w:val="0"/>
                <w:color w:val="auto"/>
                <w:kern w:val="0"/>
                <w:szCs w:val="21"/>
                <w:highlight w:val="none"/>
              </w:rPr>
            </w:pPr>
            <w:r>
              <w:rPr>
                <w:rFonts w:hint="eastAsia" w:hAnsi="宋体" w:cs="宋体"/>
                <w:bCs/>
                <w:snapToGrid w:val="0"/>
                <w:color w:val="auto"/>
                <w:kern w:val="0"/>
                <w:szCs w:val="21"/>
                <w:highlight w:val="none"/>
              </w:rPr>
              <w:t>违约承诺</w:t>
            </w:r>
          </w:p>
        </w:tc>
      </w:tr>
      <w:tr w14:paraId="26E7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50B6AAF4">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573" w:type="dxa"/>
            <w:tcBorders>
              <w:tl2br w:val="nil"/>
              <w:tr2bl w:val="nil"/>
            </w:tcBorders>
            <w:vAlign w:val="center"/>
          </w:tcPr>
          <w:p w14:paraId="746B30D1">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自愿接受招标</w:t>
            </w:r>
          </w:p>
          <w:p w14:paraId="71ED28BC">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文件条款的承诺</w:t>
            </w:r>
          </w:p>
        </w:tc>
        <w:tc>
          <w:tcPr>
            <w:tcW w:w="2923" w:type="dxa"/>
            <w:tcBorders>
              <w:tl2br w:val="nil"/>
              <w:tr2bl w:val="nil"/>
            </w:tcBorders>
            <w:vAlign w:val="center"/>
          </w:tcPr>
          <w:p w14:paraId="2D307866">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我方自愿接受招标文件的所有条款，所递交的投标文件已经充分响应招标文件的实质性要求。</w:t>
            </w:r>
          </w:p>
        </w:tc>
        <w:tc>
          <w:tcPr>
            <w:tcW w:w="4019" w:type="dxa"/>
            <w:tcBorders>
              <w:tl2br w:val="nil"/>
              <w:tr2bl w:val="nil"/>
            </w:tcBorders>
            <w:vAlign w:val="center"/>
          </w:tcPr>
          <w:p w14:paraId="7541C798">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2B8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12659488">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573" w:type="dxa"/>
            <w:tcBorders>
              <w:tl2br w:val="nil"/>
              <w:tr2bl w:val="nil"/>
            </w:tcBorders>
            <w:vAlign w:val="center"/>
          </w:tcPr>
          <w:p w14:paraId="4E13328C">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无禁止投标</w:t>
            </w:r>
          </w:p>
          <w:p w14:paraId="2E04458C">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情形的承诺</w:t>
            </w:r>
          </w:p>
        </w:tc>
        <w:tc>
          <w:tcPr>
            <w:tcW w:w="2923" w:type="dxa"/>
            <w:tcBorders>
              <w:tl2br w:val="nil"/>
              <w:tr2bl w:val="nil"/>
            </w:tcBorders>
            <w:vAlign w:val="center"/>
          </w:tcPr>
          <w:p w14:paraId="6A2783C9">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我方不存在招标文件第一章第三节第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w:t>
            </w:r>
          </w:p>
        </w:tc>
        <w:tc>
          <w:tcPr>
            <w:tcW w:w="4019" w:type="dxa"/>
            <w:tcBorders>
              <w:tl2br w:val="nil"/>
              <w:tr2bl w:val="nil"/>
            </w:tcBorders>
            <w:vAlign w:val="center"/>
          </w:tcPr>
          <w:p w14:paraId="60B01B1E">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如果我方有招标文件第一章第三节第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E90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04B047BD">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573" w:type="dxa"/>
            <w:tcBorders>
              <w:tl2br w:val="nil"/>
              <w:tr2bl w:val="nil"/>
            </w:tcBorders>
            <w:vAlign w:val="center"/>
          </w:tcPr>
          <w:p w14:paraId="7327796A">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自觉抵制围标</w:t>
            </w:r>
          </w:p>
          <w:p w14:paraId="6537DAA0">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串标和弄虚</w:t>
            </w:r>
          </w:p>
          <w:p w14:paraId="3A865B06">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作假行为的承诺</w:t>
            </w:r>
          </w:p>
        </w:tc>
        <w:tc>
          <w:tcPr>
            <w:tcW w:w="2923" w:type="dxa"/>
            <w:tcBorders>
              <w:tl2br w:val="nil"/>
              <w:tr2bl w:val="nil"/>
            </w:tcBorders>
            <w:vAlign w:val="center"/>
          </w:tcPr>
          <w:p w14:paraId="1074D0F2">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我方合法正当、诚实守信地参与投标，不组织、不参加围标串标违法行为，不通过弄虚作假行为骗取中标。</w:t>
            </w:r>
          </w:p>
        </w:tc>
        <w:tc>
          <w:tcPr>
            <w:tcW w:w="4019" w:type="dxa"/>
            <w:tcBorders>
              <w:tl2br w:val="nil"/>
              <w:tr2bl w:val="nil"/>
            </w:tcBorders>
            <w:vAlign w:val="center"/>
          </w:tcPr>
          <w:p w14:paraId="0E604D83">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39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4E26FD04">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4</w:t>
            </w:r>
          </w:p>
        </w:tc>
        <w:tc>
          <w:tcPr>
            <w:tcW w:w="1573" w:type="dxa"/>
            <w:tcBorders>
              <w:tl2br w:val="nil"/>
              <w:tr2bl w:val="nil"/>
            </w:tcBorders>
            <w:vAlign w:val="center"/>
          </w:tcPr>
          <w:p w14:paraId="754EDB94">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总监理工程师</w:t>
            </w:r>
          </w:p>
          <w:p w14:paraId="4D5B47CB">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任职承诺</w:t>
            </w:r>
          </w:p>
        </w:tc>
        <w:tc>
          <w:tcPr>
            <w:tcW w:w="2923" w:type="dxa"/>
            <w:tcBorders>
              <w:tl2br w:val="nil"/>
              <w:tr2bl w:val="nil"/>
            </w:tcBorders>
            <w:vAlign w:val="center"/>
          </w:tcPr>
          <w:p w14:paraId="0015B20B">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25D3446D">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5C95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6161C08F">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5</w:t>
            </w:r>
          </w:p>
        </w:tc>
        <w:tc>
          <w:tcPr>
            <w:tcW w:w="1573" w:type="dxa"/>
            <w:tcBorders>
              <w:tl2br w:val="nil"/>
              <w:tr2bl w:val="nil"/>
            </w:tcBorders>
            <w:vAlign w:val="center"/>
          </w:tcPr>
          <w:p w14:paraId="003F6C1C">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56563611">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真实性承诺</w:t>
            </w:r>
          </w:p>
        </w:tc>
        <w:tc>
          <w:tcPr>
            <w:tcW w:w="2923" w:type="dxa"/>
            <w:tcBorders>
              <w:tl2br w:val="nil"/>
              <w:tr2bl w:val="nil"/>
            </w:tcBorders>
            <w:vAlign w:val="center"/>
          </w:tcPr>
          <w:p w14:paraId="3AAF78A2">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我方所递交投标文件的全部内容均为真实、有效、准确的。</w:t>
            </w:r>
          </w:p>
        </w:tc>
        <w:tc>
          <w:tcPr>
            <w:tcW w:w="4019" w:type="dxa"/>
            <w:tcBorders>
              <w:tl2br w:val="nil"/>
              <w:tr2bl w:val="nil"/>
            </w:tcBorders>
            <w:vAlign w:val="center"/>
          </w:tcPr>
          <w:p w14:paraId="537798B9">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4EF0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35D8F9CC">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6</w:t>
            </w:r>
          </w:p>
        </w:tc>
        <w:tc>
          <w:tcPr>
            <w:tcW w:w="1573" w:type="dxa"/>
            <w:tcBorders>
              <w:tl2br w:val="nil"/>
              <w:tr2bl w:val="nil"/>
            </w:tcBorders>
            <w:vAlign w:val="center"/>
          </w:tcPr>
          <w:p w14:paraId="4626B0C9">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3294E70E">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信息公开承诺</w:t>
            </w:r>
          </w:p>
        </w:tc>
        <w:tc>
          <w:tcPr>
            <w:tcW w:w="2923" w:type="dxa"/>
            <w:tcBorders>
              <w:tl2br w:val="nil"/>
              <w:tr2bl w:val="nil"/>
            </w:tcBorders>
            <w:vAlign w:val="center"/>
          </w:tcPr>
          <w:p w14:paraId="0BD5A69B">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47B1FADB">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r>
      <w:tr w14:paraId="5131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4A4C9368">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hAnsi="宋体" w:eastAsia="宋体" w:cs="宋体"/>
                <w:snapToGrid w:val="0"/>
                <w:color w:val="auto"/>
                <w:kern w:val="0"/>
                <w:sz w:val="21"/>
                <w:szCs w:val="21"/>
                <w:highlight w:val="none"/>
                <w:lang w:eastAsia="zh-CN"/>
              </w:rPr>
            </w:pPr>
            <w:r>
              <w:rPr>
                <w:rFonts w:hint="eastAsia" w:hAnsi="宋体" w:cs="宋体"/>
                <w:snapToGrid w:val="0"/>
                <w:color w:val="auto"/>
                <w:kern w:val="0"/>
                <w:sz w:val="21"/>
                <w:szCs w:val="21"/>
                <w:highlight w:val="none"/>
                <w:lang w:val="en-US" w:eastAsia="zh-CN"/>
              </w:rPr>
              <w:t>7</w:t>
            </w:r>
          </w:p>
        </w:tc>
        <w:tc>
          <w:tcPr>
            <w:tcW w:w="1573" w:type="dxa"/>
            <w:tcBorders>
              <w:tl2br w:val="nil"/>
              <w:tr2bl w:val="nil"/>
            </w:tcBorders>
            <w:vAlign w:val="center"/>
          </w:tcPr>
          <w:p w14:paraId="7E0FB442">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按时签订合同</w:t>
            </w:r>
          </w:p>
          <w:p w14:paraId="3DA87571">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的承诺</w:t>
            </w:r>
          </w:p>
        </w:tc>
        <w:tc>
          <w:tcPr>
            <w:tcW w:w="2923" w:type="dxa"/>
            <w:tcBorders>
              <w:tl2br w:val="nil"/>
              <w:tr2bl w:val="nil"/>
            </w:tcBorders>
            <w:vAlign w:val="center"/>
          </w:tcPr>
          <w:p w14:paraId="108034DD">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244FAAC1">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E4EC132">
      <w:pPr>
        <w:pStyle w:val="72"/>
        <w:wordWrap w:val="0"/>
        <w:adjustRightInd w:val="0"/>
        <w:snapToGrid w:val="0"/>
        <w:spacing w:line="420" w:lineRule="exact"/>
        <w:jc w:val="left"/>
        <w:rPr>
          <w:rFonts w:hAnsi="宋体" w:cs="宋体"/>
          <w:snapToGrid w:val="0"/>
          <w:color w:val="auto"/>
          <w:kern w:val="0"/>
          <w:highlight w:val="none"/>
        </w:rPr>
      </w:pPr>
    </w:p>
    <w:p w14:paraId="4B6FF6DB">
      <w:pPr>
        <w:pStyle w:val="72"/>
        <w:wordWrap w:val="0"/>
        <w:adjustRightInd w:val="0"/>
        <w:snapToGrid w:val="0"/>
        <w:spacing w:line="420" w:lineRule="exact"/>
        <w:jc w:val="left"/>
        <w:rPr>
          <w:rFonts w:hAnsi="宋体" w:cs="宋体"/>
          <w:snapToGrid w:val="0"/>
          <w:color w:val="auto"/>
          <w:kern w:val="0"/>
          <w:highlight w:val="none"/>
        </w:rPr>
      </w:pPr>
    </w:p>
    <w:p w14:paraId="148553C2">
      <w:pPr>
        <w:pStyle w:val="17"/>
        <w:wordWrap w:val="0"/>
        <w:adjustRightInd w:val="0"/>
        <w:snapToGrid w:val="0"/>
        <w:spacing w:line="420" w:lineRule="exact"/>
        <w:ind w:firstLine="480" w:firstLineChars="200"/>
        <w:jc w:val="right"/>
        <w:rPr>
          <w:rFonts w:hAnsi="宋体" w:cs="宋体"/>
          <w:snapToGrid w:val="0"/>
          <w:color w:val="auto"/>
          <w:kern w:val="0"/>
          <w:szCs w:val="24"/>
          <w:highlight w:val="none"/>
        </w:rPr>
      </w:pPr>
      <w:r>
        <w:rPr>
          <w:rFonts w:hint="eastAsia" w:hAnsi="宋体" w:cs="宋体"/>
          <w:snapToGrid w:val="0"/>
          <w:color w:val="auto"/>
          <w:kern w:val="0"/>
          <w:szCs w:val="24"/>
          <w:highlight w:val="none"/>
        </w:rPr>
        <w:t>投标人：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（盖单位章）</w:t>
      </w:r>
    </w:p>
    <w:p w14:paraId="28CA7502">
      <w:pPr>
        <w:pStyle w:val="17"/>
        <w:wordWrap w:val="0"/>
        <w:adjustRightInd w:val="0"/>
        <w:snapToGrid w:val="0"/>
        <w:spacing w:line="420" w:lineRule="exact"/>
        <w:ind w:firstLine="480" w:firstLineChars="200"/>
        <w:jc w:val="right"/>
        <w:rPr>
          <w:rFonts w:hAnsi="宋体" w:cs="宋体"/>
          <w:snapToGrid w:val="0"/>
          <w:color w:val="auto"/>
          <w:kern w:val="0"/>
          <w:szCs w:val="24"/>
          <w:highlight w:val="none"/>
        </w:rPr>
      </w:pPr>
    </w:p>
    <w:p w14:paraId="0BE8168B">
      <w:pPr>
        <w:pStyle w:val="17"/>
        <w:wordWrap w:val="0"/>
        <w:adjustRightInd w:val="0"/>
        <w:snapToGrid w:val="0"/>
        <w:spacing w:line="420" w:lineRule="exact"/>
        <w:ind w:firstLine="480" w:firstLineChars="200"/>
        <w:jc w:val="right"/>
        <w:rPr>
          <w:rFonts w:hAnsi="宋体" w:cs="宋体"/>
          <w:snapToGrid w:val="0"/>
          <w:color w:val="auto"/>
          <w:kern w:val="0"/>
          <w:szCs w:val="24"/>
          <w:highlight w:val="none"/>
        </w:rPr>
      </w:pPr>
    </w:p>
    <w:p w14:paraId="0172B28D">
      <w:pPr>
        <w:pStyle w:val="17"/>
        <w:wordWrap w:val="0"/>
        <w:adjustRightInd w:val="0"/>
        <w:snapToGrid w:val="0"/>
        <w:spacing w:line="420" w:lineRule="exact"/>
        <w:ind w:firstLine="480" w:firstLineChars="200"/>
        <w:jc w:val="right"/>
        <w:rPr>
          <w:rFonts w:hAnsi="宋体" w:cs="宋体"/>
          <w:snapToGrid w:val="0"/>
          <w:color w:val="auto"/>
          <w:kern w:val="0"/>
          <w:szCs w:val="24"/>
          <w:highlight w:val="none"/>
        </w:rPr>
      </w:pPr>
      <w:r>
        <w:rPr>
          <w:rFonts w:hint="eastAsia" w:hAnsi="宋体" w:cs="宋体"/>
          <w:snapToGrid w:val="0"/>
          <w:color w:val="auto"/>
          <w:kern w:val="0"/>
          <w:szCs w:val="24"/>
          <w:highlight w:val="none"/>
        </w:rPr>
        <w:t>法定代表人或其委托代理人：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（签字或盖章）</w:t>
      </w:r>
    </w:p>
    <w:p w14:paraId="40FD3ED2">
      <w:pPr>
        <w:pStyle w:val="17"/>
        <w:wordWrap w:val="0"/>
        <w:adjustRightInd w:val="0"/>
        <w:snapToGrid w:val="0"/>
        <w:spacing w:line="420" w:lineRule="exact"/>
        <w:ind w:firstLine="480" w:firstLineChars="200"/>
        <w:rPr>
          <w:rFonts w:hAnsi="宋体" w:cs="宋体"/>
          <w:snapToGrid w:val="0"/>
          <w:color w:val="auto"/>
          <w:kern w:val="0"/>
          <w:szCs w:val="24"/>
          <w:highlight w:val="none"/>
        </w:rPr>
      </w:pPr>
    </w:p>
    <w:p w14:paraId="498998F1">
      <w:pPr>
        <w:pStyle w:val="17"/>
        <w:wordWrap w:val="0"/>
        <w:adjustRightInd w:val="0"/>
        <w:snapToGrid w:val="0"/>
        <w:spacing w:line="420" w:lineRule="exact"/>
        <w:ind w:firstLine="480" w:firstLineChars="200"/>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年</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月</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日</w:t>
      </w:r>
    </w:p>
    <w:p w14:paraId="3E8D0F6D">
      <w:pPr>
        <w:wordWrap w:val="0"/>
        <w:adjustRightInd w:val="0"/>
        <w:snapToGrid w:val="0"/>
        <w:spacing w:line="420" w:lineRule="exact"/>
        <w:jc w:val="left"/>
        <w:rPr>
          <w:rFonts w:hAnsi="宋体" w:cs="宋体"/>
          <w:b/>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1E8EBA5D">
      <w:pPr>
        <w:wordWrap w:val="0"/>
        <w:adjustRightInd w:val="0"/>
        <w:snapToGrid w:val="0"/>
        <w:spacing w:line="440" w:lineRule="exact"/>
        <w:outlineLvl w:val="1"/>
        <w:rPr>
          <w:rFonts w:hAnsi="宋体" w:cs="宋体"/>
          <w:b/>
          <w:bCs/>
          <w:snapToGrid w:val="0"/>
          <w:color w:val="auto"/>
          <w:kern w:val="0"/>
          <w:szCs w:val="24"/>
          <w:highlight w:val="none"/>
        </w:rPr>
      </w:pPr>
      <w:bookmarkStart w:id="366" w:name="_Toc10808"/>
      <w:r>
        <w:rPr>
          <w:rFonts w:hint="eastAsia" w:hAnsi="宋体" w:cs="宋体"/>
          <w:b/>
          <w:bCs/>
          <w:snapToGrid w:val="0"/>
          <w:color w:val="auto"/>
          <w:kern w:val="0"/>
          <w:szCs w:val="24"/>
          <w:highlight w:val="none"/>
        </w:rPr>
        <w:t>格式四 授权委托书</w:t>
      </w:r>
      <w:bookmarkEnd w:id="366"/>
    </w:p>
    <w:p w14:paraId="759A7BEF">
      <w:pPr>
        <w:wordWrap w:val="0"/>
        <w:adjustRightInd w:val="0"/>
        <w:snapToGrid w:val="0"/>
        <w:spacing w:line="440" w:lineRule="exact"/>
        <w:rPr>
          <w:rFonts w:hAnsi="宋体" w:cs="宋体"/>
          <w:b/>
          <w:bCs/>
          <w:snapToGrid w:val="0"/>
          <w:color w:val="auto"/>
          <w:kern w:val="0"/>
          <w:szCs w:val="24"/>
          <w:highlight w:val="none"/>
        </w:rPr>
      </w:pPr>
    </w:p>
    <w:p w14:paraId="1D02247C">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授权委托书</w:t>
      </w:r>
    </w:p>
    <w:p w14:paraId="2077EBE8">
      <w:pPr>
        <w:wordWrap w:val="0"/>
        <w:adjustRightInd w:val="0"/>
        <w:snapToGrid w:val="0"/>
        <w:spacing w:line="440" w:lineRule="exact"/>
        <w:rPr>
          <w:rFonts w:hAnsi="宋体" w:cs="宋体"/>
          <w:snapToGrid w:val="0"/>
          <w:color w:val="auto"/>
          <w:kern w:val="0"/>
          <w:szCs w:val="28"/>
          <w:highlight w:val="none"/>
        </w:rPr>
      </w:pPr>
    </w:p>
    <w:p w14:paraId="30754A58">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本人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（投标人名称）的法定代表人，现委托</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（姓名）为我方代理人。代理人根据授权，以我方名义签署、澄清、说明、补正、递交、撤回、修改</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（项目名称）监理投标文件、签订合同和处理有关事宜，其法律后果由我方承担。</w:t>
      </w:r>
    </w:p>
    <w:p w14:paraId="3A2A096D">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委托期限：至</w:t>
      </w:r>
      <w:r>
        <w:rPr>
          <w:rFonts w:hint="eastAsia" w:hAnsi="宋体" w:cs="宋体"/>
          <w:snapToGrid w:val="0"/>
          <w:color w:val="auto"/>
          <w:kern w:val="0"/>
          <w:szCs w:val="21"/>
          <w:highlight w:val="none"/>
          <w:u w:val="single"/>
        </w:rPr>
        <w:t xml:space="preserve">     年   月   日</w:t>
      </w:r>
      <w:r>
        <w:rPr>
          <w:rFonts w:hint="eastAsia" w:hAnsi="宋体" w:cs="宋体"/>
          <w:i/>
          <w:iCs/>
          <w:snapToGrid w:val="0"/>
          <w:color w:val="auto"/>
          <w:kern w:val="0"/>
          <w:szCs w:val="21"/>
          <w:highlight w:val="none"/>
          <w:u w:val="single"/>
        </w:rPr>
        <w:t>（不得短于招标文件规定的投标有效期）</w:t>
      </w:r>
      <w:r>
        <w:rPr>
          <w:rFonts w:hint="eastAsia" w:hAnsi="宋体" w:cs="宋体"/>
          <w:snapToGrid w:val="0"/>
          <w:color w:val="auto"/>
          <w:kern w:val="0"/>
          <w:szCs w:val="21"/>
          <w:highlight w:val="none"/>
        </w:rPr>
        <w:t xml:space="preserve"> 。</w:t>
      </w:r>
    </w:p>
    <w:p w14:paraId="58D17578">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代理人无转委托权。</w:t>
      </w:r>
    </w:p>
    <w:p w14:paraId="1B59B3DA">
      <w:pPr>
        <w:wordWrap w:val="0"/>
        <w:adjustRightInd w:val="0"/>
        <w:snapToGrid w:val="0"/>
        <w:spacing w:line="440" w:lineRule="exact"/>
        <w:ind w:firstLine="480" w:firstLineChars="200"/>
        <w:rPr>
          <w:rFonts w:hAnsi="宋体" w:cs="宋体"/>
          <w:snapToGrid w:val="0"/>
          <w:color w:val="auto"/>
          <w:kern w:val="0"/>
          <w:szCs w:val="21"/>
          <w:highlight w:val="none"/>
        </w:rPr>
      </w:pPr>
    </w:p>
    <w:p w14:paraId="2168011B">
      <w:pPr>
        <w:wordWrap w:val="0"/>
        <w:adjustRightInd w:val="0"/>
        <w:snapToGrid w:val="0"/>
        <w:spacing w:line="440" w:lineRule="exact"/>
        <w:ind w:firstLine="480" w:firstLineChars="200"/>
        <w:rPr>
          <w:rFonts w:hAnsi="宋体" w:cs="宋体"/>
          <w:snapToGrid w:val="0"/>
          <w:color w:val="auto"/>
          <w:kern w:val="0"/>
          <w:szCs w:val="21"/>
          <w:highlight w:val="none"/>
        </w:rPr>
      </w:pPr>
    </w:p>
    <w:p w14:paraId="5D117B02">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投  标  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657F48EA">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p>
    <w:p w14:paraId="5A982326">
      <w:pPr>
        <w:wordWrap w:val="0"/>
        <w:adjustRightInd w:val="0"/>
        <w:snapToGrid w:val="0"/>
        <w:spacing w:line="440" w:lineRule="exact"/>
        <w:ind w:firstLine="480" w:firstLineChars="200"/>
        <w:rPr>
          <w:rFonts w:hAnsi="宋体" w:cs="宋体"/>
          <w:snapToGrid w:val="0"/>
          <w:color w:val="auto"/>
          <w:kern w:val="0"/>
          <w:szCs w:val="21"/>
          <w:highlight w:val="none"/>
        </w:rPr>
      </w:pPr>
    </w:p>
    <w:p w14:paraId="47DE65D3">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6F4080A1">
      <w:pPr>
        <w:wordWrap w:val="0"/>
        <w:adjustRightInd w:val="0"/>
        <w:snapToGrid w:val="0"/>
        <w:spacing w:line="440" w:lineRule="exact"/>
        <w:ind w:firstLine="480" w:firstLineChars="200"/>
        <w:rPr>
          <w:rFonts w:hAnsi="宋体" w:cs="宋体"/>
          <w:snapToGrid w:val="0"/>
          <w:color w:val="auto"/>
          <w:kern w:val="0"/>
          <w:szCs w:val="21"/>
          <w:highlight w:val="none"/>
        </w:rPr>
      </w:pPr>
    </w:p>
    <w:p w14:paraId="636F6053">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委托代理人：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516C980D">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p>
    <w:p w14:paraId="07FCA71E">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日</w:t>
      </w:r>
    </w:p>
    <w:p w14:paraId="764F8561">
      <w:pPr>
        <w:wordWrap w:val="0"/>
        <w:adjustRightInd w:val="0"/>
        <w:snapToGrid w:val="0"/>
        <w:spacing w:line="440" w:lineRule="exact"/>
        <w:ind w:firstLine="480" w:firstLineChars="200"/>
        <w:rPr>
          <w:rFonts w:hAnsi="宋体" w:cs="宋体"/>
          <w:snapToGrid w:val="0"/>
          <w:color w:val="auto"/>
          <w:kern w:val="0"/>
          <w:szCs w:val="21"/>
          <w:highlight w:val="none"/>
        </w:rPr>
      </w:pPr>
    </w:p>
    <w:p w14:paraId="79AD2214">
      <w:pPr>
        <w:wordWrap w:val="0"/>
        <w:adjustRightInd w:val="0"/>
        <w:snapToGrid w:val="0"/>
        <w:spacing w:line="440" w:lineRule="exact"/>
        <w:ind w:firstLine="480" w:firstLineChars="200"/>
        <w:rPr>
          <w:rFonts w:hAnsi="宋体" w:cs="宋体"/>
          <w:snapToGrid w:val="0"/>
          <w:color w:val="auto"/>
          <w:kern w:val="0"/>
          <w:szCs w:val="21"/>
          <w:highlight w:val="none"/>
        </w:rPr>
      </w:pPr>
    </w:p>
    <w:p w14:paraId="523F244E">
      <w:pPr>
        <w:wordWrap w:val="0"/>
        <w:adjustRightInd w:val="0"/>
        <w:snapToGrid w:val="0"/>
        <w:ind w:firstLine="6440" w:firstLineChars="2300"/>
        <w:rPr>
          <w:rFonts w:hAnsi="宋体" w:cs="宋体"/>
          <w:snapToGrid w:val="0"/>
          <w:color w:val="auto"/>
          <w:kern w:val="0"/>
          <w:szCs w:val="24"/>
          <w:highlight w:val="none"/>
        </w:rPr>
      </w:pPr>
      <w:r>
        <w:rPr>
          <w:rFonts w:hint="eastAsia" w:hAnsi="宋体" w:cs="宋体"/>
          <w:snapToGrid w:val="0"/>
          <w:color w:val="auto"/>
          <w:kern w:val="0"/>
          <w:sz w:val="28"/>
          <w:szCs w:val="28"/>
          <w:highlight w:val="none"/>
          <w:u w:val="single"/>
        </w:rPr>
        <mc:AlternateContent>
          <mc:Choice Requires="wps">
            <w:drawing>
              <wp:anchor distT="0" distB="0" distL="114300" distR="114300" simplePos="0" relativeHeight="251662336"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2336;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v:textbox>
              </v:shape>
            </w:pict>
          </mc:Fallback>
        </mc:AlternateContent>
      </w:r>
    </w:p>
    <w:p w14:paraId="79563FD3">
      <w:pPr>
        <w:pStyle w:val="10"/>
        <w:wordWrap w:val="0"/>
        <w:adjustRightInd w:val="0"/>
        <w:snapToGrid w:val="0"/>
        <w:rPr>
          <w:rFonts w:hAnsi="宋体" w:cs="宋体"/>
          <w:snapToGrid w:val="0"/>
          <w:color w:val="auto"/>
          <w:kern w:val="0"/>
          <w:szCs w:val="24"/>
          <w:highlight w:val="none"/>
        </w:rPr>
      </w:pPr>
    </w:p>
    <w:p w14:paraId="3DEB4B42">
      <w:pPr>
        <w:bidi w:val="0"/>
        <w:rPr>
          <w:color w:val="auto"/>
          <w:highlight w:val="none"/>
        </w:rPr>
      </w:pPr>
    </w:p>
    <w:p w14:paraId="4EE63B06">
      <w:pPr>
        <w:wordWrap w:val="0"/>
        <w:adjustRightInd w:val="0"/>
        <w:snapToGrid w:val="0"/>
        <w:rPr>
          <w:rFonts w:hAnsi="宋体" w:cs="宋体"/>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047810DC">
      <w:pPr>
        <w:wordWrap w:val="0"/>
        <w:adjustRightInd w:val="0"/>
        <w:snapToGrid w:val="0"/>
        <w:spacing w:line="440" w:lineRule="exact"/>
        <w:outlineLvl w:val="1"/>
        <w:rPr>
          <w:rFonts w:hAnsi="宋体" w:cs="宋体"/>
          <w:b/>
          <w:snapToGrid w:val="0"/>
          <w:color w:val="auto"/>
          <w:kern w:val="0"/>
          <w:highlight w:val="none"/>
        </w:rPr>
      </w:pPr>
      <w:bookmarkStart w:id="367" w:name="_Toc27915"/>
      <w:r>
        <w:rPr>
          <w:rFonts w:hint="eastAsia" w:hAnsi="宋体" w:cs="宋体"/>
          <w:b/>
          <w:snapToGrid w:val="0"/>
          <w:color w:val="auto"/>
          <w:kern w:val="0"/>
          <w:highlight w:val="none"/>
        </w:rPr>
        <w:t>格式五 法定代表人身份证明</w:t>
      </w:r>
      <w:bookmarkEnd w:id="367"/>
    </w:p>
    <w:p w14:paraId="6BB79DDB">
      <w:pPr>
        <w:wordWrap w:val="0"/>
        <w:adjustRightInd w:val="0"/>
        <w:snapToGrid w:val="0"/>
        <w:spacing w:line="440" w:lineRule="exact"/>
        <w:rPr>
          <w:rFonts w:hAnsi="宋体" w:cs="宋体"/>
          <w:b/>
          <w:snapToGrid w:val="0"/>
          <w:color w:val="auto"/>
          <w:kern w:val="0"/>
          <w:highlight w:val="none"/>
        </w:rPr>
      </w:pPr>
    </w:p>
    <w:p w14:paraId="16729C42">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法定代表人身份证明</w:t>
      </w:r>
    </w:p>
    <w:p w14:paraId="2FF4BF41">
      <w:pPr>
        <w:wordWrap w:val="0"/>
        <w:adjustRightInd w:val="0"/>
        <w:snapToGrid w:val="0"/>
        <w:spacing w:line="440" w:lineRule="exact"/>
        <w:rPr>
          <w:rFonts w:hAnsi="宋体" w:cs="宋体"/>
          <w:snapToGrid w:val="0"/>
          <w:color w:val="auto"/>
          <w:kern w:val="0"/>
          <w:szCs w:val="21"/>
          <w:highlight w:val="none"/>
        </w:rPr>
      </w:pPr>
    </w:p>
    <w:p w14:paraId="7DB8BCD1">
      <w:pPr>
        <w:wordWrap w:val="0"/>
        <w:adjustRightInd w:val="0"/>
        <w:snapToGrid w:val="0"/>
        <w:spacing w:line="440" w:lineRule="exact"/>
        <w:rPr>
          <w:rFonts w:hAnsi="宋体" w:cs="宋体"/>
          <w:snapToGrid w:val="0"/>
          <w:color w:val="auto"/>
          <w:kern w:val="0"/>
          <w:szCs w:val="21"/>
          <w:highlight w:val="none"/>
          <w:u w:val="single"/>
        </w:rPr>
      </w:pPr>
      <w:r>
        <w:rPr>
          <w:rFonts w:hint="eastAsia" w:hAnsi="宋体" w:cs="宋体"/>
          <w:snapToGrid w:val="0"/>
          <w:color w:val="auto"/>
          <w:kern w:val="0"/>
          <w:szCs w:val="21"/>
          <w:highlight w:val="none"/>
        </w:rPr>
        <w:t>投标人名称：</w:t>
      </w:r>
      <w:r>
        <w:rPr>
          <w:rFonts w:hint="eastAsia" w:hAnsi="宋体" w:cs="宋体"/>
          <w:snapToGrid w:val="0"/>
          <w:color w:val="auto"/>
          <w:kern w:val="0"/>
          <w:szCs w:val="21"/>
          <w:highlight w:val="none"/>
          <w:u w:val="single"/>
        </w:rPr>
        <w:t xml:space="preserve">                  </w:t>
      </w:r>
    </w:p>
    <w:p w14:paraId="5F87A2BE">
      <w:pPr>
        <w:wordWrap w:val="0"/>
        <w:adjustRightInd w:val="0"/>
        <w:snapToGrid w:val="0"/>
        <w:spacing w:line="440" w:lineRule="exact"/>
        <w:rPr>
          <w:rFonts w:hAnsi="宋体" w:cs="宋体"/>
          <w:snapToGrid w:val="0"/>
          <w:color w:val="auto"/>
          <w:kern w:val="0"/>
          <w:szCs w:val="21"/>
          <w:highlight w:val="none"/>
          <w:u w:val="single"/>
        </w:rPr>
      </w:pPr>
      <w:r>
        <w:rPr>
          <w:rFonts w:hint="eastAsia" w:hAnsi="宋体" w:cs="宋体"/>
          <w:snapToGrid w:val="0"/>
          <w:color w:val="auto"/>
          <w:kern w:val="0"/>
          <w:szCs w:val="21"/>
          <w:highlight w:val="none"/>
        </w:rPr>
        <w:t>姓名：</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性别：</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年龄：</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职务：</w:t>
      </w:r>
      <w:r>
        <w:rPr>
          <w:rFonts w:hint="eastAsia" w:hAnsi="宋体" w:cs="宋体"/>
          <w:snapToGrid w:val="0"/>
          <w:color w:val="auto"/>
          <w:kern w:val="0"/>
          <w:szCs w:val="21"/>
          <w:highlight w:val="none"/>
          <w:u w:val="single"/>
        </w:rPr>
        <w:t xml:space="preserve">           </w:t>
      </w:r>
    </w:p>
    <w:p w14:paraId="49E9994E">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w:t>
      </w:r>
    </w:p>
    <w:p w14:paraId="0EC840B0">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特此证明。</w:t>
      </w:r>
    </w:p>
    <w:p w14:paraId="6BD5A741">
      <w:pPr>
        <w:wordWrap w:val="0"/>
        <w:adjustRightInd w:val="0"/>
        <w:snapToGrid w:val="0"/>
        <w:spacing w:line="440" w:lineRule="exact"/>
        <w:rPr>
          <w:rFonts w:hAnsi="宋体" w:cs="宋体"/>
          <w:snapToGrid w:val="0"/>
          <w:color w:val="auto"/>
          <w:kern w:val="0"/>
          <w:szCs w:val="21"/>
          <w:highlight w:val="none"/>
        </w:rPr>
      </w:pPr>
    </w:p>
    <w:p w14:paraId="2E95E920">
      <w:pPr>
        <w:wordWrap w:val="0"/>
        <w:adjustRightInd w:val="0"/>
        <w:snapToGrid w:val="0"/>
        <w:spacing w:line="440" w:lineRule="exact"/>
        <w:rPr>
          <w:rFonts w:hAnsi="宋体" w:cs="宋体"/>
          <w:snapToGrid w:val="0"/>
          <w:color w:val="auto"/>
          <w:kern w:val="0"/>
          <w:szCs w:val="21"/>
          <w:highlight w:val="none"/>
        </w:rPr>
      </w:pPr>
    </w:p>
    <w:p w14:paraId="2BAF37F3">
      <w:pPr>
        <w:wordWrap w:val="0"/>
        <w:adjustRightInd w:val="0"/>
        <w:snapToGrid w:val="0"/>
        <w:spacing w:line="440" w:lineRule="exact"/>
        <w:jc w:val="right"/>
        <w:rPr>
          <w:rFonts w:hAnsi="宋体" w:cs="宋体"/>
          <w:snapToGrid w:val="0"/>
          <w:color w:val="auto"/>
          <w:kern w:val="0"/>
          <w:szCs w:val="21"/>
          <w:highlight w:val="none"/>
        </w:rPr>
      </w:pPr>
      <w:r>
        <w:rPr>
          <w:rFonts w:hint="eastAsia" w:hAnsi="宋体" w:cs="宋体"/>
          <w:snapToGrid w:val="0"/>
          <w:color w:val="auto"/>
          <w:kern w:val="0"/>
          <w:szCs w:val="21"/>
          <w:highlight w:val="none"/>
        </w:rPr>
        <w:t>投标人：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15931070">
      <w:pPr>
        <w:wordWrap w:val="0"/>
        <w:adjustRightInd w:val="0"/>
        <w:snapToGrid w:val="0"/>
        <w:spacing w:line="440" w:lineRule="exact"/>
        <w:jc w:val="right"/>
        <w:rPr>
          <w:rFonts w:hAnsi="宋体" w:cs="宋体"/>
          <w:snapToGrid w:val="0"/>
          <w:color w:val="auto"/>
          <w:kern w:val="0"/>
          <w:szCs w:val="21"/>
          <w:highlight w:val="none"/>
        </w:rPr>
      </w:pPr>
    </w:p>
    <w:p w14:paraId="4E9E006A">
      <w:pPr>
        <w:wordWrap w:val="0"/>
        <w:adjustRightInd w:val="0"/>
        <w:snapToGrid w:val="0"/>
        <w:spacing w:line="440" w:lineRule="exact"/>
        <w:jc w:val="right"/>
        <w:rPr>
          <w:rFonts w:hAnsi="宋体" w:cs="宋体"/>
          <w:snapToGrid w:val="0"/>
          <w:color w:val="auto"/>
          <w:kern w:val="0"/>
          <w:szCs w:val="21"/>
          <w:highlight w:val="none"/>
        </w:rPr>
      </w:pPr>
    </w:p>
    <w:p w14:paraId="6E1D2B4A">
      <w:pPr>
        <w:wordWrap w:val="0"/>
        <w:adjustRightInd w:val="0"/>
        <w:snapToGrid w:val="0"/>
        <w:spacing w:line="440" w:lineRule="exact"/>
        <w:jc w:val="righ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7C11D6D8">
      <w:pPr>
        <w:wordWrap w:val="0"/>
        <w:adjustRightInd w:val="0"/>
        <w:snapToGrid w:val="0"/>
        <w:spacing w:line="440" w:lineRule="exact"/>
        <w:jc w:val="center"/>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4649928B">
      <w:pPr>
        <w:wordWrap w:val="0"/>
        <w:adjustRightInd w:val="0"/>
        <w:snapToGrid w:val="0"/>
        <w:spacing w:line="440" w:lineRule="exact"/>
        <w:jc w:val="center"/>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 xml:space="preserve">日       </w:t>
      </w:r>
    </w:p>
    <w:p w14:paraId="5AC0A295">
      <w:pPr>
        <w:wordWrap w:val="0"/>
        <w:adjustRightInd w:val="0"/>
        <w:snapToGrid w:val="0"/>
        <w:spacing w:line="440" w:lineRule="exact"/>
        <w:ind w:firstLine="240" w:firstLineChars="100"/>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76CD658E">
      <w:pPr>
        <w:wordWrap w:val="0"/>
        <w:adjustRightInd w:val="0"/>
        <w:snapToGrid w:val="0"/>
        <w:spacing w:line="440" w:lineRule="exact"/>
        <w:ind w:firstLine="240" w:firstLineChars="100"/>
        <w:rPr>
          <w:rFonts w:hAnsi="宋体" w:cs="宋体"/>
          <w:snapToGrid w:val="0"/>
          <w:color w:val="auto"/>
          <w:kern w:val="0"/>
          <w:szCs w:val="21"/>
          <w:highlight w:val="none"/>
        </w:rPr>
      </w:pPr>
    </w:p>
    <w:p w14:paraId="658B356B">
      <w:pPr>
        <w:wordWrap w:val="0"/>
        <w:adjustRightInd w:val="0"/>
        <w:snapToGrid w:val="0"/>
        <w:spacing w:line="440" w:lineRule="exact"/>
        <w:ind w:firstLine="240" w:firstLineChars="100"/>
        <w:rPr>
          <w:rFonts w:hAnsi="宋体" w:cs="宋体"/>
          <w:snapToGrid w:val="0"/>
          <w:color w:val="auto"/>
          <w:kern w:val="0"/>
          <w:szCs w:val="21"/>
          <w:highlight w:val="none"/>
        </w:rPr>
      </w:pPr>
    </w:p>
    <w:p w14:paraId="5B344952">
      <w:pPr>
        <w:wordWrap w:val="0"/>
        <w:adjustRightInd w:val="0"/>
        <w:snapToGrid w:val="0"/>
        <w:spacing w:line="440" w:lineRule="exact"/>
        <w:ind w:firstLine="720" w:firstLineChars="300"/>
        <w:rPr>
          <w:rFonts w:hAnsi="宋体" w:cs="宋体"/>
          <w:b/>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i/>
          <w:iCs/>
          <w:snapToGrid w:val="0"/>
          <w:color w:val="auto"/>
          <w:kern w:val="0"/>
          <w:szCs w:val="21"/>
          <w:highlight w:val="none"/>
        </w:rPr>
        <w:t xml:space="preserve"> </w:t>
      </w:r>
    </w:p>
    <w:p w14:paraId="1F32B462">
      <w:pPr>
        <w:wordWrap w:val="0"/>
        <w:adjustRightInd w:val="0"/>
        <w:snapToGrid w:val="0"/>
        <w:rPr>
          <w:rFonts w:hAnsi="宋体" w:cs="宋体"/>
          <w:b/>
          <w:snapToGrid w:val="0"/>
          <w:color w:val="auto"/>
          <w:kern w:val="0"/>
          <w:szCs w:val="21"/>
          <w:highlight w:val="none"/>
        </w:rPr>
      </w:pPr>
      <w:r>
        <w:rPr>
          <w:rFonts w:hint="eastAsia" w:hAnsi="宋体" w:cs="宋体"/>
          <w:b/>
          <w:snapToGrid w:val="0"/>
          <w:color w:val="auto"/>
          <w:kern w:val="0"/>
          <w:szCs w:val="21"/>
          <w:highlight w:val="none"/>
        </w:rPr>
        <mc:AlternateContent>
          <mc:Choice Requires="wps">
            <w:drawing>
              <wp:anchor distT="0" distB="0" distL="114300" distR="114300" simplePos="0" relativeHeight="251661312"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61312;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CgE5luJAIAAFQ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s&#10;wm7XAAAACQEAAA8AAAAAAAAAAQAgAAAAIgAAAGRycy9kb3ducmV2LnhtbFBLAQIUABQAAAAIAIdO&#10;4kCgE5luJAIAAFQEAAAOAAAAAAAAAAEAIAAAACYBAABkcnMvZTJvRG9jLnhtbFBLBQYAAAAABgAG&#10;AFkBAAC8BQAAAAA=&#10;">
                <v:fill on="t" focussize="0,0"/>
                <v:stroke color="#000000" joinstyle="miter"/>
                <v:imagedata o:title=""/>
                <o:lock v:ext="edit" aspectratio="f"/>
                <v:textbo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v:textbox>
              </v:shape>
            </w:pict>
          </mc:Fallback>
        </mc:AlternateContent>
      </w:r>
    </w:p>
    <w:p w14:paraId="7B058A6C">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Ansi="宋体" w:cs="宋体"/>
          <w:snapToGrid w:val="0"/>
          <w:color w:val="auto"/>
          <w:kern w:val="0"/>
          <w:sz w:val="28"/>
          <w:szCs w:val="28"/>
          <w:highlight w:val="none"/>
        </w:rPr>
      </w:pPr>
    </w:p>
    <w:p w14:paraId="42859630">
      <w:pPr>
        <w:wordWrap w:val="0"/>
        <w:adjustRightInd w:val="0"/>
        <w:snapToGrid w:val="0"/>
        <w:spacing w:line="480" w:lineRule="exact"/>
        <w:jc w:val="center"/>
        <w:rPr>
          <w:rFonts w:hAnsi="宋体" w:cs="宋体"/>
          <w:b/>
          <w:snapToGrid w:val="0"/>
          <w:color w:val="auto"/>
          <w:kern w:val="0"/>
          <w:sz w:val="28"/>
          <w:szCs w:val="28"/>
          <w:highlight w:val="none"/>
        </w:rPr>
      </w:pPr>
    </w:p>
    <w:p w14:paraId="67FF2234">
      <w:pPr>
        <w:wordWrap w:val="0"/>
        <w:adjustRightInd w:val="0"/>
        <w:snapToGrid w:val="0"/>
        <w:spacing w:line="480" w:lineRule="exact"/>
        <w:jc w:val="center"/>
        <w:rPr>
          <w:rFonts w:hAnsi="宋体" w:cs="宋体"/>
          <w:b/>
          <w:snapToGrid w:val="0"/>
          <w:color w:val="auto"/>
          <w:kern w:val="0"/>
          <w:sz w:val="28"/>
          <w:szCs w:val="28"/>
          <w:highlight w:val="none"/>
        </w:rPr>
      </w:pPr>
    </w:p>
    <w:p w14:paraId="75D1150B">
      <w:pPr>
        <w:wordWrap w:val="0"/>
        <w:adjustRightInd w:val="0"/>
        <w:snapToGrid w:val="0"/>
        <w:spacing w:line="480" w:lineRule="exact"/>
        <w:jc w:val="center"/>
        <w:rPr>
          <w:rFonts w:hAnsi="宋体" w:cs="宋体"/>
          <w:b/>
          <w:snapToGrid w:val="0"/>
          <w:color w:val="auto"/>
          <w:kern w:val="0"/>
          <w:sz w:val="28"/>
          <w:szCs w:val="28"/>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27DA5F30">
      <w:pPr>
        <w:wordWrap w:val="0"/>
        <w:adjustRightInd w:val="0"/>
        <w:snapToGrid w:val="0"/>
        <w:spacing w:line="440" w:lineRule="exact"/>
        <w:outlineLvl w:val="1"/>
        <w:rPr>
          <w:rFonts w:hAnsi="宋体" w:cs="宋体"/>
          <w:b/>
          <w:bCs/>
          <w:snapToGrid w:val="0"/>
          <w:color w:val="auto"/>
          <w:kern w:val="0"/>
          <w:szCs w:val="24"/>
          <w:highlight w:val="none"/>
        </w:rPr>
      </w:pPr>
      <w:bookmarkStart w:id="368" w:name="_Toc14330"/>
      <w:r>
        <w:rPr>
          <w:rFonts w:hint="eastAsia" w:hAnsi="宋体" w:cs="宋体"/>
          <w:b/>
          <w:bCs/>
          <w:snapToGrid w:val="0"/>
          <w:color w:val="auto"/>
          <w:kern w:val="0"/>
          <w:szCs w:val="24"/>
          <w:highlight w:val="none"/>
        </w:rPr>
        <w:t>格式六 投标人基本情况表</w:t>
      </w:r>
      <w:bookmarkEnd w:id="368"/>
    </w:p>
    <w:p w14:paraId="3C45457B">
      <w:pPr>
        <w:pStyle w:val="71"/>
        <w:widowControl w:val="0"/>
        <w:wordWrap w:val="0"/>
        <w:adjustRightInd w:val="0"/>
        <w:snapToGrid w:val="0"/>
        <w:spacing w:before="260" w:after="260" w:line="400" w:lineRule="exact"/>
        <w:ind w:firstLine="0"/>
        <w:jc w:val="center"/>
        <w:rPr>
          <w:rFonts w:hAnsi="宋体" w:cs="宋体"/>
          <w:snapToGrid w:val="0"/>
          <w:color w:val="auto"/>
          <w:sz w:val="24"/>
          <w:highlight w:val="none"/>
        </w:rPr>
      </w:pPr>
      <w:r>
        <w:rPr>
          <w:rFonts w:hint="eastAsia" w:hAnsi="宋体" w:cs="宋体"/>
          <w:b/>
          <w:snapToGrid w:val="0"/>
          <w:color w:val="auto"/>
          <w:sz w:val="30"/>
          <w:highlight w:val="none"/>
        </w:rPr>
        <w:t>投标人基本情况表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95D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0F35340">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投标人名称</w:t>
            </w:r>
          </w:p>
        </w:tc>
        <w:tc>
          <w:tcPr>
            <w:tcW w:w="7020" w:type="dxa"/>
            <w:gridSpan w:val="8"/>
            <w:vAlign w:val="center"/>
          </w:tcPr>
          <w:p w14:paraId="29F5C9C3">
            <w:pPr>
              <w:pStyle w:val="135"/>
              <w:wordWrap w:val="0"/>
              <w:adjustRightInd w:val="0"/>
              <w:snapToGrid w:val="0"/>
              <w:jc w:val="center"/>
              <w:rPr>
                <w:rFonts w:ascii="宋体" w:hAnsi="宋体" w:cs="宋体"/>
                <w:snapToGrid w:val="0"/>
                <w:color w:val="auto"/>
                <w:kern w:val="0"/>
                <w:szCs w:val="21"/>
                <w:highlight w:val="none"/>
              </w:rPr>
            </w:pPr>
          </w:p>
        </w:tc>
      </w:tr>
      <w:tr w14:paraId="0C6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56E481A">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注册地址</w:t>
            </w:r>
          </w:p>
        </w:tc>
        <w:tc>
          <w:tcPr>
            <w:tcW w:w="3389" w:type="dxa"/>
            <w:gridSpan w:val="3"/>
            <w:vAlign w:val="center"/>
          </w:tcPr>
          <w:p w14:paraId="41522393">
            <w:pPr>
              <w:pStyle w:val="135"/>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0BEA5ED6">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邮政编码</w:t>
            </w:r>
          </w:p>
        </w:tc>
        <w:tc>
          <w:tcPr>
            <w:tcW w:w="2385" w:type="dxa"/>
            <w:gridSpan w:val="3"/>
            <w:vAlign w:val="center"/>
          </w:tcPr>
          <w:p w14:paraId="515E2314">
            <w:pPr>
              <w:pStyle w:val="135"/>
              <w:wordWrap w:val="0"/>
              <w:adjustRightInd w:val="0"/>
              <w:snapToGrid w:val="0"/>
              <w:jc w:val="center"/>
              <w:rPr>
                <w:rFonts w:ascii="宋体" w:hAnsi="宋体" w:cs="宋体"/>
                <w:snapToGrid w:val="0"/>
                <w:color w:val="auto"/>
                <w:kern w:val="0"/>
                <w:szCs w:val="21"/>
                <w:highlight w:val="none"/>
              </w:rPr>
            </w:pPr>
          </w:p>
        </w:tc>
      </w:tr>
      <w:tr w14:paraId="53D3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70B2C20F">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联系方式</w:t>
            </w:r>
          </w:p>
        </w:tc>
        <w:tc>
          <w:tcPr>
            <w:tcW w:w="897" w:type="dxa"/>
            <w:vAlign w:val="center"/>
          </w:tcPr>
          <w:p w14:paraId="75946708">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联系人</w:t>
            </w:r>
          </w:p>
        </w:tc>
        <w:tc>
          <w:tcPr>
            <w:tcW w:w="2492" w:type="dxa"/>
            <w:gridSpan w:val="2"/>
            <w:vAlign w:val="center"/>
          </w:tcPr>
          <w:p w14:paraId="164B535F">
            <w:pPr>
              <w:pStyle w:val="135"/>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67B9898D">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  话</w:t>
            </w:r>
          </w:p>
        </w:tc>
        <w:tc>
          <w:tcPr>
            <w:tcW w:w="2385" w:type="dxa"/>
            <w:gridSpan w:val="3"/>
            <w:vAlign w:val="center"/>
          </w:tcPr>
          <w:p w14:paraId="137FBF1E">
            <w:pPr>
              <w:pStyle w:val="135"/>
              <w:wordWrap w:val="0"/>
              <w:adjustRightInd w:val="0"/>
              <w:snapToGrid w:val="0"/>
              <w:jc w:val="center"/>
              <w:rPr>
                <w:rFonts w:ascii="宋体" w:hAnsi="宋体" w:cs="宋体"/>
                <w:snapToGrid w:val="0"/>
                <w:color w:val="auto"/>
                <w:kern w:val="0"/>
                <w:szCs w:val="21"/>
                <w:highlight w:val="none"/>
              </w:rPr>
            </w:pPr>
          </w:p>
        </w:tc>
      </w:tr>
      <w:tr w14:paraId="7908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C95A589">
            <w:pPr>
              <w:pStyle w:val="135"/>
              <w:wordWrap w:val="0"/>
              <w:adjustRightInd w:val="0"/>
              <w:snapToGrid w:val="0"/>
              <w:jc w:val="center"/>
              <w:rPr>
                <w:rFonts w:ascii="宋体" w:hAnsi="宋体" w:cs="宋体"/>
                <w:snapToGrid w:val="0"/>
                <w:color w:val="auto"/>
                <w:kern w:val="0"/>
                <w:szCs w:val="21"/>
                <w:highlight w:val="none"/>
              </w:rPr>
            </w:pPr>
          </w:p>
        </w:tc>
        <w:tc>
          <w:tcPr>
            <w:tcW w:w="897" w:type="dxa"/>
            <w:vAlign w:val="center"/>
          </w:tcPr>
          <w:p w14:paraId="321DEB84">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传  真</w:t>
            </w:r>
          </w:p>
        </w:tc>
        <w:tc>
          <w:tcPr>
            <w:tcW w:w="2492" w:type="dxa"/>
            <w:gridSpan w:val="2"/>
            <w:vAlign w:val="center"/>
          </w:tcPr>
          <w:p w14:paraId="4DCC7DF0">
            <w:pPr>
              <w:pStyle w:val="135"/>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60A861B3">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电子邮箱</w:t>
            </w:r>
          </w:p>
        </w:tc>
        <w:tc>
          <w:tcPr>
            <w:tcW w:w="2385" w:type="dxa"/>
            <w:gridSpan w:val="3"/>
            <w:vAlign w:val="center"/>
          </w:tcPr>
          <w:p w14:paraId="2B81EB7B">
            <w:pPr>
              <w:pStyle w:val="135"/>
              <w:wordWrap w:val="0"/>
              <w:adjustRightInd w:val="0"/>
              <w:snapToGrid w:val="0"/>
              <w:jc w:val="center"/>
              <w:rPr>
                <w:rFonts w:ascii="宋体" w:hAnsi="宋体" w:cs="宋体"/>
                <w:snapToGrid w:val="0"/>
                <w:color w:val="auto"/>
                <w:kern w:val="0"/>
                <w:szCs w:val="21"/>
                <w:highlight w:val="none"/>
              </w:rPr>
            </w:pPr>
          </w:p>
        </w:tc>
      </w:tr>
      <w:tr w14:paraId="2879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1DA3CAA">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法定代表人</w:t>
            </w:r>
          </w:p>
        </w:tc>
        <w:tc>
          <w:tcPr>
            <w:tcW w:w="897" w:type="dxa"/>
            <w:vAlign w:val="center"/>
          </w:tcPr>
          <w:p w14:paraId="7308E285">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01032AE9">
            <w:pPr>
              <w:pStyle w:val="135"/>
              <w:wordWrap w:val="0"/>
              <w:adjustRightInd w:val="0"/>
              <w:snapToGrid w:val="0"/>
              <w:jc w:val="center"/>
              <w:rPr>
                <w:rFonts w:ascii="宋体" w:hAnsi="宋体" w:cs="宋体"/>
                <w:snapToGrid w:val="0"/>
                <w:color w:val="auto"/>
                <w:kern w:val="0"/>
                <w:szCs w:val="21"/>
                <w:highlight w:val="none"/>
              </w:rPr>
            </w:pPr>
          </w:p>
        </w:tc>
        <w:tc>
          <w:tcPr>
            <w:tcW w:w="1089" w:type="dxa"/>
            <w:gridSpan w:val="2"/>
            <w:vAlign w:val="center"/>
          </w:tcPr>
          <w:p w14:paraId="07229148">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7AD6FF43">
            <w:pPr>
              <w:pStyle w:val="135"/>
              <w:wordWrap w:val="0"/>
              <w:adjustRightInd w:val="0"/>
              <w:snapToGrid w:val="0"/>
              <w:jc w:val="center"/>
              <w:rPr>
                <w:rFonts w:ascii="宋体" w:hAnsi="宋体" w:cs="宋体"/>
                <w:snapToGrid w:val="0"/>
                <w:color w:val="auto"/>
                <w:kern w:val="0"/>
                <w:szCs w:val="21"/>
                <w:highlight w:val="none"/>
              </w:rPr>
            </w:pPr>
          </w:p>
        </w:tc>
        <w:tc>
          <w:tcPr>
            <w:tcW w:w="709" w:type="dxa"/>
            <w:vAlign w:val="center"/>
          </w:tcPr>
          <w:p w14:paraId="6E7CBB9E">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44831199">
            <w:pPr>
              <w:pStyle w:val="135"/>
              <w:wordWrap w:val="0"/>
              <w:adjustRightInd w:val="0"/>
              <w:snapToGrid w:val="0"/>
              <w:jc w:val="center"/>
              <w:rPr>
                <w:rFonts w:ascii="宋体" w:hAnsi="宋体" w:cs="宋体"/>
                <w:snapToGrid w:val="0"/>
                <w:color w:val="auto"/>
                <w:kern w:val="0"/>
                <w:szCs w:val="21"/>
                <w:highlight w:val="none"/>
              </w:rPr>
            </w:pPr>
          </w:p>
        </w:tc>
      </w:tr>
      <w:tr w14:paraId="220E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5C530F8">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技术负责人</w:t>
            </w:r>
          </w:p>
        </w:tc>
        <w:tc>
          <w:tcPr>
            <w:tcW w:w="897" w:type="dxa"/>
            <w:vAlign w:val="center"/>
          </w:tcPr>
          <w:p w14:paraId="2CF40332">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4F32A38E">
            <w:pPr>
              <w:pStyle w:val="135"/>
              <w:wordWrap w:val="0"/>
              <w:adjustRightInd w:val="0"/>
              <w:snapToGrid w:val="0"/>
              <w:jc w:val="center"/>
              <w:rPr>
                <w:rFonts w:ascii="宋体" w:hAnsi="宋体" w:cs="宋体"/>
                <w:snapToGrid w:val="0"/>
                <w:color w:val="auto"/>
                <w:kern w:val="0"/>
                <w:szCs w:val="21"/>
                <w:highlight w:val="none"/>
              </w:rPr>
            </w:pPr>
          </w:p>
        </w:tc>
        <w:tc>
          <w:tcPr>
            <w:tcW w:w="1089" w:type="dxa"/>
            <w:gridSpan w:val="2"/>
            <w:vAlign w:val="center"/>
          </w:tcPr>
          <w:p w14:paraId="76373BE1">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414D5E8B">
            <w:pPr>
              <w:pStyle w:val="135"/>
              <w:wordWrap w:val="0"/>
              <w:adjustRightInd w:val="0"/>
              <w:snapToGrid w:val="0"/>
              <w:jc w:val="center"/>
              <w:rPr>
                <w:rFonts w:ascii="宋体" w:hAnsi="宋体" w:cs="宋体"/>
                <w:snapToGrid w:val="0"/>
                <w:color w:val="auto"/>
                <w:kern w:val="0"/>
                <w:szCs w:val="21"/>
                <w:highlight w:val="none"/>
              </w:rPr>
            </w:pPr>
          </w:p>
        </w:tc>
        <w:tc>
          <w:tcPr>
            <w:tcW w:w="709" w:type="dxa"/>
            <w:vAlign w:val="center"/>
          </w:tcPr>
          <w:p w14:paraId="25D85234">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300E4877">
            <w:pPr>
              <w:pStyle w:val="135"/>
              <w:wordWrap w:val="0"/>
              <w:adjustRightInd w:val="0"/>
              <w:snapToGrid w:val="0"/>
              <w:jc w:val="center"/>
              <w:rPr>
                <w:rFonts w:ascii="宋体" w:hAnsi="宋体" w:cs="宋体"/>
                <w:snapToGrid w:val="0"/>
                <w:color w:val="auto"/>
                <w:kern w:val="0"/>
                <w:szCs w:val="21"/>
                <w:highlight w:val="none"/>
              </w:rPr>
            </w:pPr>
          </w:p>
        </w:tc>
      </w:tr>
      <w:tr w14:paraId="16E5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16ADC64">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成立日期</w:t>
            </w:r>
          </w:p>
        </w:tc>
        <w:tc>
          <w:tcPr>
            <w:tcW w:w="2586" w:type="dxa"/>
            <w:gridSpan w:val="2"/>
            <w:vAlign w:val="center"/>
          </w:tcPr>
          <w:p w14:paraId="31845C08">
            <w:pPr>
              <w:pStyle w:val="135"/>
              <w:wordWrap w:val="0"/>
              <w:adjustRightInd w:val="0"/>
              <w:snapToGrid w:val="0"/>
              <w:jc w:val="center"/>
              <w:rPr>
                <w:rFonts w:ascii="宋体" w:hAnsi="宋体" w:cs="宋体"/>
                <w:snapToGrid w:val="0"/>
                <w:color w:val="auto"/>
                <w:kern w:val="0"/>
                <w:szCs w:val="21"/>
                <w:highlight w:val="none"/>
              </w:rPr>
            </w:pPr>
          </w:p>
        </w:tc>
        <w:tc>
          <w:tcPr>
            <w:tcW w:w="4434" w:type="dxa"/>
            <w:gridSpan w:val="6"/>
            <w:vAlign w:val="center"/>
          </w:tcPr>
          <w:p w14:paraId="5488CAEC">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员工总人数（个）：</w:t>
            </w:r>
          </w:p>
        </w:tc>
      </w:tr>
      <w:tr w14:paraId="24FF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F649C41">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企业资质</w:t>
            </w:r>
          </w:p>
          <w:p w14:paraId="70FDE49A">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类型和等级</w:t>
            </w:r>
          </w:p>
        </w:tc>
        <w:tc>
          <w:tcPr>
            <w:tcW w:w="2586" w:type="dxa"/>
            <w:gridSpan w:val="2"/>
            <w:vAlign w:val="center"/>
          </w:tcPr>
          <w:p w14:paraId="3FBBCF9F">
            <w:pPr>
              <w:pStyle w:val="135"/>
              <w:wordWrap w:val="0"/>
              <w:adjustRightInd w:val="0"/>
              <w:snapToGrid w:val="0"/>
              <w:jc w:val="left"/>
              <w:rPr>
                <w:rFonts w:ascii="宋体" w:hAnsi="宋体" w:cs="宋体"/>
                <w:snapToGrid w:val="0"/>
                <w:color w:val="auto"/>
                <w:kern w:val="0"/>
                <w:szCs w:val="21"/>
                <w:highlight w:val="none"/>
              </w:rPr>
            </w:pPr>
          </w:p>
        </w:tc>
        <w:tc>
          <w:tcPr>
            <w:tcW w:w="1089" w:type="dxa"/>
            <w:gridSpan w:val="2"/>
            <w:vMerge w:val="restart"/>
            <w:vAlign w:val="center"/>
          </w:tcPr>
          <w:p w14:paraId="53F8BA96">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其中</w:t>
            </w:r>
          </w:p>
        </w:tc>
        <w:tc>
          <w:tcPr>
            <w:tcW w:w="1929" w:type="dxa"/>
            <w:gridSpan w:val="3"/>
            <w:vAlign w:val="center"/>
          </w:tcPr>
          <w:p w14:paraId="13106D98">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各类注册人员</w:t>
            </w:r>
          </w:p>
        </w:tc>
        <w:tc>
          <w:tcPr>
            <w:tcW w:w="1416" w:type="dxa"/>
            <w:vAlign w:val="center"/>
          </w:tcPr>
          <w:p w14:paraId="66A45836">
            <w:pPr>
              <w:pStyle w:val="135"/>
              <w:wordWrap w:val="0"/>
              <w:adjustRightInd w:val="0"/>
              <w:snapToGrid w:val="0"/>
              <w:jc w:val="center"/>
              <w:rPr>
                <w:rFonts w:ascii="宋体" w:hAnsi="宋体" w:cs="宋体"/>
                <w:snapToGrid w:val="0"/>
                <w:color w:val="auto"/>
                <w:kern w:val="0"/>
                <w:szCs w:val="21"/>
                <w:highlight w:val="none"/>
              </w:rPr>
            </w:pPr>
          </w:p>
        </w:tc>
      </w:tr>
      <w:tr w14:paraId="1356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5484E10">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营业执照号</w:t>
            </w:r>
          </w:p>
        </w:tc>
        <w:tc>
          <w:tcPr>
            <w:tcW w:w="2586" w:type="dxa"/>
            <w:gridSpan w:val="2"/>
            <w:vAlign w:val="center"/>
          </w:tcPr>
          <w:p w14:paraId="537F167F">
            <w:pPr>
              <w:pStyle w:val="135"/>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2FE95C77">
            <w:pPr>
              <w:pStyle w:val="135"/>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58F77C7C">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高级职称人员</w:t>
            </w:r>
          </w:p>
        </w:tc>
        <w:tc>
          <w:tcPr>
            <w:tcW w:w="1416" w:type="dxa"/>
            <w:vAlign w:val="center"/>
          </w:tcPr>
          <w:p w14:paraId="6727EBCF">
            <w:pPr>
              <w:pStyle w:val="135"/>
              <w:wordWrap w:val="0"/>
              <w:adjustRightInd w:val="0"/>
              <w:snapToGrid w:val="0"/>
              <w:jc w:val="center"/>
              <w:rPr>
                <w:rFonts w:ascii="宋体" w:hAnsi="宋体" w:cs="宋体"/>
                <w:snapToGrid w:val="0"/>
                <w:color w:val="auto"/>
                <w:kern w:val="0"/>
                <w:szCs w:val="21"/>
                <w:highlight w:val="none"/>
              </w:rPr>
            </w:pPr>
          </w:p>
        </w:tc>
      </w:tr>
      <w:tr w14:paraId="5AFA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0FF2694">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注册资金</w:t>
            </w:r>
          </w:p>
        </w:tc>
        <w:tc>
          <w:tcPr>
            <w:tcW w:w="2586" w:type="dxa"/>
            <w:gridSpan w:val="2"/>
            <w:vAlign w:val="center"/>
          </w:tcPr>
          <w:p w14:paraId="6B4F28EE">
            <w:pPr>
              <w:pStyle w:val="135"/>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339F6456">
            <w:pPr>
              <w:pStyle w:val="135"/>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099C1C60">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中级职称人员</w:t>
            </w:r>
          </w:p>
        </w:tc>
        <w:tc>
          <w:tcPr>
            <w:tcW w:w="1416" w:type="dxa"/>
            <w:vAlign w:val="center"/>
          </w:tcPr>
          <w:p w14:paraId="5467645F">
            <w:pPr>
              <w:pStyle w:val="135"/>
              <w:wordWrap w:val="0"/>
              <w:adjustRightInd w:val="0"/>
              <w:snapToGrid w:val="0"/>
              <w:jc w:val="center"/>
              <w:rPr>
                <w:rFonts w:ascii="宋体" w:hAnsi="宋体" w:cs="宋体"/>
                <w:snapToGrid w:val="0"/>
                <w:color w:val="auto"/>
                <w:kern w:val="0"/>
                <w:szCs w:val="21"/>
                <w:highlight w:val="none"/>
              </w:rPr>
            </w:pPr>
          </w:p>
        </w:tc>
      </w:tr>
      <w:tr w14:paraId="2979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5C3C131">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66D98136">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开户银行</w:t>
            </w:r>
          </w:p>
        </w:tc>
        <w:tc>
          <w:tcPr>
            <w:tcW w:w="2586" w:type="dxa"/>
            <w:gridSpan w:val="2"/>
            <w:vAlign w:val="center"/>
          </w:tcPr>
          <w:p w14:paraId="531EB950">
            <w:pPr>
              <w:pStyle w:val="135"/>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6FB92093">
            <w:pPr>
              <w:pStyle w:val="135"/>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7786B5B6">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初级职称人员</w:t>
            </w:r>
          </w:p>
        </w:tc>
        <w:tc>
          <w:tcPr>
            <w:tcW w:w="1416" w:type="dxa"/>
            <w:vAlign w:val="center"/>
          </w:tcPr>
          <w:p w14:paraId="5AAF3BA2">
            <w:pPr>
              <w:pStyle w:val="135"/>
              <w:wordWrap w:val="0"/>
              <w:adjustRightInd w:val="0"/>
              <w:snapToGrid w:val="0"/>
              <w:jc w:val="center"/>
              <w:rPr>
                <w:rFonts w:ascii="宋体" w:hAnsi="宋体" w:cs="宋体"/>
                <w:snapToGrid w:val="0"/>
                <w:color w:val="auto"/>
                <w:kern w:val="0"/>
                <w:szCs w:val="21"/>
                <w:highlight w:val="none"/>
              </w:rPr>
            </w:pPr>
          </w:p>
        </w:tc>
      </w:tr>
      <w:tr w14:paraId="5D7F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1ACC4B2">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41FAD386">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银行账号</w:t>
            </w:r>
          </w:p>
        </w:tc>
        <w:tc>
          <w:tcPr>
            <w:tcW w:w="2586" w:type="dxa"/>
            <w:gridSpan w:val="2"/>
            <w:vAlign w:val="center"/>
          </w:tcPr>
          <w:p w14:paraId="5F82E5BB">
            <w:pPr>
              <w:pStyle w:val="135"/>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4376DF60">
            <w:pPr>
              <w:pStyle w:val="135"/>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4671252B">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技术员</w:t>
            </w:r>
          </w:p>
        </w:tc>
        <w:tc>
          <w:tcPr>
            <w:tcW w:w="1416" w:type="dxa"/>
            <w:vAlign w:val="center"/>
          </w:tcPr>
          <w:p w14:paraId="5F52F934">
            <w:pPr>
              <w:pStyle w:val="135"/>
              <w:wordWrap w:val="0"/>
              <w:adjustRightInd w:val="0"/>
              <w:snapToGrid w:val="0"/>
              <w:jc w:val="center"/>
              <w:rPr>
                <w:rFonts w:ascii="宋体" w:hAnsi="宋体" w:cs="宋体"/>
                <w:snapToGrid w:val="0"/>
                <w:color w:val="auto"/>
                <w:kern w:val="0"/>
                <w:szCs w:val="21"/>
                <w:highlight w:val="none"/>
              </w:rPr>
            </w:pPr>
          </w:p>
        </w:tc>
      </w:tr>
      <w:tr w14:paraId="1615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6E2692A4">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经营范围</w:t>
            </w:r>
          </w:p>
        </w:tc>
        <w:tc>
          <w:tcPr>
            <w:tcW w:w="7020" w:type="dxa"/>
            <w:gridSpan w:val="8"/>
            <w:vAlign w:val="center"/>
          </w:tcPr>
          <w:p w14:paraId="28B3173C">
            <w:pPr>
              <w:pStyle w:val="135"/>
              <w:wordWrap w:val="0"/>
              <w:adjustRightInd w:val="0"/>
              <w:snapToGrid w:val="0"/>
              <w:jc w:val="center"/>
              <w:rPr>
                <w:rFonts w:ascii="宋体" w:hAnsi="宋体" w:cs="宋体"/>
                <w:snapToGrid w:val="0"/>
                <w:color w:val="auto"/>
                <w:kern w:val="0"/>
                <w:szCs w:val="21"/>
                <w:highlight w:val="none"/>
              </w:rPr>
            </w:pPr>
          </w:p>
        </w:tc>
      </w:tr>
      <w:tr w14:paraId="3CF2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6F334C7C">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关联企业情况</w:t>
            </w:r>
          </w:p>
        </w:tc>
        <w:tc>
          <w:tcPr>
            <w:tcW w:w="7020" w:type="dxa"/>
            <w:gridSpan w:val="8"/>
            <w:vAlign w:val="center"/>
          </w:tcPr>
          <w:p w14:paraId="627CBE37">
            <w:pPr>
              <w:pStyle w:val="135"/>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包括但不限于与投标人存在以下关系的不同单位：</w:t>
            </w:r>
          </w:p>
          <w:p w14:paraId="78866B0F">
            <w:pPr>
              <w:pStyle w:val="135"/>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1．法定代表人为同一人的。</w:t>
            </w:r>
          </w:p>
          <w:p w14:paraId="2B8DF13B">
            <w:pPr>
              <w:pStyle w:val="135"/>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2．存在控股、管理关系的。</w:t>
            </w:r>
          </w:p>
          <w:p w14:paraId="78C5A631">
            <w:pPr>
              <w:pStyle w:val="135"/>
              <w:wordWrap w:val="0"/>
              <w:adjustRightInd w:val="0"/>
              <w:snapToGrid w:val="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3．主要人员相互任职的。</w:t>
            </w:r>
          </w:p>
        </w:tc>
      </w:tr>
      <w:tr w14:paraId="0DFF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66B1DD7A">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备注</w:t>
            </w:r>
          </w:p>
        </w:tc>
        <w:tc>
          <w:tcPr>
            <w:tcW w:w="7020" w:type="dxa"/>
            <w:gridSpan w:val="8"/>
            <w:vAlign w:val="center"/>
          </w:tcPr>
          <w:p w14:paraId="0B7A9410">
            <w:pPr>
              <w:pStyle w:val="135"/>
              <w:wordWrap w:val="0"/>
              <w:adjustRightInd w:val="0"/>
              <w:snapToGrid w:val="0"/>
              <w:jc w:val="center"/>
              <w:rPr>
                <w:rFonts w:ascii="宋体" w:hAnsi="宋体" w:cs="宋体"/>
                <w:snapToGrid w:val="0"/>
                <w:color w:val="auto"/>
                <w:kern w:val="0"/>
                <w:szCs w:val="21"/>
                <w:highlight w:val="none"/>
              </w:rPr>
            </w:pPr>
          </w:p>
        </w:tc>
      </w:tr>
    </w:tbl>
    <w:p w14:paraId="31CF04E5">
      <w:pPr>
        <w:pStyle w:val="135"/>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48B0DF88">
      <w:pPr>
        <w:pStyle w:val="135"/>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1．《投标人基本情况表》后应附以下资料：</w:t>
      </w:r>
    </w:p>
    <w:p w14:paraId="77700285">
      <w:pPr>
        <w:pStyle w:val="135"/>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（1）企业营业执照、资质证书</w:t>
      </w:r>
      <w:r>
        <w:rPr>
          <w:rFonts w:hint="eastAsia" w:ascii="宋体" w:hAnsi="宋体" w:cs="宋体"/>
          <w:snapToGrid w:val="0"/>
          <w:color w:val="auto"/>
          <w:kern w:val="0"/>
          <w:szCs w:val="21"/>
          <w:highlight w:val="none"/>
          <w:lang w:val="en-US" w:eastAsia="zh-CN"/>
        </w:rPr>
        <w:t>彩色</w:t>
      </w:r>
      <w:r>
        <w:rPr>
          <w:rFonts w:hint="eastAsia" w:ascii="宋体" w:hAnsi="宋体" w:cs="宋体"/>
          <w:snapToGrid w:val="0"/>
          <w:color w:val="auto"/>
          <w:kern w:val="0"/>
          <w:szCs w:val="21"/>
          <w:highlight w:val="none"/>
        </w:rPr>
        <w:t>扫描件（因推行电子证照，企业的营业执照、资质证书等可以提供电子证照）；</w:t>
      </w:r>
    </w:p>
    <w:p w14:paraId="3B9DB170">
      <w:pPr>
        <w:pStyle w:val="135"/>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highlight w:val="none"/>
        </w:rPr>
        <w:t>“进粤企业和人员诚信信息登记平台”企业信息情况打印页。（适用于省外企业）</w:t>
      </w:r>
      <w:r>
        <w:rPr>
          <w:rFonts w:hint="eastAsia" w:ascii="宋体" w:hAnsi="宋体" w:cs="宋体"/>
          <w:snapToGrid w:val="0"/>
          <w:color w:val="auto"/>
          <w:kern w:val="0"/>
          <w:szCs w:val="21"/>
          <w:highlight w:val="none"/>
        </w:rPr>
        <w:t>。</w:t>
      </w:r>
    </w:p>
    <w:p w14:paraId="6A573612">
      <w:pPr>
        <w:pStyle w:val="71"/>
        <w:widowControl w:val="0"/>
        <w:wordWrap w:val="0"/>
        <w:adjustRightInd w:val="0"/>
        <w:snapToGrid w:val="0"/>
        <w:spacing w:line="400" w:lineRule="exact"/>
        <w:rPr>
          <w:rFonts w:hAnsi="宋体" w:cs="宋体"/>
          <w:snapToGrid w:val="0"/>
          <w:color w:val="auto"/>
          <w:sz w:val="21"/>
          <w:szCs w:val="21"/>
          <w:highlight w:val="none"/>
        </w:rPr>
      </w:pPr>
      <w:r>
        <w:rPr>
          <w:rFonts w:hint="eastAsia" w:hAnsi="宋体" w:cs="宋体"/>
          <w:snapToGrid w:val="0"/>
          <w:color w:val="auto"/>
          <w:sz w:val="21"/>
          <w:szCs w:val="21"/>
          <w:highlight w:val="none"/>
        </w:rPr>
        <w:t>（3）《法人和非法人组织公共信用信息报告》打印件(在“信用中国”网站企业查询界面中下载) 。</w:t>
      </w:r>
    </w:p>
    <w:p w14:paraId="286E4BB9">
      <w:pPr>
        <w:wordWrap w:val="0"/>
        <w:adjustRightInd w:val="0"/>
        <w:snapToGrid w:val="0"/>
        <w:spacing w:line="440" w:lineRule="exact"/>
        <w:jc w:val="left"/>
        <w:outlineLvl w:val="1"/>
        <w:rPr>
          <w:rFonts w:hAnsi="宋体" w:cs="宋体"/>
          <w:b/>
          <w:snapToGrid w:val="0"/>
          <w:color w:val="auto"/>
          <w:kern w:val="0"/>
          <w:highlight w:val="none"/>
        </w:rPr>
      </w:pPr>
      <w:bookmarkStart w:id="369" w:name="_Toc14947"/>
      <w:r>
        <w:rPr>
          <w:rFonts w:hint="eastAsia" w:hAnsi="宋体" w:cs="宋体"/>
          <w:b/>
          <w:snapToGrid w:val="0"/>
          <w:color w:val="auto"/>
          <w:kern w:val="0"/>
          <w:highlight w:val="none"/>
        </w:rPr>
        <w:t>格式七  总监理工程师任职声明（适用于无任职项目）</w:t>
      </w:r>
      <w:bookmarkEnd w:id="369"/>
    </w:p>
    <w:p w14:paraId="6FD021E2">
      <w:pPr>
        <w:wordWrap w:val="0"/>
        <w:adjustRightInd w:val="0"/>
        <w:snapToGrid w:val="0"/>
        <w:spacing w:line="440" w:lineRule="exact"/>
        <w:jc w:val="left"/>
        <w:rPr>
          <w:rFonts w:hAnsi="宋体" w:cs="宋体"/>
          <w:b/>
          <w:snapToGrid w:val="0"/>
          <w:color w:val="auto"/>
          <w:kern w:val="0"/>
          <w:highlight w:val="none"/>
        </w:rPr>
      </w:pPr>
    </w:p>
    <w:p w14:paraId="7734BDAC">
      <w:pPr>
        <w:wordWrap w:val="0"/>
        <w:adjustRightInd w:val="0"/>
        <w:snapToGrid w:val="0"/>
        <w:spacing w:before="260" w:after="260" w:line="440" w:lineRule="exact"/>
        <w:jc w:val="center"/>
        <w:rPr>
          <w:rFonts w:hAnsi="宋体" w:cs="宋体"/>
          <w:snapToGrid w:val="0"/>
          <w:color w:val="auto"/>
          <w:kern w:val="0"/>
          <w:szCs w:val="28"/>
          <w:highlight w:val="none"/>
        </w:rPr>
      </w:pPr>
      <w:r>
        <w:rPr>
          <w:rFonts w:hint="eastAsia" w:hAnsi="宋体" w:cs="宋体"/>
          <w:b/>
          <w:snapToGrid w:val="0"/>
          <w:color w:val="auto"/>
          <w:kern w:val="0"/>
          <w:sz w:val="30"/>
          <w:highlight w:val="none"/>
        </w:rPr>
        <w:t>总监理工程师任职声明</w:t>
      </w:r>
    </w:p>
    <w:p w14:paraId="2F3A4633">
      <w:pPr>
        <w:wordWrap w:val="0"/>
        <w:adjustRightInd w:val="0"/>
        <w:snapToGrid w:val="0"/>
        <w:spacing w:line="440" w:lineRule="exact"/>
        <w:jc w:val="center"/>
        <w:rPr>
          <w:rFonts w:hAnsi="宋体" w:cs="宋体"/>
          <w:snapToGrid w:val="0"/>
          <w:color w:val="auto"/>
          <w:kern w:val="0"/>
          <w:szCs w:val="28"/>
          <w:highlight w:val="none"/>
        </w:rPr>
      </w:pPr>
    </w:p>
    <w:p w14:paraId="14B6B195">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（招标人名称）：</w:t>
      </w:r>
    </w:p>
    <w:p w14:paraId="392868E0">
      <w:pPr>
        <w:wordWrap w:val="0"/>
        <w:adjustRightInd w:val="0"/>
        <w:snapToGrid w:val="0"/>
        <w:spacing w:line="440" w:lineRule="exact"/>
        <w:ind w:firstLine="480" w:firstLineChars="200"/>
        <w:rPr>
          <w:rFonts w:hAnsi="宋体" w:cs="宋体"/>
          <w:snapToGrid w:val="0"/>
          <w:color w:val="auto"/>
          <w:kern w:val="0"/>
          <w:szCs w:val="28"/>
          <w:highlight w:val="none"/>
        </w:rPr>
      </w:pPr>
      <w:r>
        <w:rPr>
          <w:rFonts w:hint="eastAsia" w:hAnsi="宋体" w:cs="宋体"/>
          <w:snapToGrid w:val="0"/>
          <w:color w:val="auto"/>
          <w:kern w:val="0"/>
          <w:szCs w:val="28"/>
          <w:highlight w:val="none"/>
        </w:rPr>
        <w:t>我方在此声明，我方拟派往</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（项目名称）的总监理工程师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（总监理工程师姓名）现阶段未担任任何在施（包括已中标未开工、已开工未竣工）建设工程项目的总监理工程师。</w:t>
      </w:r>
    </w:p>
    <w:p w14:paraId="5C57411E">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我方保证上述信息的真实和准确，并愿意承担因我方就此弄虚作假所引起的一切法律后果。</w:t>
      </w:r>
    </w:p>
    <w:p w14:paraId="568537D9">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36EB755F">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特此承诺　　</w:t>
      </w:r>
    </w:p>
    <w:p w14:paraId="699B7C56">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5244A9EE">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5FB105EA">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投标人：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（盖单位章）</w:t>
      </w:r>
    </w:p>
    <w:p w14:paraId="2A604D50">
      <w:pPr>
        <w:wordWrap w:val="0"/>
        <w:adjustRightInd w:val="0"/>
        <w:snapToGrid w:val="0"/>
        <w:spacing w:line="440" w:lineRule="exact"/>
        <w:jc w:val="right"/>
        <w:rPr>
          <w:rFonts w:hAnsi="宋体" w:cs="宋体"/>
          <w:snapToGrid w:val="0"/>
          <w:color w:val="auto"/>
          <w:kern w:val="0"/>
          <w:szCs w:val="28"/>
          <w:highlight w:val="none"/>
        </w:rPr>
      </w:pPr>
    </w:p>
    <w:p w14:paraId="71BB53AD">
      <w:pPr>
        <w:wordWrap w:val="0"/>
        <w:adjustRightInd w:val="0"/>
        <w:snapToGrid w:val="0"/>
        <w:spacing w:line="440" w:lineRule="exact"/>
        <w:jc w:val="right"/>
        <w:rPr>
          <w:rFonts w:hAnsi="宋体" w:cs="宋体"/>
          <w:snapToGrid w:val="0"/>
          <w:color w:val="auto"/>
          <w:kern w:val="0"/>
          <w:szCs w:val="28"/>
          <w:highlight w:val="none"/>
        </w:rPr>
      </w:pPr>
    </w:p>
    <w:p w14:paraId="0C3A73EA">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法定代表人或其委托代理人：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（签字或盖章）</w:t>
      </w:r>
    </w:p>
    <w:p w14:paraId="7AE6CC90">
      <w:pPr>
        <w:wordWrap w:val="0"/>
        <w:adjustRightInd w:val="0"/>
        <w:snapToGrid w:val="0"/>
        <w:spacing w:line="440" w:lineRule="exact"/>
        <w:jc w:val="right"/>
        <w:rPr>
          <w:rFonts w:hAnsi="宋体" w:cs="宋体"/>
          <w:snapToGrid w:val="0"/>
          <w:color w:val="auto"/>
          <w:kern w:val="0"/>
          <w:szCs w:val="28"/>
          <w:highlight w:val="none"/>
        </w:rPr>
      </w:pPr>
    </w:p>
    <w:p w14:paraId="3C9B11CD">
      <w:pPr>
        <w:wordWrap w:val="0"/>
        <w:adjustRightInd w:val="0"/>
        <w:snapToGrid w:val="0"/>
        <w:spacing w:line="440" w:lineRule="exact"/>
        <w:jc w:val="center"/>
        <w:rPr>
          <w:rFonts w:hAnsi="宋体" w:cs="宋体"/>
          <w:snapToGrid w:val="0"/>
          <w:color w:val="auto"/>
          <w:kern w:val="0"/>
          <w:szCs w:val="28"/>
          <w:highlight w:val="none"/>
        </w:rPr>
      </w:pPr>
      <w:r>
        <w:rPr>
          <w:rFonts w:hint="eastAsia" w:hAnsi="宋体" w:cs="宋体"/>
          <w:snapToGrid w:val="0"/>
          <w:color w:val="auto"/>
          <w:kern w:val="0"/>
          <w:szCs w:val="28"/>
          <w:highlight w:val="none"/>
        </w:rPr>
        <w:t xml:space="preserve">                            </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日</w:t>
      </w:r>
    </w:p>
    <w:p w14:paraId="7BA2FE9F">
      <w:pPr>
        <w:wordWrap w:val="0"/>
        <w:adjustRightInd w:val="0"/>
        <w:snapToGrid w:val="0"/>
        <w:spacing w:line="400" w:lineRule="exact"/>
        <w:ind w:firstLine="420"/>
        <w:rPr>
          <w:rFonts w:hAnsi="宋体" w:cs="宋体"/>
          <w:snapToGrid w:val="0"/>
          <w:color w:val="auto"/>
          <w:kern w:val="0"/>
          <w:sz w:val="21"/>
          <w:szCs w:val="28"/>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44A5B4BF">
      <w:pPr>
        <w:wordWrap w:val="0"/>
        <w:adjustRightInd w:val="0"/>
        <w:snapToGrid w:val="0"/>
        <w:spacing w:line="440" w:lineRule="exact"/>
        <w:jc w:val="left"/>
        <w:outlineLvl w:val="1"/>
        <w:rPr>
          <w:rFonts w:hAnsi="宋体" w:cs="宋体"/>
          <w:b/>
          <w:snapToGrid w:val="0"/>
          <w:color w:val="auto"/>
          <w:kern w:val="0"/>
          <w:highlight w:val="none"/>
        </w:rPr>
      </w:pPr>
      <w:bookmarkStart w:id="370" w:name="_Toc28982"/>
      <w:r>
        <w:rPr>
          <w:rFonts w:hint="eastAsia" w:hAnsi="宋体" w:cs="宋体"/>
          <w:b/>
          <w:snapToGrid w:val="0"/>
          <w:color w:val="auto"/>
          <w:kern w:val="0"/>
          <w:highlight w:val="none"/>
        </w:rPr>
        <w:t>格式八 总监理工程师任职声明（适用于有任职项目）</w:t>
      </w:r>
      <w:bookmarkEnd w:id="370"/>
    </w:p>
    <w:p w14:paraId="449B4FD5">
      <w:pPr>
        <w:wordWrap w:val="0"/>
        <w:adjustRightInd w:val="0"/>
        <w:snapToGrid w:val="0"/>
        <w:spacing w:line="440" w:lineRule="exact"/>
        <w:jc w:val="left"/>
        <w:rPr>
          <w:rFonts w:hAnsi="宋体" w:cs="宋体"/>
          <w:b/>
          <w:snapToGrid w:val="0"/>
          <w:color w:val="auto"/>
          <w:kern w:val="0"/>
          <w:highlight w:val="none"/>
        </w:rPr>
      </w:pPr>
    </w:p>
    <w:p w14:paraId="14A50C1D">
      <w:pPr>
        <w:wordWrap w:val="0"/>
        <w:adjustRightInd w:val="0"/>
        <w:snapToGrid w:val="0"/>
        <w:spacing w:before="260" w:after="260" w:line="440" w:lineRule="exact"/>
        <w:jc w:val="center"/>
        <w:rPr>
          <w:rFonts w:hAnsi="宋体" w:cs="宋体"/>
          <w:snapToGrid w:val="0"/>
          <w:color w:val="auto"/>
          <w:kern w:val="0"/>
          <w:szCs w:val="28"/>
          <w:highlight w:val="none"/>
        </w:rPr>
      </w:pPr>
      <w:r>
        <w:rPr>
          <w:rFonts w:hint="eastAsia" w:hAnsi="宋体" w:cs="宋体"/>
          <w:b/>
          <w:snapToGrid w:val="0"/>
          <w:color w:val="auto"/>
          <w:kern w:val="0"/>
          <w:sz w:val="30"/>
          <w:highlight w:val="none"/>
        </w:rPr>
        <w:t>总监理工程师任职声明</w:t>
      </w:r>
    </w:p>
    <w:p w14:paraId="2B3ED8C9">
      <w:pPr>
        <w:wordWrap w:val="0"/>
        <w:adjustRightInd w:val="0"/>
        <w:snapToGrid w:val="0"/>
        <w:spacing w:line="440" w:lineRule="exact"/>
        <w:jc w:val="center"/>
        <w:rPr>
          <w:rFonts w:hAnsi="宋体" w:cs="宋体"/>
          <w:snapToGrid w:val="0"/>
          <w:color w:val="auto"/>
          <w:kern w:val="0"/>
          <w:szCs w:val="28"/>
          <w:highlight w:val="none"/>
        </w:rPr>
      </w:pPr>
    </w:p>
    <w:p w14:paraId="45489580">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（招标人名称）：</w:t>
      </w:r>
    </w:p>
    <w:p w14:paraId="191C5186">
      <w:pPr>
        <w:wordWrap w:val="0"/>
        <w:adjustRightInd w:val="0"/>
        <w:snapToGrid w:val="0"/>
        <w:spacing w:line="440" w:lineRule="exact"/>
        <w:ind w:firstLine="480" w:firstLineChars="200"/>
        <w:rPr>
          <w:rFonts w:hAnsi="宋体" w:cs="宋体"/>
          <w:snapToGrid w:val="0"/>
          <w:color w:val="auto"/>
          <w:kern w:val="0"/>
          <w:szCs w:val="28"/>
          <w:highlight w:val="none"/>
        </w:rPr>
      </w:pPr>
      <w:r>
        <w:rPr>
          <w:rFonts w:hint="eastAsia" w:hAnsi="宋体" w:cs="宋体"/>
          <w:snapToGrid w:val="0"/>
          <w:color w:val="auto"/>
          <w:kern w:val="0"/>
          <w:szCs w:val="28"/>
          <w:highlight w:val="none"/>
        </w:rPr>
        <w:t>我方在此声明，我方拟派往</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（项目名称）的总监理工程师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（总监理工程师姓名）现阶段正在担任</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个在施（包括已中标未开工、已开工未竣工）建设工程项目的总监理工程师，具体情况详见《总监理工程师任职项目情况表》。</w:t>
      </w:r>
    </w:p>
    <w:p w14:paraId="7C6A7DE6">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我方保证上述信息的真实和准确，并愿意承担因我方就此弄虚作假所引起的一切法律后果。</w:t>
      </w:r>
    </w:p>
    <w:p w14:paraId="5683D055">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1FA625A2">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特此承诺</w:t>
      </w:r>
    </w:p>
    <w:p w14:paraId="46BFCB72">
      <w:pPr>
        <w:wordWrap w:val="0"/>
        <w:adjustRightInd w:val="0"/>
        <w:snapToGrid w:val="0"/>
        <w:spacing w:line="440" w:lineRule="exact"/>
        <w:ind w:firstLine="480"/>
        <w:rPr>
          <w:rFonts w:hAnsi="宋体" w:cs="宋体"/>
          <w:snapToGrid w:val="0"/>
          <w:color w:val="auto"/>
          <w:kern w:val="0"/>
          <w:szCs w:val="28"/>
          <w:highlight w:val="none"/>
        </w:rPr>
      </w:pPr>
    </w:p>
    <w:p w14:paraId="627F814D">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47D291EC">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投标人：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（盖单位章）</w:t>
      </w:r>
    </w:p>
    <w:p w14:paraId="1B4B0533">
      <w:pPr>
        <w:wordWrap w:val="0"/>
        <w:adjustRightInd w:val="0"/>
        <w:snapToGrid w:val="0"/>
        <w:spacing w:line="440" w:lineRule="exact"/>
        <w:jc w:val="right"/>
        <w:rPr>
          <w:rFonts w:hAnsi="宋体" w:cs="宋体"/>
          <w:snapToGrid w:val="0"/>
          <w:color w:val="auto"/>
          <w:kern w:val="0"/>
          <w:szCs w:val="28"/>
          <w:highlight w:val="none"/>
        </w:rPr>
      </w:pPr>
    </w:p>
    <w:p w14:paraId="487F86BE">
      <w:pPr>
        <w:wordWrap w:val="0"/>
        <w:adjustRightInd w:val="0"/>
        <w:snapToGrid w:val="0"/>
        <w:spacing w:line="440" w:lineRule="exact"/>
        <w:jc w:val="right"/>
        <w:rPr>
          <w:rFonts w:hAnsi="宋体" w:cs="宋体"/>
          <w:snapToGrid w:val="0"/>
          <w:color w:val="auto"/>
          <w:kern w:val="0"/>
          <w:szCs w:val="28"/>
          <w:highlight w:val="none"/>
        </w:rPr>
      </w:pPr>
    </w:p>
    <w:p w14:paraId="7D65E6AD">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法定代表人或其委托代理人：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（签字或盖章）</w:t>
      </w:r>
    </w:p>
    <w:p w14:paraId="029F2B4C">
      <w:pPr>
        <w:wordWrap w:val="0"/>
        <w:adjustRightInd w:val="0"/>
        <w:snapToGrid w:val="0"/>
        <w:spacing w:line="440" w:lineRule="exact"/>
        <w:jc w:val="right"/>
        <w:rPr>
          <w:rFonts w:hAnsi="宋体" w:cs="宋体"/>
          <w:snapToGrid w:val="0"/>
          <w:color w:val="auto"/>
          <w:kern w:val="0"/>
          <w:szCs w:val="28"/>
          <w:highlight w:val="none"/>
        </w:rPr>
      </w:pPr>
    </w:p>
    <w:p w14:paraId="1E734F3E">
      <w:pPr>
        <w:wordWrap w:val="0"/>
        <w:adjustRightInd w:val="0"/>
        <w:snapToGrid w:val="0"/>
        <w:spacing w:line="440" w:lineRule="exact"/>
        <w:jc w:val="center"/>
        <w:rPr>
          <w:rFonts w:hAnsi="宋体" w:cs="宋体"/>
          <w:snapToGrid w:val="0"/>
          <w:color w:val="auto"/>
          <w:kern w:val="0"/>
          <w:szCs w:val="28"/>
          <w:highlight w:val="none"/>
        </w:rPr>
      </w:pPr>
      <w:r>
        <w:rPr>
          <w:rFonts w:hint="eastAsia" w:hAnsi="宋体" w:cs="宋体"/>
          <w:snapToGrid w:val="0"/>
          <w:color w:val="auto"/>
          <w:kern w:val="0"/>
          <w:szCs w:val="28"/>
          <w:highlight w:val="none"/>
        </w:rPr>
        <w:t xml:space="preserve">                            </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日</w:t>
      </w:r>
    </w:p>
    <w:p w14:paraId="19DAFB93">
      <w:pPr>
        <w:wordWrap w:val="0"/>
        <w:adjustRightInd w:val="0"/>
        <w:snapToGrid w:val="0"/>
        <w:spacing w:line="440" w:lineRule="exact"/>
        <w:jc w:val="center"/>
        <w:rPr>
          <w:rFonts w:hAnsi="宋体" w:cs="宋体"/>
          <w:snapToGrid w:val="0"/>
          <w:color w:val="auto"/>
          <w:kern w:val="0"/>
          <w:szCs w:val="28"/>
          <w:highlight w:val="none"/>
        </w:rPr>
      </w:pPr>
    </w:p>
    <w:p w14:paraId="77D57279">
      <w:pPr>
        <w:wordWrap w:val="0"/>
        <w:adjustRightInd w:val="0"/>
        <w:snapToGrid w:val="0"/>
        <w:spacing w:line="400" w:lineRule="exact"/>
        <w:ind w:firstLine="420"/>
        <w:rPr>
          <w:rFonts w:hAnsi="宋体" w:cs="宋体"/>
          <w:snapToGrid w:val="0"/>
          <w:color w:val="auto"/>
          <w:kern w:val="0"/>
          <w:sz w:val="21"/>
          <w:szCs w:val="28"/>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3488CF33">
      <w:pPr>
        <w:wordWrap w:val="0"/>
        <w:adjustRightInd w:val="0"/>
        <w:snapToGrid w:val="0"/>
        <w:spacing w:line="440" w:lineRule="exact"/>
        <w:outlineLvl w:val="1"/>
        <w:rPr>
          <w:rFonts w:hAnsi="宋体" w:cs="宋体"/>
          <w:b/>
          <w:bCs/>
          <w:snapToGrid w:val="0"/>
          <w:color w:val="auto"/>
          <w:kern w:val="0"/>
          <w:szCs w:val="24"/>
          <w:highlight w:val="none"/>
        </w:rPr>
      </w:pPr>
      <w:bookmarkStart w:id="371" w:name="_Toc7045"/>
      <w:r>
        <w:rPr>
          <w:rFonts w:hint="eastAsia" w:hAnsi="宋体" w:cs="宋体"/>
          <w:b/>
          <w:bCs/>
          <w:snapToGrid w:val="0"/>
          <w:color w:val="auto"/>
          <w:kern w:val="0"/>
          <w:szCs w:val="24"/>
          <w:highlight w:val="none"/>
        </w:rPr>
        <w:t>格式九 总监理工程师任职项目情况表</w:t>
      </w:r>
      <w:bookmarkEnd w:id="371"/>
    </w:p>
    <w:p w14:paraId="1C05E0FA">
      <w:pPr>
        <w:wordWrap w:val="0"/>
        <w:adjustRightInd w:val="0"/>
        <w:snapToGrid w:val="0"/>
        <w:spacing w:line="440" w:lineRule="exact"/>
        <w:rPr>
          <w:rFonts w:hAnsi="宋体" w:cs="宋体"/>
          <w:b/>
          <w:bCs/>
          <w:snapToGrid w:val="0"/>
          <w:color w:val="auto"/>
          <w:kern w:val="0"/>
          <w:szCs w:val="24"/>
          <w:highlight w:val="none"/>
        </w:rPr>
      </w:pPr>
    </w:p>
    <w:p w14:paraId="1E110BE9">
      <w:pPr>
        <w:pStyle w:val="71"/>
        <w:widowControl w:val="0"/>
        <w:wordWrap w:val="0"/>
        <w:adjustRightInd w:val="0"/>
        <w:snapToGrid w:val="0"/>
        <w:spacing w:before="260" w:after="260" w:line="400" w:lineRule="exact"/>
        <w:ind w:firstLine="0"/>
        <w:jc w:val="center"/>
        <w:rPr>
          <w:rFonts w:hAnsi="宋体" w:cs="宋体"/>
          <w:snapToGrid w:val="0"/>
          <w:color w:val="auto"/>
          <w:sz w:val="24"/>
          <w:highlight w:val="none"/>
        </w:rPr>
      </w:pPr>
      <w:r>
        <w:rPr>
          <w:rFonts w:hint="eastAsia" w:hAnsi="宋体" w:cs="宋体"/>
          <w:b/>
          <w:snapToGrid w:val="0"/>
          <w:color w:val="auto"/>
          <w:sz w:val="30"/>
          <w:highlight w:val="none"/>
        </w:rPr>
        <w:t xml:space="preserve"> 总监理工程师任职项目情况表（）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665D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007620DC">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项目名称</w:t>
            </w:r>
          </w:p>
        </w:tc>
        <w:tc>
          <w:tcPr>
            <w:tcW w:w="2771" w:type="dxa"/>
            <w:vAlign w:val="center"/>
          </w:tcPr>
          <w:p w14:paraId="2DFCFA84">
            <w:pPr>
              <w:pStyle w:val="135"/>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6AC2BA15">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项目所在地</w:t>
            </w:r>
          </w:p>
        </w:tc>
        <w:tc>
          <w:tcPr>
            <w:tcW w:w="2594" w:type="dxa"/>
            <w:vAlign w:val="center"/>
          </w:tcPr>
          <w:p w14:paraId="24CD9F05">
            <w:pPr>
              <w:pStyle w:val="135"/>
              <w:wordWrap w:val="0"/>
              <w:adjustRightInd w:val="0"/>
              <w:snapToGrid w:val="0"/>
              <w:jc w:val="center"/>
              <w:rPr>
                <w:rFonts w:ascii="宋体" w:hAnsi="宋体" w:cs="宋体"/>
                <w:snapToGrid w:val="0"/>
                <w:color w:val="auto"/>
                <w:kern w:val="0"/>
                <w:szCs w:val="21"/>
                <w:highlight w:val="none"/>
              </w:rPr>
            </w:pPr>
          </w:p>
        </w:tc>
      </w:tr>
      <w:tr w14:paraId="2AA2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8E74488">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委托人名称</w:t>
            </w:r>
          </w:p>
        </w:tc>
        <w:tc>
          <w:tcPr>
            <w:tcW w:w="2771" w:type="dxa"/>
            <w:vAlign w:val="center"/>
          </w:tcPr>
          <w:p w14:paraId="5F8E80CE">
            <w:pPr>
              <w:pStyle w:val="135"/>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1BC9377E">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委托人地址</w:t>
            </w:r>
          </w:p>
        </w:tc>
        <w:tc>
          <w:tcPr>
            <w:tcW w:w="2594" w:type="dxa"/>
            <w:vAlign w:val="center"/>
          </w:tcPr>
          <w:p w14:paraId="334897D3">
            <w:pPr>
              <w:pStyle w:val="135"/>
              <w:wordWrap w:val="0"/>
              <w:adjustRightInd w:val="0"/>
              <w:snapToGrid w:val="0"/>
              <w:jc w:val="center"/>
              <w:rPr>
                <w:rFonts w:ascii="宋体" w:hAnsi="宋体" w:cs="宋体"/>
                <w:snapToGrid w:val="0"/>
                <w:color w:val="auto"/>
                <w:kern w:val="0"/>
                <w:szCs w:val="21"/>
                <w:highlight w:val="none"/>
              </w:rPr>
            </w:pPr>
          </w:p>
        </w:tc>
      </w:tr>
      <w:tr w14:paraId="7B36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4D79615">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委托人电话</w:t>
            </w:r>
          </w:p>
        </w:tc>
        <w:tc>
          <w:tcPr>
            <w:tcW w:w="2771" w:type="dxa"/>
            <w:vAlign w:val="center"/>
          </w:tcPr>
          <w:p w14:paraId="2AAC336B">
            <w:pPr>
              <w:pStyle w:val="135"/>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530B3B45">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总监理工程师</w:t>
            </w:r>
          </w:p>
        </w:tc>
        <w:tc>
          <w:tcPr>
            <w:tcW w:w="2594" w:type="dxa"/>
            <w:vAlign w:val="center"/>
          </w:tcPr>
          <w:p w14:paraId="2993C8DD">
            <w:pPr>
              <w:pStyle w:val="135"/>
              <w:wordWrap w:val="0"/>
              <w:adjustRightInd w:val="0"/>
              <w:snapToGrid w:val="0"/>
              <w:jc w:val="center"/>
              <w:rPr>
                <w:rFonts w:ascii="宋体" w:hAnsi="宋体" w:cs="宋体"/>
                <w:snapToGrid w:val="0"/>
                <w:color w:val="auto"/>
                <w:kern w:val="0"/>
                <w:szCs w:val="21"/>
                <w:highlight w:val="none"/>
              </w:rPr>
            </w:pPr>
          </w:p>
        </w:tc>
      </w:tr>
      <w:tr w14:paraId="43D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120285D">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监理服务期限</w:t>
            </w:r>
          </w:p>
        </w:tc>
        <w:tc>
          <w:tcPr>
            <w:tcW w:w="2771" w:type="dxa"/>
            <w:vAlign w:val="center"/>
          </w:tcPr>
          <w:p w14:paraId="253ECA3C">
            <w:pPr>
              <w:pStyle w:val="135"/>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5379C804">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监理内容</w:t>
            </w:r>
          </w:p>
        </w:tc>
        <w:tc>
          <w:tcPr>
            <w:tcW w:w="2594" w:type="dxa"/>
            <w:vAlign w:val="center"/>
          </w:tcPr>
          <w:p w14:paraId="1EEFB69A">
            <w:pPr>
              <w:pStyle w:val="135"/>
              <w:wordWrap w:val="0"/>
              <w:adjustRightInd w:val="0"/>
              <w:snapToGrid w:val="0"/>
              <w:jc w:val="center"/>
              <w:rPr>
                <w:rFonts w:ascii="宋体" w:hAnsi="宋体" w:cs="宋体"/>
                <w:snapToGrid w:val="0"/>
                <w:color w:val="auto"/>
                <w:kern w:val="0"/>
                <w:szCs w:val="21"/>
                <w:highlight w:val="none"/>
              </w:rPr>
            </w:pPr>
          </w:p>
        </w:tc>
      </w:tr>
      <w:tr w14:paraId="0C3C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700B107C">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项目描述</w:t>
            </w:r>
          </w:p>
        </w:tc>
        <w:tc>
          <w:tcPr>
            <w:tcW w:w="7000" w:type="dxa"/>
            <w:gridSpan w:val="3"/>
            <w:vAlign w:val="center"/>
          </w:tcPr>
          <w:p w14:paraId="21A54D72">
            <w:pPr>
              <w:pStyle w:val="135"/>
              <w:wordWrap w:val="0"/>
              <w:adjustRightInd w:val="0"/>
              <w:snapToGrid w:val="0"/>
              <w:jc w:val="left"/>
              <w:rPr>
                <w:rFonts w:ascii="宋体" w:hAnsi="宋体" w:cs="宋体"/>
                <w:snapToGrid w:val="0"/>
                <w:color w:val="auto"/>
                <w:kern w:val="0"/>
                <w:szCs w:val="21"/>
                <w:highlight w:val="none"/>
              </w:rPr>
            </w:pPr>
          </w:p>
        </w:tc>
      </w:tr>
      <w:tr w14:paraId="0194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055191C9">
            <w:pPr>
              <w:pStyle w:val="135"/>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委托人声明</w:t>
            </w:r>
          </w:p>
        </w:tc>
        <w:tc>
          <w:tcPr>
            <w:tcW w:w="7000" w:type="dxa"/>
            <w:gridSpan w:val="3"/>
            <w:vAlign w:val="center"/>
          </w:tcPr>
          <w:p w14:paraId="418BE4BE">
            <w:pPr>
              <w:pStyle w:val="135"/>
              <w:adjustRightInd w:val="0"/>
              <w:snapToGrid w:val="0"/>
              <w:spacing w:line="360" w:lineRule="auto"/>
              <w:rPr>
                <w:rFonts w:ascii="宋体" w:hAnsi="宋体" w:cs="宋体"/>
                <w:snapToGrid w:val="0"/>
                <w:color w:val="auto"/>
                <w:kern w:val="0"/>
                <w:szCs w:val="21"/>
                <w:highlight w:val="none"/>
              </w:rPr>
            </w:pPr>
          </w:p>
          <w:p w14:paraId="602D8050">
            <w:pPr>
              <w:pStyle w:val="135"/>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致：</w:t>
            </w:r>
            <w:r>
              <w:rPr>
                <w:rFonts w:hint="eastAsia" w:ascii="宋体" w:hAnsi="宋体" w:cs="宋体"/>
                <w:snapToGrid w:val="0"/>
                <w:color w:val="auto"/>
                <w:kern w:val="0"/>
                <w:szCs w:val="21"/>
                <w:highlight w:val="none"/>
                <w:u w:val="single"/>
              </w:rPr>
              <w:t>（本招标项目招标人名称）</w:t>
            </w:r>
          </w:p>
          <w:p w14:paraId="37F7ABA7">
            <w:pPr>
              <w:pStyle w:val="135"/>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我方在此声明：</w:t>
            </w:r>
          </w:p>
          <w:p w14:paraId="221BF42B">
            <w:pPr>
              <w:pStyle w:val="135"/>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一、在</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同志任我方在施项目总监理工程师期间，如果</w:t>
            </w:r>
            <w:r>
              <w:rPr>
                <w:rFonts w:hint="eastAsia" w:ascii="宋体" w:hAnsi="宋体" w:cs="宋体"/>
                <w:snapToGrid w:val="0"/>
                <w:color w:val="auto"/>
                <w:kern w:val="0"/>
                <w:szCs w:val="21"/>
                <w:highlight w:val="none"/>
                <w:u w:val="single"/>
              </w:rPr>
              <w:t xml:space="preserve"> （投标人名称） </w:t>
            </w:r>
            <w:r>
              <w:rPr>
                <w:rFonts w:hint="eastAsia" w:ascii="宋体" w:hAnsi="宋体" w:cs="宋体"/>
                <w:snapToGrid w:val="0"/>
                <w:color w:val="auto"/>
                <w:kern w:val="0"/>
                <w:szCs w:val="21"/>
                <w:highlight w:val="none"/>
              </w:rPr>
              <w:t>中标你方招标项目监理业务，在</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同志目前担任总监理工程师职务的项目总数不超过两个（含我方在施项目）的前提下，我方同意其同时担任你方招标项目的总监理工程师；如果未中标，以上声明自动失效。</w:t>
            </w:r>
          </w:p>
          <w:p w14:paraId="6DBCA6A9">
            <w:pPr>
              <w:pStyle w:val="135"/>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二、无论</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同志是否担任其他建设项目的总监理工程师，</w:t>
            </w:r>
            <w:r>
              <w:rPr>
                <w:rFonts w:hint="eastAsia" w:ascii="宋体" w:hAnsi="宋体" w:cs="宋体"/>
                <w:snapToGrid w:val="0"/>
                <w:color w:val="auto"/>
                <w:kern w:val="0"/>
                <w:szCs w:val="21"/>
                <w:highlight w:val="none"/>
                <w:u w:val="single"/>
              </w:rPr>
              <w:t xml:space="preserve"> （投标人名称） </w:t>
            </w:r>
            <w:r>
              <w:rPr>
                <w:rFonts w:hint="eastAsia" w:ascii="宋体" w:hAnsi="宋体" w:cs="宋体"/>
                <w:snapToGrid w:val="0"/>
                <w:color w:val="auto"/>
                <w:kern w:val="0"/>
                <w:szCs w:val="21"/>
                <w:highlight w:val="none"/>
              </w:rPr>
              <w:t>都必须完全、严格履行我方在施项目监理合同中约定的所有义务，并确保服务内容、服务质量不得有任何减少或降低。</w:t>
            </w:r>
          </w:p>
          <w:p w14:paraId="092F9495">
            <w:pPr>
              <w:pStyle w:val="135"/>
              <w:adjustRightInd w:val="0"/>
              <w:snapToGrid w:val="0"/>
              <w:spacing w:line="360" w:lineRule="auto"/>
              <w:rPr>
                <w:rFonts w:ascii="宋体" w:hAnsi="宋体" w:cs="宋体"/>
                <w:snapToGrid w:val="0"/>
                <w:color w:val="auto"/>
                <w:kern w:val="0"/>
                <w:szCs w:val="21"/>
                <w:highlight w:val="none"/>
              </w:rPr>
            </w:pPr>
          </w:p>
          <w:p w14:paraId="2DED7437">
            <w:pPr>
              <w:pStyle w:val="135"/>
              <w:adjustRightInd w:val="0"/>
              <w:snapToGrid w:val="0"/>
              <w:spacing w:line="360" w:lineRule="auto"/>
              <w:rPr>
                <w:rFonts w:ascii="宋体" w:hAnsi="宋体" w:cs="宋体"/>
                <w:snapToGrid w:val="0"/>
                <w:color w:val="auto"/>
                <w:kern w:val="0"/>
                <w:szCs w:val="21"/>
                <w:highlight w:val="none"/>
              </w:rPr>
            </w:pPr>
          </w:p>
          <w:p w14:paraId="599D977E">
            <w:pPr>
              <w:pStyle w:val="135"/>
              <w:adjustRightInd w:val="0"/>
              <w:snapToGrid w:val="0"/>
              <w:spacing w:line="360" w:lineRule="auto"/>
              <w:jc w:val="righ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建设单位名称：</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（盖单位章）</w:t>
            </w:r>
          </w:p>
          <w:p w14:paraId="1047DB8F">
            <w:pPr>
              <w:pStyle w:val="135"/>
              <w:adjustRightInd w:val="0"/>
              <w:snapToGrid w:val="0"/>
              <w:spacing w:line="360" w:lineRule="auto"/>
              <w:jc w:val="right"/>
              <w:rPr>
                <w:rFonts w:ascii="宋体" w:hAnsi="宋体" w:cs="宋体"/>
                <w:snapToGrid w:val="0"/>
                <w:color w:val="auto"/>
                <w:kern w:val="0"/>
                <w:szCs w:val="21"/>
                <w:highlight w:val="none"/>
              </w:rPr>
            </w:pPr>
          </w:p>
          <w:p w14:paraId="36196D25">
            <w:pPr>
              <w:pStyle w:val="135"/>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XXXX年XX月XX日</w:t>
            </w:r>
          </w:p>
        </w:tc>
      </w:tr>
    </w:tbl>
    <w:p w14:paraId="01E57326">
      <w:pPr>
        <w:pStyle w:val="135"/>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4621617A">
      <w:pPr>
        <w:pStyle w:val="135"/>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w:t>
      </w:r>
      <w:r>
        <w:rPr>
          <w:rFonts w:hint="eastAsia" w:ascii="宋体" w:hAnsi="宋体" w:cs="宋体"/>
          <w:snapToGrid w:val="0"/>
          <w:color w:val="auto"/>
          <w:kern w:val="0"/>
          <w:szCs w:val="28"/>
          <w:highlight w:val="none"/>
        </w:rPr>
        <w:t>．</w:t>
      </w:r>
      <w:r>
        <w:rPr>
          <w:rFonts w:hint="eastAsia" w:ascii="宋体" w:hAnsi="宋体" w:cs="宋体"/>
          <w:snapToGrid w:val="0"/>
          <w:color w:val="auto"/>
          <w:kern w:val="0"/>
          <w:szCs w:val="21"/>
          <w:highlight w:val="none"/>
        </w:rPr>
        <w:t>“任职项目”指拟派总监理工程师正在担任总监理工程师职务的在施（包括已中标未开工、已开工未竣工）建设工程项目。任职项目多于一宗的，一项目一表，并标明序号。</w:t>
      </w:r>
    </w:p>
    <w:p w14:paraId="3AD580BD">
      <w:pPr>
        <w:pStyle w:val="135"/>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szCs w:val="28"/>
          <w:highlight w:val="none"/>
        </w:rPr>
        <w:t>．</w:t>
      </w:r>
      <w:r>
        <w:rPr>
          <w:rFonts w:hint="eastAsia" w:ascii="宋体" w:hAnsi="宋体" w:cs="宋体"/>
          <w:snapToGrid w:val="0"/>
          <w:color w:val="auto"/>
          <w:kern w:val="0"/>
          <w:szCs w:val="21"/>
          <w:highlight w:val="none"/>
        </w:rPr>
        <w:t>每份情况表后应附该项目的合同协议书彩色扫描件。</w:t>
      </w:r>
    </w:p>
    <w:p w14:paraId="5D509C1C">
      <w:pPr>
        <w:pStyle w:val="135"/>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w:t>
      </w:r>
      <w:r>
        <w:rPr>
          <w:rFonts w:hint="eastAsia" w:ascii="宋体" w:hAnsi="宋体" w:cs="宋体"/>
          <w:snapToGrid w:val="0"/>
          <w:color w:val="auto"/>
          <w:kern w:val="0"/>
          <w:szCs w:val="28"/>
          <w:highlight w:val="none"/>
        </w:rPr>
        <w:t>．投标人填写本</w:t>
      </w:r>
      <w:r>
        <w:rPr>
          <w:rFonts w:hint="eastAsia" w:ascii="宋体" w:hAnsi="宋体" w:cs="宋体"/>
          <w:snapToGrid w:val="0"/>
          <w:color w:val="auto"/>
          <w:kern w:val="0"/>
          <w:szCs w:val="21"/>
          <w:highlight w:val="none"/>
        </w:rPr>
        <w:t>表后交任职项目建设单位审核同意后盖章。任职项目建设单位另行出具书面同意意见的，投标人应将该书面意见附在本表后，同时在“委托人声明”栏目注明“另附”即可。</w:t>
      </w:r>
    </w:p>
    <w:p w14:paraId="2E6E0BBD">
      <w:pPr>
        <w:wordWrap w:val="0"/>
        <w:adjustRightInd w:val="0"/>
        <w:snapToGrid w:val="0"/>
        <w:spacing w:line="400" w:lineRule="exact"/>
        <w:rPr>
          <w:rFonts w:hAnsi="宋体" w:cs="宋体"/>
          <w:snapToGrid w:val="0"/>
          <w:color w:val="auto"/>
          <w:kern w:val="0"/>
          <w:sz w:val="21"/>
          <w:szCs w:val="21"/>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248A4AB0">
      <w:pPr>
        <w:wordWrap w:val="0"/>
        <w:adjustRightInd w:val="0"/>
        <w:snapToGrid w:val="0"/>
        <w:spacing w:line="440" w:lineRule="exact"/>
        <w:ind w:left="2609" w:leftChars="15" w:hanging="2573" w:hangingChars="1068"/>
        <w:outlineLvl w:val="1"/>
        <w:rPr>
          <w:rFonts w:hAnsi="宋体" w:cs="宋体"/>
          <w:b/>
          <w:bCs/>
          <w:snapToGrid w:val="0"/>
          <w:color w:val="auto"/>
          <w:kern w:val="0"/>
          <w:szCs w:val="24"/>
          <w:highlight w:val="none"/>
        </w:rPr>
      </w:pPr>
      <w:bookmarkStart w:id="372" w:name="_Toc21875"/>
      <w:bookmarkStart w:id="373" w:name="_Toc8264"/>
      <w:bookmarkStart w:id="374" w:name="_Toc200338098"/>
      <w:r>
        <w:rPr>
          <w:rFonts w:hint="eastAsia" w:hAnsi="宋体" w:cs="宋体"/>
          <w:b/>
          <w:snapToGrid w:val="0"/>
          <w:color w:val="auto"/>
          <w:kern w:val="0"/>
          <w:highlight w:val="none"/>
        </w:rPr>
        <w:t>格式</w:t>
      </w:r>
      <w:bookmarkStart w:id="375" w:name="_Hlt287950384"/>
      <w:bookmarkEnd w:id="375"/>
      <w:r>
        <w:rPr>
          <w:rFonts w:hint="eastAsia" w:hAnsi="宋体" w:cs="宋体"/>
          <w:b/>
          <w:bCs/>
          <w:snapToGrid w:val="0"/>
          <w:color w:val="auto"/>
          <w:kern w:val="0"/>
          <w:szCs w:val="24"/>
          <w:highlight w:val="none"/>
        </w:rPr>
        <w:t>十 项目监理机构组成人员汇总表</w:t>
      </w:r>
      <w:bookmarkEnd w:id="372"/>
    </w:p>
    <w:p w14:paraId="58540D5A">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 xml:space="preserve"> 项目监理机构组成人员汇总表</w:t>
      </w:r>
    </w:p>
    <w:tbl>
      <w:tblPr>
        <w:tblStyle w:val="3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43CBD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232B9A9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1425" w:type="dxa"/>
            <w:vMerge w:val="restart"/>
            <w:tcBorders>
              <w:top w:val="single" w:color="auto" w:sz="6" w:space="0"/>
              <w:left w:val="single" w:color="auto" w:sz="6" w:space="0"/>
              <w:right w:val="single" w:color="auto" w:sz="6" w:space="0"/>
            </w:tcBorders>
            <w:vAlign w:val="center"/>
          </w:tcPr>
          <w:p w14:paraId="1520B1B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拟担任职务</w:t>
            </w:r>
          </w:p>
        </w:tc>
        <w:tc>
          <w:tcPr>
            <w:tcW w:w="840" w:type="dxa"/>
            <w:vMerge w:val="restart"/>
            <w:tcBorders>
              <w:top w:val="single" w:color="auto" w:sz="6" w:space="0"/>
              <w:left w:val="single" w:color="auto" w:sz="6" w:space="0"/>
              <w:right w:val="single" w:color="auto" w:sz="4" w:space="0"/>
            </w:tcBorders>
            <w:vAlign w:val="center"/>
          </w:tcPr>
          <w:p w14:paraId="33D419C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116ADF27">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42F7B6BD">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039926B7">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岗位证书</w:t>
            </w:r>
          </w:p>
        </w:tc>
      </w:tr>
      <w:tr w14:paraId="535A2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6546614E">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vMerge w:val="continue"/>
            <w:tcBorders>
              <w:left w:val="single" w:color="auto" w:sz="6" w:space="0"/>
              <w:bottom w:val="single" w:color="auto" w:sz="6" w:space="0"/>
              <w:right w:val="single" w:color="auto" w:sz="6" w:space="0"/>
            </w:tcBorders>
            <w:vAlign w:val="center"/>
          </w:tcPr>
          <w:p w14:paraId="6731DA81">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vMerge w:val="continue"/>
            <w:tcBorders>
              <w:left w:val="single" w:color="auto" w:sz="6" w:space="0"/>
              <w:bottom w:val="single" w:color="auto" w:sz="6" w:space="0"/>
              <w:right w:val="single" w:color="auto" w:sz="4" w:space="0"/>
            </w:tcBorders>
            <w:vAlign w:val="center"/>
          </w:tcPr>
          <w:p w14:paraId="6EA10DF7">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4" w:space="0"/>
              <w:left w:val="single" w:color="auto" w:sz="4" w:space="0"/>
              <w:bottom w:val="single" w:color="auto" w:sz="4" w:space="0"/>
              <w:right w:val="single" w:color="auto" w:sz="4" w:space="0"/>
            </w:tcBorders>
            <w:vAlign w:val="center"/>
          </w:tcPr>
          <w:p w14:paraId="6FEC0E5F">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7005911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4DD93C5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6EF8DFE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7D190E1F">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8ED2062">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74F8933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07D4D1F8">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28797E4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r>
      <w:tr w14:paraId="29DEF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1E46582">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425" w:type="dxa"/>
            <w:tcBorders>
              <w:top w:val="single" w:color="auto" w:sz="6" w:space="0"/>
              <w:left w:val="single" w:color="auto" w:sz="6" w:space="0"/>
              <w:bottom w:val="single" w:color="auto" w:sz="6" w:space="0"/>
              <w:right w:val="single" w:color="auto" w:sz="6" w:space="0"/>
            </w:tcBorders>
            <w:vAlign w:val="center"/>
          </w:tcPr>
          <w:p w14:paraId="50FB5A12">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C40A156">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4" w:space="0"/>
              <w:left w:val="single" w:color="auto" w:sz="6" w:space="0"/>
              <w:bottom w:val="single" w:color="auto" w:sz="6" w:space="0"/>
              <w:right w:val="single" w:color="auto" w:sz="6" w:space="0"/>
            </w:tcBorders>
            <w:vAlign w:val="center"/>
          </w:tcPr>
          <w:p w14:paraId="5DB6D1A2">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4" w:space="0"/>
              <w:left w:val="single" w:color="auto" w:sz="6" w:space="0"/>
              <w:bottom w:val="single" w:color="auto" w:sz="6" w:space="0"/>
              <w:right w:val="single" w:color="auto" w:sz="6" w:space="0"/>
            </w:tcBorders>
            <w:vAlign w:val="center"/>
          </w:tcPr>
          <w:p w14:paraId="2552F990">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4" w:space="0"/>
              <w:left w:val="single" w:color="auto" w:sz="6" w:space="0"/>
              <w:bottom w:val="single" w:color="auto" w:sz="6" w:space="0"/>
              <w:right w:val="single" w:color="auto" w:sz="6" w:space="0"/>
            </w:tcBorders>
            <w:vAlign w:val="center"/>
          </w:tcPr>
          <w:p w14:paraId="578170FF">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A67664B">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4816533">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4FC1286">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53BC87CD">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45B3595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0775D7B">
            <w:pPr>
              <w:wordWrap w:val="0"/>
              <w:adjustRightInd w:val="0"/>
              <w:snapToGrid w:val="0"/>
              <w:spacing w:line="240" w:lineRule="auto"/>
              <w:jc w:val="center"/>
              <w:rPr>
                <w:rFonts w:hAnsi="宋体" w:cs="宋体"/>
                <w:snapToGrid w:val="0"/>
                <w:color w:val="auto"/>
                <w:kern w:val="0"/>
                <w:sz w:val="21"/>
                <w:szCs w:val="21"/>
                <w:highlight w:val="none"/>
              </w:rPr>
            </w:pPr>
          </w:p>
        </w:tc>
      </w:tr>
      <w:tr w14:paraId="4D922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0B1CFCD">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425" w:type="dxa"/>
            <w:tcBorders>
              <w:top w:val="single" w:color="auto" w:sz="6" w:space="0"/>
              <w:left w:val="single" w:color="auto" w:sz="6" w:space="0"/>
              <w:bottom w:val="single" w:color="auto" w:sz="6" w:space="0"/>
              <w:right w:val="single" w:color="auto" w:sz="6" w:space="0"/>
            </w:tcBorders>
            <w:vAlign w:val="center"/>
          </w:tcPr>
          <w:p w14:paraId="7FAA5B27">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68953DB">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BCA321C">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4B53456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1994C2F">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AFA912F">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5D46B34">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E7A2D61">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7DC31AA9">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31F537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D0FE30B">
            <w:pPr>
              <w:wordWrap w:val="0"/>
              <w:adjustRightInd w:val="0"/>
              <w:snapToGrid w:val="0"/>
              <w:spacing w:line="240" w:lineRule="auto"/>
              <w:jc w:val="center"/>
              <w:rPr>
                <w:rFonts w:hAnsi="宋体" w:cs="宋体"/>
                <w:snapToGrid w:val="0"/>
                <w:color w:val="auto"/>
                <w:kern w:val="0"/>
                <w:sz w:val="21"/>
                <w:szCs w:val="21"/>
                <w:highlight w:val="none"/>
              </w:rPr>
            </w:pPr>
          </w:p>
        </w:tc>
      </w:tr>
      <w:tr w14:paraId="648AB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5839C53">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425" w:type="dxa"/>
            <w:tcBorders>
              <w:top w:val="single" w:color="auto" w:sz="6" w:space="0"/>
              <w:left w:val="single" w:color="auto" w:sz="6" w:space="0"/>
              <w:bottom w:val="single" w:color="auto" w:sz="6" w:space="0"/>
              <w:right w:val="single" w:color="auto" w:sz="6" w:space="0"/>
            </w:tcBorders>
            <w:vAlign w:val="center"/>
          </w:tcPr>
          <w:p w14:paraId="6E40533F">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ACC7D38">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3D760FF3">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0F0374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7964376">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3BFE753">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326C746">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EB51504">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63854FC">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C477ED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7F231A9">
            <w:pPr>
              <w:wordWrap w:val="0"/>
              <w:adjustRightInd w:val="0"/>
              <w:snapToGrid w:val="0"/>
              <w:spacing w:line="240" w:lineRule="auto"/>
              <w:jc w:val="center"/>
              <w:rPr>
                <w:rFonts w:hAnsi="宋体" w:cs="宋体"/>
                <w:snapToGrid w:val="0"/>
                <w:color w:val="auto"/>
                <w:kern w:val="0"/>
                <w:sz w:val="21"/>
                <w:szCs w:val="21"/>
                <w:highlight w:val="none"/>
              </w:rPr>
            </w:pPr>
          </w:p>
        </w:tc>
      </w:tr>
      <w:tr w14:paraId="083AB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DE8433C">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1425" w:type="dxa"/>
            <w:tcBorders>
              <w:top w:val="single" w:color="auto" w:sz="6" w:space="0"/>
              <w:left w:val="single" w:color="auto" w:sz="6" w:space="0"/>
              <w:bottom w:val="single" w:color="auto" w:sz="6" w:space="0"/>
              <w:right w:val="single" w:color="auto" w:sz="6" w:space="0"/>
            </w:tcBorders>
            <w:vAlign w:val="center"/>
          </w:tcPr>
          <w:p w14:paraId="4A0831D5">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5BE5AF8">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771BB2E9">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1C314B1C">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E47D727">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9BF5F50">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7C098BAE">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041B8DE">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E293F8F">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1B3AECF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1BB2043">
            <w:pPr>
              <w:wordWrap w:val="0"/>
              <w:adjustRightInd w:val="0"/>
              <w:snapToGrid w:val="0"/>
              <w:spacing w:line="240" w:lineRule="auto"/>
              <w:jc w:val="center"/>
              <w:rPr>
                <w:rFonts w:hAnsi="宋体" w:cs="宋体"/>
                <w:snapToGrid w:val="0"/>
                <w:color w:val="auto"/>
                <w:kern w:val="0"/>
                <w:sz w:val="21"/>
                <w:szCs w:val="21"/>
                <w:highlight w:val="none"/>
              </w:rPr>
            </w:pPr>
          </w:p>
        </w:tc>
      </w:tr>
      <w:tr w14:paraId="1D6E3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66A7951">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27FAF32">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2DA9183E">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58B29535">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FEC53F2">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180C744">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188DE9D1">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19400136">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245C62B">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2B535828">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185989E">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AA32920">
            <w:pPr>
              <w:wordWrap w:val="0"/>
              <w:adjustRightInd w:val="0"/>
              <w:snapToGrid w:val="0"/>
              <w:spacing w:line="240" w:lineRule="auto"/>
              <w:jc w:val="center"/>
              <w:rPr>
                <w:rFonts w:hAnsi="宋体" w:cs="宋体"/>
                <w:snapToGrid w:val="0"/>
                <w:color w:val="auto"/>
                <w:kern w:val="0"/>
                <w:sz w:val="21"/>
                <w:szCs w:val="21"/>
                <w:highlight w:val="none"/>
              </w:rPr>
            </w:pPr>
          </w:p>
        </w:tc>
      </w:tr>
      <w:tr w14:paraId="6F1EB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226C860">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28E1B4A">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9D48576">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478252E">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789289E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29D46CBE">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79E9517">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33CF4AB">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7592978">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08B63551">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3FF7F2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79E56F7">
            <w:pPr>
              <w:wordWrap w:val="0"/>
              <w:adjustRightInd w:val="0"/>
              <w:snapToGrid w:val="0"/>
              <w:spacing w:line="240" w:lineRule="auto"/>
              <w:jc w:val="center"/>
              <w:rPr>
                <w:rFonts w:hAnsi="宋体" w:cs="宋体"/>
                <w:snapToGrid w:val="0"/>
                <w:color w:val="auto"/>
                <w:kern w:val="0"/>
                <w:sz w:val="21"/>
                <w:szCs w:val="21"/>
                <w:highlight w:val="none"/>
              </w:rPr>
            </w:pPr>
          </w:p>
        </w:tc>
      </w:tr>
      <w:tr w14:paraId="280CD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C972988">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8A282E3">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5974B3F3">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2A2B134E">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71A5BB15">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7A98FA8">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FA57914">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6DD6E784">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644D406">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736D6A4">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60CEDD32">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07F5906">
            <w:pPr>
              <w:wordWrap w:val="0"/>
              <w:adjustRightInd w:val="0"/>
              <w:snapToGrid w:val="0"/>
              <w:spacing w:line="240" w:lineRule="auto"/>
              <w:jc w:val="center"/>
              <w:rPr>
                <w:rFonts w:hAnsi="宋体" w:cs="宋体"/>
                <w:snapToGrid w:val="0"/>
                <w:color w:val="auto"/>
                <w:kern w:val="0"/>
                <w:sz w:val="21"/>
                <w:szCs w:val="21"/>
                <w:highlight w:val="none"/>
              </w:rPr>
            </w:pPr>
          </w:p>
        </w:tc>
      </w:tr>
      <w:tr w14:paraId="48111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8F6C1C0">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92D3C87">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54313CB">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1E2E75C3">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45A8FCE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36602F3">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6FD1D704">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76AAE4C0">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665F9C85">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23F55A54">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45EF5F7">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7E678E5">
            <w:pPr>
              <w:wordWrap w:val="0"/>
              <w:adjustRightInd w:val="0"/>
              <w:snapToGrid w:val="0"/>
              <w:spacing w:line="240" w:lineRule="auto"/>
              <w:jc w:val="center"/>
              <w:rPr>
                <w:rFonts w:hAnsi="宋体" w:cs="宋体"/>
                <w:snapToGrid w:val="0"/>
                <w:color w:val="auto"/>
                <w:kern w:val="0"/>
                <w:sz w:val="21"/>
                <w:szCs w:val="21"/>
                <w:highlight w:val="none"/>
              </w:rPr>
            </w:pPr>
          </w:p>
        </w:tc>
      </w:tr>
      <w:tr w14:paraId="61BDB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4A0F4A4">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EADA8AC">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3E7675E7">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58A43BCF">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BE6A57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1CAA2EC">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65C2A10">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20151DCC">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5FBC0F77">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44A991E">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097658A">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A6010BD">
            <w:pPr>
              <w:wordWrap w:val="0"/>
              <w:adjustRightInd w:val="0"/>
              <w:snapToGrid w:val="0"/>
              <w:spacing w:line="240" w:lineRule="auto"/>
              <w:jc w:val="center"/>
              <w:rPr>
                <w:rFonts w:hAnsi="宋体" w:cs="宋体"/>
                <w:snapToGrid w:val="0"/>
                <w:color w:val="auto"/>
                <w:kern w:val="0"/>
                <w:sz w:val="21"/>
                <w:szCs w:val="21"/>
                <w:highlight w:val="none"/>
              </w:rPr>
            </w:pPr>
          </w:p>
        </w:tc>
        <w:bookmarkStart w:id="376" w:name="_Hlt69116778"/>
        <w:bookmarkStart w:id="377" w:name="_Hlt68774664"/>
        <w:bookmarkStart w:id="378" w:name="_附件二十四：技术标提问单"/>
        <w:bookmarkStart w:id="379" w:name="_附件二十五：综合评审合理低价法"/>
        <w:bookmarkStart w:id="380" w:name="_附件十：单项工程费汇总表"/>
      </w:tr>
      <w:bookmarkEnd w:id="373"/>
      <w:bookmarkEnd w:id="374"/>
      <w:bookmarkEnd w:id="376"/>
      <w:bookmarkEnd w:id="377"/>
      <w:bookmarkEnd w:id="378"/>
      <w:bookmarkEnd w:id="379"/>
      <w:bookmarkEnd w:id="380"/>
      <w:tr w14:paraId="25576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BC0ADF5">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35DC0E9">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08ED7E0F">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B799806">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2BCCEEAC">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06920C7">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E455E13">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ABBFD3E">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59416CFA">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5A86BC7">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91BD45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108EF558">
            <w:pPr>
              <w:wordWrap w:val="0"/>
              <w:adjustRightInd w:val="0"/>
              <w:snapToGrid w:val="0"/>
              <w:spacing w:line="240" w:lineRule="auto"/>
              <w:jc w:val="center"/>
              <w:rPr>
                <w:rFonts w:hAnsi="宋体" w:cs="宋体"/>
                <w:snapToGrid w:val="0"/>
                <w:color w:val="auto"/>
                <w:kern w:val="0"/>
                <w:sz w:val="21"/>
                <w:szCs w:val="21"/>
                <w:highlight w:val="none"/>
              </w:rPr>
            </w:pPr>
          </w:p>
        </w:tc>
      </w:tr>
    </w:tbl>
    <w:p w14:paraId="4CDFA701">
      <w:pPr>
        <w:pStyle w:val="71"/>
        <w:widowControl w:val="0"/>
        <w:wordWrap w:val="0"/>
        <w:adjustRightInd w:val="0"/>
        <w:snapToGrid w:val="0"/>
        <w:spacing w:line="400" w:lineRule="exact"/>
        <w:rPr>
          <w:rFonts w:hAnsi="宋体" w:cs="宋体"/>
          <w:snapToGrid w:val="0"/>
          <w:color w:val="auto"/>
          <w:sz w:val="21"/>
          <w:highlight w:val="none"/>
        </w:rPr>
      </w:pPr>
      <w:r>
        <w:rPr>
          <w:rFonts w:hint="eastAsia" w:hAnsi="宋体" w:cs="宋体"/>
          <w:snapToGrid w:val="0"/>
          <w:color w:val="auto"/>
          <w:sz w:val="21"/>
          <w:highlight w:val="none"/>
        </w:rPr>
        <w:t>说明：</w:t>
      </w:r>
    </w:p>
    <w:p w14:paraId="24312D3D">
      <w:pPr>
        <w:pStyle w:val="71"/>
        <w:widowControl w:val="0"/>
        <w:wordWrap w:val="0"/>
        <w:adjustRightInd w:val="0"/>
        <w:snapToGrid w:val="0"/>
        <w:spacing w:line="400" w:lineRule="exact"/>
        <w:rPr>
          <w:rFonts w:hAnsi="宋体" w:cs="宋体"/>
          <w:snapToGrid w:val="0"/>
          <w:color w:val="auto"/>
          <w:sz w:val="21"/>
          <w:highlight w:val="none"/>
        </w:rPr>
        <w:sectPr>
          <w:endnotePr>
            <w:numFmt w:val="decimal"/>
          </w:endnotePr>
          <w:pgSz w:w="16838" w:h="11906" w:orient="landscape"/>
          <w:pgMar w:top="1417" w:right="1417" w:bottom="1417" w:left="1417" w:header="850" w:footer="992" w:gutter="0"/>
          <w:pgNumType w:fmt="decimal"/>
          <w:cols w:space="0" w:num="1"/>
          <w:docGrid w:linePitch="327" w:charSpace="0"/>
        </w:sectPr>
      </w:pPr>
      <w:r>
        <w:rPr>
          <w:rFonts w:hint="eastAsia" w:hAnsi="宋体" w:cs="宋体"/>
          <w:snapToGrid w:val="0"/>
          <w:color w:val="auto"/>
          <w:sz w:val="21"/>
          <w:highlight w:val="none"/>
        </w:rPr>
        <w:t>1</w:t>
      </w:r>
      <w:r>
        <w:rPr>
          <w:rFonts w:hint="eastAsia" w:hAnsi="宋体" w:cs="宋体"/>
          <w:snapToGrid w:val="0"/>
          <w:color w:val="auto"/>
          <w:sz w:val="21"/>
          <w:szCs w:val="28"/>
          <w:highlight w:val="none"/>
        </w:rPr>
        <w:t>．表中没有或无法填写的栏目，用</w:t>
      </w:r>
      <w:r>
        <w:rPr>
          <w:rFonts w:hint="eastAsia" w:hAnsi="宋体" w:cs="宋体"/>
          <w:snapToGrid w:val="0"/>
          <w:color w:val="auto"/>
          <w:sz w:val="21"/>
          <w:highlight w:val="none"/>
        </w:rPr>
        <w:t>“/”示意。</w:t>
      </w:r>
      <w:bookmarkEnd w:id="348"/>
      <w:bookmarkEnd w:id="349"/>
      <w:bookmarkEnd w:id="350"/>
      <w:bookmarkEnd w:id="351"/>
    </w:p>
    <w:p w14:paraId="63F60130">
      <w:pPr>
        <w:pStyle w:val="147"/>
        <w:keepNext/>
        <w:keepLines/>
        <w:snapToGrid w:val="0"/>
        <w:spacing w:line="400" w:lineRule="exact"/>
        <w:jc w:val="both"/>
        <w:rPr>
          <w:rFonts w:ascii="宋体" w:hAnsi="宋体" w:cs="宋体"/>
          <w:b/>
          <w:bCs/>
          <w:snapToGrid w:val="0"/>
          <w:color w:val="auto"/>
          <w:highlight w:val="none"/>
        </w:rPr>
      </w:pPr>
      <w:bookmarkStart w:id="381" w:name="_Toc19852"/>
      <w:bookmarkStart w:id="382" w:name="_Toc24916"/>
      <w:r>
        <w:rPr>
          <w:rFonts w:hint="eastAsia" w:ascii="宋体" w:hAnsi="宋体" w:cs="宋体"/>
          <w:b/>
          <w:bCs/>
          <w:snapToGrid w:val="0"/>
          <w:color w:val="auto"/>
          <w:highlight w:val="none"/>
        </w:rPr>
        <w:t>格式十一  总监理工程师简历表</w:t>
      </w:r>
      <w:bookmarkEnd w:id="381"/>
      <w:bookmarkEnd w:id="382"/>
    </w:p>
    <w:p w14:paraId="6461E15D">
      <w:pPr>
        <w:adjustRightInd w:val="0"/>
        <w:snapToGrid w:val="0"/>
        <w:spacing w:line="400" w:lineRule="exact"/>
        <w:jc w:val="center"/>
        <w:rPr>
          <w:rFonts w:hAnsi="宋体" w:cs="宋体"/>
          <w:b/>
          <w:bCs/>
          <w:color w:val="auto"/>
          <w:sz w:val="32"/>
          <w:szCs w:val="22"/>
          <w:highlight w:val="none"/>
        </w:rPr>
      </w:pPr>
    </w:p>
    <w:p w14:paraId="13A99F0A">
      <w:pPr>
        <w:adjustRightInd w:val="0"/>
        <w:snapToGrid w:val="0"/>
        <w:spacing w:line="400" w:lineRule="exact"/>
        <w:jc w:val="center"/>
        <w:rPr>
          <w:rFonts w:hAnsi="宋体" w:cs="宋体"/>
          <w:b/>
          <w:bCs/>
          <w:color w:val="auto"/>
          <w:sz w:val="32"/>
          <w:szCs w:val="22"/>
          <w:highlight w:val="none"/>
        </w:rPr>
      </w:pPr>
      <w:r>
        <w:rPr>
          <w:rFonts w:hint="eastAsia" w:hAnsi="宋体" w:cs="宋体"/>
          <w:b/>
          <w:bCs/>
          <w:color w:val="auto"/>
          <w:sz w:val="32"/>
          <w:szCs w:val="22"/>
          <w:highlight w:val="none"/>
        </w:rPr>
        <w:t>总监理工程师简历表</w:t>
      </w:r>
    </w:p>
    <w:tbl>
      <w:tblPr>
        <w:tblStyle w:val="30"/>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16D4E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0981BF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0B35A23">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306BA3A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6C204639">
            <w:pPr>
              <w:wordWrap w:val="0"/>
              <w:adjustRightInd w:val="0"/>
              <w:snapToGrid w:val="0"/>
              <w:spacing w:line="400" w:lineRule="exact"/>
              <w:jc w:val="center"/>
              <w:rPr>
                <w:rFonts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3136A5C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074C000A">
            <w:pPr>
              <w:wordWrap w:val="0"/>
              <w:adjustRightInd w:val="0"/>
              <w:snapToGrid w:val="0"/>
              <w:spacing w:line="400" w:lineRule="exact"/>
              <w:jc w:val="center"/>
              <w:rPr>
                <w:rFonts w:hAnsi="宋体" w:cs="宋体"/>
                <w:snapToGrid w:val="0"/>
                <w:color w:val="auto"/>
                <w:kern w:val="0"/>
                <w:sz w:val="21"/>
                <w:szCs w:val="21"/>
                <w:highlight w:val="none"/>
              </w:rPr>
            </w:pPr>
          </w:p>
        </w:tc>
      </w:tr>
      <w:tr w14:paraId="328DD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86330F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B0AEB9A">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DAAA4C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578B0780">
            <w:pPr>
              <w:wordWrap w:val="0"/>
              <w:adjustRightInd w:val="0"/>
              <w:snapToGrid w:val="0"/>
              <w:spacing w:line="400" w:lineRule="exact"/>
              <w:jc w:val="center"/>
              <w:rPr>
                <w:rFonts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256FF53A">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05F3B81">
            <w:pPr>
              <w:wordWrap w:val="0"/>
              <w:adjustRightInd w:val="0"/>
              <w:snapToGrid w:val="0"/>
              <w:spacing w:line="400" w:lineRule="exact"/>
              <w:jc w:val="center"/>
              <w:rPr>
                <w:rFonts w:hAnsi="宋体" w:cs="宋体"/>
                <w:snapToGrid w:val="0"/>
                <w:color w:val="auto"/>
                <w:kern w:val="0"/>
                <w:sz w:val="21"/>
                <w:szCs w:val="21"/>
                <w:highlight w:val="none"/>
              </w:rPr>
            </w:pPr>
          </w:p>
        </w:tc>
      </w:tr>
      <w:tr w14:paraId="33141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29430F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67886849">
            <w:pPr>
              <w:wordWrap w:val="0"/>
              <w:adjustRightInd w:val="0"/>
              <w:snapToGrid w:val="0"/>
              <w:spacing w:line="400" w:lineRule="exact"/>
              <w:jc w:val="center"/>
              <w:rPr>
                <w:rFonts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2C7D668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6467CA9A">
            <w:pPr>
              <w:wordWrap w:val="0"/>
              <w:adjustRightInd w:val="0"/>
              <w:snapToGrid w:val="0"/>
              <w:spacing w:line="400" w:lineRule="exact"/>
              <w:jc w:val="center"/>
              <w:rPr>
                <w:rFonts w:hAnsi="宋体" w:cs="宋体"/>
                <w:snapToGrid w:val="0"/>
                <w:color w:val="auto"/>
                <w:kern w:val="0"/>
                <w:sz w:val="21"/>
                <w:szCs w:val="21"/>
                <w:highlight w:val="none"/>
              </w:rPr>
            </w:pPr>
          </w:p>
        </w:tc>
      </w:tr>
      <w:tr w14:paraId="25E1A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1E9169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4A07CADE">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名称：                               证书号：</w:t>
            </w:r>
          </w:p>
        </w:tc>
      </w:tr>
      <w:tr w14:paraId="7B257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274F2D3">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328A6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084BE2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770676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FBBFB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8E4B6F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C15BA6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2635E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161232D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14367DF">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AAE9B8C">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5A32D0B">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F44C2FD">
            <w:pPr>
              <w:wordWrap w:val="0"/>
              <w:adjustRightInd w:val="0"/>
              <w:snapToGrid w:val="0"/>
              <w:spacing w:line="400" w:lineRule="exact"/>
              <w:jc w:val="center"/>
              <w:rPr>
                <w:rFonts w:hAnsi="宋体" w:cs="宋体"/>
                <w:snapToGrid w:val="0"/>
                <w:color w:val="auto"/>
                <w:kern w:val="0"/>
                <w:sz w:val="21"/>
                <w:szCs w:val="21"/>
                <w:highlight w:val="none"/>
              </w:rPr>
            </w:pPr>
          </w:p>
        </w:tc>
      </w:tr>
      <w:tr w14:paraId="49D52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90F5B2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104D250">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65650F">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1ABE292">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E1CAE1B">
            <w:pPr>
              <w:wordWrap w:val="0"/>
              <w:adjustRightInd w:val="0"/>
              <w:snapToGrid w:val="0"/>
              <w:spacing w:line="400" w:lineRule="exact"/>
              <w:jc w:val="center"/>
              <w:rPr>
                <w:rFonts w:hAnsi="宋体" w:cs="宋体"/>
                <w:snapToGrid w:val="0"/>
                <w:color w:val="auto"/>
                <w:kern w:val="0"/>
                <w:sz w:val="21"/>
                <w:szCs w:val="21"/>
                <w:highlight w:val="none"/>
              </w:rPr>
            </w:pPr>
          </w:p>
        </w:tc>
      </w:tr>
      <w:tr w14:paraId="74824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970B3C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2D89A97">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B798FFF">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3BCCB67">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C040936">
            <w:pPr>
              <w:wordWrap w:val="0"/>
              <w:adjustRightInd w:val="0"/>
              <w:snapToGrid w:val="0"/>
              <w:spacing w:line="400" w:lineRule="exact"/>
              <w:jc w:val="center"/>
              <w:rPr>
                <w:rFonts w:hAnsi="宋体" w:cs="宋体"/>
                <w:snapToGrid w:val="0"/>
                <w:color w:val="auto"/>
                <w:kern w:val="0"/>
                <w:sz w:val="21"/>
                <w:szCs w:val="21"/>
                <w:highlight w:val="none"/>
              </w:rPr>
            </w:pPr>
          </w:p>
        </w:tc>
      </w:tr>
      <w:tr w14:paraId="46625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975EB99">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E09880E">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6376A59">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CD58919">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A1A76F2">
            <w:pPr>
              <w:wordWrap w:val="0"/>
              <w:adjustRightInd w:val="0"/>
              <w:snapToGrid w:val="0"/>
              <w:spacing w:line="400" w:lineRule="exact"/>
              <w:jc w:val="center"/>
              <w:rPr>
                <w:rFonts w:hAnsi="宋体" w:cs="宋体"/>
                <w:snapToGrid w:val="0"/>
                <w:color w:val="auto"/>
                <w:kern w:val="0"/>
                <w:sz w:val="21"/>
                <w:szCs w:val="21"/>
                <w:highlight w:val="none"/>
              </w:rPr>
            </w:pPr>
          </w:p>
        </w:tc>
      </w:tr>
    </w:tbl>
    <w:p w14:paraId="05AF772E">
      <w:pPr>
        <w:adjustRightInd w:val="0"/>
        <w:snapToGrid w:val="0"/>
        <w:spacing w:line="400" w:lineRule="exact"/>
        <w:rPr>
          <w:rFonts w:hAnsi="宋体" w:cs="宋体"/>
          <w:color w:val="auto"/>
          <w:highlight w:val="none"/>
        </w:rPr>
      </w:pPr>
    </w:p>
    <w:p w14:paraId="55649CDC">
      <w:pPr>
        <w:pStyle w:val="72"/>
        <w:wordWrap w:val="0"/>
        <w:adjustRightInd w:val="0"/>
        <w:snapToGrid w:val="0"/>
        <w:spacing w:line="400" w:lineRule="exact"/>
        <w:jc w:val="right"/>
        <w:rPr>
          <w:rFonts w:hAnsi="宋体" w:cs="宋体"/>
          <w:snapToGrid w:val="0"/>
          <w:color w:val="auto"/>
          <w:kern w:val="0"/>
          <w:highlight w:val="none"/>
        </w:rPr>
      </w:pPr>
    </w:p>
    <w:p w14:paraId="5212B167">
      <w:pPr>
        <w:pStyle w:val="72"/>
        <w:wordWrap w:val="0"/>
        <w:adjustRightInd w:val="0"/>
        <w:snapToGrid w:val="0"/>
        <w:spacing w:line="400" w:lineRule="exact"/>
        <w:jc w:val="right"/>
        <w:rPr>
          <w:rFonts w:hAnsi="宋体" w:cs="宋体"/>
          <w:snapToGrid w:val="0"/>
          <w:color w:val="auto"/>
          <w:kern w:val="0"/>
          <w:highlight w:val="none"/>
        </w:rPr>
      </w:pPr>
      <w:r>
        <w:rPr>
          <w:rFonts w:hint="eastAsia" w:hAnsi="宋体" w:cs="宋体"/>
          <w:snapToGrid w:val="0"/>
          <w:color w:val="auto"/>
          <w:kern w:val="0"/>
          <w:highlight w:val="none"/>
        </w:rPr>
        <w:t>总监理工程师：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（签字）</w:t>
      </w:r>
    </w:p>
    <w:p w14:paraId="0C2580C4">
      <w:pPr>
        <w:pStyle w:val="72"/>
        <w:wordWrap w:val="0"/>
        <w:adjustRightInd w:val="0"/>
        <w:snapToGrid w:val="0"/>
        <w:spacing w:line="400" w:lineRule="exact"/>
        <w:jc w:val="center"/>
        <w:rPr>
          <w:rFonts w:hAnsi="宋体" w:cs="宋体"/>
          <w:snapToGrid w:val="0"/>
          <w:color w:val="auto"/>
          <w:kern w:val="0"/>
          <w:highlight w:val="none"/>
        </w:rPr>
      </w:pPr>
      <w:r>
        <w:rPr>
          <w:rFonts w:hint="eastAsia" w:hAnsi="宋体" w:cs="宋体"/>
          <w:snapToGrid w:val="0"/>
          <w:color w:val="auto"/>
          <w:kern w:val="0"/>
          <w:highlight w:val="none"/>
        </w:rPr>
        <w:t xml:space="preserve">                                     </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年</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日</w:t>
      </w:r>
    </w:p>
    <w:p w14:paraId="54D577A5">
      <w:pPr>
        <w:wordWrap w:val="0"/>
        <w:adjustRightInd w:val="0"/>
        <w:snapToGrid w:val="0"/>
        <w:spacing w:line="400" w:lineRule="exact"/>
        <w:ind w:firstLine="570"/>
        <w:rPr>
          <w:rFonts w:hAnsi="宋体" w:cs="宋体"/>
          <w:snapToGrid w:val="0"/>
          <w:color w:val="auto"/>
          <w:kern w:val="0"/>
          <w:szCs w:val="28"/>
          <w:highlight w:val="none"/>
        </w:rPr>
      </w:pPr>
    </w:p>
    <w:p w14:paraId="1CA52CB3">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说明：《总监理工程师简历表》后应附拟派总监理工程师以下资料：</w:t>
      </w:r>
    </w:p>
    <w:p w14:paraId="245C16B3">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1．身份证彩色扫描件；</w:t>
      </w:r>
    </w:p>
    <w:p w14:paraId="6403A457">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2．监理工程师注册证书彩色扫描件（须彩色扫描至变更注册栏）</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r>
        <w:rPr>
          <w:rFonts w:hint="eastAsia" w:hAnsi="宋体" w:cs="宋体"/>
          <w:snapToGrid w:val="0"/>
          <w:color w:val="auto"/>
          <w:kern w:val="0"/>
          <w:sz w:val="21"/>
          <w:szCs w:val="28"/>
          <w:highlight w:val="none"/>
        </w:rPr>
        <w:t>；</w:t>
      </w:r>
    </w:p>
    <w:p w14:paraId="4FD46B7A">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3．</w:t>
      </w:r>
      <w:r>
        <w:rPr>
          <w:rFonts w:hint="eastAsia" w:ascii="宋体" w:hAnsi="宋体" w:eastAsia="宋体" w:cs="宋体"/>
          <w:caps w:val="0"/>
          <w:smallCaps w:val="0"/>
          <w:snapToGrid w:val="0"/>
          <w:color w:val="auto"/>
          <w:spacing w:val="0"/>
          <w:kern w:val="0"/>
          <w:sz w:val="21"/>
          <w:szCs w:val="28"/>
          <w:highlight w:val="none"/>
          <w:lang w:val="en-US" w:eastAsia="zh-CN"/>
        </w:rPr>
        <w:t>在本单位缴纳社保的证明（至少</w:t>
      </w:r>
      <w:r>
        <w:rPr>
          <w:rFonts w:hint="eastAsia" w:hAnsi="宋体" w:cs="宋体"/>
          <w:caps w:val="0"/>
          <w:smallCaps w:val="0"/>
          <w:snapToGrid w:val="0"/>
          <w:color w:val="auto"/>
          <w:spacing w:val="0"/>
          <w:kern w:val="0"/>
          <w:sz w:val="21"/>
          <w:szCs w:val="28"/>
          <w:highlight w:val="none"/>
          <w:lang w:val="en-US" w:eastAsia="zh-CN"/>
        </w:rPr>
        <w:t>三</w:t>
      </w:r>
      <w:r>
        <w:rPr>
          <w:rFonts w:hint="eastAsia" w:ascii="宋体" w:hAnsi="宋体" w:eastAsia="宋体" w:cs="宋体"/>
          <w:caps w:val="0"/>
          <w:smallCaps w:val="0"/>
          <w:snapToGrid w:val="0"/>
          <w:color w:val="auto"/>
          <w:spacing w:val="0"/>
          <w:kern w:val="0"/>
          <w:sz w:val="21"/>
          <w:szCs w:val="28"/>
          <w:highlight w:val="none"/>
          <w:lang w:val="en-US" w:eastAsia="zh-CN"/>
        </w:rPr>
        <w:t>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05</w:t>
      </w:r>
      <w:r>
        <w:rPr>
          <w:rFonts w:hint="eastAsia" w:ascii="宋体" w:hAnsi="宋体" w:eastAsia="宋体" w:cs="宋体"/>
          <w:caps w:val="0"/>
          <w:smallCaps w:val="0"/>
          <w:snapToGrid w:val="0"/>
          <w:color w:val="auto"/>
          <w:spacing w:val="0"/>
          <w:kern w:val="0"/>
          <w:sz w:val="21"/>
          <w:szCs w:val="28"/>
          <w:highlight w:val="none"/>
          <w:lang w:val="en-US" w:eastAsia="zh-CN"/>
        </w:rPr>
        <w:t>月）彩色扫描件。拟派总监理工程师为退休返聘人员无法提供社保证明的，提供退休证明和劳动</w:t>
      </w:r>
      <w:r>
        <w:rPr>
          <w:rFonts w:hint="eastAsia" w:hAnsi="宋体" w:cs="宋体"/>
          <w:caps w:val="0"/>
          <w:smallCaps w:val="0"/>
          <w:snapToGrid w:val="0"/>
          <w:color w:val="auto"/>
          <w:spacing w:val="0"/>
          <w:kern w:val="0"/>
          <w:sz w:val="21"/>
          <w:szCs w:val="28"/>
          <w:highlight w:val="none"/>
          <w:lang w:val="en-US" w:eastAsia="zh-CN"/>
        </w:rPr>
        <w:t>（或返聘）</w:t>
      </w:r>
      <w:r>
        <w:rPr>
          <w:rFonts w:hint="eastAsia" w:ascii="宋体" w:hAnsi="宋体" w:eastAsia="宋体" w:cs="宋体"/>
          <w:caps w:val="0"/>
          <w:smallCaps w:val="0"/>
          <w:snapToGrid w:val="0"/>
          <w:color w:val="auto"/>
          <w:spacing w:val="0"/>
          <w:kern w:val="0"/>
          <w:sz w:val="21"/>
          <w:szCs w:val="28"/>
          <w:highlight w:val="none"/>
          <w:lang w:val="en-US" w:eastAsia="zh-CN"/>
        </w:rPr>
        <w:t>合同彩色扫描件；</w:t>
      </w:r>
    </w:p>
    <w:p w14:paraId="2DC2A311">
      <w:pPr>
        <w:pStyle w:val="9"/>
        <w:snapToGrid w:val="0"/>
        <w:spacing w:line="400" w:lineRule="exact"/>
        <w:ind w:firstLine="420" w:firstLineChars="200"/>
        <w:rPr>
          <w:rFonts w:hAnsi="宋体" w:cs="宋体"/>
          <w:snapToGrid w:val="0"/>
          <w:color w:val="auto"/>
          <w:sz w:val="21"/>
          <w:highlight w:val="none"/>
        </w:rPr>
      </w:pPr>
      <w:r>
        <w:rPr>
          <w:rFonts w:hint="eastAsia" w:hAnsi="宋体" w:cs="宋体"/>
          <w:snapToGrid w:val="0"/>
          <w:color w:val="auto"/>
          <w:sz w:val="21"/>
          <w:highlight w:val="none"/>
        </w:rPr>
        <w:t>4.“进粤企业和人员诚信信息登记平台”个人（总监理工程师等）信息情况截图。（适用于省外建筑企业）</w:t>
      </w:r>
    </w:p>
    <w:p w14:paraId="1FF4E9EC">
      <w:pPr>
        <w:pStyle w:val="9"/>
        <w:snapToGrid w:val="0"/>
        <w:spacing w:line="400" w:lineRule="exact"/>
        <w:rPr>
          <w:rFonts w:hAnsi="宋体" w:cs="宋体"/>
          <w:snapToGrid w:val="0"/>
          <w:color w:val="auto"/>
          <w:sz w:val="21"/>
          <w:highlight w:val="none"/>
        </w:rPr>
      </w:pPr>
    </w:p>
    <w:p w14:paraId="1F51A155">
      <w:pPr>
        <w:adjustRightInd w:val="0"/>
        <w:snapToGrid w:val="0"/>
        <w:spacing w:line="400" w:lineRule="exact"/>
        <w:rPr>
          <w:rFonts w:hAnsi="宋体" w:cs="宋体"/>
          <w:b/>
          <w:bCs/>
          <w:snapToGrid w:val="0"/>
          <w:color w:val="auto"/>
          <w:kern w:val="0"/>
          <w:szCs w:val="24"/>
          <w:highlight w:val="none"/>
        </w:rPr>
      </w:pPr>
      <w:bookmarkStart w:id="383" w:name="_Toc19546"/>
      <w:r>
        <w:rPr>
          <w:rFonts w:hint="eastAsia" w:hAnsi="宋体" w:cs="宋体"/>
          <w:b/>
          <w:bCs/>
          <w:snapToGrid w:val="0"/>
          <w:color w:val="auto"/>
          <w:kern w:val="0"/>
          <w:szCs w:val="24"/>
          <w:highlight w:val="none"/>
        </w:rPr>
        <w:br w:type="page"/>
      </w:r>
    </w:p>
    <w:p w14:paraId="32B105E3">
      <w:pPr>
        <w:pStyle w:val="147"/>
        <w:keepNext/>
        <w:keepLines/>
        <w:snapToGrid w:val="0"/>
        <w:spacing w:line="400" w:lineRule="exact"/>
        <w:jc w:val="both"/>
        <w:rPr>
          <w:rFonts w:ascii="宋体" w:hAnsi="宋体" w:cs="宋体"/>
          <w:b/>
          <w:bCs/>
          <w:snapToGrid w:val="0"/>
          <w:color w:val="auto"/>
          <w:highlight w:val="none"/>
        </w:rPr>
      </w:pPr>
      <w:bookmarkStart w:id="384" w:name="_Toc16966"/>
      <w:r>
        <w:rPr>
          <w:rFonts w:hint="eastAsia" w:ascii="宋体" w:hAnsi="宋体" w:cs="宋体"/>
          <w:b/>
          <w:bCs/>
          <w:snapToGrid w:val="0"/>
          <w:color w:val="auto"/>
          <w:highlight w:val="none"/>
        </w:rPr>
        <w:t>格式十二  其他拟派人员简历表</w:t>
      </w:r>
      <w:bookmarkEnd w:id="383"/>
      <w:bookmarkEnd w:id="384"/>
    </w:p>
    <w:p w14:paraId="6BB2F130">
      <w:pPr>
        <w:adjustRightInd w:val="0"/>
        <w:snapToGrid w:val="0"/>
        <w:spacing w:line="400" w:lineRule="exact"/>
        <w:jc w:val="center"/>
        <w:rPr>
          <w:rFonts w:hAnsi="宋体" w:cs="宋体"/>
          <w:b/>
          <w:bCs/>
          <w:color w:val="auto"/>
          <w:sz w:val="32"/>
          <w:szCs w:val="22"/>
          <w:highlight w:val="none"/>
        </w:rPr>
      </w:pPr>
    </w:p>
    <w:p w14:paraId="3FF56886">
      <w:pPr>
        <w:adjustRightInd w:val="0"/>
        <w:snapToGrid w:val="0"/>
        <w:spacing w:line="400" w:lineRule="exact"/>
        <w:jc w:val="center"/>
        <w:rPr>
          <w:rFonts w:hAnsi="宋体" w:cs="宋体"/>
          <w:b/>
          <w:bCs/>
          <w:color w:val="auto"/>
          <w:sz w:val="32"/>
          <w:szCs w:val="22"/>
          <w:highlight w:val="none"/>
        </w:rPr>
      </w:pPr>
      <w:r>
        <w:rPr>
          <w:rFonts w:hint="eastAsia" w:hAnsi="宋体" w:cs="宋体"/>
          <w:b/>
          <w:bCs/>
          <w:color w:val="auto"/>
          <w:sz w:val="32"/>
          <w:szCs w:val="22"/>
          <w:highlight w:val="none"/>
        </w:rPr>
        <w:t>其他拟派人员简历表（）</w:t>
      </w:r>
    </w:p>
    <w:tbl>
      <w:tblPr>
        <w:tblStyle w:val="30"/>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7E9C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34B96E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143FEB68">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4B527A1">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6FC81615">
            <w:pPr>
              <w:wordWrap w:val="0"/>
              <w:adjustRightInd w:val="0"/>
              <w:snapToGrid w:val="0"/>
              <w:spacing w:line="400" w:lineRule="exact"/>
              <w:jc w:val="center"/>
              <w:rPr>
                <w:rFonts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1E4271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3281224B">
            <w:pPr>
              <w:wordWrap w:val="0"/>
              <w:adjustRightInd w:val="0"/>
              <w:snapToGrid w:val="0"/>
              <w:spacing w:line="400" w:lineRule="exact"/>
              <w:jc w:val="center"/>
              <w:rPr>
                <w:rFonts w:hAnsi="宋体" w:cs="宋体"/>
                <w:snapToGrid w:val="0"/>
                <w:color w:val="auto"/>
                <w:kern w:val="0"/>
                <w:sz w:val="21"/>
                <w:szCs w:val="21"/>
                <w:highlight w:val="none"/>
              </w:rPr>
            </w:pPr>
          </w:p>
        </w:tc>
      </w:tr>
      <w:tr w14:paraId="762E1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65C7D3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07600EDB">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07B004D">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B474707">
            <w:pPr>
              <w:wordWrap w:val="0"/>
              <w:adjustRightInd w:val="0"/>
              <w:snapToGrid w:val="0"/>
              <w:spacing w:line="400" w:lineRule="exact"/>
              <w:jc w:val="center"/>
              <w:rPr>
                <w:rFonts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614E82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6857EDE9">
            <w:pPr>
              <w:wordWrap w:val="0"/>
              <w:adjustRightInd w:val="0"/>
              <w:snapToGrid w:val="0"/>
              <w:spacing w:line="400" w:lineRule="exact"/>
              <w:jc w:val="center"/>
              <w:rPr>
                <w:rFonts w:hAnsi="宋体" w:cs="宋体"/>
                <w:snapToGrid w:val="0"/>
                <w:color w:val="auto"/>
                <w:kern w:val="0"/>
                <w:sz w:val="21"/>
                <w:szCs w:val="21"/>
                <w:highlight w:val="none"/>
              </w:rPr>
            </w:pPr>
          </w:p>
        </w:tc>
      </w:tr>
      <w:tr w14:paraId="5DADE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19FBE74">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64C9C75">
            <w:pPr>
              <w:wordWrap w:val="0"/>
              <w:adjustRightInd w:val="0"/>
              <w:snapToGrid w:val="0"/>
              <w:spacing w:line="400" w:lineRule="exact"/>
              <w:jc w:val="center"/>
              <w:rPr>
                <w:rFonts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66C100A">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70F18B4F">
            <w:pPr>
              <w:wordWrap w:val="0"/>
              <w:adjustRightInd w:val="0"/>
              <w:snapToGrid w:val="0"/>
              <w:spacing w:line="400" w:lineRule="exact"/>
              <w:jc w:val="center"/>
              <w:rPr>
                <w:rFonts w:hAnsi="宋体" w:cs="宋体"/>
                <w:snapToGrid w:val="0"/>
                <w:color w:val="auto"/>
                <w:kern w:val="0"/>
                <w:sz w:val="21"/>
                <w:szCs w:val="21"/>
                <w:highlight w:val="none"/>
              </w:rPr>
            </w:pPr>
          </w:p>
        </w:tc>
      </w:tr>
      <w:tr w14:paraId="6DA6F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0945053">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62DD7135">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1AEF7FE9">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6A8FC6B9">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r>
              <w:rPr>
                <w:rFonts w:hint="eastAsia" w:hAnsi="宋体" w:cs="宋体"/>
                <w:snapToGrid w:val="0"/>
                <w:color w:val="auto"/>
                <w:kern w:val="0"/>
                <w:sz w:val="21"/>
                <w:szCs w:val="28"/>
                <w:highlight w:val="none"/>
              </w:rPr>
              <w:t>．……</w:t>
            </w:r>
          </w:p>
        </w:tc>
      </w:tr>
      <w:tr w14:paraId="3A381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1E7D951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31B26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CF8EA0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EB24DD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371534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6E9FFC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2935CF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1CD13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2B8E388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30B57CD">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13161BA">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0BB2319">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69301531">
            <w:pPr>
              <w:wordWrap w:val="0"/>
              <w:adjustRightInd w:val="0"/>
              <w:snapToGrid w:val="0"/>
              <w:spacing w:line="400" w:lineRule="exact"/>
              <w:jc w:val="center"/>
              <w:rPr>
                <w:rFonts w:hAnsi="宋体" w:cs="宋体"/>
                <w:snapToGrid w:val="0"/>
                <w:color w:val="auto"/>
                <w:kern w:val="0"/>
                <w:sz w:val="21"/>
                <w:szCs w:val="21"/>
                <w:highlight w:val="none"/>
              </w:rPr>
            </w:pPr>
          </w:p>
        </w:tc>
      </w:tr>
      <w:tr w14:paraId="32683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FE547E1">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F3C8C0F">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D20D901">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8668C20">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52493A2">
            <w:pPr>
              <w:wordWrap w:val="0"/>
              <w:adjustRightInd w:val="0"/>
              <w:snapToGrid w:val="0"/>
              <w:spacing w:line="400" w:lineRule="exact"/>
              <w:jc w:val="center"/>
              <w:rPr>
                <w:rFonts w:hAnsi="宋体" w:cs="宋体"/>
                <w:snapToGrid w:val="0"/>
                <w:color w:val="auto"/>
                <w:kern w:val="0"/>
                <w:sz w:val="21"/>
                <w:szCs w:val="21"/>
                <w:highlight w:val="none"/>
              </w:rPr>
            </w:pPr>
          </w:p>
        </w:tc>
      </w:tr>
      <w:tr w14:paraId="6F13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04F358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D118068">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DFEFB81">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A9DB9BB">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091CF41">
            <w:pPr>
              <w:wordWrap w:val="0"/>
              <w:adjustRightInd w:val="0"/>
              <w:snapToGrid w:val="0"/>
              <w:spacing w:line="400" w:lineRule="exact"/>
              <w:jc w:val="center"/>
              <w:rPr>
                <w:rFonts w:hAnsi="宋体" w:cs="宋体"/>
                <w:snapToGrid w:val="0"/>
                <w:color w:val="auto"/>
                <w:kern w:val="0"/>
                <w:sz w:val="21"/>
                <w:szCs w:val="21"/>
                <w:highlight w:val="none"/>
              </w:rPr>
            </w:pPr>
          </w:p>
        </w:tc>
      </w:tr>
      <w:tr w14:paraId="01F07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7D934D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4C7A2D0">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F0F8E6">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1ABB1E2">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266FC4C">
            <w:pPr>
              <w:wordWrap w:val="0"/>
              <w:adjustRightInd w:val="0"/>
              <w:snapToGrid w:val="0"/>
              <w:spacing w:line="400" w:lineRule="exact"/>
              <w:jc w:val="center"/>
              <w:rPr>
                <w:rFonts w:hAnsi="宋体" w:cs="宋体"/>
                <w:snapToGrid w:val="0"/>
                <w:color w:val="auto"/>
                <w:kern w:val="0"/>
                <w:sz w:val="21"/>
                <w:szCs w:val="21"/>
                <w:highlight w:val="none"/>
              </w:rPr>
            </w:pPr>
          </w:p>
        </w:tc>
      </w:tr>
    </w:tbl>
    <w:p w14:paraId="77C02387">
      <w:pPr>
        <w:pStyle w:val="72"/>
        <w:wordWrap w:val="0"/>
        <w:adjustRightInd w:val="0"/>
        <w:snapToGrid w:val="0"/>
        <w:spacing w:line="400" w:lineRule="exact"/>
        <w:rPr>
          <w:rFonts w:hAnsi="宋体" w:cs="宋体"/>
          <w:snapToGrid w:val="0"/>
          <w:color w:val="auto"/>
          <w:kern w:val="0"/>
          <w:highlight w:val="none"/>
        </w:rPr>
      </w:pPr>
    </w:p>
    <w:p w14:paraId="51FC9EC7">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w:t>
      </w:r>
    </w:p>
    <w:p w14:paraId="2C895D48">
      <w:pPr>
        <w:wordWrap w:val="0"/>
        <w:adjustRightInd w:val="0"/>
        <w:snapToGrid w:val="0"/>
        <w:spacing w:line="400" w:lineRule="exact"/>
        <w:ind w:firstLine="420"/>
        <w:rPr>
          <w:rFonts w:hAnsi="宋体" w:cs="宋体"/>
          <w:snapToGrid w:val="0"/>
          <w:color w:val="auto"/>
          <w:kern w:val="0"/>
          <w:sz w:val="21"/>
          <w:szCs w:val="21"/>
          <w:highlight w:val="none"/>
        </w:rPr>
      </w:pPr>
      <w:r>
        <w:rPr>
          <w:rFonts w:hint="eastAsia" w:hAnsi="宋体" w:cs="宋体"/>
          <w:snapToGrid w:val="0"/>
          <w:color w:val="auto"/>
          <w:kern w:val="0"/>
          <w:sz w:val="21"/>
          <w:szCs w:val="28"/>
          <w:highlight w:val="none"/>
        </w:rPr>
        <w:t>1．“其他拟派人员”指项目监理机构中除总监理工程师以外的拟派人员，包括专业监理工程师、监理员、相关服务人员等。以上拟派人员一人一表，</w:t>
      </w:r>
      <w:r>
        <w:rPr>
          <w:rFonts w:hint="eastAsia" w:hAnsi="宋体" w:cs="宋体"/>
          <w:snapToGrid w:val="0"/>
          <w:color w:val="auto"/>
          <w:kern w:val="0"/>
          <w:sz w:val="21"/>
          <w:szCs w:val="21"/>
          <w:highlight w:val="none"/>
        </w:rPr>
        <w:t>并标明序号。</w:t>
      </w:r>
    </w:p>
    <w:p w14:paraId="784C9BD9">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2．每份简历表后应附该拟派人员以下资料：</w:t>
      </w:r>
    </w:p>
    <w:p w14:paraId="1DCEBAA8">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（1）身份证彩色扫描件；</w:t>
      </w:r>
    </w:p>
    <w:p w14:paraId="15883648">
      <w:pPr>
        <w:wordWrap w:val="0"/>
        <w:adjustRightInd w:val="0"/>
        <w:snapToGrid w:val="0"/>
        <w:spacing w:line="400" w:lineRule="exact"/>
        <w:ind w:firstLine="420"/>
        <w:rPr>
          <w:rFonts w:hint="eastAsia" w:hAnsi="宋体" w:eastAsia="宋体" w:cs="宋体"/>
          <w:snapToGrid w:val="0"/>
          <w:color w:val="auto"/>
          <w:kern w:val="0"/>
          <w:sz w:val="21"/>
          <w:szCs w:val="28"/>
          <w:highlight w:val="none"/>
          <w:lang w:val="en-US" w:eastAsia="zh-CN"/>
        </w:rPr>
      </w:pPr>
      <w:r>
        <w:rPr>
          <w:rFonts w:hint="eastAsia" w:hAnsi="宋体" w:cs="宋体"/>
          <w:snapToGrid w:val="0"/>
          <w:color w:val="auto"/>
          <w:kern w:val="0"/>
          <w:sz w:val="21"/>
          <w:szCs w:val="28"/>
          <w:highlight w:val="none"/>
        </w:rPr>
        <w:t>（2）相关证书彩色扫描件</w:t>
      </w:r>
      <w:r>
        <w:rPr>
          <w:rFonts w:hint="eastAsia" w:hAnsi="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须彩色扫描至变更注册栏</w:t>
      </w:r>
      <w:r>
        <w:rPr>
          <w:rFonts w:hint="eastAsia" w:hAnsi="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r>
        <w:rPr>
          <w:rFonts w:hint="eastAsia" w:ascii="宋体" w:hAnsi="宋体" w:eastAsia="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具体要求详见招标文件第一章第三节第</w:t>
      </w:r>
      <w:r>
        <w:rPr>
          <w:rFonts w:hint="eastAsia" w:hAnsi="宋体" w:cs="宋体"/>
          <w:b/>
          <w:bCs/>
          <w:snapToGrid w:val="0"/>
          <w:color w:val="auto"/>
          <w:kern w:val="0"/>
          <w:sz w:val="21"/>
          <w:szCs w:val="28"/>
          <w:highlight w:val="none"/>
        </w:rPr>
        <w:t>15.5</w:t>
      </w:r>
      <w:r>
        <w:rPr>
          <w:rFonts w:hint="eastAsia" w:hAnsi="宋体" w:cs="宋体"/>
          <w:snapToGrid w:val="0"/>
          <w:color w:val="auto"/>
          <w:kern w:val="0"/>
          <w:sz w:val="21"/>
          <w:szCs w:val="28"/>
          <w:highlight w:val="none"/>
        </w:rPr>
        <w:t>条表</w:t>
      </w:r>
      <w:r>
        <w:rPr>
          <w:rFonts w:hint="eastAsia" w:hAnsi="宋体" w:cs="宋体"/>
          <w:b/>
          <w:bCs/>
          <w:snapToGrid w:val="0"/>
          <w:color w:val="auto"/>
          <w:kern w:val="0"/>
          <w:sz w:val="21"/>
          <w:szCs w:val="28"/>
          <w:highlight w:val="none"/>
        </w:rPr>
        <w:t>2</w:t>
      </w:r>
      <w:r>
        <w:rPr>
          <w:rFonts w:hint="eastAsia" w:hAnsi="宋体" w:cs="宋体"/>
          <w:snapToGrid w:val="0"/>
          <w:color w:val="auto"/>
          <w:kern w:val="0"/>
          <w:sz w:val="21"/>
          <w:szCs w:val="28"/>
          <w:highlight w:val="none"/>
        </w:rPr>
        <w:t>《项目监理机构其他人员需求表》“持证要求”栏目</w:t>
      </w:r>
      <w:r>
        <w:rPr>
          <w:rFonts w:hint="eastAsia" w:hAnsi="宋体" w:cs="宋体"/>
          <w:snapToGrid w:val="0"/>
          <w:color w:val="auto"/>
          <w:kern w:val="0"/>
          <w:sz w:val="21"/>
          <w:szCs w:val="28"/>
          <w:highlight w:val="none"/>
          <w:lang w:val="en-US" w:eastAsia="zh-CN"/>
        </w:rPr>
        <w:t>；</w:t>
      </w:r>
    </w:p>
    <w:p w14:paraId="1BFF2D19">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（3）</w:t>
      </w:r>
      <w:r>
        <w:rPr>
          <w:rFonts w:hint="eastAsia" w:ascii="Times New Roman"/>
          <w:snapToGrid w:val="0"/>
          <w:color w:val="auto"/>
          <w:kern w:val="0"/>
          <w:sz w:val="21"/>
          <w:szCs w:val="28"/>
          <w:highlight w:val="none"/>
        </w:rPr>
        <w:t>在本单位缴纳社保的证明</w:t>
      </w:r>
      <w:r>
        <w:rPr>
          <w:rFonts w:hint="eastAsia" w:ascii="宋体" w:hAnsi="宋体" w:eastAsia="宋体" w:cs="宋体"/>
          <w:caps w:val="0"/>
          <w:smallCaps w:val="0"/>
          <w:snapToGrid w:val="0"/>
          <w:color w:val="auto"/>
          <w:spacing w:val="0"/>
          <w:kern w:val="0"/>
          <w:sz w:val="21"/>
          <w:szCs w:val="28"/>
          <w:highlight w:val="none"/>
          <w:lang w:val="en-US" w:eastAsia="zh-CN"/>
        </w:rPr>
        <w:t>（至少</w:t>
      </w:r>
      <w:r>
        <w:rPr>
          <w:rFonts w:hint="eastAsia" w:hAnsi="宋体" w:cs="宋体"/>
          <w:caps w:val="0"/>
          <w:smallCaps w:val="0"/>
          <w:snapToGrid w:val="0"/>
          <w:color w:val="auto"/>
          <w:spacing w:val="0"/>
          <w:kern w:val="0"/>
          <w:sz w:val="21"/>
          <w:szCs w:val="28"/>
          <w:highlight w:val="none"/>
          <w:lang w:val="en-US" w:eastAsia="zh-CN"/>
        </w:rPr>
        <w:t>三</w:t>
      </w:r>
      <w:r>
        <w:rPr>
          <w:rFonts w:hint="eastAsia" w:ascii="宋体" w:hAnsi="宋体" w:eastAsia="宋体" w:cs="宋体"/>
          <w:caps w:val="0"/>
          <w:smallCaps w:val="0"/>
          <w:snapToGrid w:val="0"/>
          <w:color w:val="auto"/>
          <w:spacing w:val="0"/>
          <w:kern w:val="0"/>
          <w:sz w:val="21"/>
          <w:szCs w:val="28"/>
          <w:highlight w:val="none"/>
          <w:lang w:val="en-US" w:eastAsia="zh-CN"/>
        </w:rPr>
        <w:t>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05</w:t>
      </w:r>
      <w:r>
        <w:rPr>
          <w:rFonts w:hint="eastAsia" w:ascii="宋体" w:hAnsi="宋体" w:eastAsia="宋体" w:cs="宋体"/>
          <w:caps w:val="0"/>
          <w:smallCaps w:val="0"/>
          <w:snapToGrid w:val="0"/>
          <w:color w:val="auto"/>
          <w:spacing w:val="0"/>
          <w:kern w:val="0"/>
          <w:sz w:val="21"/>
          <w:szCs w:val="28"/>
          <w:highlight w:val="none"/>
          <w:lang w:val="en-US" w:eastAsia="zh-CN"/>
        </w:rPr>
        <w:t>月）</w:t>
      </w:r>
      <w:r>
        <w:rPr>
          <w:rFonts w:hint="eastAsia" w:ascii="Times New Roman"/>
          <w:snapToGrid w:val="0"/>
          <w:color w:val="auto"/>
          <w:kern w:val="0"/>
          <w:sz w:val="21"/>
          <w:szCs w:val="28"/>
          <w:highlight w:val="none"/>
        </w:rPr>
        <w:t>彩色扫描件</w:t>
      </w:r>
      <w:r>
        <w:rPr>
          <w:rFonts w:hint="eastAsia" w:ascii="Times New Roman"/>
          <w:snapToGrid w:val="0"/>
          <w:color w:val="auto"/>
          <w:kern w:val="0"/>
          <w:sz w:val="21"/>
          <w:szCs w:val="28"/>
          <w:highlight w:val="none"/>
          <w:lang w:eastAsia="zh-CN"/>
        </w:rPr>
        <w:t>，</w:t>
      </w:r>
      <w:r>
        <w:rPr>
          <w:rFonts w:hint="eastAsia" w:ascii="Times New Roman"/>
          <w:snapToGrid w:val="0"/>
          <w:color w:val="auto"/>
          <w:kern w:val="0"/>
          <w:sz w:val="21"/>
          <w:szCs w:val="28"/>
          <w:highlight w:val="none"/>
          <w:lang w:val="en-US" w:eastAsia="zh-CN"/>
        </w:rPr>
        <w:t>拟派人员为退休返聘人员无法提供社保证明的，提供退休证明和</w:t>
      </w:r>
      <w:r>
        <w:rPr>
          <w:rFonts w:hint="eastAsia" w:ascii="Times New Roman"/>
          <w:snapToGrid w:val="0"/>
          <w:color w:val="auto"/>
          <w:kern w:val="0"/>
          <w:sz w:val="24"/>
          <w:szCs w:val="24"/>
          <w:highlight w:val="none"/>
          <w:lang w:val="en-US" w:eastAsia="zh-CN"/>
        </w:rPr>
        <w:t>劳动</w:t>
      </w:r>
      <w:r>
        <w:rPr>
          <w:rFonts w:hint="eastAsia" w:ascii="Times New Roman"/>
          <w:snapToGrid w:val="0"/>
          <w:color w:val="auto"/>
          <w:kern w:val="0"/>
          <w:sz w:val="21"/>
          <w:szCs w:val="28"/>
          <w:highlight w:val="none"/>
          <w:lang w:val="en-US" w:eastAsia="zh-CN"/>
        </w:rPr>
        <w:t>合同（或返聘）彩色扫描件；</w:t>
      </w:r>
      <w:r>
        <w:rPr>
          <w:rFonts w:hint="eastAsia" w:ascii="Times New Roman"/>
          <w:snapToGrid w:val="0"/>
          <w:color w:val="auto"/>
          <w:kern w:val="0"/>
          <w:sz w:val="21"/>
          <w:szCs w:val="28"/>
          <w:highlight w:val="none"/>
        </w:rPr>
        <w:t>。</w:t>
      </w:r>
    </w:p>
    <w:p w14:paraId="14218DA9">
      <w:pPr>
        <w:pStyle w:val="9"/>
        <w:snapToGrid w:val="0"/>
        <w:spacing w:line="400" w:lineRule="exact"/>
        <w:ind w:firstLine="420" w:firstLineChars="200"/>
        <w:rPr>
          <w:rFonts w:hAnsi="宋体" w:cs="宋体"/>
          <w:snapToGrid w:val="0"/>
          <w:color w:val="auto"/>
          <w:sz w:val="21"/>
          <w:highlight w:val="none"/>
        </w:rPr>
      </w:pPr>
      <w:r>
        <w:rPr>
          <w:rFonts w:hint="eastAsia" w:hAnsi="宋体" w:cs="宋体"/>
          <w:snapToGrid w:val="0"/>
          <w:color w:val="auto"/>
          <w:sz w:val="21"/>
          <w:highlight w:val="none"/>
        </w:rPr>
        <w:t>3.“进粤企业和人员诚信信息登记平台”个人信息情况截图。（适用于省外建筑企业）</w:t>
      </w:r>
    </w:p>
    <w:p w14:paraId="16DC49F0">
      <w:pPr>
        <w:rPr>
          <w:color w:val="auto"/>
          <w:highlight w:val="none"/>
        </w:rPr>
      </w:pPr>
      <w:bookmarkStart w:id="385" w:name="_Toc593"/>
      <w:bookmarkStart w:id="386" w:name="_Toc25312"/>
    </w:p>
    <w:p w14:paraId="4F5701AB">
      <w:pPr>
        <w:rPr>
          <w:color w:val="auto"/>
          <w:highlight w:val="none"/>
        </w:rPr>
      </w:pPr>
    </w:p>
    <w:p w14:paraId="0B0CC3A8">
      <w:pPr>
        <w:rPr>
          <w:color w:val="auto"/>
          <w:highlight w:val="none"/>
        </w:rPr>
      </w:pPr>
    </w:p>
    <w:p w14:paraId="0887FC9D">
      <w:pPr>
        <w:rPr>
          <w:color w:val="auto"/>
          <w:highlight w:val="none"/>
        </w:rPr>
      </w:pPr>
    </w:p>
    <w:p w14:paraId="746FE86D">
      <w:pPr>
        <w:rPr>
          <w:color w:val="auto"/>
          <w:highlight w:val="none"/>
        </w:rPr>
      </w:pPr>
    </w:p>
    <w:p w14:paraId="4A3461BE">
      <w:pPr>
        <w:bidi w:val="0"/>
        <w:rPr>
          <w:color w:val="auto"/>
          <w:highlight w:val="none"/>
        </w:rPr>
      </w:pPr>
    </w:p>
    <w:p w14:paraId="20F0C669">
      <w:pPr>
        <w:pStyle w:val="3"/>
        <w:bidi w:val="0"/>
        <w:rPr>
          <w:rFonts w:hint="default"/>
          <w:b/>
          <w:bCs/>
          <w:color w:val="auto"/>
          <w:highlight w:val="none"/>
          <w:lang w:val="en-US" w:eastAsia="zh-CN"/>
        </w:rPr>
      </w:pPr>
      <w:bookmarkStart w:id="387" w:name="_Toc8442"/>
      <w:r>
        <w:rPr>
          <w:rFonts w:hint="eastAsia"/>
          <w:b/>
          <w:bCs/>
          <w:color w:val="auto"/>
          <w:highlight w:val="none"/>
          <w:lang w:val="en-US" w:eastAsia="zh-CN"/>
        </w:rPr>
        <w:t>格式十三 原件一览表</w:t>
      </w:r>
      <w:bookmarkEnd w:id="387"/>
    </w:p>
    <w:tbl>
      <w:tblPr>
        <w:tblStyle w:val="30"/>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701"/>
        <w:gridCol w:w="1506"/>
        <w:gridCol w:w="601"/>
        <w:gridCol w:w="1393"/>
        <w:gridCol w:w="1625"/>
        <w:gridCol w:w="754"/>
        <w:gridCol w:w="958"/>
        <w:gridCol w:w="1570"/>
      </w:tblGrid>
      <w:tr w14:paraId="1D5F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463" w:hRule="atLeast"/>
        </w:trPr>
        <w:tc>
          <w:tcPr>
            <w:tcW w:w="9108" w:type="dxa"/>
            <w:gridSpan w:val="8"/>
            <w:shd w:val="clear" w:color="auto" w:fill="auto"/>
            <w:noWrap w:val="0"/>
            <w:tcMar>
              <w:left w:w="108" w:type="dxa"/>
              <w:right w:w="108" w:type="dxa"/>
            </w:tcMar>
            <w:vAlign w:val="center"/>
          </w:tcPr>
          <w:p w14:paraId="40EA71A6">
            <w:pPr>
              <w:jc w:val="center"/>
              <w:rPr>
                <w:rFonts w:hAnsi="宋体" w:cs="宋体"/>
                <w:color w:val="auto"/>
                <w:highlight w:val="none"/>
              </w:rPr>
            </w:pPr>
            <w:r>
              <w:rPr>
                <w:rFonts w:hAnsi="宋体" w:cs="宋体"/>
                <w:b/>
                <w:color w:val="auto"/>
                <w:highlight w:val="none"/>
              </w:rPr>
              <w:t>原件一览表</w:t>
            </w:r>
          </w:p>
        </w:tc>
      </w:tr>
      <w:tr w14:paraId="03FA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3EC5AAEE">
            <w:pPr>
              <w:jc w:val="center"/>
              <w:rPr>
                <w:rFonts w:hAnsi="宋体" w:cs="宋体"/>
                <w:color w:val="auto"/>
                <w:sz w:val="24"/>
                <w:szCs w:val="24"/>
                <w:highlight w:val="none"/>
              </w:rPr>
            </w:pPr>
            <w:r>
              <w:rPr>
                <w:rFonts w:hAnsi="宋体" w:cs="宋体"/>
                <w:color w:val="auto"/>
                <w:sz w:val="24"/>
                <w:szCs w:val="24"/>
                <w:highlight w:val="none"/>
              </w:rPr>
              <w:t>工程名称</w:t>
            </w:r>
          </w:p>
        </w:tc>
        <w:tc>
          <w:tcPr>
            <w:tcW w:w="6300" w:type="dxa"/>
            <w:gridSpan w:val="5"/>
            <w:shd w:val="clear" w:color="auto" w:fill="auto"/>
            <w:noWrap w:val="0"/>
            <w:tcMar>
              <w:left w:w="108" w:type="dxa"/>
              <w:right w:w="108" w:type="dxa"/>
            </w:tcMar>
            <w:vAlign w:val="center"/>
          </w:tcPr>
          <w:p w14:paraId="074CA825">
            <w:pPr>
              <w:jc w:val="center"/>
              <w:rPr>
                <w:rFonts w:hAnsi="宋体" w:cs="宋体"/>
                <w:color w:val="auto"/>
                <w:sz w:val="24"/>
                <w:szCs w:val="24"/>
                <w:highlight w:val="none"/>
              </w:rPr>
            </w:pPr>
            <w:r>
              <w:rPr>
                <w:rFonts w:hAnsi="宋体" w:cs="宋体"/>
                <w:color w:val="auto"/>
                <w:sz w:val="24"/>
                <w:szCs w:val="24"/>
                <w:highlight w:val="none"/>
              </w:rPr>
              <w:t xml:space="preserve"> </w:t>
            </w:r>
          </w:p>
        </w:tc>
      </w:tr>
      <w:tr w14:paraId="319D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1DB6D96">
            <w:pPr>
              <w:jc w:val="center"/>
              <w:rPr>
                <w:rFonts w:hAnsi="宋体" w:cs="宋体"/>
                <w:color w:val="auto"/>
                <w:sz w:val="24"/>
                <w:szCs w:val="24"/>
                <w:highlight w:val="none"/>
              </w:rPr>
            </w:pPr>
            <w:r>
              <w:rPr>
                <w:rFonts w:hAnsi="宋体" w:cs="宋体"/>
                <w:color w:val="auto"/>
                <w:sz w:val="24"/>
                <w:szCs w:val="24"/>
                <w:highlight w:val="none"/>
              </w:rPr>
              <w:t>投标人名称                (请务必填写单位全称)</w:t>
            </w:r>
          </w:p>
        </w:tc>
        <w:tc>
          <w:tcPr>
            <w:tcW w:w="6300" w:type="dxa"/>
            <w:gridSpan w:val="5"/>
            <w:shd w:val="clear" w:color="auto" w:fill="auto"/>
            <w:noWrap w:val="0"/>
            <w:tcMar>
              <w:left w:w="108" w:type="dxa"/>
              <w:right w:w="108" w:type="dxa"/>
            </w:tcMar>
            <w:vAlign w:val="center"/>
          </w:tcPr>
          <w:p w14:paraId="1613ACB8">
            <w:pPr>
              <w:jc w:val="center"/>
              <w:rPr>
                <w:rFonts w:hAnsi="宋体" w:cs="宋体"/>
                <w:color w:val="auto"/>
                <w:sz w:val="24"/>
                <w:szCs w:val="24"/>
                <w:highlight w:val="none"/>
              </w:rPr>
            </w:pPr>
            <w:r>
              <w:rPr>
                <w:rFonts w:hAnsi="宋体" w:cs="宋体"/>
                <w:color w:val="auto"/>
                <w:sz w:val="24"/>
                <w:szCs w:val="24"/>
                <w:highlight w:val="none"/>
              </w:rPr>
              <w:t>　</w:t>
            </w:r>
          </w:p>
        </w:tc>
      </w:tr>
      <w:tr w14:paraId="09FD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C0A9E0C">
            <w:pPr>
              <w:jc w:val="center"/>
              <w:rPr>
                <w:rFonts w:hint="eastAsia" w:hAnsi="宋体" w:cs="宋体"/>
                <w:color w:val="auto"/>
                <w:sz w:val="24"/>
                <w:szCs w:val="24"/>
                <w:highlight w:val="none"/>
              </w:rPr>
            </w:pPr>
            <w:r>
              <w:rPr>
                <w:rFonts w:hAnsi="宋体" w:cs="宋体"/>
                <w:color w:val="auto"/>
                <w:sz w:val="24"/>
                <w:szCs w:val="24"/>
                <w:highlight w:val="none"/>
              </w:rPr>
              <w:t>投标人法定代表人或其</w:t>
            </w:r>
          </w:p>
          <w:p w14:paraId="77524DC3">
            <w:pPr>
              <w:jc w:val="center"/>
              <w:rPr>
                <w:rFonts w:hAnsi="宋体" w:cs="宋体"/>
                <w:color w:val="auto"/>
                <w:sz w:val="24"/>
                <w:szCs w:val="24"/>
                <w:highlight w:val="none"/>
              </w:rPr>
            </w:pPr>
            <w:r>
              <w:rPr>
                <w:rFonts w:hAnsi="宋体" w:cs="宋体"/>
                <w:color w:val="auto"/>
                <w:sz w:val="24"/>
                <w:szCs w:val="24"/>
                <w:highlight w:val="none"/>
              </w:rPr>
              <w:t>委托代理人签名</w:t>
            </w:r>
          </w:p>
        </w:tc>
        <w:tc>
          <w:tcPr>
            <w:tcW w:w="3018" w:type="dxa"/>
            <w:gridSpan w:val="2"/>
            <w:shd w:val="clear" w:color="auto" w:fill="auto"/>
            <w:noWrap w:val="0"/>
            <w:tcMar>
              <w:left w:w="108" w:type="dxa"/>
              <w:right w:w="108" w:type="dxa"/>
            </w:tcMar>
            <w:vAlign w:val="center"/>
          </w:tcPr>
          <w:p w14:paraId="36806628">
            <w:pPr>
              <w:jc w:val="center"/>
              <w:rPr>
                <w:rFonts w:hAnsi="宋体" w:cs="宋体"/>
                <w:color w:val="auto"/>
                <w:sz w:val="24"/>
                <w:szCs w:val="24"/>
                <w:highlight w:val="none"/>
              </w:rPr>
            </w:pPr>
            <w:r>
              <w:rPr>
                <w:rFonts w:hAnsi="宋体" w:cs="宋体"/>
                <w:color w:val="auto"/>
                <w:sz w:val="24"/>
                <w:szCs w:val="24"/>
                <w:highlight w:val="none"/>
              </w:rPr>
              <w:t>　</w:t>
            </w:r>
          </w:p>
        </w:tc>
        <w:tc>
          <w:tcPr>
            <w:tcW w:w="754" w:type="dxa"/>
            <w:shd w:val="clear" w:color="auto" w:fill="auto"/>
            <w:noWrap w:val="0"/>
            <w:tcMar>
              <w:left w:w="108" w:type="dxa"/>
              <w:right w:w="108" w:type="dxa"/>
            </w:tcMar>
            <w:vAlign w:val="center"/>
          </w:tcPr>
          <w:p w14:paraId="4060398A">
            <w:pPr>
              <w:jc w:val="center"/>
              <w:rPr>
                <w:rFonts w:hAnsi="宋体" w:cs="宋体"/>
                <w:color w:val="auto"/>
                <w:sz w:val="24"/>
                <w:szCs w:val="24"/>
                <w:highlight w:val="none"/>
              </w:rPr>
            </w:pPr>
            <w:r>
              <w:rPr>
                <w:rFonts w:hAnsi="宋体" w:cs="宋体"/>
                <w:color w:val="auto"/>
                <w:sz w:val="24"/>
                <w:szCs w:val="24"/>
                <w:highlight w:val="none"/>
              </w:rPr>
              <w:t>手机号码</w:t>
            </w:r>
          </w:p>
        </w:tc>
        <w:tc>
          <w:tcPr>
            <w:tcW w:w="2528" w:type="dxa"/>
            <w:gridSpan w:val="2"/>
            <w:shd w:val="clear" w:color="auto" w:fill="auto"/>
            <w:noWrap w:val="0"/>
            <w:tcMar>
              <w:left w:w="108" w:type="dxa"/>
              <w:right w:w="108" w:type="dxa"/>
            </w:tcMar>
            <w:vAlign w:val="center"/>
          </w:tcPr>
          <w:p w14:paraId="0AE79DB3">
            <w:pPr>
              <w:jc w:val="center"/>
              <w:rPr>
                <w:rFonts w:hAnsi="宋体" w:cs="宋体"/>
                <w:color w:val="auto"/>
                <w:sz w:val="24"/>
                <w:szCs w:val="24"/>
                <w:highlight w:val="none"/>
              </w:rPr>
            </w:pPr>
            <w:r>
              <w:rPr>
                <w:rFonts w:hAnsi="宋体" w:cs="宋体"/>
                <w:color w:val="auto"/>
                <w:sz w:val="24"/>
                <w:szCs w:val="24"/>
                <w:highlight w:val="none"/>
              </w:rPr>
              <w:t>　</w:t>
            </w:r>
          </w:p>
        </w:tc>
      </w:tr>
      <w:tr w14:paraId="599D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9108" w:type="dxa"/>
            <w:gridSpan w:val="8"/>
            <w:shd w:val="clear" w:color="auto" w:fill="auto"/>
            <w:noWrap w:val="0"/>
            <w:tcMar>
              <w:left w:w="108" w:type="dxa"/>
              <w:right w:w="108" w:type="dxa"/>
            </w:tcMar>
            <w:vAlign w:val="center"/>
          </w:tcPr>
          <w:p w14:paraId="6543325B">
            <w:pPr>
              <w:jc w:val="center"/>
              <w:rPr>
                <w:rFonts w:hAnsi="宋体" w:cs="宋体"/>
                <w:color w:val="auto"/>
                <w:sz w:val="24"/>
                <w:szCs w:val="24"/>
                <w:highlight w:val="none"/>
              </w:rPr>
            </w:pPr>
            <w:r>
              <w:rPr>
                <w:rFonts w:hAnsi="宋体" w:cs="宋体"/>
                <w:color w:val="auto"/>
                <w:sz w:val="24"/>
                <w:szCs w:val="24"/>
                <w:highlight w:val="none"/>
              </w:rPr>
              <w:t>递交的证明材料原件如下：</w:t>
            </w:r>
          </w:p>
        </w:tc>
      </w:tr>
      <w:tr w14:paraId="51D6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13EDF76C">
            <w:pPr>
              <w:jc w:val="center"/>
              <w:rPr>
                <w:rFonts w:hAnsi="宋体" w:cs="宋体"/>
                <w:color w:val="auto"/>
                <w:sz w:val="24"/>
                <w:szCs w:val="24"/>
                <w:highlight w:val="none"/>
              </w:rPr>
            </w:pPr>
            <w:r>
              <w:rPr>
                <w:rFonts w:hAnsi="宋体" w:cs="宋体"/>
                <w:color w:val="auto"/>
                <w:sz w:val="24"/>
                <w:szCs w:val="24"/>
                <w:highlight w:val="none"/>
              </w:rPr>
              <w:t>序号</w:t>
            </w:r>
          </w:p>
        </w:tc>
        <w:tc>
          <w:tcPr>
            <w:tcW w:w="5125" w:type="dxa"/>
            <w:gridSpan w:val="4"/>
            <w:shd w:val="clear" w:color="auto" w:fill="auto"/>
            <w:noWrap w:val="0"/>
            <w:tcMar>
              <w:left w:w="108" w:type="dxa"/>
              <w:right w:w="108" w:type="dxa"/>
            </w:tcMar>
            <w:vAlign w:val="center"/>
          </w:tcPr>
          <w:p w14:paraId="559D06ED">
            <w:pPr>
              <w:jc w:val="center"/>
              <w:rPr>
                <w:rFonts w:hAnsi="宋体" w:cs="宋体"/>
                <w:color w:val="auto"/>
                <w:sz w:val="24"/>
                <w:szCs w:val="24"/>
                <w:highlight w:val="none"/>
              </w:rPr>
            </w:pPr>
            <w:r>
              <w:rPr>
                <w:rFonts w:hAnsi="宋体" w:cs="宋体"/>
                <w:color w:val="auto"/>
                <w:sz w:val="24"/>
                <w:szCs w:val="24"/>
                <w:highlight w:val="none"/>
              </w:rPr>
              <w:t>证明材料原件名称</w:t>
            </w:r>
          </w:p>
        </w:tc>
        <w:tc>
          <w:tcPr>
            <w:tcW w:w="1712" w:type="dxa"/>
            <w:gridSpan w:val="2"/>
            <w:shd w:val="clear" w:color="auto" w:fill="auto"/>
            <w:noWrap w:val="0"/>
            <w:tcMar>
              <w:left w:w="108" w:type="dxa"/>
              <w:right w:w="108" w:type="dxa"/>
            </w:tcMar>
            <w:vAlign w:val="center"/>
          </w:tcPr>
          <w:p w14:paraId="51CCC957">
            <w:pPr>
              <w:jc w:val="center"/>
              <w:rPr>
                <w:rFonts w:hAnsi="宋体" w:cs="宋体"/>
                <w:color w:val="auto"/>
                <w:sz w:val="24"/>
                <w:szCs w:val="24"/>
                <w:highlight w:val="none"/>
              </w:rPr>
            </w:pPr>
            <w:r>
              <w:rPr>
                <w:rFonts w:hAnsi="宋体" w:cs="宋体"/>
                <w:color w:val="auto"/>
                <w:sz w:val="24"/>
                <w:szCs w:val="24"/>
                <w:highlight w:val="none"/>
              </w:rPr>
              <w:t>单位</w:t>
            </w:r>
          </w:p>
        </w:tc>
        <w:tc>
          <w:tcPr>
            <w:tcW w:w="1570" w:type="dxa"/>
            <w:shd w:val="clear" w:color="auto" w:fill="auto"/>
            <w:noWrap w:val="0"/>
            <w:tcMar>
              <w:left w:w="108" w:type="dxa"/>
              <w:right w:w="108" w:type="dxa"/>
            </w:tcMar>
            <w:vAlign w:val="center"/>
          </w:tcPr>
          <w:p w14:paraId="3D03BCF5">
            <w:pPr>
              <w:jc w:val="center"/>
              <w:rPr>
                <w:rFonts w:hAnsi="宋体" w:cs="宋体"/>
                <w:color w:val="auto"/>
                <w:sz w:val="24"/>
                <w:szCs w:val="24"/>
                <w:highlight w:val="none"/>
              </w:rPr>
            </w:pPr>
            <w:r>
              <w:rPr>
                <w:rFonts w:hAnsi="宋体" w:cs="宋体"/>
                <w:color w:val="auto"/>
                <w:sz w:val="24"/>
                <w:szCs w:val="24"/>
                <w:highlight w:val="none"/>
              </w:rPr>
              <w:t>数量</w:t>
            </w:r>
          </w:p>
        </w:tc>
      </w:tr>
      <w:tr w14:paraId="73B0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5CBD3CF3">
            <w:pPr>
              <w:jc w:val="center"/>
              <w:rPr>
                <w:rFonts w:hint="eastAsia" w:hAnsi="宋体" w:cs="宋体"/>
                <w:color w:val="auto"/>
                <w:sz w:val="24"/>
                <w:szCs w:val="24"/>
                <w:highlight w:val="none"/>
              </w:rPr>
            </w:pPr>
            <w:r>
              <w:rPr>
                <w:rFonts w:hint="eastAsia" w:hAnsi="宋体" w:cs="宋体"/>
                <w:color w:val="auto"/>
                <w:sz w:val="24"/>
                <w:szCs w:val="24"/>
                <w:highlight w:val="none"/>
              </w:rPr>
              <w:t>1</w:t>
            </w:r>
          </w:p>
        </w:tc>
        <w:tc>
          <w:tcPr>
            <w:tcW w:w="5125" w:type="dxa"/>
            <w:gridSpan w:val="4"/>
            <w:shd w:val="clear" w:color="auto" w:fill="auto"/>
            <w:noWrap w:val="0"/>
            <w:tcMar>
              <w:left w:w="108" w:type="dxa"/>
              <w:right w:w="108" w:type="dxa"/>
            </w:tcMar>
            <w:vAlign w:val="center"/>
          </w:tcPr>
          <w:p w14:paraId="16DA3A6D">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24AA5BA0">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0557B405">
            <w:pPr>
              <w:jc w:val="center"/>
              <w:rPr>
                <w:rFonts w:hAnsi="宋体" w:cs="宋体"/>
                <w:color w:val="auto"/>
                <w:sz w:val="24"/>
                <w:szCs w:val="24"/>
                <w:highlight w:val="none"/>
              </w:rPr>
            </w:pPr>
            <w:r>
              <w:rPr>
                <w:rFonts w:hAnsi="宋体" w:cs="宋体"/>
                <w:color w:val="auto"/>
                <w:sz w:val="24"/>
                <w:szCs w:val="24"/>
                <w:highlight w:val="none"/>
              </w:rPr>
              <w:t>　</w:t>
            </w:r>
          </w:p>
        </w:tc>
      </w:tr>
      <w:tr w14:paraId="0645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3564D036">
            <w:pPr>
              <w:jc w:val="center"/>
              <w:rPr>
                <w:rFonts w:hint="eastAsia" w:hAnsi="宋体" w:cs="宋体"/>
                <w:color w:val="auto"/>
                <w:sz w:val="24"/>
                <w:szCs w:val="24"/>
                <w:highlight w:val="none"/>
              </w:rPr>
            </w:pPr>
            <w:r>
              <w:rPr>
                <w:rFonts w:hint="eastAsia" w:hAnsi="宋体" w:cs="宋体"/>
                <w:color w:val="auto"/>
                <w:sz w:val="24"/>
                <w:szCs w:val="24"/>
                <w:highlight w:val="none"/>
              </w:rPr>
              <w:t>2</w:t>
            </w:r>
          </w:p>
        </w:tc>
        <w:tc>
          <w:tcPr>
            <w:tcW w:w="5125" w:type="dxa"/>
            <w:gridSpan w:val="4"/>
            <w:shd w:val="clear" w:color="auto" w:fill="auto"/>
            <w:noWrap w:val="0"/>
            <w:tcMar>
              <w:left w:w="108" w:type="dxa"/>
              <w:right w:w="108" w:type="dxa"/>
            </w:tcMar>
            <w:vAlign w:val="center"/>
          </w:tcPr>
          <w:p w14:paraId="0F8926A6">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37D88558">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65217A66">
            <w:pPr>
              <w:jc w:val="center"/>
              <w:rPr>
                <w:rFonts w:hAnsi="宋体" w:cs="宋体"/>
                <w:color w:val="auto"/>
                <w:sz w:val="24"/>
                <w:szCs w:val="24"/>
                <w:highlight w:val="none"/>
              </w:rPr>
            </w:pPr>
          </w:p>
        </w:tc>
      </w:tr>
      <w:tr w14:paraId="5CD0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6D922145">
            <w:pPr>
              <w:jc w:val="center"/>
              <w:rPr>
                <w:rFonts w:hint="eastAsia" w:hAnsi="宋体" w:cs="宋体"/>
                <w:color w:val="auto"/>
                <w:sz w:val="24"/>
                <w:szCs w:val="24"/>
                <w:highlight w:val="none"/>
              </w:rPr>
            </w:pPr>
            <w:r>
              <w:rPr>
                <w:rFonts w:hint="eastAsia" w:hAnsi="宋体" w:cs="宋体"/>
                <w:color w:val="auto"/>
                <w:sz w:val="24"/>
                <w:szCs w:val="24"/>
                <w:highlight w:val="none"/>
              </w:rPr>
              <w:t>3</w:t>
            </w:r>
          </w:p>
        </w:tc>
        <w:tc>
          <w:tcPr>
            <w:tcW w:w="5125" w:type="dxa"/>
            <w:gridSpan w:val="4"/>
            <w:shd w:val="clear" w:color="auto" w:fill="auto"/>
            <w:noWrap w:val="0"/>
            <w:tcMar>
              <w:left w:w="108" w:type="dxa"/>
              <w:right w:w="108" w:type="dxa"/>
            </w:tcMar>
            <w:vAlign w:val="center"/>
          </w:tcPr>
          <w:p w14:paraId="42248857">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375BF155">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624BA07C">
            <w:pPr>
              <w:jc w:val="center"/>
              <w:rPr>
                <w:rFonts w:hAnsi="宋体" w:cs="宋体"/>
                <w:color w:val="auto"/>
                <w:sz w:val="24"/>
                <w:szCs w:val="24"/>
                <w:highlight w:val="none"/>
              </w:rPr>
            </w:pPr>
          </w:p>
        </w:tc>
      </w:tr>
      <w:tr w14:paraId="6450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0824CEAD">
            <w:pPr>
              <w:jc w:val="center"/>
              <w:rPr>
                <w:rFonts w:hint="eastAsia" w:hAnsi="宋体" w:cs="宋体"/>
                <w:color w:val="auto"/>
                <w:sz w:val="24"/>
                <w:szCs w:val="24"/>
                <w:highlight w:val="none"/>
              </w:rPr>
            </w:pPr>
            <w:r>
              <w:rPr>
                <w:rFonts w:hint="eastAsia" w:hAnsi="宋体" w:cs="宋体"/>
                <w:color w:val="auto"/>
                <w:sz w:val="24"/>
                <w:szCs w:val="24"/>
                <w:highlight w:val="none"/>
              </w:rPr>
              <w:t>...</w:t>
            </w:r>
          </w:p>
        </w:tc>
        <w:tc>
          <w:tcPr>
            <w:tcW w:w="5125" w:type="dxa"/>
            <w:gridSpan w:val="4"/>
            <w:shd w:val="clear" w:color="auto" w:fill="auto"/>
            <w:noWrap w:val="0"/>
            <w:tcMar>
              <w:left w:w="108" w:type="dxa"/>
              <w:right w:w="108" w:type="dxa"/>
            </w:tcMar>
            <w:vAlign w:val="center"/>
          </w:tcPr>
          <w:p w14:paraId="6D22B6D5">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0D3863C3">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03487C6D">
            <w:pPr>
              <w:jc w:val="center"/>
              <w:rPr>
                <w:rFonts w:hAnsi="宋体" w:cs="宋体"/>
                <w:color w:val="auto"/>
                <w:sz w:val="24"/>
                <w:szCs w:val="24"/>
                <w:highlight w:val="none"/>
              </w:rPr>
            </w:pPr>
            <w:r>
              <w:rPr>
                <w:rFonts w:hAnsi="宋体" w:cs="宋体"/>
                <w:color w:val="auto"/>
                <w:sz w:val="24"/>
                <w:szCs w:val="24"/>
                <w:highlight w:val="none"/>
              </w:rPr>
              <w:t>　</w:t>
            </w:r>
          </w:p>
        </w:tc>
      </w:tr>
      <w:tr w14:paraId="5230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37" w:hRule="atLeast"/>
        </w:trPr>
        <w:tc>
          <w:tcPr>
            <w:tcW w:w="701" w:type="dxa"/>
            <w:shd w:val="clear" w:color="auto" w:fill="auto"/>
            <w:noWrap w:val="0"/>
            <w:tcMar>
              <w:left w:w="108" w:type="dxa"/>
              <w:right w:w="108" w:type="dxa"/>
            </w:tcMar>
            <w:vAlign w:val="center"/>
          </w:tcPr>
          <w:p w14:paraId="12E8323D">
            <w:pPr>
              <w:ind w:left="8" w:hanging="94"/>
              <w:jc w:val="center"/>
              <w:rPr>
                <w:rFonts w:hint="eastAsia" w:hAnsi="宋体" w:cs="宋体"/>
                <w:color w:val="auto"/>
                <w:sz w:val="24"/>
                <w:szCs w:val="24"/>
                <w:highlight w:val="none"/>
              </w:rPr>
            </w:pPr>
            <w:r>
              <w:rPr>
                <w:rFonts w:hint="eastAsia" w:hAnsi="宋体" w:cs="宋体"/>
                <w:color w:val="auto"/>
                <w:sz w:val="24"/>
                <w:szCs w:val="24"/>
                <w:highlight w:val="none"/>
              </w:rPr>
              <w:t>注意：</w:t>
            </w:r>
          </w:p>
        </w:tc>
        <w:tc>
          <w:tcPr>
            <w:tcW w:w="8407" w:type="dxa"/>
            <w:gridSpan w:val="7"/>
            <w:shd w:val="clear" w:color="auto" w:fill="auto"/>
            <w:noWrap w:val="0"/>
            <w:tcMar>
              <w:left w:w="108" w:type="dxa"/>
              <w:right w:w="108" w:type="dxa"/>
            </w:tcMar>
            <w:vAlign w:val="center"/>
          </w:tcPr>
          <w:p w14:paraId="2276CCD2">
            <w:pPr>
              <w:ind w:firstLine="480"/>
              <w:rPr>
                <w:rFonts w:hint="eastAsia" w:hAnsi="宋体" w:cs="宋体"/>
                <w:color w:val="auto"/>
                <w:sz w:val="24"/>
                <w:szCs w:val="24"/>
                <w:highlight w:val="none"/>
              </w:rPr>
            </w:pPr>
            <w:r>
              <w:rPr>
                <w:rFonts w:hint="eastAsia" w:hAnsi="宋体" w:cs="宋体"/>
                <w:color w:val="auto"/>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2883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1120" w:hRule="atLeast"/>
        </w:trPr>
        <w:tc>
          <w:tcPr>
            <w:tcW w:w="2207" w:type="dxa"/>
            <w:gridSpan w:val="2"/>
            <w:shd w:val="clear" w:color="auto" w:fill="auto"/>
            <w:noWrap w:val="0"/>
            <w:tcMar>
              <w:left w:w="108" w:type="dxa"/>
              <w:right w:w="108" w:type="dxa"/>
            </w:tcMar>
            <w:vAlign w:val="center"/>
          </w:tcPr>
          <w:p w14:paraId="3074F0EA">
            <w:pPr>
              <w:jc w:val="both"/>
              <w:rPr>
                <w:rFonts w:hint="eastAsia" w:hAnsi="宋体" w:cs="宋体"/>
                <w:color w:val="auto"/>
                <w:sz w:val="24"/>
                <w:szCs w:val="24"/>
                <w:highlight w:val="none"/>
              </w:rPr>
            </w:pPr>
            <w:r>
              <w:rPr>
                <w:rFonts w:hint="eastAsia" w:hAnsi="宋体" w:cs="宋体"/>
                <w:color w:val="auto"/>
                <w:sz w:val="24"/>
                <w:szCs w:val="24"/>
                <w:highlight w:val="none"/>
              </w:rPr>
              <w:t>接收原件经办人(招标代理)：</w:t>
            </w:r>
          </w:p>
        </w:tc>
        <w:tc>
          <w:tcPr>
            <w:tcW w:w="1994" w:type="dxa"/>
            <w:gridSpan w:val="2"/>
            <w:shd w:val="clear" w:color="auto" w:fill="auto"/>
            <w:noWrap w:val="0"/>
            <w:tcMar>
              <w:left w:w="108" w:type="dxa"/>
              <w:right w:w="108" w:type="dxa"/>
            </w:tcMar>
            <w:vAlign w:val="center"/>
          </w:tcPr>
          <w:p w14:paraId="7039FF5D">
            <w:pPr>
              <w:jc w:val="center"/>
              <w:rPr>
                <w:rFonts w:hint="eastAsia" w:hAnsi="宋体" w:cs="宋体"/>
                <w:color w:val="auto"/>
                <w:sz w:val="24"/>
                <w:szCs w:val="24"/>
                <w:highlight w:val="none"/>
              </w:rPr>
            </w:pPr>
          </w:p>
        </w:tc>
        <w:tc>
          <w:tcPr>
            <w:tcW w:w="1625" w:type="dxa"/>
            <w:shd w:val="clear" w:color="auto" w:fill="auto"/>
            <w:noWrap w:val="0"/>
            <w:tcMar>
              <w:left w:w="108" w:type="dxa"/>
              <w:right w:w="108" w:type="dxa"/>
            </w:tcMar>
            <w:vAlign w:val="center"/>
          </w:tcPr>
          <w:p w14:paraId="6CFCB42E">
            <w:pPr>
              <w:jc w:val="center"/>
              <w:rPr>
                <w:rFonts w:hint="eastAsia" w:hAnsi="宋体" w:cs="宋体"/>
                <w:color w:val="auto"/>
                <w:sz w:val="24"/>
                <w:szCs w:val="24"/>
                <w:highlight w:val="none"/>
              </w:rPr>
            </w:pPr>
            <w:r>
              <w:rPr>
                <w:rFonts w:hint="eastAsia" w:hAnsi="宋体" w:cs="宋体"/>
                <w:color w:val="auto"/>
                <w:sz w:val="24"/>
                <w:szCs w:val="24"/>
                <w:highlight w:val="none"/>
              </w:rPr>
              <w:t>接收时间：</w:t>
            </w:r>
          </w:p>
        </w:tc>
        <w:tc>
          <w:tcPr>
            <w:tcW w:w="3282" w:type="dxa"/>
            <w:gridSpan w:val="3"/>
            <w:shd w:val="clear" w:color="auto" w:fill="auto"/>
            <w:noWrap w:val="0"/>
            <w:tcMar>
              <w:left w:w="108" w:type="dxa"/>
              <w:right w:w="108" w:type="dxa"/>
            </w:tcMar>
            <w:vAlign w:val="center"/>
          </w:tcPr>
          <w:p w14:paraId="5F3DDF19">
            <w:pPr>
              <w:ind w:firstLine="720" w:firstLineChars="300"/>
              <w:jc w:val="left"/>
              <w:rPr>
                <w:rFonts w:hint="eastAsia" w:hAnsi="宋体" w:cs="宋体"/>
                <w:color w:val="auto"/>
                <w:sz w:val="24"/>
                <w:szCs w:val="24"/>
                <w:highlight w:val="none"/>
              </w:rPr>
            </w:pPr>
            <w:r>
              <w:rPr>
                <w:rFonts w:hint="eastAsia" w:hAnsi="宋体" w:cs="宋体"/>
                <w:color w:val="auto"/>
                <w:sz w:val="24"/>
                <w:szCs w:val="24"/>
                <w:highlight w:val="none"/>
              </w:rPr>
              <w:t>年   月   日   时  分</w:t>
            </w:r>
          </w:p>
        </w:tc>
      </w:tr>
      <w:tr w14:paraId="03E3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990" w:hRule="atLeast"/>
        </w:trPr>
        <w:tc>
          <w:tcPr>
            <w:tcW w:w="2207" w:type="dxa"/>
            <w:gridSpan w:val="2"/>
            <w:shd w:val="clear" w:color="auto" w:fill="auto"/>
            <w:noWrap w:val="0"/>
            <w:tcMar>
              <w:left w:w="108" w:type="dxa"/>
              <w:right w:w="108" w:type="dxa"/>
            </w:tcMar>
            <w:vAlign w:val="center"/>
          </w:tcPr>
          <w:p w14:paraId="50C35FD0">
            <w:pPr>
              <w:jc w:val="center"/>
              <w:rPr>
                <w:rFonts w:hint="eastAsia" w:hAnsi="宋体" w:cs="宋体"/>
                <w:color w:val="auto"/>
                <w:sz w:val="24"/>
                <w:szCs w:val="24"/>
                <w:highlight w:val="none"/>
              </w:rPr>
            </w:pPr>
            <w:r>
              <w:rPr>
                <w:rFonts w:hint="eastAsia" w:hAnsi="宋体" w:cs="宋体"/>
                <w:color w:val="auto"/>
                <w:sz w:val="24"/>
                <w:szCs w:val="24"/>
                <w:highlight w:val="none"/>
              </w:rPr>
              <w:t>退还原件接收人(投标人)：</w:t>
            </w:r>
          </w:p>
        </w:tc>
        <w:tc>
          <w:tcPr>
            <w:tcW w:w="1994" w:type="dxa"/>
            <w:gridSpan w:val="2"/>
            <w:shd w:val="clear" w:color="auto" w:fill="auto"/>
            <w:noWrap w:val="0"/>
            <w:tcMar>
              <w:left w:w="108" w:type="dxa"/>
              <w:right w:w="108" w:type="dxa"/>
            </w:tcMar>
            <w:vAlign w:val="center"/>
          </w:tcPr>
          <w:p w14:paraId="2E306509">
            <w:pPr>
              <w:jc w:val="center"/>
              <w:rPr>
                <w:rFonts w:hint="eastAsia" w:hAnsi="宋体" w:cs="宋体"/>
                <w:color w:val="auto"/>
                <w:sz w:val="24"/>
                <w:szCs w:val="24"/>
                <w:highlight w:val="none"/>
              </w:rPr>
            </w:pPr>
          </w:p>
        </w:tc>
        <w:tc>
          <w:tcPr>
            <w:tcW w:w="1625" w:type="dxa"/>
            <w:shd w:val="clear" w:color="auto" w:fill="auto"/>
            <w:noWrap w:val="0"/>
            <w:tcMar>
              <w:left w:w="108" w:type="dxa"/>
              <w:right w:w="108" w:type="dxa"/>
            </w:tcMar>
            <w:vAlign w:val="center"/>
          </w:tcPr>
          <w:p w14:paraId="330B90B6">
            <w:pPr>
              <w:jc w:val="center"/>
              <w:rPr>
                <w:rFonts w:hint="eastAsia" w:hAnsi="宋体" w:cs="宋体"/>
                <w:color w:val="auto"/>
                <w:sz w:val="24"/>
                <w:szCs w:val="24"/>
                <w:highlight w:val="none"/>
              </w:rPr>
            </w:pPr>
            <w:r>
              <w:rPr>
                <w:rFonts w:hint="eastAsia" w:hAnsi="宋体" w:cs="宋体"/>
                <w:color w:val="auto"/>
                <w:sz w:val="24"/>
                <w:szCs w:val="24"/>
                <w:highlight w:val="none"/>
              </w:rPr>
              <w:t>退还时间：</w:t>
            </w:r>
          </w:p>
        </w:tc>
        <w:tc>
          <w:tcPr>
            <w:tcW w:w="3282" w:type="dxa"/>
            <w:gridSpan w:val="3"/>
            <w:shd w:val="clear" w:color="auto" w:fill="auto"/>
            <w:noWrap w:val="0"/>
            <w:tcMar>
              <w:left w:w="108" w:type="dxa"/>
              <w:right w:w="108" w:type="dxa"/>
            </w:tcMar>
            <w:vAlign w:val="center"/>
          </w:tcPr>
          <w:p w14:paraId="1B2E0C0D">
            <w:pPr>
              <w:ind w:firstLine="720" w:firstLineChars="300"/>
              <w:jc w:val="left"/>
              <w:rPr>
                <w:rFonts w:hint="eastAsia" w:hAnsi="宋体" w:cs="宋体"/>
                <w:color w:val="auto"/>
                <w:sz w:val="24"/>
                <w:szCs w:val="24"/>
                <w:highlight w:val="none"/>
              </w:rPr>
            </w:pPr>
            <w:r>
              <w:rPr>
                <w:rFonts w:hint="eastAsia" w:hAnsi="宋体" w:cs="宋体"/>
                <w:color w:val="auto"/>
                <w:sz w:val="24"/>
                <w:szCs w:val="24"/>
                <w:highlight w:val="none"/>
              </w:rPr>
              <w:t>年   月   日   时   分</w:t>
            </w:r>
          </w:p>
        </w:tc>
      </w:tr>
    </w:tbl>
    <w:p w14:paraId="2043B9AC">
      <w:pPr>
        <w:bidi w:val="0"/>
        <w:rPr>
          <w:color w:val="auto"/>
          <w:highlight w:val="none"/>
        </w:rPr>
      </w:pPr>
    </w:p>
    <w:p w14:paraId="59158BD3">
      <w:pPr>
        <w:rPr>
          <w:color w:val="auto"/>
          <w:highlight w:val="none"/>
        </w:rPr>
      </w:pPr>
    </w:p>
    <w:p w14:paraId="65603D6D">
      <w:pPr>
        <w:bidi w:val="0"/>
        <w:rPr>
          <w:color w:val="auto"/>
          <w:highlight w:val="none"/>
        </w:rPr>
      </w:pPr>
    </w:p>
    <w:bookmarkEnd w:id="385"/>
    <w:bookmarkEnd w:id="386"/>
    <w:p w14:paraId="6FEFA5B3">
      <w:pPr>
        <w:pStyle w:val="148"/>
        <w:keepNext/>
        <w:keepLines/>
        <w:snapToGrid w:val="0"/>
        <w:spacing w:line="400" w:lineRule="exact"/>
        <w:jc w:val="center"/>
        <w:rPr>
          <w:rFonts w:ascii="宋体" w:hAnsi="宋体" w:cs="宋体"/>
          <w:b/>
          <w:color w:val="auto"/>
          <w:kern w:val="44"/>
          <w:sz w:val="32"/>
          <w:szCs w:val="22"/>
          <w:highlight w:val="none"/>
        </w:rPr>
      </w:pPr>
      <w:bookmarkStart w:id="388" w:name="_Toc142468134"/>
      <w:bookmarkStart w:id="389" w:name="_Toc4708"/>
      <w:bookmarkStart w:id="390" w:name="_Toc133160683"/>
      <w:bookmarkStart w:id="391" w:name="_Toc13722"/>
      <w:bookmarkStart w:id="392" w:name="_Toc137444778"/>
      <w:bookmarkStart w:id="393" w:name="_Toc132687128"/>
      <w:bookmarkStart w:id="394" w:name="_Toc3174"/>
      <w:bookmarkStart w:id="395" w:name="_Toc133815902"/>
      <w:bookmarkStart w:id="396" w:name="_Toc78794873"/>
      <w:r>
        <w:rPr>
          <w:rFonts w:hint="eastAsia" w:ascii="宋体" w:hAnsi="宋体" w:cs="宋体"/>
          <w:b/>
          <w:color w:val="auto"/>
          <w:kern w:val="44"/>
          <w:sz w:val="32"/>
          <w:szCs w:val="22"/>
          <w:highlight w:val="none"/>
        </w:rPr>
        <w:t>第六章 建设工程监理合同</w:t>
      </w:r>
      <w:bookmarkEnd w:id="388"/>
      <w:bookmarkEnd w:id="389"/>
      <w:bookmarkEnd w:id="390"/>
      <w:bookmarkEnd w:id="391"/>
      <w:bookmarkEnd w:id="392"/>
      <w:bookmarkEnd w:id="393"/>
      <w:bookmarkEnd w:id="394"/>
    </w:p>
    <w:p w14:paraId="489A5B59">
      <w:pPr>
        <w:wordWrap w:val="0"/>
        <w:adjustRightInd w:val="0"/>
        <w:snapToGrid w:val="0"/>
        <w:spacing w:before="360" w:beforeLines="150" w:line="400" w:lineRule="exact"/>
        <w:rPr>
          <w:rFonts w:hAnsi="宋体" w:cs="宋体"/>
          <w:color w:val="auto"/>
          <w:highlight w:val="none"/>
        </w:rPr>
      </w:pPr>
      <w:r>
        <w:rPr>
          <w:rFonts w:hint="eastAsia" w:hAnsi="宋体" w:cs="宋体"/>
          <w:snapToGrid w:val="0"/>
          <w:color w:val="auto"/>
          <w:kern w:val="0"/>
          <w:highlight w:val="none"/>
        </w:rPr>
        <w:t xml:space="preserve">    （略），</w:t>
      </w:r>
      <w:bookmarkEnd w:id="395"/>
      <w:bookmarkEnd w:id="396"/>
      <w:r>
        <w:rPr>
          <w:rFonts w:hint="eastAsia" w:hAnsi="宋体" w:cs="宋体"/>
          <w:snapToGrid w:val="0"/>
          <w:color w:val="auto"/>
          <w:kern w:val="0"/>
          <w:highlight w:val="none"/>
        </w:rPr>
        <w:t>按照《建设工程监理合同（示范文本）》（GF—2012—0202）执行。</w:t>
      </w:r>
    </w:p>
    <w:p w14:paraId="6CF11764">
      <w:pPr>
        <w:pStyle w:val="9"/>
        <w:snapToGrid w:val="0"/>
        <w:spacing w:line="400" w:lineRule="exact"/>
        <w:rPr>
          <w:rFonts w:hAnsi="宋体" w:cs="宋体"/>
          <w:snapToGrid w:val="0"/>
          <w:color w:val="auto"/>
          <w:highlight w:val="none"/>
        </w:rPr>
      </w:pPr>
    </w:p>
    <w:p w14:paraId="05AE5769">
      <w:pPr>
        <w:pStyle w:val="71"/>
        <w:widowControl w:val="0"/>
        <w:wordWrap w:val="0"/>
        <w:adjustRightInd w:val="0"/>
        <w:snapToGrid w:val="0"/>
        <w:spacing w:line="400" w:lineRule="exact"/>
        <w:ind w:firstLine="0"/>
        <w:rPr>
          <w:rFonts w:hAnsi="宋体" w:cs="宋体"/>
          <w:snapToGrid w:val="0"/>
          <w:color w:val="auto"/>
          <w:sz w:val="21"/>
          <w:highlight w:val="none"/>
        </w:rPr>
      </w:pPr>
    </w:p>
    <w:sectPr>
      <w:footerReference r:id="rId9" w:type="default"/>
      <w:endnotePr>
        <w:numFmt w:val="decimal"/>
      </w:endnotePr>
      <w:pgSz w:w="11906" w:h="16838"/>
      <w:pgMar w:top="1134" w:right="1134" w:bottom="1134" w:left="1134" w:header="850" w:footer="850" w:gutter="0"/>
      <w:pgNumType w:fmt="decimal"/>
      <w:cols w:space="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A0493">
    <w:pPr>
      <w:pStyle w:val="19"/>
      <w:rPr>
        <w:rFonts w:hint="eastAsia"/>
      </w:rPr>
    </w:pPr>
  </w:p>
  <w:p w14:paraId="438AF207">
    <w:pPr>
      <w:pStyle w:val="19"/>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ED75B">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E4AB1">
    <w:pPr>
      <w:pStyle w:val="1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14846">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4685D8">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04685D8">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6401">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9E483A">
                          <w:pPr>
                            <w:pStyle w:val="19"/>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69E483A">
                    <w:pPr>
                      <w:pStyle w:val="19"/>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4F2AD6"/>
    <w:multiLevelType w:val="singleLevel"/>
    <w:tmpl w:val="B64F2AD6"/>
    <w:lvl w:ilvl="0" w:tentative="0">
      <w:start w:val="1"/>
      <w:numFmt w:val="decimal"/>
      <w:lvlText w:val="%1."/>
      <w:lvlJc w:val="left"/>
      <w:pPr>
        <w:tabs>
          <w:tab w:val="left" w:pos="312"/>
        </w:tabs>
      </w:pPr>
    </w:lvl>
  </w:abstractNum>
  <w:abstractNum w:abstractNumId="1">
    <w:nsid w:val="7D11B875"/>
    <w:multiLevelType w:val="singleLevel"/>
    <w:tmpl w:val="7D11B875"/>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ZDA0NTY0Yzc5OGVjODYxNjc1ZjJjYjI0MTIwNjIifQ=="/>
  </w:docVars>
  <w:rsids>
    <w:rsidRoot w:val="00172A27"/>
    <w:rsid w:val="00041C36"/>
    <w:rsid w:val="00050F86"/>
    <w:rsid w:val="000C1D2D"/>
    <w:rsid w:val="00153E0E"/>
    <w:rsid w:val="00172A27"/>
    <w:rsid w:val="001A4716"/>
    <w:rsid w:val="001F053E"/>
    <w:rsid w:val="002543A6"/>
    <w:rsid w:val="002A3912"/>
    <w:rsid w:val="002A7E8D"/>
    <w:rsid w:val="00410516"/>
    <w:rsid w:val="00484F5E"/>
    <w:rsid w:val="004B70BA"/>
    <w:rsid w:val="004D7577"/>
    <w:rsid w:val="00567655"/>
    <w:rsid w:val="00590B05"/>
    <w:rsid w:val="005B2D42"/>
    <w:rsid w:val="00771397"/>
    <w:rsid w:val="00826BCD"/>
    <w:rsid w:val="008E4DA0"/>
    <w:rsid w:val="009329EC"/>
    <w:rsid w:val="00932BB8"/>
    <w:rsid w:val="00964E9C"/>
    <w:rsid w:val="00990279"/>
    <w:rsid w:val="00A110EA"/>
    <w:rsid w:val="00A32A2E"/>
    <w:rsid w:val="00A77565"/>
    <w:rsid w:val="00B5203F"/>
    <w:rsid w:val="00B640AC"/>
    <w:rsid w:val="00C04E46"/>
    <w:rsid w:val="00C933CE"/>
    <w:rsid w:val="00C970D2"/>
    <w:rsid w:val="00CB4415"/>
    <w:rsid w:val="00DA2408"/>
    <w:rsid w:val="00DC1846"/>
    <w:rsid w:val="00E40A50"/>
    <w:rsid w:val="00EF7950"/>
    <w:rsid w:val="00F214A7"/>
    <w:rsid w:val="00F679B3"/>
    <w:rsid w:val="0158531E"/>
    <w:rsid w:val="01AC7678"/>
    <w:rsid w:val="01AF70E0"/>
    <w:rsid w:val="01C427EB"/>
    <w:rsid w:val="01D07479"/>
    <w:rsid w:val="01D22CED"/>
    <w:rsid w:val="01DA01AC"/>
    <w:rsid w:val="01F86CD9"/>
    <w:rsid w:val="02647AB9"/>
    <w:rsid w:val="027C0AD0"/>
    <w:rsid w:val="02BB47BA"/>
    <w:rsid w:val="02BE191A"/>
    <w:rsid w:val="02D320E0"/>
    <w:rsid w:val="02E6644C"/>
    <w:rsid w:val="03280EF8"/>
    <w:rsid w:val="032B3195"/>
    <w:rsid w:val="03353615"/>
    <w:rsid w:val="03606DA8"/>
    <w:rsid w:val="03826431"/>
    <w:rsid w:val="03914CEF"/>
    <w:rsid w:val="03AA0611"/>
    <w:rsid w:val="03AE02E8"/>
    <w:rsid w:val="03B83805"/>
    <w:rsid w:val="04313670"/>
    <w:rsid w:val="0455083C"/>
    <w:rsid w:val="04780182"/>
    <w:rsid w:val="04841E6C"/>
    <w:rsid w:val="048707A2"/>
    <w:rsid w:val="04D81F7C"/>
    <w:rsid w:val="05D37647"/>
    <w:rsid w:val="06096CBB"/>
    <w:rsid w:val="06336531"/>
    <w:rsid w:val="0636289C"/>
    <w:rsid w:val="06372B69"/>
    <w:rsid w:val="06403908"/>
    <w:rsid w:val="06437A4D"/>
    <w:rsid w:val="064E157F"/>
    <w:rsid w:val="06685A39"/>
    <w:rsid w:val="066863D5"/>
    <w:rsid w:val="0680104B"/>
    <w:rsid w:val="06B12BCD"/>
    <w:rsid w:val="06BD5A5C"/>
    <w:rsid w:val="06CE69E4"/>
    <w:rsid w:val="06F42B68"/>
    <w:rsid w:val="06F44232"/>
    <w:rsid w:val="071A4FFB"/>
    <w:rsid w:val="072F60EA"/>
    <w:rsid w:val="073C1416"/>
    <w:rsid w:val="07626CD1"/>
    <w:rsid w:val="076349FE"/>
    <w:rsid w:val="07F654CB"/>
    <w:rsid w:val="07F90245"/>
    <w:rsid w:val="08077FE9"/>
    <w:rsid w:val="08432B8E"/>
    <w:rsid w:val="085D1A1C"/>
    <w:rsid w:val="085D55D8"/>
    <w:rsid w:val="0872069D"/>
    <w:rsid w:val="08767FD2"/>
    <w:rsid w:val="087D7F38"/>
    <w:rsid w:val="08B66FA6"/>
    <w:rsid w:val="09702125"/>
    <w:rsid w:val="097E2118"/>
    <w:rsid w:val="09B41737"/>
    <w:rsid w:val="09CA2D09"/>
    <w:rsid w:val="09E65669"/>
    <w:rsid w:val="09EA5159"/>
    <w:rsid w:val="09F5235C"/>
    <w:rsid w:val="0A0E69FD"/>
    <w:rsid w:val="0A3E54A5"/>
    <w:rsid w:val="0A570314"/>
    <w:rsid w:val="0A6523F4"/>
    <w:rsid w:val="0A685FB5"/>
    <w:rsid w:val="0A740EC6"/>
    <w:rsid w:val="0A9F6084"/>
    <w:rsid w:val="0AA8200A"/>
    <w:rsid w:val="0AED395D"/>
    <w:rsid w:val="0B4006EB"/>
    <w:rsid w:val="0B914627"/>
    <w:rsid w:val="0B9B6EF0"/>
    <w:rsid w:val="0B9E10B5"/>
    <w:rsid w:val="0B9E1CB0"/>
    <w:rsid w:val="0BBF781B"/>
    <w:rsid w:val="0BC47C2C"/>
    <w:rsid w:val="0C0D7AE6"/>
    <w:rsid w:val="0C5D4B54"/>
    <w:rsid w:val="0CA02447"/>
    <w:rsid w:val="0CA20070"/>
    <w:rsid w:val="0CC7733C"/>
    <w:rsid w:val="0CC80FED"/>
    <w:rsid w:val="0CD32A34"/>
    <w:rsid w:val="0CF12128"/>
    <w:rsid w:val="0D140105"/>
    <w:rsid w:val="0D364445"/>
    <w:rsid w:val="0D7E1192"/>
    <w:rsid w:val="0DB82B2F"/>
    <w:rsid w:val="0DF0750B"/>
    <w:rsid w:val="0E0322E5"/>
    <w:rsid w:val="0E650489"/>
    <w:rsid w:val="0E8273DD"/>
    <w:rsid w:val="0E9438E5"/>
    <w:rsid w:val="0E954BA0"/>
    <w:rsid w:val="0EC544EB"/>
    <w:rsid w:val="0F177F3C"/>
    <w:rsid w:val="0F287BA3"/>
    <w:rsid w:val="0F3B1552"/>
    <w:rsid w:val="0F823F1F"/>
    <w:rsid w:val="0FA1224B"/>
    <w:rsid w:val="0FAB1B4B"/>
    <w:rsid w:val="0FC147F0"/>
    <w:rsid w:val="0FC83017"/>
    <w:rsid w:val="0FDE143F"/>
    <w:rsid w:val="0FED49BA"/>
    <w:rsid w:val="103A61F3"/>
    <w:rsid w:val="106F6EDC"/>
    <w:rsid w:val="10BB100E"/>
    <w:rsid w:val="10CF5BBB"/>
    <w:rsid w:val="10DA4FB4"/>
    <w:rsid w:val="10E072B6"/>
    <w:rsid w:val="10FB5335"/>
    <w:rsid w:val="10FD39C4"/>
    <w:rsid w:val="112D1D65"/>
    <w:rsid w:val="11303196"/>
    <w:rsid w:val="11360437"/>
    <w:rsid w:val="113B11BA"/>
    <w:rsid w:val="11515ABE"/>
    <w:rsid w:val="116021A5"/>
    <w:rsid w:val="119D4B96"/>
    <w:rsid w:val="11A42091"/>
    <w:rsid w:val="11D67B34"/>
    <w:rsid w:val="11F50B3F"/>
    <w:rsid w:val="11F70077"/>
    <w:rsid w:val="11FE6FE0"/>
    <w:rsid w:val="121459A3"/>
    <w:rsid w:val="122711D7"/>
    <w:rsid w:val="127C2803"/>
    <w:rsid w:val="127E10FD"/>
    <w:rsid w:val="12851648"/>
    <w:rsid w:val="128819B3"/>
    <w:rsid w:val="12884038"/>
    <w:rsid w:val="12C13398"/>
    <w:rsid w:val="12F876BF"/>
    <w:rsid w:val="13114669"/>
    <w:rsid w:val="132029E9"/>
    <w:rsid w:val="132F1E2E"/>
    <w:rsid w:val="133209DE"/>
    <w:rsid w:val="13351019"/>
    <w:rsid w:val="135B72ED"/>
    <w:rsid w:val="135E3453"/>
    <w:rsid w:val="136C6CCA"/>
    <w:rsid w:val="13841C28"/>
    <w:rsid w:val="139A08A3"/>
    <w:rsid w:val="13B3480E"/>
    <w:rsid w:val="13BE434A"/>
    <w:rsid w:val="13C925E9"/>
    <w:rsid w:val="13D87533"/>
    <w:rsid w:val="13E55A7C"/>
    <w:rsid w:val="13ED238A"/>
    <w:rsid w:val="140B4870"/>
    <w:rsid w:val="144D28BE"/>
    <w:rsid w:val="14A11363"/>
    <w:rsid w:val="14AD3C82"/>
    <w:rsid w:val="14BD3386"/>
    <w:rsid w:val="14D507B4"/>
    <w:rsid w:val="14E82BDD"/>
    <w:rsid w:val="1530421B"/>
    <w:rsid w:val="15335E3C"/>
    <w:rsid w:val="15585425"/>
    <w:rsid w:val="15632821"/>
    <w:rsid w:val="156E0438"/>
    <w:rsid w:val="159710CE"/>
    <w:rsid w:val="1613202A"/>
    <w:rsid w:val="161D4E95"/>
    <w:rsid w:val="162C017A"/>
    <w:rsid w:val="16435C60"/>
    <w:rsid w:val="165B50B5"/>
    <w:rsid w:val="16715F6C"/>
    <w:rsid w:val="16744260"/>
    <w:rsid w:val="16833FFF"/>
    <w:rsid w:val="168C342C"/>
    <w:rsid w:val="16921052"/>
    <w:rsid w:val="16991967"/>
    <w:rsid w:val="16A92C1F"/>
    <w:rsid w:val="16AB4918"/>
    <w:rsid w:val="16DF3B6C"/>
    <w:rsid w:val="16E216B8"/>
    <w:rsid w:val="17292082"/>
    <w:rsid w:val="17394FF8"/>
    <w:rsid w:val="17A50E24"/>
    <w:rsid w:val="17DE305B"/>
    <w:rsid w:val="17EB6EF9"/>
    <w:rsid w:val="17EF123E"/>
    <w:rsid w:val="181E2472"/>
    <w:rsid w:val="186F67C2"/>
    <w:rsid w:val="18822EA7"/>
    <w:rsid w:val="189A0770"/>
    <w:rsid w:val="18AC5722"/>
    <w:rsid w:val="18B43EE8"/>
    <w:rsid w:val="18BA750B"/>
    <w:rsid w:val="18C03544"/>
    <w:rsid w:val="18CF364B"/>
    <w:rsid w:val="18D45DFC"/>
    <w:rsid w:val="18DD6311"/>
    <w:rsid w:val="19000928"/>
    <w:rsid w:val="192856B3"/>
    <w:rsid w:val="19506374"/>
    <w:rsid w:val="19AB63C4"/>
    <w:rsid w:val="1A0D6313"/>
    <w:rsid w:val="1A3810FE"/>
    <w:rsid w:val="1A3D0F0C"/>
    <w:rsid w:val="1A501F1B"/>
    <w:rsid w:val="1A7C0E8F"/>
    <w:rsid w:val="1A9A0468"/>
    <w:rsid w:val="1ABE60EB"/>
    <w:rsid w:val="1AD559B1"/>
    <w:rsid w:val="1AFB4481"/>
    <w:rsid w:val="1B0B4F2F"/>
    <w:rsid w:val="1B3626B5"/>
    <w:rsid w:val="1B544E28"/>
    <w:rsid w:val="1B5938A5"/>
    <w:rsid w:val="1B5D1E9E"/>
    <w:rsid w:val="1B6323E0"/>
    <w:rsid w:val="1BAE4064"/>
    <w:rsid w:val="1BD16179"/>
    <w:rsid w:val="1BD712B5"/>
    <w:rsid w:val="1BDB2B53"/>
    <w:rsid w:val="1C0D795C"/>
    <w:rsid w:val="1C0F788B"/>
    <w:rsid w:val="1C141501"/>
    <w:rsid w:val="1C3D55BC"/>
    <w:rsid w:val="1C7726C5"/>
    <w:rsid w:val="1C8F2794"/>
    <w:rsid w:val="1CAE7812"/>
    <w:rsid w:val="1CB20AFB"/>
    <w:rsid w:val="1CB751D0"/>
    <w:rsid w:val="1CB919A4"/>
    <w:rsid w:val="1CD83537"/>
    <w:rsid w:val="1D105D93"/>
    <w:rsid w:val="1D1E0445"/>
    <w:rsid w:val="1D270AE4"/>
    <w:rsid w:val="1D44283A"/>
    <w:rsid w:val="1D60342F"/>
    <w:rsid w:val="1D78009C"/>
    <w:rsid w:val="1D871C03"/>
    <w:rsid w:val="1D884CF0"/>
    <w:rsid w:val="1D8E0177"/>
    <w:rsid w:val="1DA3413D"/>
    <w:rsid w:val="1E545B64"/>
    <w:rsid w:val="1E7B6870"/>
    <w:rsid w:val="1EC47A07"/>
    <w:rsid w:val="1EC73280"/>
    <w:rsid w:val="1EEC2787"/>
    <w:rsid w:val="1EFF124F"/>
    <w:rsid w:val="1F0F29B9"/>
    <w:rsid w:val="1F114792"/>
    <w:rsid w:val="1F444EB4"/>
    <w:rsid w:val="1F503858"/>
    <w:rsid w:val="1F8E7284"/>
    <w:rsid w:val="1F9F033C"/>
    <w:rsid w:val="1FAE4F31"/>
    <w:rsid w:val="1FB360E7"/>
    <w:rsid w:val="1FB873A4"/>
    <w:rsid w:val="1FF232DB"/>
    <w:rsid w:val="1FF45850"/>
    <w:rsid w:val="202D1235"/>
    <w:rsid w:val="203013AA"/>
    <w:rsid w:val="20327A15"/>
    <w:rsid w:val="20384A18"/>
    <w:rsid w:val="206E565F"/>
    <w:rsid w:val="20D364EF"/>
    <w:rsid w:val="20E97676"/>
    <w:rsid w:val="21295B5E"/>
    <w:rsid w:val="212D27FA"/>
    <w:rsid w:val="219E373C"/>
    <w:rsid w:val="21AF599B"/>
    <w:rsid w:val="21D0774F"/>
    <w:rsid w:val="21DB059C"/>
    <w:rsid w:val="223713D9"/>
    <w:rsid w:val="227B2B13"/>
    <w:rsid w:val="22A461F0"/>
    <w:rsid w:val="22C92E53"/>
    <w:rsid w:val="22FC4CE3"/>
    <w:rsid w:val="23187739"/>
    <w:rsid w:val="232271C0"/>
    <w:rsid w:val="23291E8B"/>
    <w:rsid w:val="23437531"/>
    <w:rsid w:val="23510E00"/>
    <w:rsid w:val="236457F5"/>
    <w:rsid w:val="236E081B"/>
    <w:rsid w:val="2387194A"/>
    <w:rsid w:val="238C2DA9"/>
    <w:rsid w:val="23E85901"/>
    <w:rsid w:val="241E63E6"/>
    <w:rsid w:val="24213A15"/>
    <w:rsid w:val="24372BE7"/>
    <w:rsid w:val="245105A4"/>
    <w:rsid w:val="245A0AF2"/>
    <w:rsid w:val="245C2F8D"/>
    <w:rsid w:val="249066DD"/>
    <w:rsid w:val="24E707BB"/>
    <w:rsid w:val="251C369C"/>
    <w:rsid w:val="25536401"/>
    <w:rsid w:val="2566287E"/>
    <w:rsid w:val="25FD1164"/>
    <w:rsid w:val="2612287C"/>
    <w:rsid w:val="26196704"/>
    <w:rsid w:val="26217CFD"/>
    <w:rsid w:val="26623C6C"/>
    <w:rsid w:val="26AA7CF2"/>
    <w:rsid w:val="26C86BA7"/>
    <w:rsid w:val="26E06C71"/>
    <w:rsid w:val="26EA00EF"/>
    <w:rsid w:val="26EA0CB5"/>
    <w:rsid w:val="26F0476E"/>
    <w:rsid w:val="26FD55DC"/>
    <w:rsid w:val="27017996"/>
    <w:rsid w:val="2720370E"/>
    <w:rsid w:val="272F2675"/>
    <w:rsid w:val="273C36E8"/>
    <w:rsid w:val="2744740D"/>
    <w:rsid w:val="274B251F"/>
    <w:rsid w:val="274B5F1C"/>
    <w:rsid w:val="274C5507"/>
    <w:rsid w:val="274E67F3"/>
    <w:rsid w:val="27725362"/>
    <w:rsid w:val="27C923FA"/>
    <w:rsid w:val="27CC3C98"/>
    <w:rsid w:val="280528C1"/>
    <w:rsid w:val="281250A7"/>
    <w:rsid w:val="28131DB1"/>
    <w:rsid w:val="28251659"/>
    <w:rsid w:val="283C7070"/>
    <w:rsid w:val="284618DF"/>
    <w:rsid w:val="286F2FA1"/>
    <w:rsid w:val="289531DE"/>
    <w:rsid w:val="28E47B36"/>
    <w:rsid w:val="29234F87"/>
    <w:rsid w:val="29554B1B"/>
    <w:rsid w:val="29671ECA"/>
    <w:rsid w:val="298A6B2C"/>
    <w:rsid w:val="299A741D"/>
    <w:rsid w:val="29B66A0D"/>
    <w:rsid w:val="29DE79E9"/>
    <w:rsid w:val="29F05B24"/>
    <w:rsid w:val="29F179E6"/>
    <w:rsid w:val="2A350D3C"/>
    <w:rsid w:val="2A4D7E90"/>
    <w:rsid w:val="2A960744"/>
    <w:rsid w:val="2AB51533"/>
    <w:rsid w:val="2AC60E73"/>
    <w:rsid w:val="2ADA3A0F"/>
    <w:rsid w:val="2AFF2BF3"/>
    <w:rsid w:val="2B037A34"/>
    <w:rsid w:val="2B593377"/>
    <w:rsid w:val="2B7C1908"/>
    <w:rsid w:val="2BC1086B"/>
    <w:rsid w:val="2BD85E26"/>
    <w:rsid w:val="2BDC351D"/>
    <w:rsid w:val="2BE13AE1"/>
    <w:rsid w:val="2BEF2275"/>
    <w:rsid w:val="2BF90677"/>
    <w:rsid w:val="2C230203"/>
    <w:rsid w:val="2C8D32F9"/>
    <w:rsid w:val="2C970D19"/>
    <w:rsid w:val="2CEB0040"/>
    <w:rsid w:val="2D427EAD"/>
    <w:rsid w:val="2D9515C6"/>
    <w:rsid w:val="2DC826D3"/>
    <w:rsid w:val="2DEF1607"/>
    <w:rsid w:val="2DF27D49"/>
    <w:rsid w:val="2DF803FC"/>
    <w:rsid w:val="2E0C16EA"/>
    <w:rsid w:val="2E910CDC"/>
    <w:rsid w:val="2EBD1EFD"/>
    <w:rsid w:val="2EC715D4"/>
    <w:rsid w:val="2F0B092E"/>
    <w:rsid w:val="2F1D4D98"/>
    <w:rsid w:val="2F4E3303"/>
    <w:rsid w:val="2F625641"/>
    <w:rsid w:val="2FBE7946"/>
    <w:rsid w:val="2FBF699C"/>
    <w:rsid w:val="301C3E1D"/>
    <w:rsid w:val="303C6E79"/>
    <w:rsid w:val="304479DC"/>
    <w:rsid w:val="306B0278"/>
    <w:rsid w:val="308E63ED"/>
    <w:rsid w:val="30BF65F3"/>
    <w:rsid w:val="30C47C02"/>
    <w:rsid w:val="31544F77"/>
    <w:rsid w:val="315F570D"/>
    <w:rsid w:val="31615422"/>
    <w:rsid w:val="3163741B"/>
    <w:rsid w:val="319E7EA7"/>
    <w:rsid w:val="31E0281A"/>
    <w:rsid w:val="31EF6F01"/>
    <w:rsid w:val="31FE12D4"/>
    <w:rsid w:val="32364B30"/>
    <w:rsid w:val="325A5591"/>
    <w:rsid w:val="32B271D3"/>
    <w:rsid w:val="32BA0022"/>
    <w:rsid w:val="33154B7C"/>
    <w:rsid w:val="332643F5"/>
    <w:rsid w:val="333D3C9C"/>
    <w:rsid w:val="33791178"/>
    <w:rsid w:val="33CB12A8"/>
    <w:rsid w:val="33D267D7"/>
    <w:rsid w:val="33D66E83"/>
    <w:rsid w:val="33E82ECD"/>
    <w:rsid w:val="33F7209D"/>
    <w:rsid w:val="34022441"/>
    <w:rsid w:val="340D366E"/>
    <w:rsid w:val="3428064F"/>
    <w:rsid w:val="3460329E"/>
    <w:rsid w:val="34675E29"/>
    <w:rsid w:val="349E4F2C"/>
    <w:rsid w:val="34E70363"/>
    <w:rsid w:val="34E76031"/>
    <w:rsid w:val="350C3E26"/>
    <w:rsid w:val="3511371C"/>
    <w:rsid w:val="352178D8"/>
    <w:rsid w:val="352251C2"/>
    <w:rsid w:val="353F2CB2"/>
    <w:rsid w:val="35435F75"/>
    <w:rsid w:val="357F2541"/>
    <w:rsid w:val="35827B62"/>
    <w:rsid w:val="358562B5"/>
    <w:rsid w:val="35AD5109"/>
    <w:rsid w:val="35B84990"/>
    <w:rsid w:val="35BA3E5B"/>
    <w:rsid w:val="35D7574E"/>
    <w:rsid w:val="35F21282"/>
    <w:rsid w:val="362F5B1E"/>
    <w:rsid w:val="36493477"/>
    <w:rsid w:val="364D6ED6"/>
    <w:rsid w:val="36673031"/>
    <w:rsid w:val="36831138"/>
    <w:rsid w:val="36B726AE"/>
    <w:rsid w:val="36C3101C"/>
    <w:rsid w:val="36F3211B"/>
    <w:rsid w:val="371428EB"/>
    <w:rsid w:val="373525CE"/>
    <w:rsid w:val="374F73CF"/>
    <w:rsid w:val="375873B1"/>
    <w:rsid w:val="375A09AF"/>
    <w:rsid w:val="3766112D"/>
    <w:rsid w:val="37A960C2"/>
    <w:rsid w:val="37B46FED"/>
    <w:rsid w:val="37CF580A"/>
    <w:rsid w:val="37D1291E"/>
    <w:rsid w:val="37D4026E"/>
    <w:rsid w:val="37DA5E90"/>
    <w:rsid w:val="383A4B00"/>
    <w:rsid w:val="38A61F0C"/>
    <w:rsid w:val="38B03362"/>
    <w:rsid w:val="38B67EB0"/>
    <w:rsid w:val="38D26C34"/>
    <w:rsid w:val="38E01244"/>
    <w:rsid w:val="392A60A6"/>
    <w:rsid w:val="393A310B"/>
    <w:rsid w:val="39471031"/>
    <w:rsid w:val="39684A29"/>
    <w:rsid w:val="3971644D"/>
    <w:rsid w:val="397C551E"/>
    <w:rsid w:val="3994602B"/>
    <w:rsid w:val="39A92D27"/>
    <w:rsid w:val="39B953E3"/>
    <w:rsid w:val="39FE0357"/>
    <w:rsid w:val="3A00305C"/>
    <w:rsid w:val="3A081ED6"/>
    <w:rsid w:val="3A0B3E46"/>
    <w:rsid w:val="3A2C5B75"/>
    <w:rsid w:val="3A483652"/>
    <w:rsid w:val="3A5024DC"/>
    <w:rsid w:val="3A6366DE"/>
    <w:rsid w:val="3AE113B1"/>
    <w:rsid w:val="3AE13585"/>
    <w:rsid w:val="3AE500CF"/>
    <w:rsid w:val="3B051543"/>
    <w:rsid w:val="3B071DE4"/>
    <w:rsid w:val="3B1F5DC1"/>
    <w:rsid w:val="3B3A4AB6"/>
    <w:rsid w:val="3B43221E"/>
    <w:rsid w:val="3B732D74"/>
    <w:rsid w:val="3B8B7F8C"/>
    <w:rsid w:val="3B9A46DD"/>
    <w:rsid w:val="3BA174BE"/>
    <w:rsid w:val="3BA34FDA"/>
    <w:rsid w:val="3BBB7C7B"/>
    <w:rsid w:val="3BBD0245"/>
    <w:rsid w:val="3BC5576C"/>
    <w:rsid w:val="3C35213B"/>
    <w:rsid w:val="3C5067EE"/>
    <w:rsid w:val="3C581218"/>
    <w:rsid w:val="3CD218F9"/>
    <w:rsid w:val="3CD704BD"/>
    <w:rsid w:val="3CE75849"/>
    <w:rsid w:val="3D1A6A65"/>
    <w:rsid w:val="3D4B689C"/>
    <w:rsid w:val="3D8F7C9A"/>
    <w:rsid w:val="3EBC63BD"/>
    <w:rsid w:val="3EDB4A95"/>
    <w:rsid w:val="3EE057E6"/>
    <w:rsid w:val="3F18690D"/>
    <w:rsid w:val="3F1B285B"/>
    <w:rsid w:val="3F2A0D32"/>
    <w:rsid w:val="3F2A3743"/>
    <w:rsid w:val="3F310B59"/>
    <w:rsid w:val="3F397A0D"/>
    <w:rsid w:val="3F43243B"/>
    <w:rsid w:val="3F47212A"/>
    <w:rsid w:val="3F6A3CD5"/>
    <w:rsid w:val="3FCB19D9"/>
    <w:rsid w:val="3FCB2D5B"/>
    <w:rsid w:val="3FE57C96"/>
    <w:rsid w:val="3FF81D2D"/>
    <w:rsid w:val="4025571D"/>
    <w:rsid w:val="402847E9"/>
    <w:rsid w:val="40302BBE"/>
    <w:rsid w:val="405E34A3"/>
    <w:rsid w:val="407C7161"/>
    <w:rsid w:val="407D5E86"/>
    <w:rsid w:val="40807762"/>
    <w:rsid w:val="409A44DC"/>
    <w:rsid w:val="40A92971"/>
    <w:rsid w:val="40AC6F65"/>
    <w:rsid w:val="40BC08F6"/>
    <w:rsid w:val="40BE0F76"/>
    <w:rsid w:val="40CB718C"/>
    <w:rsid w:val="40DD59C2"/>
    <w:rsid w:val="41077F4E"/>
    <w:rsid w:val="41610361"/>
    <w:rsid w:val="41986C6D"/>
    <w:rsid w:val="41A2189A"/>
    <w:rsid w:val="41A8307D"/>
    <w:rsid w:val="41C06995"/>
    <w:rsid w:val="41DB1250"/>
    <w:rsid w:val="41E2613A"/>
    <w:rsid w:val="421B6FDC"/>
    <w:rsid w:val="42595C18"/>
    <w:rsid w:val="429E14C7"/>
    <w:rsid w:val="42AB17FE"/>
    <w:rsid w:val="42B11DCD"/>
    <w:rsid w:val="42FF5094"/>
    <w:rsid w:val="436C03B1"/>
    <w:rsid w:val="43C7528C"/>
    <w:rsid w:val="43CB220C"/>
    <w:rsid w:val="445415FA"/>
    <w:rsid w:val="445B3984"/>
    <w:rsid w:val="445B5455"/>
    <w:rsid w:val="44943A7F"/>
    <w:rsid w:val="44DF70BA"/>
    <w:rsid w:val="450F631C"/>
    <w:rsid w:val="453971E4"/>
    <w:rsid w:val="453C54BE"/>
    <w:rsid w:val="45476363"/>
    <w:rsid w:val="456D040C"/>
    <w:rsid w:val="463F7FFF"/>
    <w:rsid w:val="46484BFF"/>
    <w:rsid w:val="46512233"/>
    <w:rsid w:val="46540D24"/>
    <w:rsid w:val="467C34A8"/>
    <w:rsid w:val="46A737E8"/>
    <w:rsid w:val="46C14018"/>
    <w:rsid w:val="46C73076"/>
    <w:rsid w:val="46D07EE5"/>
    <w:rsid w:val="46E465A3"/>
    <w:rsid w:val="46F806BD"/>
    <w:rsid w:val="47043CAB"/>
    <w:rsid w:val="472705CE"/>
    <w:rsid w:val="47617B01"/>
    <w:rsid w:val="479A2C46"/>
    <w:rsid w:val="479C5136"/>
    <w:rsid w:val="47D26C51"/>
    <w:rsid w:val="47D54DA1"/>
    <w:rsid w:val="47E06018"/>
    <w:rsid w:val="48653A64"/>
    <w:rsid w:val="48811B8A"/>
    <w:rsid w:val="48962BA2"/>
    <w:rsid w:val="48AC74A2"/>
    <w:rsid w:val="48C43988"/>
    <w:rsid w:val="48E83E36"/>
    <w:rsid w:val="49345B93"/>
    <w:rsid w:val="494C4B08"/>
    <w:rsid w:val="49951EFC"/>
    <w:rsid w:val="499A26FB"/>
    <w:rsid w:val="49B026D9"/>
    <w:rsid w:val="49B722B7"/>
    <w:rsid w:val="49C15E4A"/>
    <w:rsid w:val="49C56A6D"/>
    <w:rsid w:val="49D955C3"/>
    <w:rsid w:val="49ED65A4"/>
    <w:rsid w:val="4A307756"/>
    <w:rsid w:val="4A6D7DCA"/>
    <w:rsid w:val="4A9910AB"/>
    <w:rsid w:val="4A992597"/>
    <w:rsid w:val="4A9B332A"/>
    <w:rsid w:val="4AD625B4"/>
    <w:rsid w:val="4AFF509B"/>
    <w:rsid w:val="4B5E2E2F"/>
    <w:rsid w:val="4B674E8A"/>
    <w:rsid w:val="4B675E1C"/>
    <w:rsid w:val="4BC73F17"/>
    <w:rsid w:val="4BEB73D9"/>
    <w:rsid w:val="4C166235"/>
    <w:rsid w:val="4C1C544C"/>
    <w:rsid w:val="4C313219"/>
    <w:rsid w:val="4C5D1828"/>
    <w:rsid w:val="4C6C738D"/>
    <w:rsid w:val="4C6D0CF6"/>
    <w:rsid w:val="4C7E6A54"/>
    <w:rsid w:val="4C865C08"/>
    <w:rsid w:val="4CD1365E"/>
    <w:rsid w:val="4D2B6E28"/>
    <w:rsid w:val="4D317F76"/>
    <w:rsid w:val="4D7E2A50"/>
    <w:rsid w:val="4DA23565"/>
    <w:rsid w:val="4DA9629F"/>
    <w:rsid w:val="4DB7491F"/>
    <w:rsid w:val="4DD038A9"/>
    <w:rsid w:val="4DE1199C"/>
    <w:rsid w:val="4E49490E"/>
    <w:rsid w:val="4E551A8D"/>
    <w:rsid w:val="4EB250E6"/>
    <w:rsid w:val="4ED42E60"/>
    <w:rsid w:val="4EE207BB"/>
    <w:rsid w:val="4EF75916"/>
    <w:rsid w:val="4F1720D5"/>
    <w:rsid w:val="4F1D51EC"/>
    <w:rsid w:val="4F1F0C9F"/>
    <w:rsid w:val="4F244C6A"/>
    <w:rsid w:val="4FB00148"/>
    <w:rsid w:val="4FE12F08"/>
    <w:rsid w:val="4FF63972"/>
    <w:rsid w:val="500B4BE0"/>
    <w:rsid w:val="504A7CCC"/>
    <w:rsid w:val="504B329A"/>
    <w:rsid w:val="50580297"/>
    <w:rsid w:val="50697817"/>
    <w:rsid w:val="506F6B37"/>
    <w:rsid w:val="5086682B"/>
    <w:rsid w:val="5090365A"/>
    <w:rsid w:val="51096E4A"/>
    <w:rsid w:val="51106525"/>
    <w:rsid w:val="511A6C71"/>
    <w:rsid w:val="512567F5"/>
    <w:rsid w:val="513C4D1D"/>
    <w:rsid w:val="514C3DAD"/>
    <w:rsid w:val="515047BA"/>
    <w:rsid w:val="5157430C"/>
    <w:rsid w:val="51634D0F"/>
    <w:rsid w:val="51916F53"/>
    <w:rsid w:val="51AA4C59"/>
    <w:rsid w:val="51CB4CC2"/>
    <w:rsid w:val="51D829D5"/>
    <w:rsid w:val="51ED0D38"/>
    <w:rsid w:val="51F31FFB"/>
    <w:rsid w:val="51FA103F"/>
    <w:rsid w:val="520170B1"/>
    <w:rsid w:val="524428F4"/>
    <w:rsid w:val="5257047F"/>
    <w:rsid w:val="525B5D4E"/>
    <w:rsid w:val="525E7A5F"/>
    <w:rsid w:val="52693AF2"/>
    <w:rsid w:val="52765BD3"/>
    <w:rsid w:val="52851E0F"/>
    <w:rsid w:val="529B0943"/>
    <w:rsid w:val="52F44E38"/>
    <w:rsid w:val="52FE3AEF"/>
    <w:rsid w:val="53284056"/>
    <w:rsid w:val="537038AC"/>
    <w:rsid w:val="537540CD"/>
    <w:rsid w:val="53911E0A"/>
    <w:rsid w:val="53E13EC3"/>
    <w:rsid w:val="53E415EA"/>
    <w:rsid w:val="54140409"/>
    <w:rsid w:val="54642B34"/>
    <w:rsid w:val="546837CB"/>
    <w:rsid w:val="54723DA3"/>
    <w:rsid w:val="547A0454"/>
    <w:rsid w:val="548C2969"/>
    <w:rsid w:val="549624AE"/>
    <w:rsid w:val="54CF254E"/>
    <w:rsid w:val="54F93B76"/>
    <w:rsid w:val="550B7745"/>
    <w:rsid w:val="554A42CB"/>
    <w:rsid w:val="55607267"/>
    <w:rsid w:val="556421BF"/>
    <w:rsid w:val="55676BB4"/>
    <w:rsid w:val="55835251"/>
    <w:rsid w:val="55913CA7"/>
    <w:rsid w:val="55CC6A83"/>
    <w:rsid w:val="560E3249"/>
    <w:rsid w:val="56186177"/>
    <w:rsid w:val="561B7A15"/>
    <w:rsid w:val="56643F7B"/>
    <w:rsid w:val="56821842"/>
    <w:rsid w:val="569F0646"/>
    <w:rsid w:val="56B45E9F"/>
    <w:rsid w:val="56D3302D"/>
    <w:rsid w:val="56D973CF"/>
    <w:rsid w:val="56FC63ED"/>
    <w:rsid w:val="57035F7F"/>
    <w:rsid w:val="570E4942"/>
    <w:rsid w:val="573222F5"/>
    <w:rsid w:val="5737262D"/>
    <w:rsid w:val="579A0B0F"/>
    <w:rsid w:val="57BA102C"/>
    <w:rsid w:val="57DD6DD0"/>
    <w:rsid w:val="582A366D"/>
    <w:rsid w:val="585169D2"/>
    <w:rsid w:val="58861256"/>
    <w:rsid w:val="58914871"/>
    <w:rsid w:val="58D03F93"/>
    <w:rsid w:val="58DC6715"/>
    <w:rsid w:val="59016B9E"/>
    <w:rsid w:val="595963DC"/>
    <w:rsid w:val="595A456A"/>
    <w:rsid w:val="59607A95"/>
    <w:rsid w:val="59964FFE"/>
    <w:rsid w:val="59DB6FF7"/>
    <w:rsid w:val="59E20C6B"/>
    <w:rsid w:val="5A2515C6"/>
    <w:rsid w:val="5A2E66EC"/>
    <w:rsid w:val="5A395940"/>
    <w:rsid w:val="5A4C7D60"/>
    <w:rsid w:val="5A513553"/>
    <w:rsid w:val="5A7F7348"/>
    <w:rsid w:val="5A8329E1"/>
    <w:rsid w:val="5A8D4028"/>
    <w:rsid w:val="5A976D2B"/>
    <w:rsid w:val="5A9B5D67"/>
    <w:rsid w:val="5AD059E8"/>
    <w:rsid w:val="5AE92B8E"/>
    <w:rsid w:val="5B075A06"/>
    <w:rsid w:val="5B153530"/>
    <w:rsid w:val="5B3168E5"/>
    <w:rsid w:val="5B4C3B08"/>
    <w:rsid w:val="5B530396"/>
    <w:rsid w:val="5B6D574D"/>
    <w:rsid w:val="5B8338B0"/>
    <w:rsid w:val="5B885B4D"/>
    <w:rsid w:val="5BFB6474"/>
    <w:rsid w:val="5C0D7037"/>
    <w:rsid w:val="5C2A7DE1"/>
    <w:rsid w:val="5C6829AF"/>
    <w:rsid w:val="5C6D1843"/>
    <w:rsid w:val="5C806B92"/>
    <w:rsid w:val="5C8F1D6F"/>
    <w:rsid w:val="5C9F5B4C"/>
    <w:rsid w:val="5CF26970"/>
    <w:rsid w:val="5D1860EA"/>
    <w:rsid w:val="5D5B375C"/>
    <w:rsid w:val="5D5D1495"/>
    <w:rsid w:val="5D634689"/>
    <w:rsid w:val="5D6D26E9"/>
    <w:rsid w:val="5D703886"/>
    <w:rsid w:val="5D9A4716"/>
    <w:rsid w:val="5DA57F32"/>
    <w:rsid w:val="5E0733DA"/>
    <w:rsid w:val="5E1406C1"/>
    <w:rsid w:val="5E1A1D20"/>
    <w:rsid w:val="5E2F7E48"/>
    <w:rsid w:val="5E602469"/>
    <w:rsid w:val="5E717821"/>
    <w:rsid w:val="5E972BBA"/>
    <w:rsid w:val="5EAB5584"/>
    <w:rsid w:val="5EC52DEA"/>
    <w:rsid w:val="5ED510A9"/>
    <w:rsid w:val="5EF263E7"/>
    <w:rsid w:val="5EF75F46"/>
    <w:rsid w:val="5EFA3DA4"/>
    <w:rsid w:val="5F074FDA"/>
    <w:rsid w:val="5F21609C"/>
    <w:rsid w:val="5F230BEF"/>
    <w:rsid w:val="5F622ECF"/>
    <w:rsid w:val="5FA665A1"/>
    <w:rsid w:val="5FAB7FB5"/>
    <w:rsid w:val="5FAD2544"/>
    <w:rsid w:val="5FB66017"/>
    <w:rsid w:val="5FFE29B9"/>
    <w:rsid w:val="60357131"/>
    <w:rsid w:val="60786190"/>
    <w:rsid w:val="608E7761"/>
    <w:rsid w:val="60915473"/>
    <w:rsid w:val="6092153B"/>
    <w:rsid w:val="609B683C"/>
    <w:rsid w:val="60A00576"/>
    <w:rsid w:val="60A30D33"/>
    <w:rsid w:val="60AF2097"/>
    <w:rsid w:val="60B34A44"/>
    <w:rsid w:val="60B753A8"/>
    <w:rsid w:val="60BB7E2A"/>
    <w:rsid w:val="60C870C1"/>
    <w:rsid w:val="60CE39D9"/>
    <w:rsid w:val="60F51603"/>
    <w:rsid w:val="615D7134"/>
    <w:rsid w:val="61882403"/>
    <w:rsid w:val="618F268C"/>
    <w:rsid w:val="61EA23B0"/>
    <w:rsid w:val="620A72BB"/>
    <w:rsid w:val="62287615"/>
    <w:rsid w:val="622F67B3"/>
    <w:rsid w:val="627D4254"/>
    <w:rsid w:val="62897466"/>
    <w:rsid w:val="62AD3683"/>
    <w:rsid w:val="62B261AF"/>
    <w:rsid w:val="62F57B08"/>
    <w:rsid w:val="6303429D"/>
    <w:rsid w:val="63205356"/>
    <w:rsid w:val="63424833"/>
    <w:rsid w:val="635822A8"/>
    <w:rsid w:val="63583AEB"/>
    <w:rsid w:val="63737FC7"/>
    <w:rsid w:val="63A938A8"/>
    <w:rsid w:val="63CE3380"/>
    <w:rsid w:val="63E36016"/>
    <w:rsid w:val="63F21DB5"/>
    <w:rsid w:val="63FF6480"/>
    <w:rsid w:val="640A1EA8"/>
    <w:rsid w:val="642900E6"/>
    <w:rsid w:val="64302590"/>
    <w:rsid w:val="64495DD6"/>
    <w:rsid w:val="64623809"/>
    <w:rsid w:val="64746C6E"/>
    <w:rsid w:val="647C3D75"/>
    <w:rsid w:val="65080F89"/>
    <w:rsid w:val="65085608"/>
    <w:rsid w:val="651E4E2C"/>
    <w:rsid w:val="655A76A7"/>
    <w:rsid w:val="655C6589"/>
    <w:rsid w:val="65920991"/>
    <w:rsid w:val="65BF3643"/>
    <w:rsid w:val="66047425"/>
    <w:rsid w:val="661052EF"/>
    <w:rsid w:val="66207331"/>
    <w:rsid w:val="662830CF"/>
    <w:rsid w:val="66747DFB"/>
    <w:rsid w:val="66767F83"/>
    <w:rsid w:val="66D54C1C"/>
    <w:rsid w:val="66F41F1E"/>
    <w:rsid w:val="6701113C"/>
    <w:rsid w:val="671C40AC"/>
    <w:rsid w:val="672D4EE4"/>
    <w:rsid w:val="677658C0"/>
    <w:rsid w:val="67AF1F51"/>
    <w:rsid w:val="67BC1DD1"/>
    <w:rsid w:val="67C86935"/>
    <w:rsid w:val="67D14F07"/>
    <w:rsid w:val="67E07000"/>
    <w:rsid w:val="67E77C07"/>
    <w:rsid w:val="67EA3883"/>
    <w:rsid w:val="67EC51A3"/>
    <w:rsid w:val="680F17C8"/>
    <w:rsid w:val="681C04AD"/>
    <w:rsid w:val="683A6B4A"/>
    <w:rsid w:val="68444162"/>
    <w:rsid w:val="686A6F2B"/>
    <w:rsid w:val="68825416"/>
    <w:rsid w:val="68AA0B6B"/>
    <w:rsid w:val="68AC217A"/>
    <w:rsid w:val="68C77ED2"/>
    <w:rsid w:val="68E24AEE"/>
    <w:rsid w:val="68E331BF"/>
    <w:rsid w:val="6922138F"/>
    <w:rsid w:val="69F85C86"/>
    <w:rsid w:val="6A09523D"/>
    <w:rsid w:val="6A1B26B7"/>
    <w:rsid w:val="6A244C92"/>
    <w:rsid w:val="6A2809FC"/>
    <w:rsid w:val="6A883CBC"/>
    <w:rsid w:val="6A902328"/>
    <w:rsid w:val="6B1078E8"/>
    <w:rsid w:val="6B19056F"/>
    <w:rsid w:val="6B340F05"/>
    <w:rsid w:val="6B345E30"/>
    <w:rsid w:val="6B3A216D"/>
    <w:rsid w:val="6B505357"/>
    <w:rsid w:val="6B874EAB"/>
    <w:rsid w:val="6B985938"/>
    <w:rsid w:val="6BFD3458"/>
    <w:rsid w:val="6C423778"/>
    <w:rsid w:val="6CAF118B"/>
    <w:rsid w:val="6CBB7E1F"/>
    <w:rsid w:val="6CC01E51"/>
    <w:rsid w:val="6CF372CA"/>
    <w:rsid w:val="6D027F59"/>
    <w:rsid w:val="6D2D1C64"/>
    <w:rsid w:val="6D3F594B"/>
    <w:rsid w:val="6D475F5F"/>
    <w:rsid w:val="6D600E21"/>
    <w:rsid w:val="6D68133A"/>
    <w:rsid w:val="6DA55AEF"/>
    <w:rsid w:val="6DA82289"/>
    <w:rsid w:val="6DDD441D"/>
    <w:rsid w:val="6DE80776"/>
    <w:rsid w:val="6DE915B6"/>
    <w:rsid w:val="6E061A11"/>
    <w:rsid w:val="6E345B45"/>
    <w:rsid w:val="6E357F8A"/>
    <w:rsid w:val="6E5743D1"/>
    <w:rsid w:val="6E63668A"/>
    <w:rsid w:val="6E671CA5"/>
    <w:rsid w:val="6E741E30"/>
    <w:rsid w:val="6E9A5352"/>
    <w:rsid w:val="6EA0733B"/>
    <w:rsid w:val="6EBB122E"/>
    <w:rsid w:val="6EBB2C83"/>
    <w:rsid w:val="6EC77A48"/>
    <w:rsid w:val="6EC97030"/>
    <w:rsid w:val="6F2B35AD"/>
    <w:rsid w:val="6F332F4A"/>
    <w:rsid w:val="6F3C2DD2"/>
    <w:rsid w:val="6F8063CA"/>
    <w:rsid w:val="6FB66044"/>
    <w:rsid w:val="6FE8588F"/>
    <w:rsid w:val="700A492A"/>
    <w:rsid w:val="703F6602"/>
    <w:rsid w:val="70F34F86"/>
    <w:rsid w:val="70F759D2"/>
    <w:rsid w:val="71211F2C"/>
    <w:rsid w:val="713E329A"/>
    <w:rsid w:val="7146159B"/>
    <w:rsid w:val="714D0321"/>
    <w:rsid w:val="715C7211"/>
    <w:rsid w:val="716965A9"/>
    <w:rsid w:val="718D73C3"/>
    <w:rsid w:val="71900A0A"/>
    <w:rsid w:val="719A4E18"/>
    <w:rsid w:val="71BC787F"/>
    <w:rsid w:val="71BE3E19"/>
    <w:rsid w:val="72011EEA"/>
    <w:rsid w:val="720A0C12"/>
    <w:rsid w:val="72341211"/>
    <w:rsid w:val="727517BE"/>
    <w:rsid w:val="72BB53F2"/>
    <w:rsid w:val="72CF29B8"/>
    <w:rsid w:val="73004C22"/>
    <w:rsid w:val="73555EBD"/>
    <w:rsid w:val="7386317F"/>
    <w:rsid w:val="7395781C"/>
    <w:rsid w:val="73A53748"/>
    <w:rsid w:val="73B01345"/>
    <w:rsid w:val="73D6523C"/>
    <w:rsid w:val="73E73DBB"/>
    <w:rsid w:val="73F00452"/>
    <w:rsid w:val="73F97D41"/>
    <w:rsid w:val="74A353FC"/>
    <w:rsid w:val="74B55FCA"/>
    <w:rsid w:val="74C80EED"/>
    <w:rsid w:val="751E6462"/>
    <w:rsid w:val="7547670C"/>
    <w:rsid w:val="754B5EDD"/>
    <w:rsid w:val="756D7FC7"/>
    <w:rsid w:val="759848F7"/>
    <w:rsid w:val="75B626CC"/>
    <w:rsid w:val="75D86956"/>
    <w:rsid w:val="75EE1EAC"/>
    <w:rsid w:val="761205FE"/>
    <w:rsid w:val="761518EF"/>
    <w:rsid w:val="761D11FC"/>
    <w:rsid w:val="76393874"/>
    <w:rsid w:val="76753CC2"/>
    <w:rsid w:val="768947FB"/>
    <w:rsid w:val="768A49A6"/>
    <w:rsid w:val="76BA279A"/>
    <w:rsid w:val="76BD3140"/>
    <w:rsid w:val="76D75E34"/>
    <w:rsid w:val="76DB2A57"/>
    <w:rsid w:val="76DD04DF"/>
    <w:rsid w:val="76EE5BC6"/>
    <w:rsid w:val="76F1318D"/>
    <w:rsid w:val="76F226CA"/>
    <w:rsid w:val="770245AD"/>
    <w:rsid w:val="77357ED0"/>
    <w:rsid w:val="77360703"/>
    <w:rsid w:val="773B1F42"/>
    <w:rsid w:val="77492189"/>
    <w:rsid w:val="776E61EE"/>
    <w:rsid w:val="777D019A"/>
    <w:rsid w:val="779D0C3B"/>
    <w:rsid w:val="77BA27C4"/>
    <w:rsid w:val="77C16217"/>
    <w:rsid w:val="781A112E"/>
    <w:rsid w:val="781E6439"/>
    <w:rsid w:val="78214A6B"/>
    <w:rsid w:val="7824041B"/>
    <w:rsid w:val="78897474"/>
    <w:rsid w:val="78A64B86"/>
    <w:rsid w:val="78AE6E5B"/>
    <w:rsid w:val="78BD078C"/>
    <w:rsid w:val="78DE3D6C"/>
    <w:rsid w:val="78E33867"/>
    <w:rsid w:val="78E52BDC"/>
    <w:rsid w:val="78F93EFF"/>
    <w:rsid w:val="790776EC"/>
    <w:rsid w:val="79370F4A"/>
    <w:rsid w:val="7969025D"/>
    <w:rsid w:val="798701EE"/>
    <w:rsid w:val="798720C7"/>
    <w:rsid w:val="798B75C8"/>
    <w:rsid w:val="798D230A"/>
    <w:rsid w:val="79945547"/>
    <w:rsid w:val="79A3081B"/>
    <w:rsid w:val="79A8143C"/>
    <w:rsid w:val="79D61E31"/>
    <w:rsid w:val="7A071D78"/>
    <w:rsid w:val="7A2D742D"/>
    <w:rsid w:val="7A5600FC"/>
    <w:rsid w:val="7A6447EC"/>
    <w:rsid w:val="7A716D06"/>
    <w:rsid w:val="7AC662B5"/>
    <w:rsid w:val="7B240194"/>
    <w:rsid w:val="7B347D8A"/>
    <w:rsid w:val="7B8F4980"/>
    <w:rsid w:val="7B972CB9"/>
    <w:rsid w:val="7BA61501"/>
    <w:rsid w:val="7BAF14B0"/>
    <w:rsid w:val="7BD06448"/>
    <w:rsid w:val="7CA103C5"/>
    <w:rsid w:val="7CA420D7"/>
    <w:rsid w:val="7CC52305"/>
    <w:rsid w:val="7CE922B5"/>
    <w:rsid w:val="7CF0056D"/>
    <w:rsid w:val="7CF33E80"/>
    <w:rsid w:val="7CFD4359"/>
    <w:rsid w:val="7D196F8A"/>
    <w:rsid w:val="7D324E38"/>
    <w:rsid w:val="7D376D09"/>
    <w:rsid w:val="7D3A16E9"/>
    <w:rsid w:val="7D4A2A43"/>
    <w:rsid w:val="7D7B5294"/>
    <w:rsid w:val="7D9D74DD"/>
    <w:rsid w:val="7DA92784"/>
    <w:rsid w:val="7DB37D69"/>
    <w:rsid w:val="7DCA019C"/>
    <w:rsid w:val="7DE55723"/>
    <w:rsid w:val="7DED451A"/>
    <w:rsid w:val="7E2214CE"/>
    <w:rsid w:val="7E2F24BC"/>
    <w:rsid w:val="7E564EE1"/>
    <w:rsid w:val="7E6D3957"/>
    <w:rsid w:val="7E6D67B0"/>
    <w:rsid w:val="7E8D7C7B"/>
    <w:rsid w:val="7EA83077"/>
    <w:rsid w:val="7ECD0B10"/>
    <w:rsid w:val="7ED53E1B"/>
    <w:rsid w:val="7F1D6A6D"/>
    <w:rsid w:val="7F2554A7"/>
    <w:rsid w:val="7F2A34D9"/>
    <w:rsid w:val="7F3870FB"/>
    <w:rsid w:val="7F4D44C9"/>
    <w:rsid w:val="7F7A3881"/>
    <w:rsid w:val="7FA60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2">
    <w:name w:val="heading 1"/>
    <w:basedOn w:val="1"/>
    <w:next w:val="1"/>
    <w:autoRedefine/>
    <w:qFormat/>
    <w:uiPriority w:val="0"/>
    <w:pPr>
      <w:autoSpaceDE w:val="0"/>
      <w:autoSpaceDN w:val="0"/>
      <w:adjustRightInd w:val="0"/>
      <w:jc w:val="left"/>
      <w:outlineLvl w:val="0"/>
    </w:pPr>
    <w:rPr>
      <w:kern w:val="0"/>
      <w:sz w:val="30"/>
    </w:rPr>
  </w:style>
  <w:style w:type="paragraph" w:styleId="3">
    <w:name w:val="heading 2"/>
    <w:basedOn w:val="1"/>
    <w:next w:val="1"/>
    <w:autoRedefine/>
    <w:qFormat/>
    <w:uiPriority w:val="0"/>
    <w:pPr>
      <w:autoSpaceDE w:val="0"/>
      <w:autoSpaceDN w:val="0"/>
      <w:adjustRightInd w:val="0"/>
      <w:jc w:val="left"/>
      <w:outlineLvl w:val="1"/>
    </w:pPr>
    <w:rPr>
      <w:kern w:val="0"/>
    </w:rPr>
  </w:style>
  <w:style w:type="paragraph" w:styleId="4">
    <w:name w:val="heading 3"/>
    <w:next w:val="1"/>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5">
    <w:name w:val="heading 4"/>
    <w:basedOn w:val="1"/>
    <w:next w:val="1"/>
    <w:autoRedefine/>
    <w:qFormat/>
    <w:uiPriority w:val="0"/>
    <w:pPr>
      <w:keepNext/>
      <w:keepLines/>
      <w:spacing w:before="280" w:after="290" w:line="374" w:lineRule="auto"/>
      <w:outlineLvl w:val="3"/>
    </w:pPr>
    <w:rPr>
      <w:rFonts w:ascii="Arial" w:hAnsi="Arial"/>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680"/>
      <w:jc w:val="left"/>
    </w:pPr>
  </w:style>
  <w:style w:type="paragraph" w:styleId="7">
    <w:name w:val="table of authorities"/>
    <w:basedOn w:val="1"/>
    <w:next w:val="1"/>
    <w:autoRedefine/>
    <w:qFormat/>
    <w:uiPriority w:val="0"/>
    <w:pPr>
      <w:ind w:left="420" w:leftChars="200"/>
    </w:pPr>
  </w:style>
  <w:style w:type="paragraph" w:styleId="8">
    <w:name w:val="Document Map"/>
    <w:basedOn w:val="1"/>
    <w:autoRedefine/>
    <w:qFormat/>
    <w:uiPriority w:val="0"/>
    <w:pPr>
      <w:shd w:val="clear" w:color="auto" w:fill="000080"/>
    </w:pPr>
  </w:style>
  <w:style w:type="paragraph" w:styleId="9">
    <w:name w:val="annotation text"/>
    <w:basedOn w:val="1"/>
    <w:next w:val="1"/>
    <w:autoRedefine/>
    <w:qFormat/>
    <w:uiPriority w:val="0"/>
    <w:pPr>
      <w:adjustRightInd w:val="0"/>
      <w:spacing w:line="360" w:lineRule="atLeast"/>
      <w:jc w:val="left"/>
      <w:textAlignment w:val="baseline"/>
    </w:pPr>
    <w:rPr>
      <w:kern w:val="0"/>
    </w:rPr>
  </w:style>
  <w:style w:type="paragraph" w:styleId="10">
    <w:name w:val="Body Text"/>
    <w:basedOn w:val="1"/>
    <w:next w:val="11"/>
    <w:autoRedefine/>
    <w:qFormat/>
    <w:uiPriority w:val="0"/>
    <w:pPr>
      <w:spacing w:after="120"/>
    </w:pPr>
  </w:style>
  <w:style w:type="paragraph" w:styleId="11">
    <w:name w:val="Body Text 2"/>
    <w:basedOn w:val="1"/>
    <w:next w:val="10"/>
    <w:autoRedefine/>
    <w:qFormat/>
    <w:uiPriority w:val="0"/>
    <w:pPr>
      <w:spacing w:line="500" w:lineRule="exact"/>
    </w:pPr>
  </w:style>
  <w:style w:type="paragraph" w:styleId="12">
    <w:name w:val="Body Text Indent"/>
    <w:basedOn w:val="1"/>
    <w:link w:val="43"/>
    <w:autoRedefine/>
    <w:qFormat/>
    <w:uiPriority w:val="0"/>
    <w:pPr>
      <w:ind w:firstLine="560" w:firstLineChars="200"/>
    </w:pPr>
  </w:style>
  <w:style w:type="paragraph" w:styleId="13">
    <w:name w:val="toc 5"/>
    <w:basedOn w:val="1"/>
    <w:next w:val="1"/>
    <w:autoRedefine/>
    <w:qFormat/>
    <w:uiPriority w:val="0"/>
    <w:pPr>
      <w:ind w:left="1120"/>
      <w:jc w:val="left"/>
    </w:pPr>
  </w:style>
  <w:style w:type="paragraph" w:styleId="14">
    <w:name w:val="toc 3"/>
    <w:basedOn w:val="1"/>
    <w:next w:val="1"/>
    <w:autoRedefine/>
    <w:qFormat/>
    <w:uiPriority w:val="0"/>
    <w:pPr>
      <w:ind w:left="561"/>
      <w:jc w:val="left"/>
    </w:pPr>
  </w:style>
  <w:style w:type="paragraph" w:styleId="15">
    <w:name w:val="Plain Text"/>
    <w:basedOn w:val="1"/>
    <w:qFormat/>
    <w:uiPriority w:val="0"/>
    <w:rPr>
      <w:rFonts w:ascii="宋体" w:hAnsi="Courier New" w:eastAsia="宋体" w:cs="Courier New"/>
      <w:szCs w:val="21"/>
    </w:rPr>
  </w:style>
  <w:style w:type="paragraph" w:styleId="16">
    <w:name w:val="toc 8"/>
    <w:basedOn w:val="1"/>
    <w:next w:val="1"/>
    <w:autoRedefine/>
    <w:qFormat/>
    <w:uiPriority w:val="0"/>
    <w:pPr>
      <w:ind w:left="1960"/>
      <w:jc w:val="left"/>
    </w:pPr>
  </w:style>
  <w:style w:type="paragraph" w:styleId="17">
    <w:name w:val="Body Text Indent 2"/>
    <w:basedOn w:val="1"/>
    <w:autoRedefine/>
    <w:qFormat/>
    <w:uiPriority w:val="0"/>
    <w:pPr>
      <w:spacing w:line="480" w:lineRule="auto"/>
      <w:ind w:firstLine="561"/>
    </w:pPr>
  </w:style>
  <w:style w:type="paragraph" w:styleId="18">
    <w:name w:val="Balloon Text"/>
    <w:basedOn w:val="1"/>
    <w:autoRedefine/>
    <w:qFormat/>
    <w:uiPriority w:val="0"/>
    <w:rPr>
      <w:sz w:val="18"/>
      <w:szCs w:val="18"/>
    </w:rPr>
  </w:style>
  <w:style w:type="paragraph" w:styleId="19">
    <w:name w:val="footer"/>
    <w:basedOn w:val="1"/>
    <w:autoRedefine/>
    <w:qFormat/>
    <w:uiPriority w:val="0"/>
    <w:pPr>
      <w:widowControl/>
      <w:tabs>
        <w:tab w:val="center" w:pos="4153"/>
        <w:tab w:val="right" w:pos="8306"/>
      </w:tabs>
      <w:snapToGrid w:val="0"/>
      <w:jc w:val="left"/>
    </w:pPr>
    <w:rPr>
      <w:kern w:val="0"/>
      <w:sz w:val="18"/>
    </w:rPr>
  </w:style>
  <w:style w:type="paragraph" w:styleId="20">
    <w:name w:val="header"/>
    <w:basedOn w:val="1"/>
    <w:autoRedefine/>
    <w:qFormat/>
    <w:uiPriority w:val="0"/>
    <w:pPr>
      <w:widowControl/>
      <w:pBdr>
        <w:bottom w:val="single" w:color="auto" w:sz="6" w:space="1"/>
      </w:pBdr>
      <w:tabs>
        <w:tab w:val="center" w:pos="4153"/>
        <w:tab w:val="right" w:pos="8306"/>
      </w:tabs>
      <w:snapToGrid w:val="0"/>
      <w:jc w:val="center"/>
    </w:pPr>
    <w:rPr>
      <w:kern w:val="0"/>
      <w:sz w:val="18"/>
    </w:rPr>
  </w:style>
  <w:style w:type="paragraph" w:styleId="21">
    <w:name w:val="toc 1"/>
    <w:basedOn w:val="1"/>
    <w:next w:val="1"/>
    <w:autoRedefine/>
    <w:qFormat/>
    <w:uiPriority w:val="0"/>
    <w:pPr>
      <w:spacing w:before="120" w:after="120"/>
      <w:jc w:val="left"/>
    </w:pPr>
    <w:rPr>
      <w:caps/>
    </w:rPr>
  </w:style>
  <w:style w:type="paragraph" w:styleId="22">
    <w:name w:val="toc 4"/>
    <w:basedOn w:val="1"/>
    <w:next w:val="1"/>
    <w:autoRedefine/>
    <w:qFormat/>
    <w:uiPriority w:val="0"/>
    <w:pPr>
      <w:ind w:left="840"/>
      <w:jc w:val="left"/>
    </w:pPr>
  </w:style>
  <w:style w:type="paragraph" w:styleId="23">
    <w:name w:val="toc 6"/>
    <w:basedOn w:val="1"/>
    <w:next w:val="1"/>
    <w:autoRedefine/>
    <w:qFormat/>
    <w:uiPriority w:val="0"/>
    <w:pPr>
      <w:ind w:left="1400"/>
      <w:jc w:val="left"/>
    </w:pPr>
  </w:style>
  <w:style w:type="paragraph" w:styleId="24">
    <w:name w:val="Body Text Indent 3"/>
    <w:basedOn w:val="1"/>
    <w:link w:val="44"/>
    <w:autoRedefine/>
    <w:qFormat/>
    <w:uiPriority w:val="0"/>
    <w:pPr>
      <w:ind w:firstLine="560"/>
    </w:pPr>
    <w:rPr>
      <w:color w:val="FF0000"/>
    </w:rPr>
  </w:style>
  <w:style w:type="paragraph" w:styleId="25">
    <w:name w:val="toc 2"/>
    <w:basedOn w:val="1"/>
    <w:next w:val="1"/>
    <w:autoRedefine/>
    <w:qFormat/>
    <w:uiPriority w:val="0"/>
    <w:pPr>
      <w:ind w:left="278"/>
      <w:jc w:val="left"/>
    </w:pPr>
    <w:rPr>
      <w:smallCaps/>
    </w:rPr>
  </w:style>
  <w:style w:type="paragraph" w:styleId="26">
    <w:name w:val="toc 9"/>
    <w:basedOn w:val="1"/>
    <w:next w:val="1"/>
    <w:autoRedefine/>
    <w:qFormat/>
    <w:uiPriority w:val="0"/>
    <w:pPr>
      <w:ind w:left="2240"/>
      <w:jc w:val="left"/>
    </w:pPr>
  </w:style>
  <w:style w:type="paragraph" w:styleId="27">
    <w:name w:val="Normal (Web)"/>
    <w:basedOn w:val="1"/>
    <w:autoRedefine/>
    <w:qFormat/>
    <w:uiPriority w:val="0"/>
    <w:pPr>
      <w:widowControl/>
      <w:spacing w:before="100" w:beforeAutospacing="1" w:after="100" w:afterAutospacing="1" w:line="240" w:lineRule="auto"/>
      <w:jc w:val="left"/>
    </w:pPr>
    <w:rPr>
      <w:rFonts w:hAnsi="宋体" w:cs="宋体"/>
      <w:color w:val="000000"/>
      <w:kern w:val="0"/>
      <w:szCs w:val="24"/>
    </w:rPr>
  </w:style>
  <w:style w:type="paragraph" w:styleId="28">
    <w:name w:val="annotation subject"/>
    <w:basedOn w:val="9"/>
    <w:next w:val="9"/>
    <w:autoRedefine/>
    <w:qFormat/>
    <w:uiPriority w:val="0"/>
    <w:pPr>
      <w:adjustRightInd/>
      <w:spacing w:line="360" w:lineRule="auto"/>
      <w:textAlignment w:val="auto"/>
    </w:pPr>
    <w:rPr>
      <w:b/>
      <w:bCs/>
      <w:kern w:val="2"/>
    </w:rPr>
  </w:style>
  <w:style w:type="paragraph" w:styleId="29">
    <w:name w:val="Body Text First Indent 2"/>
    <w:autoRedefine/>
    <w:qFormat/>
    <w:uiPriority w:val="0"/>
    <w:pPr>
      <w:widowControl w:val="0"/>
      <w:spacing w:line="360" w:lineRule="auto"/>
      <w:ind w:firstLine="420"/>
      <w:jc w:val="both"/>
    </w:pPr>
    <w:rPr>
      <w:rFonts w:ascii="宋体" w:hAnsi="宋体" w:eastAsia="宋体" w:cs="Times New Roman"/>
      <w:kern w:val="1"/>
      <w:sz w:val="24"/>
      <w:lang w:val="en-US" w:eastAsia="zh-CN" w:bidi="ar-SA"/>
    </w:rPr>
  </w:style>
  <w:style w:type="table" w:styleId="31">
    <w:name w:val="Table Grid"/>
    <w:basedOn w:val="3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autoRedefine/>
    <w:qFormat/>
    <w:uiPriority w:val="0"/>
    <w:rPr>
      <w:b/>
      <w:bCs/>
    </w:rPr>
  </w:style>
  <w:style w:type="character" w:styleId="34">
    <w:name w:val="page number"/>
    <w:basedOn w:val="32"/>
    <w:autoRedefine/>
    <w:qFormat/>
    <w:uiPriority w:val="0"/>
  </w:style>
  <w:style w:type="character" w:styleId="35">
    <w:name w:val="FollowedHyperlink"/>
    <w:autoRedefine/>
    <w:qFormat/>
    <w:uiPriority w:val="0"/>
    <w:rPr>
      <w:color w:val="800080"/>
      <w:u w:val="single"/>
    </w:rPr>
  </w:style>
  <w:style w:type="character" w:styleId="36">
    <w:name w:val="Hyperlink"/>
    <w:autoRedefine/>
    <w:qFormat/>
    <w:uiPriority w:val="0"/>
    <w:rPr>
      <w:color w:val="0000FF"/>
      <w:u w:val="single"/>
    </w:rPr>
  </w:style>
  <w:style w:type="character" w:styleId="37">
    <w:name w:val="annotation reference"/>
    <w:autoRedefine/>
    <w:qFormat/>
    <w:uiPriority w:val="0"/>
    <w:rPr>
      <w:sz w:val="21"/>
    </w:rPr>
  </w:style>
  <w:style w:type="paragraph" w:customStyle="1" w:styleId="38">
    <w:name w:val="Normal Indent1"/>
    <w:basedOn w:val="1"/>
    <w:autoRedefine/>
    <w:qFormat/>
    <w:uiPriority w:val="0"/>
    <w:pPr>
      <w:widowControl/>
      <w:ind w:firstLine="420"/>
      <w:jc w:val="left"/>
    </w:pPr>
    <w:rPr>
      <w:rFonts w:ascii="Times New Roman"/>
      <w:kern w:val="0"/>
    </w:rPr>
  </w:style>
  <w:style w:type="paragraph" w:customStyle="1" w:styleId="39">
    <w:name w:val="样式 宋体 行距: 1.5 倍行距"/>
    <w:basedOn w:val="40"/>
    <w:next w:val="1"/>
    <w:autoRedefine/>
    <w:qFormat/>
    <w:uiPriority w:val="0"/>
    <w:pPr>
      <w:jc w:val="center"/>
    </w:pPr>
    <w:rPr>
      <w:rFonts w:ascii="Times New Roman"/>
      <w:b/>
    </w:rPr>
  </w:style>
  <w:style w:type="paragraph" w:customStyle="1" w:styleId="4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9"/>
    <w:qFormat/>
    <w:uiPriority w:val="0"/>
    <w:pPr>
      <w:widowControl w:val="0"/>
      <w:jc w:val="both"/>
    </w:pPr>
    <w:rPr>
      <w:rFonts w:ascii="Calibri" w:hAnsi="Calibri" w:eastAsia="宋体" w:cs="黑体"/>
      <w:kern w:val="2"/>
      <w:sz w:val="21"/>
      <w:szCs w:val="24"/>
      <w:lang w:val="en-US" w:eastAsia="zh-CN" w:bidi="ar-SA"/>
    </w:rPr>
  </w:style>
  <w:style w:type="paragraph" w:customStyle="1" w:styleId="4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9"/>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42">
    <w:name w:val="Char Char2"/>
    <w:basedOn w:val="8"/>
    <w:autoRedefine/>
    <w:qFormat/>
    <w:uiPriority w:val="0"/>
    <w:pPr>
      <w:spacing w:line="240" w:lineRule="auto"/>
    </w:pPr>
  </w:style>
  <w:style w:type="character" w:customStyle="1" w:styleId="43">
    <w:name w:val="正文文本缩进 字符"/>
    <w:link w:val="12"/>
    <w:autoRedefine/>
    <w:qFormat/>
    <w:uiPriority w:val="0"/>
    <w:rPr>
      <w:rFonts w:ascii="宋体"/>
      <w:kern w:val="2"/>
      <w:sz w:val="24"/>
    </w:rPr>
  </w:style>
  <w:style w:type="character" w:customStyle="1" w:styleId="44">
    <w:name w:val="正文文本缩进 3 字符"/>
    <w:link w:val="24"/>
    <w:autoRedefine/>
    <w:qFormat/>
    <w:uiPriority w:val="0"/>
    <w:rPr>
      <w:rFonts w:ascii="宋体" w:eastAsia="宋体"/>
      <w:color w:val="FF0000"/>
      <w:kern w:val="2"/>
      <w:sz w:val="24"/>
      <w:lang w:val="en-US" w:eastAsia="zh-CN" w:bidi="ar-SA"/>
    </w:rPr>
  </w:style>
  <w:style w:type="character" w:customStyle="1" w:styleId="45">
    <w:name w:val="超链接 New New"/>
    <w:autoRedefine/>
    <w:qFormat/>
    <w:uiPriority w:val="0"/>
    <w:rPr>
      <w:color w:val="000000"/>
      <w:sz w:val="18"/>
      <w:szCs w:val="18"/>
      <w:u w:val="none"/>
    </w:rPr>
  </w:style>
  <w:style w:type="character" w:customStyle="1" w:styleId="46">
    <w:name w:val="超链接 New"/>
    <w:autoRedefine/>
    <w:qFormat/>
    <w:uiPriority w:val="0"/>
    <w:rPr>
      <w:color w:val="000000"/>
      <w:sz w:val="18"/>
      <w:szCs w:val="18"/>
      <w:u w:val="none"/>
    </w:rPr>
  </w:style>
  <w:style w:type="character" w:customStyle="1" w:styleId="47">
    <w:name w:val="默认段落字体1"/>
    <w:autoRedefine/>
    <w:qFormat/>
    <w:uiPriority w:val="0"/>
    <w:rPr>
      <w:rFonts w:hint="default"/>
    </w:rPr>
  </w:style>
  <w:style w:type="character" w:customStyle="1" w:styleId="48">
    <w:name w:val="默认段落字体 New New"/>
    <w:link w:val="49"/>
    <w:autoRedefine/>
    <w:qFormat/>
    <w:uiPriority w:val="0"/>
    <w:rPr>
      <w:rFonts w:ascii="Tahoma" w:hAnsi="Tahoma"/>
      <w:szCs w:val="24"/>
    </w:rPr>
  </w:style>
  <w:style w:type="paragraph" w:customStyle="1" w:styleId="49">
    <w:name w:val="Char New New"/>
    <w:basedOn w:val="1"/>
    <w:link w:val="48"/>
    <w:autoRedefine/>
    <w:qFormat/>
    <w:uiPriority w:val="0"/>
    <w:pPr>
      <w:spacing w:line="240" w:lineRule="auto"/>
    </w:pPr>
    <w:rPr>
      <w:rFonts w:ascii="Tahoma" w:hAnsi="Tahoma"/>
      <w:szCs w:val="24"/>
    </w:rPr>
  </w:style>
  <w:style w:type="character" w:customStyle="1" w:styleId="50">
    <w:name w:val="默认段落字体 New"/>
    <w:link w:val="51"/>
    <w:autoRedefine/>
    <w:qFormat/>
    <w:uiPriority w:val="0"/>
    <w:rPr>
      <w:rFonts w:ascii="Tahoma" w:hAnsi="Tahoma"/>
      <w:szCs w:val="24"/>
    </w:rPr>
  </w:style>
  <w:style w:type="paragraph" w:customStyle="1" w:styleId="51">
    <w:name w:val="Char New"/>
    <w:basedOn w:val="1"/>
    <w:link w:val="50"/>
    <w:autoRedefine/>
    <w:qFormat/>
    <w:uiPriority w:val="0"/>
    <w:pPr>
      <w:spacing w:line="240" w:lineRule="auto"/>
    </w:pPr>
    <w:rPr>
      <w:rFonts w:ascii="Tahoma" w:hAnsi="Tahoma"/>
      <w:szCs w:val="24"/>
    </w:rPr>
  </w:style>
  <w:style w:type="character" w:customStyle="1" w:styleId="52">
    <w:name w:val="页码 New New New"/>
    <w:autoRedefine/>
    <w:qFormat/>
    <w:uiPriority w:val="0"/>
    <w:rPr>
      <w:rFonts w:eastAsia="宋体"/>
      <w:kern w:val="2"/>
      <w:sz w:val="24"/>
      <w:szCs w:val="24"/>
      <w:lang w:val="en-US" w:eastAsia="zh-CN" w:bidi="ar-SA"/>
    </w:rPr>
  </w:style>
  <w:style w:type="character" w:customStyle="1" w:styleId="53">
    <w:name w:val="页码 New New"/>
    <w:autoRedefine/>
    <w:qFormat/>
    <w:uiPriority w:val="0"/>
    <w:rPr>
      <w:rFonts w:eastAsia="宋体"/>
      <w:kern w:val="2"/>
      <w:sz w:val="24"/>
      <w:szCs w:val="24"/>
      <w:lang w:val="en-US" w:eastAsia="zh-CN" w:bidi="ar-SA"/>
    </w:rPr>
  </w:style>
  <w:style w:type="character" w:customStyle="1" w:styleId="54">
    <w:name w:val="Char Char1"/>
    <w:autoRedefine/>
    <w:qFormat/>
    <w:uiPriority w:val="0"/>
    <w:rPr>
      <w:rFonts w:ascii="宋体" w:eastAsia="宋体"/>
      <w:color w:val="FF0000"/>
      <w:kern w:val="2"/>
      <w:sz w:val="24"/>
      <w:lang w:val="en-US" w:eastAsia="zh-CN" w:bidi="ar-SA"/>
    </w:rPr>
  </w:style>
  <w:style w:type="character" w:customStyle="1" w:styleId="55">
    <w:name w:val="页码 New"/>
    <w:autoRedefine/>
    <w:qFormat/>
    <w:uiPriority w:val="0"/>
    <w:rPr>
      <w:rFonts w:eastAsia="宋体"/>
      <w:kern w:val="2"/>
      <w:sz w:val="24"/>
      <w:szCs w:val="24"/>
      <w:lang w:val="en-US" w:eastAsia="zh-CN" w:bidi="ar-SA"/>
    </w:rPr>
  </w:style>
  <w:style w:type="paragraph" w:customStyle="1" w:styleId="56">
    <w:name w:val="标题 3 New"/>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customStyle="1" w:styleId="57">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8">
    <w:name w:val="页脚 New New New New New New New New New New New New New"/>
    <w:basedOn w:val="59"/>
    <w:autoRedefine/>
    <w:qFormat/>
    <w:uiPriority w:val="0"/>
    <w:pPr>
      <w:widowControl/>
      <w:tabs>
        <w:tab w:val="center" w:pos="4153"/>
        <w:tab w:val="right" w:pos="8306"/>
      </w:tabs>
      <w:snapToGrid w:val="0"/>
      <w:jc w:val="left"/>
    </w:pPr>
    <w:rPr>
      <w:sz w:val="18"/>
    </w:rPr>
  </w:style>
  <w:style w:type="paragraph" w:customStyle="1" w:styleId="59">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0">
    <w:name w:val="正文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正文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2">
    <w:name w:val="正文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3">
    <w:name w:val="页脚 New New New New New"/>
    <w:basedOn w:val="64"/>
    <w:autoRedefine/>
    <w:qFormat/>
    <w:uiPriority w:val="0"/>
    <w:pPr>
      <w:tabs>
        <w:tab w:val="center" w:pos="4153"/>
        <w:tab w:val="right" w:pos="8306"/>
      </w:tabs>
      <w:snapToGrid w:val="0"/>
      <w:jc w:val="left"/>
    </w:pPr>
    <w:rPr>
      <w:sz w:val="18"/>
    </w:rPr>
  </w:style>
  <w:style w:type="paragraph" w:customStyle="1" w:styleId="64">
    <w:name w:val="正文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5">
    <w:name w:val="纯文本 New New"/>
    <w:basedOn w:val="66"/>
    <w:autoRedefine/>
    <w:qFormat/>
    <w:uiPriority w:val="0"/>
    <w:rPr>
      <w:rFonts w:ascii="宋体" w:hAnsi="Courier New"/>
      <w:szCs w:val="24"/>
    </w:rPr>
  </w:style>
  <w:style w:type="paragraph" w:customStyle="1" w:styleId="66">
    <w:name w:val="正文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7">
    <w:name w:val="正文1"/>
    <w:autoRedefine/>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68">
    <w:name w:val="页脚1"/>
    <w:basedOn w:val="67"/>
    <w:autoRedefine/>
    <w:qFormat/>
    <w:uiPriority w:val="0"/>
    <w:pPr>
      <w:widowControl/>
      <w:tabs>
        <w:tab w:val="center" w:pos="4153"/>
        <w:tab w:val="right" w:pos="8306"/>
      </w:tabs>
      <w:snapToGrid w:val="0"/>
      <w:jc w:val="left"/>
    </w:pPr>
    <w:rPr>
      <w:kern w:val="0"/>
      <w:sz w:val="18"/>
    </w:rPr>
  </w:style>
  <w:style w:type="paragraph" w:customStyle="1" w:styleId="69">
    <w:name w:val="正文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0">
    <w:name w:val="标题 3 New New"/>
    <w:basedOn w:val="71"/>
    <w:next w:val="71"/>
    <w:autoRedefine/>
    <w:qFormat/>
    <w:uiPriority w:val="0"/>
    <w:pPr>
      <w:keepNext/>
      <w:keepLines/>
      <w:spacing w:before="120" w:after="120"/>
      <w:jc w:val="center"/>
      <w:outlineLvl w:val="2"/>
    </w:pPr>
    <w:rPr>
      <w:sz w:val="24"/>
    </w:rPr>
  </w:style>
  <w:style w:type="paragraph" w:customStyle="1" w:styleId="71">
    <w:name w:val="正文缩进 New"/>
    <w:basedOn w:val="72"/>
    <w:autoRedefine/>
    <w:qFormat/>
    <w:uiPriority w:val="0"/>
    <w:pPr>
      <w:widowControl/>
      <w:ind w:firstLine="420"/>
      <w:jc w:val="left"/>
    </w:pPr>
    <w:rPr>
      <w:kern w:val="0"/>
      <w:sz w:val="20"/>
    </w:rPr>
  </w:style>
  <w:style w:type="paragraph" w:customStyle="1" w:styleId="72">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3">
    <w:name w:val="普通(网站) New"/>
    <w:basedOn w:val="74"/>
    <w:autoRedefine/>
    <w:qFormat/>
    <w:uiPriority w:val="0"/>
    <w:rPr>
      <w:sz w:val="24"/>
    </w:rPr>
  </w:style>
  <w:style w:type="paragraph" w:customStyle="1" w:styleId="74">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5">
    <w:name w:val="正文文本缩进 New"/>
    <w:basedOn w:val="72"/>
    <w:autoRedefine/>
    <w:qFormat/>
    <w:uiPriority w:val="0"/>
    <w:pPr>
      <w:ind w:firstLine="560" w:firstLineChars="200"/>
    </w:pPr>
  </w:style>
  <w:style w:type="paragraph" w:customStyle="1" w:styleId="76">
    <w:name w:val="Char"/>
    <w:basedOn w:val="8"/>
    <w:autoRedefine/>
    <w:qFormat/>
    <w:uiPriority w:val="0"/>
    <w:pPr>
      <w:spacing w:line="240" w:lineRule="auto"/>
    </w:pPr>
  </w:style>
  <w:style w:type="paragraph" w:customStyle="1" w:styleId="77">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8">
    <w:name w:val="页脚 New New New New"/>
    <w:basedOn w:val="79"/>
    <w:autoRedefine/>
    <w:qFormat/>
    <w:uiPriority w:val="0"/>
    <w:pPr>
      <w:tabs>
        <w:tab w:val="center" w:pos="4153"/>
        <w:tab w:val="right" w:pos="8306"/>
      </w:tabs>
      <w:snapToGrid w:val="0"/>
      <w:jc w:val="left"/>
    </w:pPr>
    <w:rPr>
      <w:sz w:val="18"/>
      <w:szCs w:val="18"/>
    </w:rPr>
  </w:style>
  <w:style w:type="paragraph" w:customStyle="1" w:styleId="79">
    <w:name w:val="正文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
    <w:name w:val="正文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2">
    <w:name w:val="页眉 New New New New New New New New New"/>
    <w:basedOn w:val="59"/>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3">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4">
    <w:name w:val="页眉 New New New New New New New New"/>
    <w:basedOn w:val="85"/>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5">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6">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
    <w:name w:val="p18"/>
    <w:autoRedefine/>
    <w:qFormat/>
    <w:uiPriority w:val="0"/>
    <w:pPr>
      <w:spacing w:after="120" w:line="360" w:lineRule="auto"/>
    </w:pPr>
    <w:rPr>
      <w:rFonts w:ascii="宋体" w:hAnsi="宋体" w:eastAsia="宋体" w:cs="宋体"/>
      <w:sz w:val="24"/>
      <w:szCs w:val="24"/>
      <w:lang w:val="en-US" w:eastAsia="zh-CN" w:bidi="ar-SA"/>
    </w:rPr>
  </w:style>
  <w:style w:type="paragraph" w:customStyle="1" w:styleId="89">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0">
    <w:name w:val="样式2"/>
    <w:basedOn w:val="21"/>
    <w:autoRedefine/>
    <w:qFormat/>
    <w:uiPriority w:val="0"/>
    <w:pPr>
      <w:tabs>
        <w:tab w:val="right" w:leader="dot" w:pos="9345"/>
      </w:tabs>
    </w:pPr>
    <w:rPr>
      <w:rFonts w:hAnsi="宋体"/>
      <w:b/>
      <w:color w:val="0000FF"/>
      <w:u w:val="single"/>
    </w:rPr>
  </w:style>
  <w:style w:type="paragraph" w:customStyle="1" w:styleId="91">
    <w:name w:val="页脚 New New New New New New New New"/>
    <w:basedOn w:val="92"/>
    <w:autoRedefine/>
    <w:qFormat/>
    <w:uiPriority w:val="0"/>
    <w:pPr>
      <w:tabs>
        <w:tab w:val="center" w:pos="4153"/>
        <w:tab w:val="right" w:pos="8306"/>
      </w:tabs>
      <w:snapToGrid w:val="0"/>
      <w:jc w:val="left"/>
    </w:pPr>
    <w:rPr>
      <w:sz w:val="18"/>
      <w:szCs w:val="18"/>
    </w:rPr>
  </w:style>
  <w:style w:type="paragraph" w:customStyle="1" w:styleId="92">
    <w:name w:val="正文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4">
    <w:name w:val="页脚 New New New New New New New New New New"/>
    <w:basedOn w:val="89"/>
    <w:autoRedefine/>
    <w:qFormat/>
    <w:uiPriority w:val="0"/>
    <w:pPr>
      <w:widowControl/>
      <w:tabs>
        <w:tab w:val="center" w:pos="4153"/>
        <w:tab w:val="right" w:pos="8306"/>
      </w:tabs>
      <w:snapToGrid w:val="0"/>
      <w:jc w:val="left"/>
    </w:pPr>
    <w:rPr>
      <w:sz w:val="18"/>
    </w:rPr>
  </w:style>
  <w:style w:type="paragraph" w:customStyle="1" w:styleId="95">
    <w:name w:val="正文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6">
    <w:name w:val="页脚 New New New New New New"/>
    <w:basedOn w:val="74"/>
    <w:autoRedefine/>
    <w:qFormat/>
    <w:uiPriority w:val="0"/>
    <w:pPr>
      <w:tabs>
        <w:tab w:val="center" w:pos="4153"/>
        <w:tab w:val="right" w:pos="8306"/>
      </w:tabs>
      <w:snapToGrid w:val="0"/>
      <w:jc w:val="left"/>
    </w:pPr>
    <w:rPr>
      <w:sz w:val="18"/>
    </w:rPr>
  </w:style>
  <w:style w:type="paragraph" w:customStyle="1" w:styleId="97">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8">
    <w:name w:val="正文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9">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0">
    <w:name w:val="页眉 New New New New New"/>
    <w:basedOn w:val="74"/>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01">
    <w:name w:val="页脚 New New New New New New New New New New New"/>
    <w:basedOn w:val="85"/>
    <w:autoRedefine/>
    <w:qFormat/>
    <w:uiPriority w:val="0"/>
    <w:pPr>
      <w:widowControl/>
      <w:tabs>
        <w:tab w:val="center" w:pos="4153"/>
        <w:tab w:val="right" w:pos="8306"/>
      </w:tabs>
      <w:snapToGrid w:val="0"/>
      <w:jc w:val="left"/>
    </w:pPr>
    <w:rPr>
      <w:sz w:val="18"/>
    </w:rPr>
  </w:style>
  <w:style w:type="paragraph" w:customStyle="1" w:styleId="102">
    <w:name w:val="页眉 New New New New New New"/>
    <w:basedOn w:val="81"/>
    <w:autoRedefine/>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03">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4">
    <w:name w:val="页眉 New New"/>
    <w:basedOn w:val="61"/>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5">
    <w:name w:val="页眉 New"/>
    <w:basedOn w:val="106"/>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6">
    <w:name w:val="正文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7">
    <w:name w:val="正文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8">
    <w:name w:val="页脚 New"/>
    <w:basedOn w:val="106"/>
    <w:autoRedefine/>
    <w:qFormat/>
    <w:uiPriority w:val="0"/>
    <w:pPr>
      <w:tabs>
        <w:tab w:val="center" w:pos="4153"/>
        <w:tab w:val="right" w:pos="8306"/>
      </w:tabs>
      <w:snapToGrid w:val="0"/>
      <w:jc w:val="left"/>
    </w:pPr>
    <w:rPr>
      <w:sz w:val="18"/>
      <w:szCs w:val="18"/>
    </w:rPr>
  </w:style>
  <w:style w:type="paragraph" w:customStyle="1" w:styleId="109">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0">
    <w:name w:val="正文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1">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2">
    <w:name w:val="页脚 New New New"/>
    <w:basedOn w:val="66"/>
    <w:autoRedefine/>
    <w:qFormat/>
    <w:uiPriority w:val="0"/>
    <w:pPr>
      <w:tabs>
        <w:tab w:val="center" w:pos="4153"/>
        <w:tab w:val="right" w:pos="8306"/>
      </w:tabs>
      <w:snapToGrid w:val="0"/>
      <w:jc w:val="left"/>
    </w:pPr>
    <w:rPr>
      <w:sz w:val="18"/>
      <w:szCs w:val="18"/>
    </w:rPr>
  </w:style>
  <w:style w:type="paragraph" w:customStyle="1" w:styleId="113">
    <w:name w:val="页眉 New New New New"/>
    <w:basedOn w:val="64"/>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4">
    <w:name w:val="纯文本 New"/>
    <w:basedOn w:val="61"/>
    <w:autoRedefine/>
    <w:qFormat/>
    <w:uiPriority w:val="0"/>
    <w:rPr>
      <w:rFonts w:ascii="宋体" w:hAnsi="Courier New"/>
      <w:szCs w:val="24"/>
    </w:rPr>
  </w:style>
  <w:style w:type="paragraph" w:customStyle="1" w:styleId="115">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6">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
    <w:name w:val="正文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8">
    <w:name w:val="正文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9">
    <w:name w:val="正文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页脚 New New New New New New New New New New New New"/>
    <w:basedOn w:val="121"/>
    <w:autoRedefine/>
    <w:qFormat/>
    <w:uiPriority w:val="0"/>
    <w:pPr>
      <w:tabs>
        <w:tab w:val="center" w:pos="4153"/>
        <w:tab w:val="right" w:pos="8306"/>
      </w:tabs>
      <w:snapToGrid w:val="0"/>
      <w:jc w:val="left"/>
    </w:pPr>
    <w:rPr>
      <w:sz w:val="18"/>
      <w:szCs w:val="18"/>
    </w:rPr>
  </w:style>
  <w:style w:type="paragraph" w:customStyle="1" w:styleId="121">
    <w:name w:val="正文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2">
    <w:name w:val="目录 31"/>
    <w:basedOn w:val="67"/>
    <w:next w:val="67"/>
    <w:autoRedefine/>
    <w:qFormat/>
    <w:uiPriority w:val="0"/>
    <w:pPr>
      <w:ind w:left="561"/>
      <w:jc w:val="left"/>
    </w:pPr>
  </w:style>
  <w:style w:type="paragraph" w:customStyle="1" w:styleId="123">
    <w:name w:val="p0"/>
    <w:basedOn w:val="60"/>
    <w:autoRedefine/>
    <w:qFormat/>
    <w:uiPriority w:val="0"/>
    <w:pPr>
      <w:widowControl/>
      <w:spacing w:line="360" w:lineRule="auto"/>
    </w:pPr>
    <w:rPr>
      <w:rFonts w:ascii="宋体" w:hAnsi="宋体" w:cs="宋体"/>
      <w:kern w:val="0"/>
      <w:sz w:val="24"/>
      <w:szCs w:val="24"/>
    </w:rPr>
  </w:style>
  <w:style w:type="paragraph" w:customStyle="1" w:styleId="124">
    <w:name w:val="页眉 New New New New New New New"/>
    <w:basedOn w:val="89"/>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125">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6">
    <w:name w:val="正文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27">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8">
    <w:name w:val="标题 2 New"/>
    <w:basedOn w:val="87"/>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29">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0">
    <w:name w:val="blockquote"/>
    <w:basedOn w:val="1"/>
    <w:autoRedefine/>
    <w:qFormat/>
    <w:uiPriority w:val="0"/>
    <w:pPr>
      <w:widowControl/>
      <w:spacing w:before="100" w:beforeAutospacing="1" w:after="100" w:afterAutospacing="1" w:line="240" w:lineRule="auto"/>
      <w:jc w:val="left"/>
    </w:pPr>
    <w:rPr>
      <w:rFonts w:hAnsi="宋体"/>
      <w:kern w:val="0"/>
    </w:rPr>
  </w:style>
  <w:style w:type="paragraph" w:customStyle="1" w:styleId="131">
    <w:name w:val="正文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2">
    <w:name w:val="Normal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33">
    <w:name w:val="正文文本缩进 New New New New"/>
    <w:basedOn w:val="126"/>
    <w:autoRedefine/>
    <w:qFormat/>
    <w:uiPriority w:val="0"/>
    <w:pPr>
      <w:ind w:firstLine="560" w:firstLineChars="200"/>
    </w:pPr>
    <w:rPr>
      <w:szCs w:val="28"/>
    </w:rPr>
  </w:style>
  <w:style w:type="paragraph" w:customStyle="1" w:styleId="134">
    <w:name w:val="页脚 New New New New New New New"/>
    <w:basedOn w:val="81"/>
    <w:autoRedefine/>
    <w:qFormat/>
    <w:uiPriority w:val="0"/>
    <w:pPr>
      <w:widowControl/>
      <w:tabs>
        <w:tab w:val="center" w:pos="4153"/>
        <w:tab w:val="right" w:pos="8306"/>
      </w:tabs>
      <w:snapToGrid w:val="0"/>
      <w:jc w:val="left"/>
    </w:pPr>
    <w:rPr>
      <w:kern w:val="0"/>
      <w:sz w:val="18"/>
      <w:szCs w:val="20"/>
    </w:rPr>
  </w:style>
  <w:style w:type="paragraph" w:customStyle="1" w:styleId="135">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
    <w:name w:val="页脚 New New New New New New New New New"/>
    <w:basedOn w:val="80"/>
    <w:autoRedefine/>
    <w:qFormat/>
    <w:uiPriority w:val="0"/>
    <w:pPr>
      <w:tabs>
        <w:tab w:val="center" w:pos="4153"/>
        <w:tab w:val="right" w:pos="8306"/>
      </w:tabs>
      <w:snapToGrid w:val="0"/>
      <w:jc w:val="left"/>
    </w:pPr>
    <w:rPr>
      <w:sz w:val="18"/>
      <w:szCs w:val="18"/>
    </w:rPr>
  </w:style>
  <w:style w:type="paragraph" w:customStyle="1" w:styleId="137">
    <w:name w:val="页脚 New New"/>
    <w:basedOn w:val="61"/>
    <w:autoRedefine/>
    <w:qFormat/>
    <w:uiPriority w:val="0"/>
    <w:pPr>
      <w:tabs>
        <w:tab w:val="center" w:pos="4153"/>
        <w:tab w:val="right" w:pos="8306"/>
      </w:tabs>
      <w:snapToGrid w:val="0"/>
      <w:jc w:val="left"/>
    </w:pPr>
    <w:rPr>
      <w:sz w:val="18"/>
      <w:szCs w:val="18"/>
    </w:rPr>
  </w:style>
  <w:style w:type="paragraph" w:customStyle="1" w:styleId="138">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9">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0">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1">
    <w:name w:val="样式1"/>
    <w:basedOn w:val="5"/>
    <w:autoRedefine/>
    <w:qFormat/>
    <w:uiPriority w:val="0"/>
    <w:pPr>
      <w:tabs>
        <w:tab w:val="right" w:leader="dot" w:pos="9345"/>
      </w:tabs>
    </w:pPr>
    <w:rPr>
      <w:rFonts w:ascii="宋体" w:hAnsi="宋体"/>
      <w:b/>
      <w:caps/>
      <w:u w:val="single"/>
    </w:rPr>
  </w:style>
  <w:style w:type="paragraph" w:customStyle="1" w:styleId="142">
    <w:name w:val="页眉 New New New"/>
    <w:basedOn w:val="66"/>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43">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4">
    <w:name w:val="正文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5">
    <w:name w:val="正文正"/>
    <w:basedOn w:val="1"/>
    <w:autoRedefine/>
    <w:qFormat/>
    <w:uiPriority w:val="0"/>
    <w:pPr>
      <w:spacing w:line="560" w:lineRule="exact"/>
      <w:ind w:firstLine="561"/>
    </w:pPr>
    <w:rPr>
      <w:rFonts w:ascii="Calibri" w:hAnsi="Calibri"/>
      <w:sz w:val="28"/>
      <w:szCs w:val="28"/>
    </w:rPr>
  </w:style>
  <w:style w:type="paragraph" w:customStyle="1" w:styleId="146">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7">
    <w:name w:val="标题 2 New New"/>
    <w:basedOn w:val="116"/>
    <w:next w:val="116"/>
    <w:autoRedefine/>
    <w:qFormat/>
    <w:uiPriority w:val="0"/>
    <w:pPr>
      <w:autoSpaceDE w:val="0"/>
      <w:autoSpaceDN w:val="0"/>
      <w:adjustRightInd w:val="0"/>
      <w:jc w:val="left"/>
      <w:outlineLvl w:val="1"/>
    </w:pPr>
    <w:rPr>
      <w:kern w:val="0"/>
      <w:sz w:val="24"/>
    </w:rPr>
  </w:style>
  <w:style w:type="paragraph" w:customStyle="1" w:styleId="148">
    <w:name w:val="标题 1 New"/>
    <w:basedOn w:val="116"/>
    <w:next w:val="116"/>
    <w:autoRedefine/>
    <w:qFormat/>
    <w:uiPriority w:val="0"/>
    <w:pPr>
      <w:autoSpaceDE w:val="0"/>
      <w:autoSpaceDN w:val="0"/>
      <w:adjustRightInd w:val="0"/>
      <w:jc w:val="left"/>
      <w:outlineLvl w:val="0"/>
    </w:pPr>
    <w:rPr>
      <w:kern w:val="0"/>
      <w:sz w:val="30"/>
    </w:rPr>
  </w:style>
  <w:style w:type="paragraph" w:customStyle="1" w:styleId="149">
    <w:name w:val="WPSOffice手动目录 1"/>
    <w:autoRedefine/>
    <w:qFormat/>
    <w:uiPriority w:val="0"/>
    <w:rPr>
      <w:rFonts w:ascii="Times New Roman" w:hAnsi="Times New Roman" w:eastAsia="宋体" w:cs="Times New Roman"/>
      <w:lang w:val="en-US" w:eastAsia="zh-CN" w:bidi="ar-SA"/>
    </w:rPr>
  </w:style>
  <w:style w:type="paragraph" w:customStyle="1" w:styleId="150">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51">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152">
    <w:name w:val="正文缩进1"/>
    <w:basedOn w:val="1"/>
    <w:autoRedefine/>
    <w:qFormat/>
    <w:uiPriority w:val="0"/>
    <w:pPr>
      <w:widowControl/>
      <w:ind w:firstLine="420"/>
      <w:jc w:val="left"/>
    </w:pPr>
    <w:rPr>
      <w:kern w:val="0"/>
    </w:rPr>
  </w:style>
  <w:style w:type="character" w:styleId="153">
    <w:name w:val="Placeholder Text"/>
    <w:basedOn w:val="32"/>
    <w:semiHidden/>
    <w:qFormat/>
    <w:uiPriority w:val="99"/>
    <w:rPr>
      <w:color w:val="808080"/>
    </w:rPr>
  </w:style>
  <w:style w:type="paragraph" w:customStyle="1" w:styleId="154">
    <w:name w:val="正文文本1"/>
    <w:basedOn w:val="1"/>
    <w:qFormat/>
    <w:uiPriority w:val="0"/>
    <w:pPr>
      <w:spacing w:after="120"/>
    </w:pPr>
  </w:style>
  <w:style w:type="paragraph" w:customStyle="1" w:styleId="155">
    <w:name w:val="目录 3 New"/>
    <w:basedOn w:val="116"/>
    <w:next w:val="116"/>
    <w:qFormat/>
    <w:uiPriority w:val="0"/>
    <w:pPr>
      <w:ind w:left="561"/>
      <w:jc w:val="left"/>
    </w:pPr>
    <w:rPr>
      <w:sz w:val="24"/>
    </w:rPr>
  </w:style>
  <w:style w:type="paragraph" w:customStyle="1" w:styleId="156">
    <w:name w:val="Table Text"/>
    <w:basedOn w:val="1"/>
    <w:semiHidden/>
    <w:qFormat/>
    <w:uiPriority w:val="0"/>
    <w:rPr>
      <w:rFonts w:ascii="宋体" w:hAnsi="宋体" w:eastAsia="宋体" w:cs="宋体"/>
      <w:sz w:val="15"/>
      <w:szCs w:val="15"/>
      <w:lang w:val="en-US" w:eastAsia="en-US" w:bidi="ar-SA"/>
    </w:rPr>
  </w:style>
  <w:style w:type="paragraph" w:customStyle="1" w:styleId="157">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character" w:customStyle="1" w:styleId="158">
    <w:name w:val="NormalCharacter"/>
    <w:qFormat/>
    <w:uiPriority w:val="99"/>
  </w:style>
  <w:style w:type="paragraph" w:customStyle="1" w:styleId="159">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62</Pages>
  <Words>30703</Words>
  <Characters>32920</Characters>
  <Lines>292</Lines>
  <Paragraphs>82</Paragraphs>
  <TotalTime>44</TotalTime>
  <ScaleCrop>false</ScaleCrop>
  <LinksUpToDate>false</LinksUpToDate>
  <CharactersWithSpaces>34405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2014-03-11T01:35:00Z</dcterms:created>
  <dc:creator>kingsons</dc:creator>
  <cp:lastModifiedBy>琼楼笑望</cp:lastModifiedBy>
  <cp:lastPrinted>2026-04-01T02:04:00Z</cp:lastPrinted>
  <dcterms:modified xsi:type="dcterms:W3CDTF">2026-06-11T07:43:47Z</dcterms:modified>
  <dc:title>广东省韶关学院第三期学生公寓第一、二组团工程施工</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ribbonExt">
    <vt:lpwstr>{"WPSExtOfficeTab":{"OnGetEnabled":false,"OnGetVisible":false}}</vt:lpwstr>
  </property>
  <property fmtid="{D5CDD505-2E9C-101B-9397-08002B2CF9AE}" pid="4" name="ICV">
    <vt:lpwstr>1B501801416B4B6D8CE7912B6711C930</vt:lpwstr>
  </property>
  <property fmtid="{D5CDD505-2E9C-101B-9397-08002B2CF9AE}" pid="5" name="KSOTemplateDocerSaveRecord">
    <vt:lpwstr>eyJoZGlkIjoiMjUwNTI0NDYxZjI1YTM1OTc0YmRhZjI0YTk3MzBhOTIiLCJ1c2VySWQiOiI1NTkzMzQ0ODMifQ==</vt:lpwstr>
  </property>
</Properties>
</file>