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A10F9">
      <w:pPr>
        <w:pStyle w:val="3"/>
        <w:rPr>
          <w:rFonts w:hint="eastAsia" w:ascii="宋体" w:hAnsi="宋体" w:eastAsia="宋体" w:cs="宋体"/>
          <w:b/>
          <w:bCs/>
          <w:color w:val="auto"/>
          <w:kern w:val="2"/>
          <w:sz w:val="56"/>
          <w:szCs w:val="72"/>
          <w:highlight w:val="none"/>
          <w:u w:val="none"/>
          <w:lang w:val="en-US" w:eastAsia="zh-CN" w:bidi="ar-SA"/>
        </w:rPr>
      </w:pPr>
      <w:r>
        <w:rPr>
          <w:rFonts w:hint="eastAsia" w:ascii="宋体" w:hAnsi="宋体" w:eastAsia="宋体" w:cs="宋体"/>
          <w:b/>
          <w:bCs/>
          <w:color w:val="auto"/>
          <w:kern w:val="2"/>
          <w:sz w:val="52"/>
          <w:szCs w:val="52"/>
          <w:highlight w:val="none"/>
          <w:u w:val="none"/>
          <w:lang w:val="en-US" w:eastAsia="zh-CN" w:bidi="ar-SA"/>
        </w:rPr>
        <w:drawing>
          <wp:inline distT="0" distB="0" distL="114300" distR="114300">
            <wp:extent cx="6765925" cy="8711565"/>
            <wp:effectExtent l="0" t="0" r="635" b="5715"/>
            <wp:docPr id="19" name="图片 19"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招标文件封面_01"/>
                    <pic:cNvPicPr>
                      <a:picLocks noChangeAspect="1"/>
                    </pic:cNvPicPr>
                  </pic:nvPicPr>
                  <pic:blipFill>
                    <a:blip r:embed="rId27"/>
                    <a:stretch>
                      <a:fillRect/>
                    </a:stretch>
                  </pic:blipFill>
                  <pic:spPr>
                    <a:xfrm>
                      <a:off x="0" y="0"/>
                      <a:ext cx="6765925" cy="8711565"/>
                    </a:xfrm>
                    <a:prstGeom prst="rect">
                      <a:avLst/>
                    </a:prstGeom>
                  </pic:spPr>
                </pic:pic>
              </a:graphicData>
            </a:graphic>
          </wp:inline>
        </w:drawing>
      </w: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highlight w:val="none"/>
        </w:rPr>
        <w:tab/>
      </w:r>
      <w:r>
        <w:rPr>
          <w:sz w:val="24"/>
          <w:szCs w:val="24"/>
          <w:highlight w:val="none"/>
        </w:rPr>
        <w:fldChar w:fldCharType="begin"/>
      </w:r>
      <w:r>
        <w:rPr>
          <w:sz w:val="24"/>
          <w:szCs w:val="24"/>
          <w:highlight w:val="none"/>
        </w:rPr>
        <w:instrText xml:space="preserve"> PAGEREF _Toc30584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highlight w:val="none"/>
        </w:rPr>
        <w:tab/>
      </w:r>
      <w:r>
        <w:rPr>
          <w:sz w:val="24"/>
          <w:szCs w:val="24"/>
          <w:highlight w:val="none"/>
        </w:rPr>
        <w:fldChar w:fldCharType="begin"/>
      </w:r>
      <w:r>
        <w:rPr>
          <w:sz w:val="24"/>
          <w:szCs w:val="24"/>
          <w:highlight w:val="none"/>
        </w:rPr>
        <w:instrText xml:space="preserve"> PAGEREF _Toc1079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highlight w:val="none"/>
        </w:rPr>
        <w:tab/>
      </w:r>
      <w:r>
        <w:rPr>
          <w:sz w:val="24"/>
          <w:szCs w:val="24"/>
          <w:highlight w:val="none"/>
        </w:rPr>
        <w:fldChar w:fldCharType="begin"/>
      </w:r>
      <w:r>
        <w:rPr>
          <w:sz w:val="24"/>
          <w:szCs w:val="24"/>
          <w:highlight w:val="none"/>
        </w:rPr>
        <w:instrText xml:space="preserve"> PAGEREF _Toc14297 \h </w:instrText>
      </w:r>
      <w:r>
        <w:rPr>
          <w:sz w:val="24"/>
          <w:szCs w:val="24"/>
          <w:highlight w:val="none"/>
        </w:rPr>
        <w:fldChar w:fldCharType="separate"/>
      </w:r>
      <w:r>
        <w:rPr>
          <w:sz w:val="24"/>
          <w:szCs w:val="24"/>
          <w:highlight w:val="none"/>
        </w:rPr>
        <w:t>11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highlight w:val="none"/>
        </w:rPr>
        <w:tab/>
      </w:r>
      <w:r>
        <w:rPr>
          <w:sz w:val="24"/>
          <w:szCs w:val="24"/>
          <w:highlight w:val="none"/>
        </w:rPr>
        <w:fldChar w:fldCharType="begin"/>
      </w:r>
      <w:r>
        <w:rPr>
          <w:sz w:val="24"/>
          <w:szCs w:val="24"/>
          <w:highlight w:val="none"/>
        </w:rPr>
        <w:instrText xml:space="preserve"> PAGEREF _Toc9283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highlight w:val="none"/>
        </w:rPr>
        <w:tab/>
      </w:r>
      <w:r>
        <w:rPr>
          <w:sz w:val="24"/>
          <w:szCs w:val="24"/>
          <w:highlight w:val="none"/>
        </w:rPr>
        <w:fldChar w:fldCharType="begin"/>
      </w:r>
      <w:r>
        <w:rPr>
          <w:sz w:val="24"/>
          <w:szCs w:val="24"/>
          <w:highlight w:val="none"/>
        </w:rPr>
        <w:instrText xml:space="preserve"> PAGEREF _Toc19017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val="0"/>
          <w:sz w:val="24"/>
          <w:szCs w:val="24"/>
          <w:highlight w:val="none"/>
          <w:lang w:eastAsia="zh-CN"/>
        </w:rPr>
        <w:t>投标人</w:t>
      </w:r>
      <w:r>
        <w:rPr>
          <w:rFonts w:hint="eastAsia" w:ascii="宋体" w:hAnsi="宋体" w:eastAsia="宋体" w:cs="宋体"/>
          <w:bCs w:val="0"/>
          <w:sz w:val="24"/>
          <w:szCs w:val="24"/>
          <w:highlight w:val="none"/>
        </w:rPr>
        <w:t>资质要求</w:t>
      </w:r>
      <w:r>
        <w:rPr>
          <w:sz w:val="24"/>
          <w:szCs w:val="24"/>
          <w:highlight w:val="none"/>
        </w:rPr>
        <w:tab/>
      </w:r>
      <w:r>
        <w:rPr>
          <w:sz w:val="24"/>
          <w:szCs w:val="24"/>
          <w:highlight w:val="none"/>
        </w:rPr>
        <w:fldChar w:fldCharType="begin"/>
      </w:r>
      <w:r>
        <w:rPr>
          <w:sz w:val="24"/>
          <w:szCs w:val="24"/>
          <w:highlight w:val="none"/>
        </w:rPr>
        <w:instrText xml:space="preserve"> PAGEREF _Toc21208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highlight w:val="none"/>
        </w:rPr>
        <w:tab/>
      </w:r>
      <w:r>
        <w:rPr>
          <w:sz w:val="24"/>
          <w:szCs w:val="24"/>
          <w:highlight w:val="none"/>
        </w:rPr>
        <w:fldChar w:fldCharType="begin"/>
      </w:r>
      <w:r>
        <w:rPr>
          <w:sz w:val="24"/>
          <w:szCs w:val="24"/>
          <w:highlight w:val="none"/>
        </w:rPr>
        <w:instrText xml:space="preserve"> PAGEREF _Toc21490 \h </w:instrText>
      </w:r>
      <w:r>
        <w:rPr>
          <w:sz w:val="24"/>
          <w:szCs w:val="24"/>
          <w:highlight w:val="none"/>
        </w:rPr>
        <w:fldChar w:fldCharType="separate"/>
      </w:r>
      <w:r>
        <w:rPr>
          <w:sz w:val="24"/>
          <w:szCs w:val="24"/>
          <w:highlight w:val="none"/>
        </w:rPr>
        <w:t>14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highlight w:val="none"/>
        </w:rPr>
        <w:tab/>
      </w:r>
      <w:r>
        <w:rPr>
          <w:sz w:val="24"/>
          <w:szCs w:val="24"/>
          <w:highlight w:val="none"/>
        </w:rPr>
        <w:fldChar w:fldCharType="begin"/>
      </w:r>
      <w:r>
        <w:rPr>
          <w:sz w:val="24"/>
          <w:szCs w:val="24"/>
          <w:highlight w:val="none"/>
        </w:rPr>
        <w:instrText xml:space="preserve"> PAGEREF _Toc8255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_Toc11449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highlight w:val="none"/>
        </w:rPr>
        <w:tab/>
      </w:r>
      <w:r>
        <w:rPr>
          <w:sz w:val="24"/>
          <w:szCs w:val="24"/>
          <w:highlight w:val="none"/>
        </w:rPr>
        <w:fldChar w:fldCharType="begin"/>
      </w:r>
      <w:r>
        <w:rPr>
          <w:sz w:val="24"/>
          <w:szCs w:val="24"/>
          <w:highlight w:val="none"/>
        </w:rPr>
        <w:instrText xml:space="preserve"> PAGEREF _Toc11449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highlight w:val="none"/>
        </w:rPr>
        <w:tab/>
      </w:r>
      <w:r>
        <w:rPr>
          <w:sz w:val="24"/>
          <w:szCs w:val="24"/>
          <w:highlight w:val="none"/>
        </w:rPr>
        <w:fldChar w:fldCharType="begin"/>
      </w:r>
      <w:r>
        <w:rPr>
          <w:sz w:val="24"/>
          <w:szCs w:val="24"/>
          <w:highlight w:val="none"/>
        </w:rPr>
        <w:instrText xml:space="preserve"> PAGEREF _Toc21146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highlight w:val="none"/>
        </w:rPr>
        <w:tab/>
      </w:r>
      <w:r>
        <w:rPr>
          <w:sz w:val="24"/>
          <w:szCs w:val="24"/>
          <w:highlight w:val="none"/>
        </w:rPr>
        <w:fldChar w:fldCharType="begin"/>
      </w:r>
      <w:r>
        <w:rPr>
          <w:sz w:val="24"/>
          <w:szCs w:val="24"/>
          <w:highlight w:val="none"/>
        </w:rPr>
        <w:instrText xml:space="preserve"> PAGEREF _Toc24768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highlight w:val="none"/>
        </w:rPr>
        <w:tab/>
      </w:r>
      <w:r>
        <w:rPr>
          <w:sz w:val="24"/>
          <w:szCs w:val="24"/>
          <w:highlight w:val="none"/>
        </w:rPr>
        <w:fldChar w:fldCharType="begin"/>
      </w:r>
      <w:r>
        <w:rPr>
          <w:sz w:val="24"/>
          <w:szCs w:val="24"/>
          <w:highlight w:val="none"/>
        </w:rPr>
        <w:instrText xml:space="preserve"> PAGEREF _Toc20958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highlight w:val="none"/>
        </w:rPr>
        <w:tab/>
      </w:r>
      <w:r>
        <w:rPr>
          <w:sz w:val="24"/>
          <w:szCs w:val="24"/>
          <w:highlight w:val="none"/>
        </w:rPr>
        <w:fldChar w:fldCharType="begin"/>
      </w:r>
      <w:r>
        <w:rPr>
          <w:sz w:val="24"/>
          <w:szCs w:val="24"/>
          <w:highlight w:val="none"/>
        </w:rPr>
        <w:instrText xml:space="preserve"> PAGEREF _Toc6911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highlight w:val="none"/>
        </w:rPr>
        <w:tab/>
      </w:r>
      <w:r>
        <w:rPr>
          <w:sz w:val="24"/>
          <w:szCs w:val="24"/>
          <w:highlight w:val="none"/>
        </w:rPr>
        <w:fldChar w:fldCharType="begin"/>
      </w:r>
      <w:r>
        <w:rPr>
          <w:sz w:val="24"/>
          <w:szCs w:val="24"/>
          <w:highlight w:val="none"/>
        </w:rPr>
        <w:instrText xml:space="preserve"> PAGEREF _Toc23711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_Toc10599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highlight w:val="none"/>
        </w:rPr>
        <w:tab/>
      </w:r>
      <w:r>
        <w:rPr>
          <w:sz w:val="24"/>
          <w:szCs w:val="24"/>
          <w:highlight w:val="none"/>
        </w:rPr>
        <w:fldChar w:fldCharType="begin"/>
      </w:r>
      <w:r>
        <w:rPr>
          <w:sz w:val="24"/>
          <w:szCs w:val="24"/>
          <w:highlight w:val="none"/>
        </w:rPr>
        <w:instrText xml:space="preserve"> PAGEREF _Toc10599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highlight w:val="none"/>
        </w:rPr>
        <w:tab/>
      </w:r>
      <w:r>
        <w:rPr>
          <w:sz w:val="24"/>
          <w:szCs w:val="24"/>
          <w:highlight w:val="none"/>
        </w:rPr>
        <w:fldChar w:fldCharType="begin"/>
      </w:r>
      <w:r>
        <w:rPr>
          <w:sz w:val="24"/>
          <w:szCs w:val="24"/>
          <w:highlight w:val="none"/>
        </w:rPr>
        <w:instrText xml:space="preserve"> PAGEREF _Toc5126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_Toc3957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highlight w:val="none"/>
        </w:rPr>
        <w:tab/>
      </w:r>
      <w:r>
        <w:rPr>
          <w:sz w:val="24"/>
          <w:szCs w:val="24"/>
          <w:highlight w:val="none"/>
        </w:rPr>
        <w:fldChar w:fldCharType="begin"/>
      </w:r>
      <w:r>
        <w:rPr>
          <w:sz w:val="24"/>
          <w:szCs w:val="24"/>
          <w:highlight w:val="none"/>
        </w:rPr>
        <w:instrText xml:space="preserve"> PAGEREF _Toc3957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highlight w:val="none"/>
        </w:rPr>
        <w:tab/>
      </w:r>
      <w:r>
        <w:rPr>
          <w:sz w:val="24"/>
          <w:szCs w:val="24"/>
          <w:highlight w:val="none"/>
        </w:rPr>
        <w:fldChar w:fldCharType="begin"/>
      </w:r>
      <w:r>
        <w:rPr>
          <w:sz w:val="24"/>
          <w:szCs w:val="24"/>
          <w:highlight w:val="none"/>
        </w:rPr>
        <w:instrText xml:space="preserve"> PAGEREF _Toc8365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highlight w:val="none"/>
        </w:rPr>
        <w:tab/>
      </w:r>
      <w:r>
        <w:rPr>
          <w:sz w:val="24"/>
          <w:szCs w:val="24"/>
          <w:highlight w:val="none"/>
        </w:rPr>
        <w:fldChar w:fldCharType="begin"/>
      </w:r>
      <w:r>
        <w:rPr>
          <w:sz w:val="24"/>
          <w:szCs w:val="24"/>
          <w:highlight w:val="none"/>
        </w:rPr>
        <w:instrText xml:space="preserve"> PAGEREF _Toc554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sz w:val="24"/>
          <w:szCs w:val="24"/>
          <w:highlight w:val="none"/>
        </w:rPr>
      </w:pPr>
      <w:r>
        <w:rPr>
          <w:rFonts w:hint="eastAsia" w:ascii="宋体" w:hAnsi="宋体" w:eastAsia="宋体" w:cs="宋体"/>
          <w:bCs/>
          <w:snapToGrid w:val="0"/>
          <w:color w:val="000000"/>
          <w:spacing w:val="-11"/>
          <w:sz w:val="24"/>
          <w:szCs w:val="24"/>
          <w:highlight w:val="none"/>
          <w:lang w:val="en-US" w:eastAsia="en-US" w:bidi="ar-SA"/>
        </w:rPr>
        <w:t>16</w:t>
      </w:r>
      <w:r>
        <w:rPr>
          <w:rFonts w:hint="eastAsia" w:ascii="宋体" w:hAnsi="宋体" w:eastAsia="宋体" w:cs="宋体"/>
          <w:bCs/>
          <w:snapToGrid w:val="0"/>
          <w:color w:val="000000"/>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_Toc32569 </w:instrText>
      </w:r>
      <w:r>
        <w:rPr>
          <w:rFonts w:hint="eastAsia" w:ascii="宋体" w:hAnsi="宋体" w:eastAsia="宋体" w:cs="宋体"/>
          <w:sz w:val="24"/>
          <w:szCs w:val="24"/>
          <w:highlight w:val="none"/>
        </w:rPr>
        <w:fldChar w:fldCharType="separate"/>
      </w:r>
      <w:r>
        <w:rPr>
          <w:sz w:val="24"/>
          <w:szCs w:val="24"/>
          <w:highlight w:val="none"/>
        </w:rPr>
        <w:tab/>
      </w:r>
      <w:r>
        <w:rPr>
          <w:sz w:val="24"/>
          <w:szCs w:val="24"/>
          <w:highlight w:val="none"/>
        </w:rPr>
        <w:fldChar w:fldCharType="begin"/>
      </w:r>
      <w:r>
        <w:rPr>
          <w:sz w:val="24"/>
          <w:szCs w:val="24"/>
          <w:highlight w:val="none"/>
        </w:rPr>
        <w:instrText xml:space="preserve"> PAGEREF _Toc32569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highlight w:val="none"/>
        </w:rPr>
        <w:tab/>
      </w:r>
      <w:r>
        <w:rPr>
          <w:sz w:val="24"/>
          <w:szCs w:val="24"/>
          <w:highlight w:val="none"/>
        </w:rPr>
        <w:fldChar w:fldCharType="begin"/>
      </w:r>
      <w:r>
        <w:rPr>
          <w:sz w:val="24"/>
          <w:szCs w:val="24"/>
          <w:highlight w:val="none"/>
        </w:rPr>
        <w:instrText xml:space="preserve"> PAGEREF _Toc16554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highlight w:val="none"/>
        </w:rPr>
        <w:tab/>
      </w:r>
      <w:r>
        <w:rPr>
          <w:sz w:val="24"/>
          <w:szCs w:val="24"/>
          <w:highlight w:val="none"/>
        </w:rPr>
        <w:fldChar w:fldCharType="begin"/>
      </w:r>
      <w:r>
        <w:rPr>
          <w:sz w:val="24"/>
          <w:szCs w:val="24"/>
          <w:highlight w:val="none"/>
        </w:rPr>
        <w:instrText xml:space="preserve"> PAGEREF _Toc15082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highlight w:val="none"/>
        </w:rPr>
        <w:tab/>
      </w:r>
      <w:r>
        <w:rPr>
          <w:sz w:val="24"/>
          <w:szCs w:val="24"/>
          <w:highlight w:val="none"/>
        </w:rPr>
        <w:fldChar w:fldCharType="begin"/>
      </w:r>
      <w:r>
        <w:rPr>
          <w:sz w:val="24"/>
          <w:szCs w:val="24"/>
          <w:highlight w:val="none"/>
        </w:rPr>
        <w:instrText xml:space="preserve"> PAGEREF _Toc5925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highlight w:val="none"/>
        </w:rPr>
        <w:tab/>
      </w:r>
      <w:r>
        <w:rPr>
          <w:sz w:val="24"/>
          <w:szCs w:val="24"/>
          <w:highlight w:val="none"/>
        </w:rPr>
        <w:fldChar w:fldCharType="begin"/>
      </w:r>
      <w:r>
        <w:rPr>
          <w:sz w:val="24"/>
          <w:szCs w:val="24"/>
          <w:highlight w:val="none"/>
        </w:rPr>
        <w:instrText xml:space="preserve"> PAGEREF _Toc19828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_Toc1458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五</w:t>
      </w:r>
      <w:r>
        <w:rPr>
          <w:rFonts w:hint="eastAsia" w:ascii="宋体" w:hAnsi="宋体" w:eastAsia="宋体" w:cs="宋体"/>
          <w:bCs/>
          <w:spacing w:val="-3"/>
          <w:sz w:val="24"/>
          <w:szCs w:val="24"/>
          <w:highlight w:val="none"/>
        </w:rPr>
        <w:t>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_Toc22243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highlight w:val="none"/>
        </w:rPr>
        <w:tab/>
      </w:r>
      <w:r>
        <w:rPr>
          <w:sz w:val="24"/>
          <w:szCs w:val="24"/>
          <w:highlight w:val="none"/>
        </w:rPr>
        <w:fldChar w:fldCharType="begin"/>
      </w:r>
      <w:r>
        <w:rPr>
          <w:sz w:val="24"/>
          <w:szCs w:val="24"/>
          <w:highlight w:val="none"/>
        </w:rPr>
        <w:instrText xml:space="preserve"> PAGEREF _Toc4926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_Toc13655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highlight w:val="none"/>
        </w:rPr>
        <w:tab/>
      </w:r>
      <w:r>
        <w:rPr>
          <w:sz w:val="24"/>
          <w:szCs w:val="24"/>
          <w:highlight w:val="none"/>
        </w:rPr>
        <w:fldChar w:fldCharType="begin"/>
      </w:r>
      <w:r>
        <w:rPr>
          <w:sz w:val="24"/>
          <w:szCs w:val="24"/>
          <w:highlight w:val="none"/>
        </w:rPr>
        <w:instrText xml:space="preserve"> PAGEREF _Toc13655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highlight w:val="none"/>
        </w:rPr>
        <w:tab/>
      </w:r>
      <w:r>
        <w:rPr>
          <w:sz w:val="24"/>
          <w:szCs w:val="24"/>
          <w:highlight w:val="none"/>
        </w:rPr>
        <w:fldChar w:fldCharType="begin"/>
      </w:r>
      <w:r>
        <w:rPr>
          <w:sz w:val="24"/>
          <w:szCs w:val="24"/>
          <w:highlight w:val="none"/>
        </w:rPr>
        <w:instrText xml:space="preserve"> PAGEREF _Toc21697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highlight w:val="none"/>
        </w:rPr>
        <w:tab/>
      </w:r>
      <w:r>
        <w:rPr>
          <w:sz w:val="24"/>
          <w:szCs w:val="24"/>
          <w:highlight w:val="none"/>
        </w:rPr>
        <w:fldChar w:fldCharType="begin"/>
      </w:r>
      <w:r>
        <w:rPr>
          <w:sz w:val="24"/>
          <w:szCs w:val="24"/>
          <w:highlight w:val="none"/>
        </w:rPr>
        <w:instrText xml:space="preserve"> PAGEREF _Toc979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_Toc13145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highlight w:val="none"/>
        </w:rPr>
        <w:tab/>
      </w:r>
      <w:r>
        <w:rPr>
          <w:sz w:val="24"/>
          <w:szCs w:val="24"/>
          <w:highlight w:val="none"/>
        </w:rPr>
        <w:fldChar w:fldCharType="begin"/>
      </w:r>
      <w:r>
        <w:rPr>
          <w:sz w:val="24"/>
          <w:szCs w:val="24"/>
          <w:highlight w:val="none"/>
        </w:rPr>
        <w:instrText xml:space="preserve"> PAGEREF _Toc13145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highlight w:val="none"/>
        </w:rPr>
        <w:tab/>
      </w:r>
      <w:r>
        <w:rPr>
          <w:sz w:val="24"/>
          <w:szCs w:val="24"/>
          <w:highlight w:val="none"/>
        </w:rPr>
        <w:fldChar w:fldCharType="begin"/>
      </w:r>
      <w:r>
        <w:rPr>
          <w:sz w:val="24"/>
          <w:szCs w:val="24"/>
          <w:highlight w:val="none"/>
        </w:rPr>
        <w:instrText xml:space="preserve"> PAGEREF _Toc133 \h </w:instrText>
      </w:r>
      <w:r>
        <w:rPr>
          <w:sz w:val="24"/>
          <w:szCs w:val="24"/>
          <w:highlight w:val="none"/>
        </w:rPr>
        <w:fldChar w:fldCharType="separate"/>
      </w:r>
      <w:r>
        <w:rPr>
          <w:sz w:val="24"/>
          <w:szCs w:val="24"/>
          <w:highlight w:val="none"/>
        </w:rPr>
        <w:t>47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5</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6"/>
          <w:sz w:val="24"/>
          <w:szCs w:val="24"/>
          <w:highlight w:val="none"/>
        </w:rPr>
        <w:t>．放弃中标的处理</w:t>
      </w:r>
      <w:r>
        <w:rPr>
          <w:sz w:val="24"/>
          <w:szCs w:val="24"/>
          <w:highlight w:val="none"/>
        </w:rPr>
        <w:tab/>
      </w:r>
      <w:r>
        <w:rPr>
          <w:sz w:val="24"/>
          <w:szCs w:val="24"/>
          <w:highlight w:val="none"/>
        </w:rPr>
        <w:fldChar w:fldCharType="begin"/>
      </w:r>
      <w:r>
        <w:rPr>
          <w:sz w:val="24"/>
          <w:szCs w:val="24"/>
          <w:highlight w:val="none"/>
        </w:rPr>
        <w:instrText xml:space="preserve"> PAGEREF _Toc4089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_Toc7715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highlight w:val="none"/>
        </w:rPr>
        <w:tab/>
      </w:r>
      <w:r>
        <w:rPr>
          <w:sz w:val="24"/>
          <w:szCs w:val="24"/>
          <w:highlight w:val="none"/>
        </w:rPr>
        <w:fldChar w:fldCharType="begin"/>
      </w:r>
      <w:r>
        <w:rPr>
          <w:sz w:val="24"/>
          <w:szCs w:val="24"/>
          <w:highlight w:val="none"/>
        </w:rPr>
        <w:instrText xml:space="preserve"> PAGEREF _Toc7715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_Toc6603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highlight w:val="none"/>
        </w:rPr>
        <w:tab/>
      </w:r>
      <w:r>
        <w:rPr>
          <w:sz w:val="24"/>
          <w:szCs w:val="24"/>
          <w:highlight w:val="none"/>
        </w:rPr>
        <w:fldChar w:fldCharType="begin"/>
      </w:r>
      <w:r>
        <w:rPr>
          <w:sz w:val="24"/>
          <w:szCs w:val="24"/>
          <w:highlight w:val="none"/>
        </w:rPr>
        <w:instrText xml:space="preserve"> PAGEREF _Toc6603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highlight w:val="none"/>
        </w:rPr>
        <w:tab/>
      </w:r>
      <w:r>
        <w:rPr>
          <w:sz w:val="24"/>
          <w:szCs w:val="24"/>
          <w:highlight w:val="none"/>
        </w:rPr>
        <w:fldChar w:fldCharType="begin"/>
      </w:r>
      <w:r>
        <w:rPr>
          <w:sz w:val="24"/>
          <w:szCs w:val="24"/>
          <w:highlight w:val="none"/>
        </w:rPr>
        <w:instrText xml:space="preserve"> PAGEREF _Toc24910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_Toc5247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highlight w:val="none"/>
        </w:rPr>
        <w:tab/>
      </w:r>
      <w:r>
        <w:rPr>
          <w:sz w:val="24"/>
          <w:szCs w:val="24"/>
          <w:highlight w:val="none"/>
        </w:rPr>
        <w:fldChar w:fldCharType="begin"/>
      </w:r>
      <w:r>
        <w:rPr>
          <w:sz w:val="24"/>
          <w:szCs w:val="24"/>
          <w:highlight w:val="none"/>
        </w:rPr>
        <w:instrText xml:space="preserve"> PAGEREF _Toc5247 \h </w:instrText>
      </w:r>
      <w:r>
        <w:rPr>
          <w:sz w:val="24"/>
          <w:szCs w:val="24"/>
          <w:highlight w:val="none"/>
        </w:rPr>
        <w:fldChar w:fldCharType="separate"/>
      </w:r>
      <w:r>
        <w:rPr>
          <w:sz w:val="24"/>
          <w:szCs w:val="24"/>
          <w:highlight w:val="none"/>
        </w:rPr>
        <w:t>55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highlight w:val="none"/>
        </w:rPr>
        <w:tab/>
      </w:r>
      <w:r>
        <w:rPr>
          <w:sz w:val="24"/>
          <w:szCs w:val="24"/>
          <w:highlight w:val="none"/>
        </w:rPr>
        <w:fldChar w:fldCharType="begin"/>
      </w:r>
      <w:r>
        <w:rPr>
          <w:sz w:val="24"/>
          <w:szCs w:val="24"/>
          <w:highlight w:val="none"/>
        </w:rPr>
        <w:instrText xml:space="preserve"> PAGEREF _Toc29229 \h </w:instrText>
      </w:r>
      <w:r>
        <w:rPr>
          <w:sz w:val="24"/>
          <w:szCs w:val="24"/>
          <w:highlight w:val="none"/>
        </w:rPr>
        <w:fldChar w:fldCharType="separate"/>
      </w:r>
      <w:r>
        <w:rPr>
          <w:sz w:val="24"/>
          <w:szCs w:val="24"/>
          <w:highlight w:val="none"/>
        </w:rPr>
        <w:t>57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_Toc30225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highlight w:val="none"/>
        </w:rPr>
        <w:tab/>
      </w:r>
      <w:r>
        <w:rPr>
          <w:sz w:val="24"/>
          <w:szCs w:val="24"/>
          <w:highlight w:val="none"/>
        </w:rPr>
        <w:fldChar w:fldCharType="begin"/>
      </w:r>
      <w:r>
        <w:rPr>
          <w:sz w:val="24"/>
          <w:szCs w:val="24"/>
          <w:highlight w:val="none"/>
        </w:rPr>
        <w:instrText xml:space="preserve"> PAGEREF _Toc19340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highlight w:val="none"/>
        </w:rPr>
        <w:tab/>
      </w:r>
      <w:r>
        <w:rPr>
          <w:sz w:val="24"/>
          <w:szCs w:val="24"/>
          <w:highlight w:val="none"/>
        </w:rPr>
        <w:fldChar w:fldCharType="begin"/>
      </w:r>
      <w:r>
        <w:rPr>
          <w:sz w:val="24"/>
          <w:szCs w:val="24"/>
          <w:highlight w:val="none"/>
        </w:rPr>
        <w:instrText xml:space="preserve"> PAGEREF _Toc16340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_Toc31813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highlight w:val="none"/>
        </w:rPr>
        <w:tab/>
      </w:r>
      <w:r>
        <w:rPr>
          <w:sz w:val="24"/>
          <w:szCs w:val="24"/>
          <w:highlight w:val="none"/>
        </w:rPr>
        <w:fldChar w:fldCharType="begin"/>
      </w:r>
      <w:r>
        <w:rPr>
          <w:sz w:val="24"/>
          <w:szCs w:val="24"/>
          <w:highlight w:val="none"/>
        </w:rPr>
        <w:instrText xml:space="preserve"> PAGEREF _Toc31813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highlight w:val="none"/>
        </w:rPr>
        <w:tab/>
      </w:r>
      <w:r>
        <w:rPr>
          <w:sz w:val="24"/>
          <w:szCs w:val="24"/>
          <w:highlight w:val="none"/>
        </w:rPr>
        <w:fldChar w:fldCharType="begin"/>
      </w:r>
      <w:r>
        <w:rPr>
          <w:sz w:val="24"/>
          <w:szCs w:val="24"/>
          <w:highlight w:val="none"/>
        </w:rPr>
        <w:instrText xml:space="preserve"> PAGEREF _Toc21699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highlight w:val="none"/>
        </w:rPr>
        <w:tab/>
      </w:r>
      <w:r>
        <w:rPr>
          <w:sz w:val="24"/>
          <w:szCs w:val="24"/>
          <w:highlight w:val="none"/>
        </w:rPr>
        <w:fldChar w:fldCharType="begin"/>
      </w:r>
      <w:r>
        <w:rPr>
          <w:sz w:val="24"/>
          <w:szCs w:val="24"/>
          <w:highlight w:val="none"/>
        </w:rPr>
        <w:instrText xml:space="preserve"> PAGEREF _Toc21706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highlight w:val="none"/>
        </w:rPr>
        <w:tab/>
      </w:r>
      <w:r>
        <w:rPr>
          <w:sz w:val="24"/>
          <w:szCs w:val="24"/>
          <w:highlight w:val="none"/>
        </w:rPr>
        <w:fldChar w:fldCharType="begin"/>
      </w:r>
      <w:r>
        <w:rPr>
          <w:sz w:val="24"/>
          <w:szCs w:val="24"/>
          <w:highlight w:val="none"/>
        </w:rPr>
        <w:instrText xml:space="preserve"> PAGEREF _Toc24419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highlight w:val="none"/>
        </w:rPr>
        <w:tab/>
      </w:r>
      <w:r>
        <w:rPr>
          <w:sz w:val="24"/>
          <w:szCs w:val="24"/>
          <w:highlight w:val="none"/>
        </w:rPr>
        <w:fldChar w:fldCharType="begin"/>
      </w:r>
      <w:r>
        <w:rPr>
          <w:sz w:val="24"/>
          <w:szCs w:val="24"/>
          <w:highlight w:val="none"/>
        </w:rPr>
        <w:instrText xml:space="preserve"> PAGEREF _Toc27130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highlight w:val="none"/>
        </w:rPr>
        <w:tab/>
      </w:r>
      <w:r>
        <w:rPr>
          <w:sz w:val="24"/>
          <w:szCs w:val="24"/>
          <w:highlight w:val="none"/>
        </w:rPr>
        <w:fldChar w:fldCharType="begin"/>
      </w:r>
      <w:r>
        <w:rPr>
          <w:sz w:val="24"/>
          <w:szCs w:val="24"/>
          <w:highlight w:val="none"/>
        </w:rPr>
        <w:instrText xml:space="preserve"> PAGEREF _Toc11203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_Toc24492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highlight w:val="none"/>
        </w:rPr>
        <w:tab/>
      </w:r>
      <w:r>
        <w:rPr>
          <w:sz w:val="24"/>
          <w:szCs w:val="24"/>
          <w:highlight w:val="none"/>
        </w:rPr>
        <w:fldChar w:fldCharType="begin"/>
      </w:r>
      <w:r>
        <w:rPr>
          <w:sz w:val="24"/>
          <w:szCs w:val="24"/>
          <w:highlight w:val="none"/>
        </w:rPr>
        <w:instrText xml:space="preserve"> PAGEREF _Toc24492 \h </w:instrText>
      </w:r>
      <w:r>
        <w:rPr>
          <w:sz w:val="24"/>
          <w:szCs w:val="24"/>
          <w:highlight w:val="none"/>
        </w:rPr>
        <w:fldChar w:fldCharType="separate"/>
      </w:r>
      <w:r>
        <w:rPr>
          <w:sz w:val="24"/>
          <w:szCs w:val="24"/>
          <w:highlight w:val="none"/>
        </w:rPr>
        <w:t>69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highlight w:val="none"/>
        </w:rPr>
        <w:tab/>
      </w:r>
      <w:r>
        <w:rPr>
          <w:sz w:val="24"/>
          <w:szCs w:val="24"/>
          <w:highlight w:val="none"/>
        </w:rPr>
        <w:fldChar w:fldCharType="begin"/>
      </w:r>
      <w:r>
        <w:rPr>
          <w:sz w:val="24"/>
          <w:szCs w:val="24"/>
          <w:highlight w:val="none"/>
        </w:rPr>
        <w:instrText xml:space="preserve"> PAGEREF _Toc15958 \h </w:instrText>
      </w:r>
      <w:r>
        <w:rPr>
          <w:sz w:val="24"/>
          <w:szCs w:val="24"/>
          <w:highlight w:val="none"/>
        </w:rPr>
        <w:fldChar w:fldCharType="separate"/>
      </w:r>
      <w:r>
        <w:rPr>
          <w:sz w:val="24"/>
          <w:szCs w:val="24"/>
          <w:highlight w:val="none"/>
        </w:rPr>
        <w:t>70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highlight w:val="none"/>
        </w:rPr>
        <w:tab/>
      </w:r>
      <w:r>
        <w:rPr>
          <w:sz w:val="24"/>
          <w:szCs w:val="24"/>
          <w:highlight w:val="none"/>
        </w:rPr>
        <w:fldChar w:fldCharType="begin"/>
      </w:r>
      <w:r>
        <w:rPr>
          <w:sz w:val="24"/>
          <w:szCs w:val="24"/>
          <w:highlight w:val="none"/>
        </w:rPr>
        <w:instrText xml:space="preserve"> PAGEREF _Toc16537 \h </w:instrText>
      </w:r>
      <w:r>
        <w:rPr>
          <w:sz w:val="24"/>
          <w:szCs w:val="24"/>
          <w:highlight w:val="none"/>
        </w:rPr>
        <w:fldChar w:fldCharType="separate"/>
      </w:r>
      <w:r>
        <w:rPr>
          <w:sz w:val="24"/>
          <w:szCs w:val="24"/>
          <w:highlight w:val="none"/>
        </w:rPr>
        <w:t>72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_Toc30394 \h </w:instrText>
      </w:r>
      <w:r>
        <w:rPr>
          <w:sz w:val="24"/>
          <w:szCs w:val="24"/>
          <w:highlight w:val="none"/>
        </w:rPr>
        <w:fldChar w:fldCharType="separate"/>
      </w:r>
      <w:r>
        <w:rPr>
          <w:sz w:val="24"/>
          <w:szCs w:val="24"/>
          <w:highlight w:val="none"/>
        </w:rPr>
        <w:t>73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highlight w:val="none"/>
        </w:rPr>
        <w:tab/>
      </w:r>
      <w:r>
        <w:rPr>
          <w:sz w:val="24"/>
          <w:szCs w:val="24"/>
          <w:highlight w:val="none"/>
        </w:rPr>
        <w:fldChar w:fldCharType="begin"/>
      </w:r>
      <w:r>
        <w:rPr>
          <w:sz w:val="24"/>
          <w:szCs w:val="24"/>
          <w:highlight w:val="none"/>
        </w:rPr>
        <w:instrText xml:space="preserve"> PAGEREF _Toc5771 \h </w:instrText>
      </w:r>
      <w:r>
        <w:rPr>
          <w:sz w:val="24"/>
          <w:szCs w:val="24"/>
          <w:highlight w:val="none"/>
        </w:rPr>
        <w:fldChar w:fldCharType="separate"/>
      </w:r>
      <w:r>
        <w:rPr>
          <w:sz w:val="24"/>
          <w:szCs w:val="24"/>
          <w:highlight w:val="none"/>
        </w:rPr>
        <w:t>74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highlight w:val="none"/>
        </w:rPr>
        <w:tab/>
      </w:r>
      <w:r>
        <w:rPr>
          <w:sz w:val="24"/>
          <w:szCs w:val="24"/>
          <w:highlight w:val="none"/>
        </w:rPr>
        <w:fldChar w:fldCharType="begin"/>
      </w:r>
      <w:r>
        <w:rPr>
          <w:sz w:val="24"/>
          <w:szCs w:val="24"/>
          <w:highlight w:val="none"/>
        </w:rPr>
        <w:instrText xml:space="preserve"> PAGEREF _Toc17838 \h </w:instrText>
      </w:r>
      <w:r>
        <w:rPr>
          <w:sz w:val="24"/>
          <w:szCs w:val="24"/>
          <w:highlight w:val="none"/>
        </w:rPr>
        <w:fldChar w:fldCharType="separate"/>
      </w:r>
      <w:r>
        <w:rPr>
          <w:sz w:val="24"/>
          <w:szCs w:val="24"/>
          <w:highlight w:val="none"/>
        </w:rPr>
        <w:t>75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highlight w:val="none"/>
        </w:rPr>
        <w:tab/>
      </w:r>
      <w:r>
        <w:rPr>
          <w:sz w:val="24"/>
          <w:szCs w:val="24"/>
          <w:highlight w:val="none"/>
        </w:rPr>
        <w:fldChar w:fldCharType="begin"/>
      </w:r>
      <w:r>
        <w:rPr>
          <w:sz w:val="24"/>
          <w:szCs w:val="24"/>
          <w:highlight w:val="none"/>
        </w:rPr>
        <w:instrText xml:space="preserve"> PAGEREF _Toc19699 \h </w:instrText>
      </w:r>
      <w:r>
        <w:rPr>
          <w:sz w:val="24"/>
          <w:szCs w:val="24"/>
          <w:highlight w:val="none"/>
        </w:rPr>
        <w:fldChar w:fldCharType="separate"/>
      </w:r>
      <w:r>
        <w:rPr>
          <w:sz w:val="24"/>
          <w:szCs w:val="24"/>
          <w:highlight w:val="none"/>
        </w:rPr>
        <w:t>76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highlight w:val="none"/>
        </w:rPr>
        <w:tab/>
      </w:r>
      <w:r>
        <w:rPr>
          <w:sz w:val="24"/>
          <w:szCs w:val="24"/>
          <w:highlight w:val="none"/>
        </w:rPr>
        <w:fldChar w:fldCharType="begin"/>
      </w:r>
      <w:r>
        <w:rPr>
          <w:sz w:val="24"/>
          <w:szCs w:val="24"/>
          <w:highlight w:val="none"/>
        </w:rPr>
        <w:instrText xml:space="preserve"> PAGEREF _Toc30661 \h </w:instrText>
      </w:r>
      <w:r>
        <w:rPr>
          <w:sz w:val="24"/>
          <w:szCs w:val="24"/>
          <w:highlight w:val="none"/>
        </w:rPr>
        <w:fldChar w:fldCharType="separate"/>
      </w:r>
      <w:r>
        <w:rPr>
          <w:sz w:val="24"/>
          <w:szCs w:val="24"/>
          <w:highlight w:val="none"/>
        </w:rPr>
        <w:t>77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highlight w:val="none"/>
        </w:rPr>
        <w:tab/>
      </w:r>
      <w:r>
        <w:rPr>
          <w:sz w:val="24"/>
          <w:szCs w:val="24"/>
          <w:highlight w:val="none"/>
        </w:rPr>
        <w:fldChar w:fldCharType="begin"/>
      </w:r>
      <w:r>
        <w:rPr>
          <w:sz w:val="24"/>
          <w:szCs w:val="24"/>
          <w:highlight w:val="none"/>
        </w:rPr>
        <w:instrText xml:space="preserve"> PAGEREF _Toc31071 \h </w:instrText>
      </w:r>
      <w:r>
        <w:rPr>
          <w:sz w:val="24"/>
          <w:szCs w:val="24"/>
          <w:highlight w:val="none"/>
        </w:rPr>
        <w:fldChar w:fldCharType="separate"/>
      </w:r>
      <w:r>
        <w:rPr>
          <w:sz w:val="24"/>
          <w:szCs w:val="24"/>
          <w:highlight w:val="none"/>
        </w:rPr>
        <w:t>78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highlight w:val="none"/>
        </w:rPr>
        <w:tab/>
      </w:r>
      <w:r>
        <w:rPr>
          <w:sz w:val="24"/>
          <w:szCs w:val="24"/>
          <w:highlight w:val="none"/>
        </w:rPr>
        <w:fldChar w:fldCharType="begin"/>
      </w:r>
      <w:r>
        <w:rPr>
          <w:sz w:val="24"/>
          <w:szCs w:val="24"/>
          <w:highlight w:val="none"/>
        </w:rPr>
        <w:instrText xml:space="preserve"> PAGEREF _Toc25235 \h </w:instrText>
      </w:r>
      <w:r>
        <w:rPr>
          <w:sz w:val="24"/>
          <w:szCs w:val="24"/>
          <w:highlight w:val="none"/>
        </w:rPr>
        <w:fldChar w:fldCharType="separate"/>
      </w:r>
      <w:r>
        <w:rPr>
          <w:sz w:val="24"/>
          <w:szCs w:val="24"/>
          <w:highlight w:val="none"/>
        </w:rPr>
        <w:t>79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highlight w:val="none"/>
        </w:rPr>
        <w:tab/>
      </w:r>
      <w:r>
        <w:rPr>
          <w:sz w:val="24"/>
          <w:szCs w:val="24"/>
          <w:highlight w:val="none"/>
        </w:rPr>
        <w:fldChar w:fldCharType="begin"/>
      </w:r>
      <w:r>
        <w:rPr>
          <w:sz w:val="24"/>
          <w:szCs w:val="24"/>
          <w:highlight w:val="none"/>
        </w:rPr>
        <w:instrText xml:space="preserve"> PAGEREF _Toc16480 \h </w:instrText>
      </w:r>
      <w:r>
        <w:rPr>
          <w:sz w:val="24"/>
          <w:szCs w:val="24"/>
          <w:highlight w:val="none"/>
        </w:rPr>
        <w:fldChar w:fldCharType="separate"/>
      </w:r>
      <w:r>
        <w:rPr>
          <w:sz w:val="24"/>
          <w:szCs w:val="24"/>
          <w:highlight w:val="none"/>
        </w:rPr>
        <w:t>80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7"/>
          <w:sz w:val="24"/>
          <w:szCs w:val="24"/>
          <w:highlight w:val="none"/>
        </w:rPr>
        <w:t>危险性较大的分部分项工程清单及超过一定规模的危险性较大的</w:t>
      </w:r>
      <w:r>
        <w:rPr>
          <w:rFonts w:hint="eastAsia" w:ascii="宋体" w:hAnsi="宋体" w:eastAsia="宋体" w:cs="宋体"/>
          <w:bCs/>
          <w:spacing w:val="5"/>
          <w:sz w:val="24"/>
          <w:szCs w:val="24"/>
          <w:highlight w:val="none"/>
        </w:rPr>
        <w:t>分部分项工程清单</w:t>
      </w:r>
      <w:r>
        <w:rPr>
          <w:sz w:val="24"/>
          <w:szCs w:val="24"/>
          <w:highlight w:val="none"/>
        </w:rPr>
        <w:tab/>
      </w:r>
      <w:r>
        <w:rPr>
          <w:sz w:val="24"/>
          <w:szCs w:val="24"/>
          <w:highlight w:val="none"/>
        </w:rPr>
        <w:fldChar w:fldCharType="begin"/>
      </w:r>
      <w:r>
        <w:rPr>
          <w:sz w:val="24"/>
          <w:szCs w:val="24"/>
          <w:highlight w:val="none"/>
        </w:rPr>
        <w:instrText xml:space="preserve"> PAGEREF _Toc28779 \h </w:instrText>
      </w:r>
      <w:r>
        <w:rPr>
          <w:sz w:val="24"/>
          <w:szCs w:val="24"/>
          <w:highlight w:val="none"/>
        </w:rPr>
        <w:fldChar w:fldCharType="separate"/>
      </w:r>
      <w:r>
        <w:rPr>
          <w:sz w:val="24"/>
          <w:szCs w:val="24"/>
          <w:highlight w:val="none"/>
        </w:rPr>
        <w:t>82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highlight w:val="none"/>
        </w:rPr>
        <w:tab/>
      </w:r>
      <w:r>
        <w:rPr>
          <w:sz w:val="24"/>
          <w:szCs w:val="24"/>
          <w:highlight w:val="none"/>
        </w:rPr>
        <w:fldChar w:fldCharType="begin"/>
      </w:r>
      <w:r>
        <w:rPr>
          <w:sz w:val="24"/>
          <w:szCs w:val="24"/>
          <w:highlight w:val="none"/>
        </w:rPr>
        <w:instrText xml:space="preserve"> PAGEREF _Toc738 \h </w:instrText>
      </w:r>
      <w:r>
        <w:rPr>
          <w:sz w:val="24"/>
          <w:szCs w:val="24"/>
          <w:highlight w:val="none"/>
        </w:rPr>
        <w:fldChar w:fldCharType="separate"/>
      </w:r>
      <w:r>
        <w:rPr>
          <w:sz w:val="24"/>
          <w:szCs w:val="24"/>
          <w:highlight w:val="none"/>
        </w:rPr>
        <w:t>87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_Toc9960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highlight w:val="none"/>
        </w:rPr>
        <w:tab/>
      </w:r>
      <w:r>
        <w:rPr>
          <w:sz w:val="24"/>
          <w:szCs w:val="24"/>
          <w:highlight w:val="none"/>
        </w:rPr>
        <w:fldChar w:fldCharType="begin"/>
      </w:r>
      <w:r>
        <w:rPr>
          <w:sz w:val="24"/>
          <w:szCs w:val="24"/>
          <w:highlight w:val="none"/>
        </w:rPr>
        <w:instrText xml:space="preserve"> PAGEREF _Toc9960 \h </w:instrText>
      </w:r>
      <w:r>
        <w:rPr>
          <w:sz w:val="24"/>
          <w:szCs w:val="24"/>
          <w:highlight w:val="none"/>
        </w:rPr>
        <w:fldChar w:fldCharType="separate"/>
      </w:r>
      <w:r>
        <w:rPr>
          <w:sz w:val="24"/>
          <w:szCs w:val="24"/>
          <w:highlight w:val="none"/>
        </w:rPr>
        <w:t>88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_Toc7940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val="en-US" w:eastAsia="zh-CN"/>
        </w:rPr>
        <w:t>格式十六 助力项目承诺书</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_Toc7940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89</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_Toc26323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eastAsia="zh-CN"/>
        </w:rPr>
        <w:t>格式十</w:t>
      </w:r>
      <w:r>
        <w:rPr>
          <w:rFonts w:hint="eastAsia" w:ascii="宋体" w:hAnsi="宋体" w:eastAsia="宋体" w:cs="宋体"/>
          <w:bCs/>
          <w:spacing w:val="-4"/>
          <w:sz w:val="24"/>
          <w:szCs w:val="24"/>
          <w:highlight w:val="none"/>
          <w:lang w:val="en-US" w:eastAsia="zh-CN"/>
        </w:rPr>
        <w:t>七 定标因素评审资料</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_Toc26323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90</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highlight w:val="none"/>
        </w:rPr>
        <w:tab/>
      </w:r>
      <w:r>
        <w:rPr>
          <w:sz w:val="24"/>
          <w:szCs w:val="24"/>
          <w:highlight w:val="none"/>
        </w:rPr>
        <w:fldChar w:fldCharType="begin"/>
      </w:r>
      <w:r>
        <w:rPr>
          <w:sz w:val="24"/>
          <w:szCs w:val="24"/>
          <w:highlight w:val="none"/>
        </w:rPr>
        <w:instrText xml:space="preserve"> PAGEREF _Toc10482 \h </w:instrText>
      </w:r>
      <w:r>
        <w:rPr>
          <w:sz w:val="24"/>
          <w:szCs w:val="24"/>
          <w:highlight w:val="none"/>
        </w:rPr>
        <w:fldChar w:fldCharType="separate"/>
      </w:r>
      <w:r>
        <w:rPr>
          <w:sz w:val="24"/>
          <w:szCs w:val="24"/>
          <w:highlight w:val="none"/>
        </w:rPr>
        <w:t>91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韶关市仁化县黄坑镇黄坑村孙涂屋、曾屋美丽家园改造提升工程施工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仁化县黄坑镇人民政府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仁发改和政数投审〔2025〕110号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default" w:asciiTheme="minorEastAsia" w:hAnsiTheme="minorEastAsia" w:eastAsiaTheme="minorEastAsia" w:cstheme="minorEastAsia"/>
                <w:snapToGrid w:val="0"/>
                <w:color w:val="auto"/>
                <w:kern w:val="0"/>
                <w:sz w:val="21"/>
                <w:szCs w:val="21"/>
                <w:highlight w:val="none"/>
                <w:lang w:val="en-US" w:eastAsia="zh-CN"/>
              </w:rPr>
              <w:t>仁化县黄坑镇黄坑村孙涂屋、曾屋。</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2512-440224-04-01-256521</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仁化县黄坑镇人民政府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中晋工程项目管理有限公司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顺风建筑规划设计有限公司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1、道路工程：新增沥青路面583m²,现状巷道水沟增加盖板605m、新建挡土墙一处30m、新建防护栏杆50m等。2、园林工程：新建晒谷坪(休闲运动广场)约1167m²,新建四小园绿地维护七处约812m²,规划停车位一处约509m²。3、外立面提升，现状房屋外立面提升若干处等。4、照明工程：新增太阳能路灯、巷道内壁挂式路灯等。</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项目概算总投资597.18万元，其中工程费用502.59万元、工程建设其他费用77.20万元、预备费用17.39万元。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工程量清单及施工图纸范围内的工程施工。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270个日历天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270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最高投标限价、工程量清单、施工图纸在投标截止时间15天前以补充通知的形式在广东省招标投标监管网（http://zbtb.gd.gov.cn）、全国公共资源交易平台（广东省·韶关市）（https://ygp.gdzwfw.gov.cn/ggzy-portal/#/440200/index）公布。</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w:t>
            </w:r>
            <w:r>
              <w:rPr>
                <w:rFonts w:hint="eastAsia" w:asciiTheme="minorEastAsia" w:hAnsiTheme="minorEastAsia" w:eastAsiaTheme="minorEastAsia" w:cstheme="minorEastAsia"/>
                <w:snapToGrid w:val="0"/>
                <w:color w:val="auto"/>
                <w:kern w:val="0"/>
                <w:sz w:val="21"/>
                <w:szCs w:val="21"/>
                <w:highlight w:val="none"/>
                <w:u w:val="single"/>
                <w:lang w:eastAsia="zh-CN"/>
              </w:rPr>
              <w:t>工程施工总承包叁级(含叁级)以上资质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w:t>
            </w:r>
            <w:r>
              <w:rPr>
                <w:rFonts w:hint="eastAsia" w:asciiTheme="minorEastAsia" w:hAnsiTheme="minorEastAsia" w:eastAsiaTheme="minorEastAsia" w:cstheme="minorEastAsia"/>
                <w:snapToGrid w:val="0"/>
                <w:color w:val="auto"/>
                <w:kern w:val="0"/>
                <w:sz w:val="21"/>
                <w:szCs w:val="21"/>
                <w:highlight w:val="none"/>
                <w:u w:val="single"/>
                <w:lang w:eastAsia="zh-CN"/>
              </w:rPr>
              <w:t>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仁化县黄坑镇人民政府</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中晋工程项目管理有限公司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顺风建筑规划设计有限公司</w:t>
                  </w:r>
                </w:p>
              </w:tc>
              <w:tc>
                <w:tcPr>
                  <w:tcW w:w="2964" w:type="dxa"/>
                  <w:vAlign w:val="center"/>
                </w:tcPr>
                <w:p w14:paraId="74FCA806">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无</w:t>
                  </w:r>
                </w:p>
              </w:tc>
              <w:tc>
                <w:tcPr>
                  <w:tcW w:w="2964" w:type="dxa"/>
                  <w:vAlign w:val="center"/>
                </w:tcPr>
                <w:p w14:paraId="161974BB">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仁化县水务局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由中标人支付，该费用不再另行报价，由投标人在投标报价时综合考虑在内。中标人须向招标代理机构一次性支付（招标代理服务费：根据《招标代理服务收费管理暂行办法》（计价格[2002]1980号）计算服务费用金额，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仁化县黄坑镇人民政府</w:t>
            </w:r>
          </w:p>
          <w:p w14:paraId="3D2346F7">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办公地址：仁化县黄坑镇府前路1-2号</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黄工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联系电话：13570774812</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中晋工程</w:t>
            </w:r>
            <w:r>
              <w:rPr>
                <w:rFonts w:hint="eastAsia" w:ascii="宋体" w:hAnsi="宋体" w:eastAsia="宋体" w:cs="宋体"/>
                <w:snapToGrid w:val="0"/>
                <w:color w:val="auto"/>
                <w:kern w:val="0"/>
                <w:sz w:val="22"/>
                <w:szCs w:val="22"/>
                <w:highlight w:val="none"/>
                <w:lang w:val="en-US" w:eastAsia="zh-CN"/>
              </w:rPr>
              <w:t>项目</w:t>
            </w:r>
            <w:r>
              <w:rPr>
                <w:rFonts w:hint="eastAsia" w:ascii="宋体" w:hAnsi="宋体" w:eastAsia="宋体" w:cs="宋体"/>
                <w:snapToGrid w:val="0"/>
                <w:color w:val="auto"/>
                <w:kern w:val="0"/>
                <w:sz w:val="22"/>
                <w:szCs w:val="22"/>
                <w:highlight w:val="none"/>
                <w:lang w:eastAsia="zh-CN"/>
              </w:rPr>
              <w:t>管理有限公司</w:t>
            </w:r>
          </w:p>
          <w:p w14:paraId="391985B3">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办公地址：福建省福州市仓山区金山街道浦上大道208号红星点金商务中心金华小区综合楼第一号楼15层10单元</w:t>
            </w:r>
          </w:p>
          <w:p w14:paraId="302859B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人：叶工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话：13435052454</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w:t>
            </w:r>
            <w:r>
              <w:rPr>
                <w:rFonts w:hint="eastAsia" w:ascii="宋体" w:hAnsi="宋体" w:eastAsia="宋体" w:cs="宋体"/>
                <w:snapToGrid w:val="0"/>
                <w:color w:val="auto"/>
                <w:kern w:val="0"/>
                <w:sz w:val="22"/>
                <w:szCs w:val="22"/>
                <w:highlight w:val="none"/>
                <w:lang w:val="en-US" w:eastAsia="zh-CN"/>
              </w:rPr>
              <w:t>水务</w:t>
            </w:r>
            <w:r>
              <w:rPr>
                <w:rFonts w:hint="eastAsia" w:ascii="宋体" w:hAnsi="宋体" w:eastAsia="宋体" w:cs="宋体"/>
                <w:snapToGrid w:val="0"/>
                <w:color w:val="auto"/>
                <w:kern w:val="0"/>
                <w:sz w:val="22"/>
                <w:szCs w:val="22"/>
                <w:highlight w:val="none"/>
              </w:rPr>
              <w:t>局</w:t>
            </w:r>
          </w:p>
          <w:p w14:paraId="3BF6F686">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办公地址：广东省仁化县建设路44号楼</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eastAsia="zh-CN"/>
              </w:rPr>
              <w:t>张生</w:t>
            </w:r>
          </w:p>
          <w:p w14:paraId="3C714782">
            <w:pPr>
              <w:wordWrap w:val="0"/>
              <w:adjustRightInd w:val="0"/>
              <w:snapToGrid w:val="0"/>
              <w:spacing w:line="360" w:lineRule="exact"/>
              <w:ind w:firstLine="250" w:firstLineChars="114"/>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联系电话：0751-</w:t>
            </w:r>
            <w:r>
              <w:rPr>
                <w:rFonts w:hint="eastAsia" w:ascii="宋体" w:hAnsi="宋体" w:eastAsia="宋体" w:cs="宋体"/>
                <w:snapToGrid w:val="0"/>
                <w:color w:val="auto"/>
                <w:kern w:val="0"/>
                <w:sz w:val="22"/>
                <w:szCs w:val="22"/>
                <w:highlight w:val="none"/>
                <w:lang w:val="en-US" w:eastAsia="zh-CN"/>
              </w:rPr>
              <w:t>6800361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16</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bookmarkStart w:id="280" w:name="_GoBack"/>
            <w:bookmarkEnd w:id="280"/>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2"/>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534D20EF">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086C2F1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4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4</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22</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9</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lang w:val="en-US" w:eastAsia="zh-CN"/>
              </w:rPr>
              <w:t>30</w:t>
            </w:r>
            <w:r>
              <w:rPr>
                <w:rFonts w:hint="eastAsia" w:ascii="宋体" w:hAnsi="宋体" w:cs="宋体"/>
                <w:snapToGrid w:val="0"/>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2"/>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4</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韶关市仁化县黄坑镇黄坑村孙涂屋、曾屋美丽家园改造提升工程</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仁化县发展改革和政务数据局以《仁化县发展改革和政务数据局关于</w:t>
      </w:r>
      <w:r>
        <w:rPr>
          <w:rFonts w:hint="eastAsia" w:ascii="宋体" w:hAnsi="宋体" w:eastAsia="宋体" w:cs="宋体"/>
          <w:snapToGrid w:val="0"/>
          <w:color w:val="auto"/>
          <w:kern w:val="0"/>
          <w:sz w:val="24"/>
          <w:szCs w:val="32"/>
          <w:highlight w:val="none"/>
          <w:u w:val="single"/>
          <w:lang w:val="en-US" w:eastAsia="zh-CN"/>
        </w:rPr>
        <w:t>韶关市仁化县黄坑镇黄坑村孙涂屋、曾屋美丽家园改造提升工程初步设计概算的批复</w:t>
      </w:r>
      <w:r>
        <w:rPr>
          <w:rFonts w:hint="eastAsia" w:ascii="宋体" w:hAnsi="宋体" w:eastAsia="宋体" w:cs="宋体"/>
          <w:snapToGrid w:val="0"/>
          <w:color w:val="auto"/>
          <w:kern w:val="0"/>
          <w:sz w:val="24"/>
          <w:szCs w:val="32"/>
          <w:highlight w:val="none"/>
          <w:u w:val="single"/>
          <w:lang w:eastAsia="zh-CN"/>
        </w:rPr>
        <w:t>》（仁发改和政数投审〔202</w:t>
      </w:r>
      <w:r>
        <w:rPr>
          <w:rFonts w:hint="eastAsia" w:ascii="宋体" w:hAnsi="宋体" w:eastAsia="宋体" w:cs="宋体"/>
          <w:snapToGrid w:val="0"/>
          <w:color w:val="auto"/>
          <w:kern w:val="0"/>
          <w:sz w:val="24"/>
          <w:szCs w:val="32"/>
          <w:highlight w:val="none"/>
          <w:u w:val="single"/>
          <w:lang w:val="en-US" w:eastAsia="zh-CN"/>
        </w:rPr>
        <w:t>5</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110</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w:t>
      </w:r>
      <w:r>
        <w:rPr>
          <w:rFonts w:hint="eastAsia" w:ascii="宋体" w:hAnsi="宋体" w:eastAsia="宋体" w:cs="宋体"/>
          <w:snapToGrid w:val="0"/>
          <w:color w:val="auto"/>
          <w:kern w:val="0"/>
          <w:sz w:val="24"/>
          <w:szCs w:val="32"/>
          <w:highlight w:val="none"/>
          <w:u w:val="single"/>
          <w:lang w:val="en-US" w:eastAsia="zh-CN"/>
        </w:rPr>
        <w:t>（立项批复中工程名称“韶关市仁化县黄坑镇黄坑村孙涂屋、曾屋美丽家园改造提升工程”和“仁化县黄坑镇黄坑村孙涂屋、曾屋水库移民美丽家园改造提升工程”为同一项目）</w:t>
      </w:r>
      <w:r>
        <w:rPr>
          <w:rFonts w:hint="eastAsia" w:ascii="宋体" w:hAnsi="宋体" w:eastAsia="宋体" w:cs="宋体"/>
          <w:snapToGrid w:val="0"/>
          <w:color w:val="auto"/>
          <w:kern w:val="0"/>
          <w:sz w:val="24"/>
          <w:szCs w:val="32"/>
          <w:highlight w:val="none"/>
        </w:rPr>
        <w:t>，项目代码为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2512-440224-04-01-256521</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仁化县黄坑镇人民政府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仁化县黄坑镇人民政府</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中晋工程项目管理有限公司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9"/>
      <w:bookmarkEnd w:id="9"/>
      <w:bookmarkStart w:id="10" w:name="bookmark52"/>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仁化县黄坑镇黄坑村孙涂屋、曾屋。</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1、道路工程：新增沥青路面583m²,现状巷道水沟增加盖板605m、新建挡土墙一处30m、新建防护栏杆50m等。2、园林工程：新建晒谷坪(休闲运动广场)约1167m²,新建四小园绿地维护七处约812m²,规划停车位一处约509m²。3、外立面提升，现状房屋外立面提升若干处等。4、照明工程：新增太阳能路灯、巷道内壁挂式路灯等。</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项目概算总投资597.18万元，其中工程费用502.59万元、工程建设其他费用77.20万元、预备费用17.39万元</w:t>
      </w:r>
      <w:r>
        <w:rPr>
          <w:rFonts w:hint="eastAsia" w:ascii="宋体" w:hAnsi="宋体" w:eastAsia="宋体" w:cs="宋体"/>
          <w:color w:val="auto"/>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工程量清单及施工图纸范围内的工程施工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28202"/>
      <w:bookmarkStart w:id="15" w:name="_Toc20855"/>
      <w:bookmarkStart w:id="16" w:name="_Toc14190"/>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7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3679"/>
      </w:tblGrid>
      <w:tr w14:paraId="035A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407E9CC0">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270084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79" w:type="dxa"/>
            <w:vAlign w:val="center"/>
          </w:tcPr>
          <w:p w14:paraId="59A6EC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760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9730798">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75542103">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仁化县黄坑镇人民政府</w:t>
            </w:r>
          </w:p>
        </w:tc>
        <w:tc>
          <w:tcPr>
            <w:tcW w:w="3679" w:type="dxa"/>
            <w:vAlign w:val="center"/>
          </w:tcPr>
          <w:p w14:paraId="54502F1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227E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53FB8DFF">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474041A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中晋工程项目管理有限公司</w:t>
            </w:r>
          </w:p>
        </w:tc>
        <w:tc>
          <w:tcPr>
            <w:tcW w:w="3679" w:type="dxa"/>
            <w:vAlign w:val="center"/>
          </w:tcPr>
          <w:p w14:paraId="2A54C386">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2214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1610540">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6B33A3DE">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顺风建筑规划设计有限公司</w:t>
            </w:r>
          </w:p>
        </w:tc>
        <w:tc>
          <w:tcPr>
            <w:tcW w:w="3679" w:type="dxa"/>
            <w:vAlign w:val="center"/>
          </w:tcPr>
          <w:p w14:paraId="615DABE8">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7FC5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E630AF4">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B3C2ABC">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无</w:t>
            </w:r>
          </w:p>
        </w:tc>
        <w:tc>
          <w:tcPr>
            <w:tcW w:w="3679" w:type="dxa"/>
            <w:vAlign w:val="center"/>
          </w:tcPr>
          <w:p w14:paraId="2ADC2621">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6E10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1950597">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3429" w:type="dxa"/>
            <w:vAlign w:val="center"/>
          </w:tcPr>
          <w:p w14:paraId="47E4A41F">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w:t>
            </w:r>
            <w:r>
              <w:rPr>
                <w:rFonts w:hint="eastAsia" w:ascii="宋体" w:hAnsi="宋体" w:eastAsia="宋体" w:cs="宋体"/>
                <w:color w:val="auto"/>
                <w:sz w:val="21"/>
                <w:szCs w:val="21"/>
                <w:highlight w:val="none"/>
                <w:lang w:val="en-US" w:eastAsia="zh-CN"/>
              </w:rPr>
              <w:t>县水务</w:t>
            </w:r>
            <w:r>
              <w:rPr>
                <w:rFonts w:hint="eastAsia" w:ascii="宋体" w:hAnsi="宋体" w:eastAsia="宋体" w:cs="宋体"/>
                <w:color w:val="auto"/>
                <w:sz w:val="21"/>
                <w:szCs w:val="21"/>
                <w:highlight w:val="none"/>
                <w:lang w:eastAsia="zh-CN"/>
              </w:rPr>
              <w:t>局</w:t>
            </w:r>
          </w:p>
        </w:tc>
        <w:tc>
          <w:tcPr>
            <w:tcW w:w="3679" w:type="dxa"/>
            <w:vAlign w:val="center"/>
          </w:tcPr>
          <w:p w14:paraId="45FD08A1">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8万元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270个日历天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81"/>
      <w:bookmarkEnd w:id="32"/>
      <w:bookmarkStart w:id="33" w:name="bookmark69"/>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本工程最高投标限价、工程量清单、施工图纸在投标截止时间15天前以补充通知的形式在广东省招标投标监管网（http://zbtb.gd.gov.cn）、全国公共资源交易平台（广东省·韶关市）（https://ygp.gdzwfw.gov.cn/ggzy-portal/#/440200/index）公布。</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6FD4CA2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 xml:space="preserve"> 封面（格式一）</w:t>
      </w:r>
    </w:p>
    <w:p w14:paraId="689071B8">
      <w:pPr>
        <w:pStyle w:val="8"/>
        <w:keepNext w:val="0"/>
        <w:keepLines w:val="0"/>
        <w:pageBreakBefore w:val="0"/>
        <w:overflowPunct/>
        <w:topLinePunct w:val="0"/>
        <w:bidi w:val="0"/>
        <w:spacing w:line="360" w:lineRule="auto"/>
        <w:ind w:firstLine="480" w:firstLineChars="200"/>
        <w:textAlignment w:val="baseline"/>
        <w:rPr>
          <w:rFonts w:hint="default"/>
          <w:highlight w:val="none"/>
          <w:lang w:val="en-US"/>
        </w:rPr>
      </w:pPr>
      <w:r>
        <w:rPr>
          <w:rFonts w:hint="eastAsia" w:hAnsi="宋体" w:eastAsia="宋体" w:cs="宋体"/>
          <w:snapToGrid w:val="0"/>
          <w:color w:val="auto"/>
          <w:kern w:val="0"/>
          <w:sz w:val="24"/>
          <w:szCs w:val="24"/>
          <w:highlight w:val="none"/>
          <w:lang w:val="en-US" w:eastAsia="zh-CN"/>
        </w:rPr>
        <w:t>（2）助力项目承诺书（格式十六）</w:t>
      </w:r>
    </w:p>
    <w:p w14:paraId="78BAC76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定标因素评审资料（格式十七）</w:t>
      </w:r>
    </w:p>
    <w:p w14:paraId="20163D0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bookmarkEnd w:id="54"/>
    <w:p w14:paraId="02DC3960">
      <w:pPr>
        <w:spacing w:before="78" w:line="221" w:lineRule="auto"/>
        <w:ind w:left="496"/>
        <w:outlineLvl w:val="2"/>
        <w:rPr>
          <w:rFonts w:hint="eastAsia" w:ascii="宋体" w:hAnsi="宋体" w:eastAsia="宋体" w:cs="宋体"/>
          <w:color w:val="auto"/>
          <w:sz w:val="24"/>
          <w:szCs w:val="24"/>
          <w:highlight w:val="none"/>
        </w:rPr>
      </w:pPr>
      <w:bookmarkStart w:id="55" w:name="_Toc21936"/>
      <w:bookmarkStart w:id="56" w:name="_Toc10599"/>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5587"/>
      <w:bookmarkStart w:id="67" w:name="_Toc8314"/>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30853"/>
      <w:bookmarkStart w:id="70" w:name="_Toc20238"/>
      <w:bookmarkStart w:id="71" w:name="_Toc2011"/>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26494"/>
      <w:bookmarkStart w:id="74" w:name="_Toc17462"/>
      <w:bookmarkStart w:id="75" w:name="_Toc31716"/>
      <w:bookmarkStart w:id="76"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8179"/>
      <w:bookmarkStart w:id="78" w:name="_Toc15860"/>
      <w:bookmarkStart w:id="79" w:name="_Toc27967"/>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3632"/>
      <w:bookmarkStart w:id="92" w:name="_Toc20481"/>
      <w:bookmarkStart w:id="93" w:name="_Toc13304"/>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8409"/>
      <w:bookmarkStart w:id="96" w:name="_Toc10806"/>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22642"/>
      <w:bookmarkStart w:id="101" w:name="_Toc16645"/>
      <w:bookmarkStart w:id="102" w:name="_Toc1420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8204"/>
      <w:bookmarkStart w:id="105" w:name="_Toc15367"/>
      <w:bookmarkStart w:id="106" w:name="_Toc19814"/>
      <w:bookmarkStart w:id="107" w:name="_Toc32114"/>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28572"/>
      <w:bookmarkStart w:id="111" w:name="_Toc10503"/>
      <w:bookmarkStart w:id="112"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17510"/>
      <w:bookmarkStart w:id="115" w:name="_Toc10398"/>
      <w:bookmarkStart w:id="116"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3958"/>
      <w:bookmarkStart w:id="118" w:name="_Toc27609"/>
      <w:bookmarkStart w:id="119" w:name="_Toc14059"/>
      <w:bookmarkStart w:id="120"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3861"/>
      <w:bookmarkStart w:id="123" w:name="_Toc576"/>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30671"/>
      <w:bookmarkStart w:id="126" w:name="_Toc2885"/>
      <w:bookmarkStart w:id="127" w:name="_Toc32384"/>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3020"/>
      <w:bookmarkStart w:id="130" w:name="_Toc16801"/>
      <w:bookmarkStart w:id="131" w:name="_Toc17375"/>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2" w:name="_Toc31744"/>
            <w:bookmarkStart w:id="133" w:name="_Toc17436"/>
            <w:bookmarkStart w:id="134" w:name="_Toc9725"/>
            <w:bookmarkStart w:id="135" w:name="_Toc5769"/>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Theme="minorEastAsia" w:hAnsiTheme="minorEastAsia" w:eastAsiaTheme="minorEastAsia" w:cstheme="minorEastAsia"/>
                <w:snapToGrid w:val="0"/>
                <w:color w:val="auto"/>
                <w:kern w:val="0"/>
                <w:sz w:val="22"/>
                <w:szCs w:val="22"/>
                <w:highlight w:val="none"/>
              </w:rPr>
              <w:t>1</w:t>
            </w:r>
            <w:r>
              <w:rPr>
                <w:rFonts w:hint="eastAsia" w:asciiTheme="minorEastAsia" w:hAnsiTheme="minorEastAsia" w:eastAsiaTheme="minorEastAsia" w:cstheme="minorEastAsia"/>
                <w:snapToGrid w:val="0"/>
                <w:color w:val="auto"/>
                <w:kern w:val="0"/>
                <w:sz w:val="22"/>
                <w:szCs w:val="22"/>
                <w:highlight w:val="none"/>
                <w:lang w:val="en-US" w:eastAsia="zh-CN"/>
              </w:rPr>
              <w:t>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51F940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rPr>
              <w:t>企业近</w:t>
            </w:r>
            <w:r>
              <w:rPr>
                <w:rFonts w:hint="eastAsia" w:asciiTheme="minorEastAsia" w:hAnsiTheme="minorEastAsia" w:eastAsiaTheme="minorEastAsia" w:cstheme="minorEastAsia"/>
                <w:snapToGrid w:val="0"/>
                <w:color w:val="auto"/>
                <w:kern w:val="0"/>
                <w:sz w:val="22"/>
                <w:szCs w:val="22"/>
                <w:highlight w:val="none"/>
                <w:u w:val="single"/>
              </w:rPr>
              <w:t xml:space="preserve"> </w:t>
            </w:r>
            <w:r>
              <w:rPr>
                <w:rFonts w:hint="eastAsia" w:asciiTheme="minorEastAsia" w:hAnsiTheme="minorEastAsia" w:eastAsiaTheme="minorEastAsia" w:cstheme="minorEastAsia"/>
                <w:snapToGrid w:val="0"/>
                <w:color w:val="auto"/>
                <w:kern w:val="0"/>
                <w:sz w:val="22"/>
                <w:szCs w:val="22"/>
                <w:highlight w:val="none"/>
                <w:u w:val="single"/>
                <w:lang w:val="en-US" w:eastAsia="zh-CN"/>
              </w:rPr>
              <w:t>5</w:t>
            </w:r>
            <w:r>
              <w:rPr>
                <w:rFonts w:hint="eastAsia" w:asciiTheme="minorEastAsia" w:hAnsiTheme="minorEastAsia" w:eastAsiaTheme="minorEastAsia" w:cstheme="minorEastAsia"/>
                <w:snapToGrid w:val="0"/>
                <w:color w:val="auto"/>
                <w:kern w:val="0"/>
                <w:sz w:val="22"/>
                <w:szCs w:val="22"/>
                <w:highlight w:val="none"/>
                <w:u w:val="single"/>
              </w:rPr>
              <w:t xml:space="preserve"> </w:t>
            </w:r>
            <w:r>
              <w:rPr>
                <w:rFonts w:hint="eastAsia" w:asciiTheme="minorEastAsia" w:hAnsiTheme="minorEastAsia" w:eastAsiaTheme="minorEastAsia" w:cstheme="minorEastAsia"/>
                <w:snapToGrid w:val="0"/>
                <w:color w:val="auto"/>
                <w:kern w:val="0"/>
                <w:sz w:val="22"/>
                <w:szCs w:val="22"/>
                <w:highlight w:val="none"/>
              </w:rPr>
              <w:t>年来（20</w:t>
            </w:r>
            <w:r>
              <w:rPr>
                <w:rFonts w:hint="eastAsia" w:asciiTheme="minorEastAsia" w:hAnsiTheme="minorEastAsia" w:eastAsiaTheme="minorEastAsia" w:cstheme="minorEastAsia"/>
                <w:snapToGrid w:val="0"/>
                <w:color w:val="auto"/>
                <w:kern w:val="0"/>
                <w:sz w:val="22"/>
                <w:szCs w:val="22"/>
                <w:highlight w:val="none"/>
                <w:lang w:val="en-US" w:eastAsia="zh-CN"/>
              </w:rPr>
              <w:t>21</w:t>
            </w:r>
            <w:r>
              <w:rPr>
                <w:rFonts w:hint="eastAsia" w:asciiTheme="minorEastAsia" w:hAnsiTheme="minorEastAsia" w:eastAsiaTheme="minorEastAsia" w:cstheme="minorEastAsia"/>
                <w:snapToGrid w:val="0"/>
                <w:color w:val="auto"/>
                <w:kern w:val="0"/>
                <w:sz w:val="22"/>
                <w:szCs w:val="22"/>
                <w:highlight w:val="none"/>
              </w:rPr>
              <w:t>年1月1日至今）获得</w:t>
            </w:r>
            <w:r>
              <w:rPr>
                <w:rFonts w:hint="eastAsia" w:asciiTheme="minorEastAsia" w:hAnsiTheme="minorEastAsia" w:eastAsiaTheme="minorEastAsia" w:cstheme="minorEastAsia"/>
                <w:snapToGrid w:val="0"/>
                <w:color w:val="auto"/>
                <w:kern w:val="0"/>
                <w:sz w:val="22"/>
                <w:szCs w:val="22"/>
                <w:highlight w:val="none"/>
                <w:u w:val="single"/>
              </w:rPr>
              <w:t xml:space="preserve"> 房屋建筑或市政 </w:t>
            </w:r>
            <w:r>
              <w:rPr>
                <w:rFonts w:hint="eastAsia" w:asciiTheme="minorEastAsia" w:hAnsiTheme="minorEastAsia" w:eastAsiaTheme="minorEastAsia" w:cstheme="minorEastAsia"/>
                <w:snapToGrid w:val="0"/>
                <w:color w:val="auto"/>
                <w:kern w:val="0"/>
                <w:sz w:val="22"/>
                <w:szCs w:val="22"/>
                <w:highlight w:val="none"/>
              </w:rPr>
              <w:t>工程类奖项情况：</w:t>
            </w:r>
          </w:p>
          <w:p w14:paraId="4A675574">
            <w:pPr>
              <w:spacing w:before="65" w:line="300" w:lineRule="auto"/>
              <w:ind w:right="106"/>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8"/>
                <w:sz w:val="22"/>
                <w:szCs w:val="22"/>
                <w:highlight w:val="none"/>
              </w:rPr>
              <w:t>1</w:t>
            </w:r>
            <w:r>
              <w:rPr>
                <w:rFonts w:hint="eastAsia" w:asciiTheme="minorEastAsia" w:hAnsiTheme="minorEastAsia" w:eastAsiaTheme="minorEastAsia" w:cstheme="minorEastAsia"/>
                <w:color w:val="auto"/>
                <w:spacing w:val="-12"/>
                <w:sz w:val="22"/>
                <w:szCs w:val="22"/>
                <w:highlight w:val="none"/>
                <w:lang w:val="en-US" w:eastAsia="zh-CN"/>
              </w:rPr>
              <w:t>.</w:t>
            </w:r>
            <w:r>
              <w:rPr>
                <w:rFonts w:hint="eastAsia" w:asciiTheme="minorEastAsia" w:hAnsiTheme="minorEastAsia" w:eastAsiaTheme="minorEastAsia" w:cstheme="minorEastAsia"/>
                <w:color w:val="auto"/>
                <w:spacing w:val="8"/>
                <w:sz w:val="22"/>
                <w:szCs w:val="22"/>
                <w:highlight w:val="none"/>
              </w:rPr>
              <w:t>获得国家级奖项的，每个得</w:t>
            </w:r>
            <w:r>
              <w:rPr>
                <w:rFonts w:hint="eastAsia" w:asciiTheme="minorEastAsia" w:hAnsiTheme="minorEastAsia" w:eastAsiaTheme="minorEastAsia" w:cstheme="minorEastAsia"/>
                <w:color w:val="auto"/>
                <w:spacing w:val="8"/>
                <w:sz w:val="22"/>
                <w:szCs w:val="22"/>
                <w:highlight w:val="none"/>
                <w:u w:val="single"/>
                <w:lang w:val="en-US" w:eastAsia="zh-CN"/>
              </w:rPr>
              <w:t>10</w:t>
            </w:r>
            <w:r>
              <w:rPr>
                <w:rFonts w:hint="eastAsia" w:asciiTheme="minorEastAsia" w:hAnsiTheme="minorEastAsia" w:eastAsiaTheme="minorEastAsia" w:cstheme="minorEastAsia"/>
                <w:color w:val="auto"/>
                <w:spacing w:val="-1"/>
                <w:sz w:val="22"/>
                <w:szCs w:val="22"/>
                <w:highlight w:val="none"/>
              </w:rPr>
              <w:t>分。</w:t>
            </w:r>
          </w:p>
          <w:p w14:paraId="5C617CCE">
            <w:pPr>
              <w:spacing w:before="150" w:line="228" w:lineRule="auto"/>
              <w:ind w:right="10"/>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3"/>
                <w:sz w:val="22"/>
                <w:szCs w:val="22"/>
                <w:highlight w:val="none"/>
              </w:rPr>
              <w:t>2</w:t>
            </w:r>
            <w:r>
              <w:rPr>
                <w:rFonts w:hint="eastAsia" w:asciiTheme="minorEastAsia" w:hAnsiTheme="minorEastAsia" w:eastAsiaTheme="minorEastAsia" w:cstheme="minorEastAsia"/>
                <w:color w:val="auto"/>
                <w:spacing w:val="-12"/>
                <w:sz w:val="22"/>
                <w:szCs w:val="22"/>
                <w:highlight w:val="none"/>
                <w:lang w:val="en-US" w:eastAsia="zh-CN"/>
              </w:rPr>
              <w:t>.</w:t>
            </w:r>
            <w:r>
              <w:rPr>
                <w:rFonts w:hint="eastAsia" w:asciiTheme="minorEastAsia" w:hAnsiTheme="minorEastAsia" w:eastAsiaTheme="minorEastAsia" w:cstheme="minorEastAsia"/>
                <w:color w:val="auto"/>
                <w:spacing w:val="3"/>
                <w:sz w:val="22"/>
                <w:szCs w:val="22"/>
                <w:highlight w:val="none"/>
              </w:rPr>
              <w:t>获得省级奖项的，每个得</w:t>
            </w:r>
            <w:r>
              <w:rPr>
                <w:rFonts w:hint="eastAsia" w:asciiTheme="minorEastAsia" w:hAnsiTheme="minorEastAsia" w:eastAsiaTheme="minorEastAsia" w:cstheme="minorEastAsia"/>
                <w:color w:val="auto"/>
                <w:spacing w:val="3"/>
                <w:sz w:val="22"/>
                <w:szCs w:val="22"/>
                <w:highlight w:val="none"/>
                <w:u w:val="single"/>
                <w:lang w:val="en-US" w:eastAsia="zh-CN"/>
              </w:rPr>
              <w:t>8</w:t>
            </w:r>
            <w:r>
              <w:rPr>
                <w:rFonts w:hint="eastAsia" w:asciiTheme="minorEastAsia" w:hAnsiTheme="minorEastAsia" w:eastAsiaTheme="minorEastAsia" w:cstheme="minorEastAsia"/>
                <w:color w:val="auto"/>
                <w:spacing w:val="3"/>
                <w:sz w:val="22"/>
                <w:szCs w:val="22"/>
                <w:highlight w:val="none"/>
              </w:rPr>
              <w:t>分。</w:t>
            </w:r>
          </w:p>
          <w:p w14:paraId="4BE654BB">
            <w:pPr>
              <w:spacing w:before="152" w:line="300" w:lineRule="auto"/>
              <w:ind w:right="106"/>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8"/>
                <w:sz w:val="22"/>
                <w:szCs w:val="22"/>
                <w:highlight w:val="none"/>
              </w:rPr>
              <w:t>3</w:t>
            </w:r>
            <w:r>
              <w:rPr>
                <w:rFonts w:hint="eastAsia" w:asciiTheme="minorEastAsia" w:hAnsiTheme="minorEastAsia" w:eastAsiaTheme="minorEastAsia" w:cstheme="minorEastAsia"/>
                <w:color w:val="auto"/>
                <w:spacing w:val="-4"/>
                <w:sz w:val="22"/>
                <w:szCs w:val="22"/>
                <w:highlight w:val="none"/>
                <w:lang w:val="en-US" w:eastAsia="zh-CN"/>
              </w:rPr>
              <w:t>.</w:t>
            </w:r>
            <w:r>
              <w:rPr>
                <w:rFonts w:hint="eastAsia" w:asciiTheme="minorEastAsia" w:hAnsiTheme="minorEastAsia" w:eastAsiaTheme="minorEastAsia" w:cstheme="minorEastAsia"/>
                <w:color w:val="auto"/>
                <w:spacing w:val="8"/>
                <w:sz w:val="22"/>
                <w:szCs w:val="22"/>
                <w:highlight w:val="none"/>
              </w:rPr>
              <w:t>获得地市级奖项的，每个得</w:t>
            </w:r>
            <w:r>
              <w:rPr>
                <w:rFonts w:hint="eastAsia" w:asciiTheme="minorEastAsia" w:hAnsiTheme="minorEastAsia" w:eastAsiaTheme="minorEastAsia" w:cstheme="minorEastAsia"/>
                <w:color w:val="auto"/>
                <w:spacing w:val="8"/>
                <w:sz w:val="22"/>
                <w:szCs w:val="22"/>
                <w:highlight w:val="none"/>
                <w:u w:val="single"/>
                <w:lang w:val="en-US" w:eastAsia="zh-CN"/>
              </w:rPr>
              <w:t>5</w:t>
            </w:r>
            <w:r>
              <w:rPr>
                <w:rFonts w:hint="eastAsia" w:asciiTheme="minorEastAsia" w:hAnsiTheme="minorEastAsia" w:eastAsiaTheme="minorEastAsia" w:cstheme="minorEastAsia"/>
                <w:color w:val="auto"/>
                <w:spacing w:val="-1"/>
                <w:sz w:val="22"/>
                <w:szCs w:val="22"/>
                <w:highlight w:val="none"/>
              </w:rPr>
              <w:t>分。</w:t>
            </w:r>
          </w:p>
          <w:p w14:paraId="6E584BC7">
            <w:pPr>
              <w:spacing w:before="150" w:line="228" w:lineRule="auto"/>
              <w:ind w:right="13"/>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
                <w:sz w:val="22"/>
                <w:szCs w:val="22"/>
                <w:highlight w:val="none"/>
              </w:rPr>
              <w:t>4</w:t>
            </w:r>
            <w:r>
              <w:rPr>
                <w:rFonts w:hint="eastAsia" w:asciiTheme="minorEastAsia" w:hAnsiTheme="minorEastAsia" w:eastAsiaTheme="minorEastAsia" w:cstheme="minorEastAsia"/>
                <w:color w:val="auto"/>
                <w:spacing w:val="-1"/>
                <w:sz w:val="22"/>
                <w:szCs w:val="22"/>
                <w:highlight w:val="none"/>
                <w:lang w:val="en-US" w:eastAsia="zh-CN"/>
              </w:rPr>
              <w:t>.</w:t>
            </w:r>
            <w:r>
              <w:rPr>
                <w:rFonts w:hint="eastAsia" w:asciiTheme="minorEastAsia" w:hAnsiTheme="minorEastAsia" w:eastAsiaTheme="minorEastAsia" w:cstheme="minorEastAsia"/>
                <w:color w:val="auto"/>
                <w:spacing w:val="-1"/>
                <w:sz w:val="22"/>
                <w:szCs w:val="22"/>
                <w:highlight w:val="none"/>
              </w:rPr>
              <w:t>以上奖项均未获得的，不予计分。</w:t>
            </w:r>
          </w:p>
          <w:p w14:paraId="0422CDD1">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5</w:t>
            </w:r>
            <w:r>
              <w:rPr>
                <w:rFonts w:hint="eastAsia" w:asciiTheme="minorEastAsia" w:hAnsiTheme="minorEastAsia" w:eastAsiaTheme="minorEastAsia" w:cstheme="minorEastAsia"/>
                <w:color w:val="auto"/>
                <w:spacing w:val="-14"/>
                <w:sz w:val="22"/>
                <w:szCs w:val="22"/>
                <w:highlight w:val="none"/>
                <w:lang w:val="en-US" w:eastAsia="zh-CN"/>
              </w:rPr>
              <w:t>.</w:t>
            </w:r>
            <w:r>
              <w:rPr>
                <w:rFonts w:hint="eastAsia" w:asciiTheme="minorEastAsia" w:hAnsiTheme="minorEastAsia" w:eastAsiaTheme="minorEastAsia" w:cstheme="minorEastAsia"/>
                <w:color w:val="auto"/>
                <w:sz w:val="22"/>
                <w:szCs w:val="22"/>
                <w:highlight w:val="none"/>
              </w:rPr>
              <w:t>本项最高得</w:t>
            </w:r>
            <w:r>
              <w:rPr>
                <w:rFonts w:hint="eastAsia" w:asciiTheme="minorEastAsia" w:hAnsiTheme="minorEastAsia" w:eastAsiaTheme="minorEastAsia" w:cstheme="minorEastAsia"/>
                <w:color w:val="auto"/>
                <w:spacing w:val="-23"/>
                <w:sz w:val="22"/>
                <w:szCs w:val="22"/>
                <w:highlight w:val="none"/>
              </w:rPr>
              <w:t xml:space="preserve"> </w:t>
            </w:r>
            <w:r>
              <w:rPr>
                <w:rFonts w:hint="eastAsia" w:asciiTheme="minorEastAsia" w:hAnsiTheme="minorEastAsia" w:eastAsiaTheme="minorEastAsia" w:cstheme="minorEastAsia"/>
                <w:color w:val="auto"/>
                <w:sz w:val="22"/>
                <w:szCs w:val="22"/>
                <w:highlight w:val="none"/>
              </w:rPr>
              <w:t>10</w:t>
            </w:r>
            <w:r>
              <w:rPr>
                <w:rFonts w:hint="eastAsia" w:asciiTheme="minorEastAsia" w:hAnsiTheme="minorEastAsia" w:eastAsiaTheme="minorEastAsia" w:cstheme="minorEastAsia"/>
                <w:color w:val="auto"/>
                <w:spacing w:val="14"/>
                <w:w w:val="101"/>
                <w:sz w:val="22"/>
                <w:szCs w:val="22"/>
                <w:highlight w:val="none"/>
              </w:rPr>
              <w:t xml:space="preserve"> </w:t>
            </w:r>
            <w:r>
              <w:rPr>
                <w:rFonts w:hint="eastAsia" w:asciiTheme="minorEastAsia" w:hAnsiTheme="minorEastAsia" w:eastAsiaTheme="minorEastAsia" w:cstheme="minorEastAsia"/>
                <w:color w:val="auto"/>
                <w:sz w:val="22"/>
                <w:szCs w:val="22"/>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B7F4F21">
            <w:pPr>
              <w:pStyle w:val="41"/>
              <w:wordWrap w:val="0"/>
              <w:adjustRightInd w:val="0"/>
              <w:snapToGrid w:val="0"/>
              <w:spacing w:after="0" w:line="312" w:lineRule="auto"/>
              <w:rPr>
                <w:rFonts w:hint="eastAsia" w:ascii="Times New Roman"/>
                <w:snapToGrid w:val="0"/>
                <w:color w:val="auto"/>
                <w:kern w:val="0"/>
                <w:sz w:val="22"/>
                <w:szCs w:val="22"/>
                <w:highlight w:val="none"/>
              </w:rPr>
            </w:pPr>
            <w:r>
              <w:rPr>
                <w:rFonts w:hint="eastAsia" w:hAnsi="宋体" w:cs="宋体"/>
                <w:snapToGrid w:val="0"/>
                <w:color w:val="auto"/>
                <w:kern w:val="0"/>
                <w:sz w:val="22"/>
                <w:szCs w:val="22"/>
                <w:highlight w:val="none"/>
              </w:rPr>
              <w:t>1.</w:t>
            </w:r>
            <w:r>
              <w:rPr>
                <w:rFonts w:hint="eastAsia" w:ascii="Times New Roman"/>
                <w:snapToGrid w:val="0"/>
                <w:color w:val="auto"/>
                <w:kern w:val="0"/>
                <w:sz w:val="22"/>
                <w:szCs w:val="22"/>
                <w:highlight w:val="none"/>
              </w:rPr>
              <w:t>允许投标人提交多个业绩，但同一业绩只按最高级别奖项计分一次。</w:t>
            </w:r>
          </w:p>
          <w:p w14:paraId="2C989824">
            <w:pPr>
              <w:pStyle w:val="41"/>
              <w:wordWrap w:val="0"/>
              <w:adjustRightInd w:val="0"/>
              <w:snapToGrid w:val="0"/>
              <w:spacing w:after="0" w:line="312" w:lineRule="auto"/>
              <w:rPr>
                <w:rFonts w:hint="eastAsia" w:hAnsi="宋体" w:cs="宋体"/>
                <w:snapToGrid w:val="0"/>
                <w:color w:val="auto"/>
                <w:kern w:val="0"/>
                <w:sz w:val="22"/>
                <w:szCs w:val="22"/>
                <w:highlight w:val="none"/>
              </w:rPr>
            </w:pPr>
            <w:r>
              <w:rPr>
                <w:rFonts w:hint="eastAsia" w:ascii="Times New Roman"/>
                <w:snapToGrid w:val="0"/>
                <w:color w:val="auto"/>
                <w:kern w:val="0"/>
                <w:sz w:val="22"/>
                <w:szCs w:val="22"/>
                <w:highlight w:val="none"/>
              </w:rPr>
              <w:t>2.</w:t>
            </w:r>
            <w:r>
              <w:rPr>
                <w:rFonts w:hint="eastAsia" w:hAnsi="宋体" w:cs="宋体"/>
                <w:snapToGrid w:val="0"/>
                <w:color w:val="auto"/>
                <w:kern w:val="0"/>
                <w:sz w:val="22"/>
                <w:szCs w:val="22"/>
                <w:highlight w:val="none"/>
              </w:rPr>
              <w:t>需附有关奖项证书和发文材料彩色扫描件，</w:t>
            </w:r>
            <w:r>
              <w:rPr>
                <w:rFonts w:hint="eastAsia" w:hAnsi="宋体" w:cs="宋体"/>
                <w:b/>
                <w:bCs/>
                <w:snapToGrid w:val="0"/>
                <w:color w:val="auto"/>
                <w:kern w:val="0"/>
                <w:sz w:val="22"/>
                <w:szCs w:val="22"/>
                <w:highlight w:val="none"/>
              </w:rPr>
              <w:t>同时提供原件供核对</w:t>
            </w:r>
            <w:r>
              <w:rPr>
                <w:rFonts w:hint="eastAsia" w:hAnsi="宋体" w:cs="宋体"/>
                <w:snapToGrid w:val="0"/>
                <w:color w:val="auto"/>
                <w:kern w:val="0"/>
                <w:sz w:val="22"/>
                <w:szCs w:val="22"/>
                <w:highlight w:val="none"/>
              </w:rPr>
              <w:t>。</w:t>
            </w:r>
          </w:p>
          <w:p w14:paraId="3ACEB495">
            <w:pPr>
              <w:pStyle w:val="41"/>
              <w:wordWrap w:val="0"/>
              <w:adjustRightInd w:val="0"/>
              <w:snapToGrid w:val="0"/>
              <w:spacing w:after="0"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3.颁发机构限定以下范围：</w:t>
            </w:r>
          </w:p>
          <w:p w14:paraId="6FE639D0">
            <w:pPr>
              <w:pStyle w:val="41"/>
              <w:wordWrap w:val="0"/>
              <w:adjustRightInd w:val="0"/>
              <w:snapToGrid w:val="0"/>
              <w:spacing w:after="0" w:line="312" w:lineRule="auto"/>
              <w:rPr>
                <w:rFonts w:hint="eastAsia" w:hAnsi="宋体" w:cs="宋体"/>
                <w:snapToGrid w:val="0"/>
                <w:color w:val="auto"/>
                <w:kern w:val="0"/>
                <w:sz w:val="22"/>
                <w:szCs w:val="22"/>
                <w:highlight w:val="none"/>
                <w:u w:val="none"/>
              </w:rPr>
            </w:pPr>
            <w:r>
              <w:rPr>
                <w:rFonts w:hint="eastAsia" w:hAnsi="宋体" w:cs="宋体"/>
                <w:snapToGrid w:val="0"/>
                <w:color w:val="auto"/>
                <w:kern w:val="0"/>
                <w:sz w:val="22"/>
                <w:szCs w:val="22"/>
                <w:highlight w:val="none"/>
              </w:rPr>
              <w:t>①</w:t>
            </w:r>
            <w:r>
              <w:rPr>
                <w:rFonts w:hint="eastAsia" w:hAnsi="宋体" w:cs="宋体"/>
                <w:snapToGrid w:val="0"/>
                <w:color w:val="auto"/>
                <w:kern w:val="0"/>
                <w:sz w:val="22"/>
                <w:szCs w:val="22"/>
                <w:highlight w:val="none"/>
                <w:u w:val="none"/>
              </w:rPr>
              <w:t>国家级奖项：国务院、住建部、中国建筑业协会、中国市政行业协会；（相关协会需经民政部门备案）；</w:t>
            </w:r>
          </w:p>
          <w:p w14:paraId="2EA42AC6">
            <w:pPr>
              <w:pStyle w:val="41"/>
              <w:wordWrap w:val="0"/>
              <w:adjustRightInd w:val="0"/>
              <w:snapToGrid w:val="0"/>
              <w:spacing w:after="0" w:line="312" w:lineRule="auto"/>
              <w:rPr>
                <w:rFonts w:hint="eastAsia" w:hAnsi="宋体" w:cs="宋体"/>
                <w:snapToGrid w:val="0"/>
                <w:color w:val="auto"/>
                <w:kern w:val="0"/>
                <w:sz w:val="22"/>
                <w:szCs w:val="22"/>
                <w:highlight w:val="none"/>
                <w:u w:val="none"/>
              </w:rPr>
            </w:pPr>
            <w:r>
              <w:rPr>
                <w:rFonts w:hint="eastAsia" w:hAnsi="宋体" w:cs="宋体"/>
                <w:snapToGrid w:val="0"/>
                <w:color w:val="auto"/>
                <w:kern w:val="0"/>
                <w:sz w:val="22"/>
                <w:szCs w:val="22"/>
                <w:highlight w:val="none"/>
                <w:u w:val="none"/>
              </w:rPr>
              <w:t>②省级奖项：省级建设行政主管部门、省级建筑行业协会、省级建筑安全协会、省市政行业协会；（相关协会需经民政部门备案）；</w:t>
            </w:r>
          </w:p>
          <w:p w14:paraId="1A740C88">
            <w:pPr>
              <w:pStyle w:val="41"/>
              <w:wordWrap w:val="0"/>
              <w:adjustRightInd w:val="0"/>
              <w:snapToGrid w:val="0"/>
              <w:spacing w:after="0" w:line="312" w:lineRule="auto"/>
              <w:rPr>
                <w:rFonts w:hint="eastAsia" w:hAnsi="宋体" w:cs="宋体"/>
                <w:snapToGrid w:val="0"/>
                <w:color w:val="auto"/>
                <w:kern w:val="0"/>
                <w:sz w:val="22"/>
                <w:szCs w:val="22"/>
                <w:highlight w:val="none"/>
                <w:u w:val="none"/>
              </w:rPr>
            </w:pPr>
            <w:r>
              <w:rPr>
                <w:rFonts w:hint="eastAsia" w:hAnsi="宋体" w:cs="宋体"/>
                <w:snapToGrid w:val="0"/>
                <w:color w:val="auto"/>
                <w:kern w:val="0"/>
                <w:sz w:val="22"/>
                <w:szCs w:val="22"/>
                <w:highlight w:val="none"/>
                <w:u w:val="none"/>
              </w:rPr>
              <w:t>③地市级奖项：市级建设行政主管部门、市级建筑行业协会、地市级市政行业协会。（相关协会需经民政部门备案）。</w:t>
            </w:r>
          </w:p>
          <w:p w14:paraId="31B53FFF">
            <w:pPr>
              <w:pStyle w:val="41"/>
              <w:wordWrap w:val="0"/>
              <w:adjustRightInd w:val="0"/>
              <w:snapToGrid w:val="0"/>
              <w:spacing w:after="0"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u w:val="none"/>
              </w:rPr>
              <w:t>4.获奖时间以奖项证明的落款日期</w:t>
            </w:r>
            <w:r>
              <w:rPr>
                <w:rFonts w:hint="eastAsia" w:hAnsi="宋体" w:cs="宋体"/>
                <w:snapToGrid w:val="0"/>
                <w:color w:val="auto"/>
                <w:kern w:val="0"/>
                <w:sz w:val="22"/>
                <w:szCs w:val="22"/>
                <w:highlight w:val="none"/>
              </w:rPr>
              <w:t>为准。</w:t>
            </w:r>
          </w:p>
          <w:p w14:paraId="7B34B740">
            <w:pPr>
              <w:wordWrap w:val="0"/>
              <w:adjustRightInd w:val="0"/>
              <w:snapToGrid w:val="0"/>
              <w:spacing w:line="312" w:lineRule="auto"/>
              <w:rPr>
                <w:rFonts w:hAnsi="宋体" w:cs="宋体"/>
                <w:snapToGrid w:val="0"/>
                <w:color w:val="auto"/>
                <w:kern w:val="0"/>
                <w:sz w:val="22"/>
                <w:szCs w:val="22"/>
                <w:highlight w:val="none"/>
              </w:rPr>
            </w:pPr>
            <w:r>
              <w:rPr>
                <w:rFonts w:hint="eastAsia" w:hAnsi="宋体" w:cs="宋体"/>
                <w:snapToGrid w:val="0"/>
                <w:color w:val="auto"/>
                <w:kern w:val="0"/>
                <w:sz w:val="22"/>
                <w:szCs w:val="22"/>
                <w:highlight w:val="none"/>
              </w:rPr>
              <w:t>5．任一奖项有以下情形之一的，该奖项视为无效，不予计分：</w:t>
            </w:r>
          </w:p>
          <w:p w14:paraId="65E5188B">
            <w:pPr>
              <w:wordWrap w:val="0"/>
              <w:adjustRightInd w:val="0"/>
              <w:snapToGrid w:val="0"/>
              <w:spacing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①未提供奖项原件的；</w:t>
            </w:r>
          </w:p>
          <w:p w14:paraId="6B4897BA">
            <w:pPr>
              <w:wordWrap w:val="0"/>
              <w:adjustRightInd w:val="0"/>
              <w:snapToGrid w:val="0"/>
              <w:spacing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②奖项不属于指定类别的；</w:t>
            </w:r>
          </w:p>
          <w:p w14:paraId="59D41751">
            <w:pPr>
              <w:wordWrap w:val="0"/>
              <w:adjustRightInd w:val="0"/>
              <w:snapToGrid w:val="0"/>
              <w:spacing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③颁发机构不符合要求的；</w:t>
            </w:r>
          </w:p>
          <w:p w14:paraId="26B5A157">
            <w:pPr>
              <w:wordWrap w:val="0"/>
              <w:adjustRightInd w:val="0"/>
              <w:snapToGrid w:val="0"/>
              <w:spacing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④获奖时间不符合要求的。</w:t>
            </w:r>
          </w:p>
          <w:p w14:paraId="4BBEC4D5">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color w:val="auto"/>
                <w:sz w:val="22"/>
                <w:szCs w:val="22"/>
                <w:highlight w:val="none"/>
                <w:lang w:val="en-US" w:eastAsia="zh-CN"/>
              </w:rPr>
            </w:pPr>
            <w:r>
              <w:rPr>
                <w:rFonts w:hint="eastAsia" w:ascii="宋体" w:hAnsi="宋体" w:cs="宋体"/>
                <w:snapToGrid w:val="0"/>
                <w:color w:val="auto"/>
                <w:kern w:val="0"/>
                <w:sz w:val="22"/>
                <w:szCs w:val="22"/>
                <w:highlight w:val="none"/>
              </w:rPr>
              <w:t>说明：以上所称“要求 ”均指本表评分标准及备注的要求，下同。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6E79CB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项目经理具备工程类技术职称情况：</w:t>
            </w:r>
          </w:p>
          <w:p w14:paraId="2C80F61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1.具备工程师或以上职称的，得</w:t>
            </w:r>
            <w:r>
              <w:rPr>
                <w:rFonts w:hint="eastAsia" w:ascii="宋体" w:hAnsi="宋体" w:eastAsia="宋体" w:cs="宋体"/>
                <w:snapToGrid w:val="0"/>
                <w:color w:val="auto"/>
                <w:kern w:val="0"/>
                <w:sz w:val="22"/>
                <w:szCs w:val="22"/>
                <w:highlight w:val="none"/>
                <w:u w:val="single"/>
                <w:lang w:val="en-US" w:eastAsia="zh-CN" w:bidi="ar-SA"/>
              </w:rPr>
              <w:t>10</w:t>
            </w:r>
            <w:r>
              <w:rPr>
                <w:rFonts w:hint="eastAsia" w:ascii="宋体" w:hAnsi="宋体" w:eastAsia="宋体" w:cs="宋体"/>
                <w:snapToGrid w:val="0"/>
                <w:color w:val="auto"/>
                <w:kern w:val="0"/>
                <w:sz w:val="22"/>
                <w:szCs w:val="22"/>
                <w:highlight w:val="none"/>
                <w:lang w:val="en-US" w:eastAsia="zh-CN" w:bidi="ar-SA"/>
              </w:rPr>
              <w:t>分。</w:t>
            </w:r>
          </w:p>
          <w:p w14:paraId="6E74D56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2.具备助理工程师职称的，得 </w:t>
            </w:r>
            <w:r>
              <w:rPr>
                <w:rFonts w:hint="eastAsia" w:ascii="宋体" w:hAnsi="宋体" w:eastAsia="宋体" w:cs="宋体"/>
                <w:snapToGrid w:val="0"/>
                <w:color w:val="auto"/>
                <w:kern w:val="0"/>
                <w:sz w:val="22"/>
                <w:szCs w:val="22"/>
                <w:highlight w:val="none"/>
                <w:u w:val="single"/>
                <w:lang w:val="en-US" w:eastAsia="zh-CN" w:bidi="ar-SA"/>
              </w:rPr>
              <w:t>5</w:t>
            </w:r>
            <w:r>
              <w:rPr>
                <w:rFonts w:hint="eastAsia" w:ascii="宋体" w:hAnsi="宋体" w:eastAsia="宋体" w:cs="宋体"/>
                <w:snapToGrid w:val="0"/>
                <w:color w:val="auto"/>
                <w:kern w:val="0"/>
                <w:sz w:val="22"/>
                <w:szCs w:val="22"/>
                <w:highlight w:val="none"/>
                <w:lang w:val="en-US" w:eastAsia="zh-CN" w:bidi="ar-SA"/>
              </w:rPr>
              <w:t>分。</w:t>
            </w:r>
          </w:p>
          <w:p w14:paraId="6029FC63">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
              </w:rPr>
              <w:t>3.</w:t>
            </w:r>
            <w:r>
              <w:rPr>
                <w:rFonts w:hint="eastAsia" w:ascii="宋体" w:hAnsi="宋体" w:eastAsia="宋体" w:cs="宋体"/>
                <w:snapToGrid w:val="0"/>
                <w:color w:val="auto"/>
                <w:kern w:val="0"/>
                <w:sz w:val="22"/>
                <w:szCs w:val="22"/>
                <w:highlight w:val="none"/>
                <w:lang w:val="en-US" w:eastAsia="zh-CN" w:bidi="ar-SA"/>
              </w:rPr>
              <w:t>不具备以上职称的，或未提供职称证原件的（电子证书除外），不予计分。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54270A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hAnsi="宋体" w:cs="宋体"/>
                <w:snapToGrid w:val="0"/>
                <w:color w:val="auto"/>
                <w:kern w:val="0"/>
                <w:sz w:val="22"/>
                <w:szCs w:val="22"/>
                <w:highlight w:val="none"/>
                <w:lang w:val="en-US" w:eastAsia="zh-CN"/>
              </w:rPr>
              <w:t>1.</w:t>
            </w:r>
            <w:r>
              <w:rPr>
                <w:rFonts w:hint="eastAsia" w:hAnsi="宋体" w:cs="宋体"/>
                <w:snapToGrid w:val="0"/>
                <w:color w:val="auto"/>
                <w:kern w:val="0"/>
                <w:sz w:val="22"/>
                <w:szCs w:val="22"/>
                <w:highlight w:val="none"/>
              </w:rPr>
              <w:t>需附职称证彩色扫描件（或打印件），</w:t>
            </w:r>
            <w:r>
              <w:rPr>
                <w:rFonts w:hint="eastAsia" w:hAnsi="宋体" w:cs="宋体"/>
                <w:b/>
                <w:bCs/>
                <w:snapToGrid w:val="0"/>
                <w:color w:val="auto"/>
                <w:kern w:val="0"/>
                <w:sz w:val="22"/>
                <w:szCs w:val="22"/>
                <w:highlight w:val="none"/>
              </w:rPr>
              <w:t>同时提供原件供核对（职称证为电子证书打印件的除外）</w:t>
            </w:r>
            <w:r>
              <w:rPr>
                <w:rFonts w:hint="eastAsia" w:hAnsi="宋体" w:cs="宋体"/>
                <w:snapToGrid w:val="0"/>
                <w:color w:val="auto"/>
                <w:kern w:val="0"/>
                <w:sz w:val="22"/>
                <w:szCs w:val="22"/>
                <w:highlight w:val="none"/>
              </w:rPr>
              <w:t>。</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78E2C2C">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企业业绩</w:t>
            </w:r>
          </w:p>
          <w:p w14:paraId="4A686DF9">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10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B42C647">
            <w:pPr>
              <w:wordWrap w:val="0"/>
              <w:adjustRightInd w:val="0"/>
              <w:snapToGrid w:val="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企业近</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年来（202</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年1月1日至今）业绩情况：</w:t>
            </w:r>
          </w:p>
          <w:p w14:paraId="54546073">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1.完成过类似工程的，每个得</w:t>
            </w:r>
            <w:r>
              <w:rPr>
                <w:rFonts w:hint="eastAsia" w:asciiTheme="minorEastAsia" w:hAnsiTheme="minorEastAsia" w:eastAsiaTheme="minorEastAsia" w:cstheme="minorEastAsia"/>
                <w:sz w:val="22"/>
                <w:szCs w:val="22"/>
                <w:highlight w:val="none"/>
                <w:u w:val="single"/>
              </w:rPr>
              <w:t>5</w:t>
            </w:r>
            <w:r>
              <w:rPr>
                <w:rFonts w:hint="eastAsia" w:asciiTheme="minorEastAsia" w:hAnsiTheme="minorEastAsia" w:eastAsiaTheme="minorEastAsia" w:cstheme="minorEastAsia"/>
                <w:sz w:val="22"/>
                <w:szCs w:val="22"/>
                <w:highlight w:val="none"/>
              </w:rPr>
              <w:t>分。</w:t>
            </w:r>
          </w:p>
          <w:p w14:paraId="105FD10C">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2.未完成过类似工程的，不予计分。</w:t>
            </w:r>
          </w:p>
          <w:p w14:paraId="0A9E115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3.本项最高得10分。</w:t>
            </w:r>
          </w:p>
          <w:p w14:paraId="66CCF90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B953271">
            <w:pPr>
              <w:pStyle w:val="5"/>
              <w:wordWrap w:val="0"/>
              <w:adjustRightInd w:val="0"/>
              <w:snapToGrid w:val="0"/>
              <w:spacing w:after="0" w:line="312" w:lineRule="auto"/>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rPr>
              <w:t>1.类似工程指：</w:t>
            </w:r>
            <w:r>
              <w:rPr>
                <w:rFonts w:hint="eastAsia" w:hAnsi="宋体" w:cs="宋体"/>
                <w:snapToGrid w:val="0"/>
                <w:color w:val="auto"/>
                <w:kern w:val="0"/>
                <w:sz w:val="22"/>
                <w:szCs w:val="22"/>
                <w:highlight w:val="none"/>
                <w:u w:val="single"/>
              </w:rPr>
              <w:t xml:space="preserve"> 房屋建筑或市政</w:t>
            </w:r>
            <w:r>
              <w:rPr>
                <w:rFonts w:hint="eastAsia" w:hAnsi="宋体" w:eastAsia="宋体" w:cs="宋体"/>
                <w:snapToGrid w:val="0"/>
                <w:color w:val="auto"/>
                <w:kern w:val="0"/>
                <w:sz w:val="22"/>
                <w:szCs w:val="22"/>
                <w:highlight w:val="none"/>
                <w:lang w:eastAsia="zh-CN"/>
              </w:rPr>
              <w:t>。</w:t>
            </w:r>
          </w:p>
          <w:p w14:paraId="4FAECD02">
            <w:pPr>
              <w:pStyle w:val="5"/>
              <w:wordWrap w:val="0"/>
              <w:adjustRightInd w:val="0"/>
              <w:snapToGrid w:val="0"/>
              <w:spacing w:after="0"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2.</w:t>
            </w:r>
            <w:r>
              <w:rPr>
                <w:rFonts w:hint="eastAsia" w:hAnsi="宋体" w:cs="宋体"/>
                <w:snapToGrid w:val="0"/>
                <w:color w:val="auto"/>
                <w:kern w:val="0"/>
                <w:sz w:val="22"/>
                <w:szCs w:val="22"/>
                <w:highlight w:val="none"/>
              </w:rPr>
              <w:t>需附有关业绩</w:t>
            </w:r>
            <w:r>
              <w:rPr>
                <w:rFonts w:hint="eastAsia" w:hAnsi="宋体" w:eastAsia="宋体" w:cs="宋体"/>
                <w:snapToGrid w:val="0"/>
                <w:color w:val="auto"/>
                <w:kern w:val="0"/>
                <w:sz w:val="22"/>
                <w:szCs w:val="22"/>
                <w:highlight w:val="none"/>
                <w:lang w:val="en-US" w:eastAsia="zh-CN"/>
              </w:rPr>
              <w:t>证明资料：包括</w:t>
            </w:r>
            <w:r>
              <w:rPr>
                <w:rFonts w:hint="eastAsia" w:hAnsi="宋体" w:cs="宋体"/>
                <w:snapToGrid w:val="0"/>
                <w:color w:val="auto"/>
                <w:kern w:val="0"/>
                <w:sz w:val="22"/>
                <w:szCs w:val="22"/>
                <w:highlight w:val="none"/>
              </w:rPr>
              <w:t>合同协议书及竣工验收报告彩色扫描件，</w:t>
            </w:r>
            <w:r>
              <w:rPr>
                <w:rFonts w:hint="eastAsia" w:hAnsi="宋体" w:cs="宋体"/>
                <w:b/>
                <w:bCs/>
                <w:snapToGrid w:val="0"/>
                <w:color w:val="auto"/>
                <w:kern w:val="0"/>
                <w:sz w:val="22"/>
                <w:szCs w:val="22"/>
                <w:highlight w:val="none"/>
              </w:rPr>
              <w:t>同时提供原件供核对。</w:t>
            </w:r>
          </w:p>
          <w:p w14:paraId="063B1C2B">
            <w:pPr>
              <w:pStyle w:val="5"/>
              <w:wordWrap w:val="0"/>
              <w:adjustRightInd w:val="0"/>
              <w:snapToGrid w:val="0"/>
              <w:spacing w:after="0"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lang w:val="en-US" w:eastAsia="zh-CN"/>
              </w:rPr>
              <w:t>3</w:t>
            </w:r>
            <w:r>
              <w:rPr>
                <w:rFonts w:hint="eastAsia" w:hAnsi="宋体" w:cs="宋体"/>
                <w:snapToGrid w:val="0"/>
                <w:color w:val="auto"/>
                <w:kern w:val="0"/>
                <w:sz w:val="22"/>
                <w:szCs w:val="22"/>
                <w:highlight w:val="none"/>
              </w:rPr>
              <w:t>.业绩时间以竣工验收报告日期为准。</w:t>
            </w:r>
          </w:p>
          <w:p w14:paraId="18AE990B">
            <w:pPr>
              <w:wordWrap w:val="0"/>
              <w:adjustRightInd w:val="0"/>
              <w:snapToGrid w:val="0"/>
              <w:spacing w:line="400" w:lineRule="exact"/>
              <w:rPr>
                <w:rFonts w:hAnsi="宋体" w:cs="宋体"/>
                <w:color w:val="auto"/>
                <w:sz w:val="22"/>
                <w:szCs w:val="22"/>
                <w:highlight w:val="none"/>
              </w:rPr>
            </w:pPr>
            <w:r>
              <w:rPr>
                <w:rFonts w:hAnsi="宋体" w:cs="宋体"/>
                <w:color w:val="auto"/>
                <w:sz w:val="22"/>
                <w:szCs w:val="22"/>
                <w:highlight w:val="none"/>
              </w:rPr>
              <w:t>4.任一业绩有以下情形之一的，该业绩视为无效，不予计分：</w:t>
            </w:r>
          </w:p>
          <w:p w14:paraId="64499CFF">
            <w:pPr>
              <w:wordWrap w:val="0"/>
              <w:adjustRightInd w:val="0"/>
              <w:snapToGrid w:val="0"/>
              <w:spacing w:line="400" w:lineRule="exact"/>
              <w:rPr>
                <w:rFonts w:hAnsi="宋体" w:cs="宋体"/>
                <w:color w:val="auto"/>
                <w:sz w:val="22"/>
                <w:szCs w:val="22"/>
                <w:highlight w:val="none"/>
              </w:rPr>
            </w:pPr>
            <w:r>
              <w:rPr>
                <w:rFonts w:hAnsi="宋体" w:cs="宋体"/>
                <w:color w:val="auto"/>
                <w:sz w:val="22"/>
                <w:szCs w:val="22"/>
                <w:highlight w:val="none"/>
              </w:rPr>
              <w:t>①未提供业绩证明材料原件的；</w:t>
            </w:r>
          </w:p>
          <w:p w14:paraId="4837257D">
            <w:pPr>
              <w:wordWrap w:val="0"/>
              <w:adjustRightInd w:val="0"/>
              <w:snapToGrid w:val="0"/>
              <w:spacing w:line="400" w:lineRule="exact"/>
              <w:rPr>
                <w:rFonts w:hAnsi="宋体" w:cs="宋体"/>
                <w:color w:val="auto"/>
                <w:sz w:val="22"/>
                <w:szCs w:val="22"/>
                <w:highlight w:val="none"/>
              </w:rPr>
            </w:pPr>
            <w:r>
              <w:rPr>
                <w:rFonts w:hAnsi="宋体" w:cs="宋体"/>
                <w:color w:val="auto"/>
                <w:sz w:val="22"/>
                <w:szCs w:val="22"/>
                <w:highlight w:val="none"/>
              </w:rPr>
              <w:t>②业绩不属于类似工程的；</w:t>
            </w:r>
          </w:p>
          <w:p w14:paraId="13515A03">
            <w:pPr>
              <w:wordWrap w:val="0"/>
              <w:adjustRightInd w:val="0"/>
              <w:snapToGrid w:val="0"/>
              <w:spacing w:line="400" w:lineRule="exact"/>
              <w:rPr>
                <w:rFonts w:hAnsi="宋体" w:cs="宋体"/>
                <w:color w:val="auto"/>
                <w:sz w:val="22"/>
                <w:szCs w:val="22"/>
                <w:highlight w:val="none"/>
              </w:rPr>
            </w:pPr>
            <w:r>
              <w:rPr>
                <w:rFonts w:hAnsi="宋体" w:cs="宋体"/>
                <w:color w:val="auto"/>
                <w:sz w:val="22"/>
                <w:szCs w:val="22"/>
                <w:highlight w:val="none"/>
              </w:rPr>
              <w:t>③不是以指定身份参建的；</w:t>
            </w:r>
          </w:p>
          <w:p w14:paraId="3F9E069B">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Ansi="宋体" w:cs="宋体"/>
                <w:color w:val="auto"/>
                <w:sz w:val="22"/>
                <w:szCs w:val="22"/>
                <w:highlight w:val="none"/>
              </w:rPr>
              <w:t>④业绩时间不符合要求的；</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17244E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企业银行</w:t>
            </w:r>
          </w:p>
          <w:p w14:paraId="43D7AE7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资信评级</w:t>
            </w:r>
          </w:p>
          <w:p w14:paraId="76B9E02E">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36001D6">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1.银行资信评级AAA的，得</w:t>
            </w:r>
            <w:r>
              <w:rPr>
                <w:rFonts w:hint="eastAsia" w:asciiTheme="minorEastAsia" w:hAnsiTheme="minorEastAsia" w:eastAsiaTheme="minorEastAsia" w:cstheme="minorEastAsia"/>
                <w:color w:val="auto"/>
                <w:sz w:val="22"/>
                <w:szCs w:val="22"/>
                <w:highlight w:val="none"/>
                <w:u w:val="single"/>
                <w:lang w:val="en-US" w:eastAsia="zh-CN"/>
              </w:rPr>
              <w:t>5</w:t>
            </w:r>
            <w:r>
              <w:rPr>
                <w:rFonts w:hint="eastAsia" w:asciiTheme="minorEastAsia" w:hAnsiTheme="minorEastAsia" w:eastAsiaTheme="minorEastAsia" w:cstheme="minorEastAsia"/>
                <w:color w:val="auto"/>
                <w:sz w:val="22"/>
                <w:szCs w:val="22"/>
                <w:highlight w:val="none"/>
              </w:rPr>
              <w:t>分。</w:t>
            </w:r>
          </w:p>
          <w:p w14:paraId="24BD58E6">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2.银行资信评级AA（含AA＋、AA－）的，得</w:t>
            </w:r>
            <w:r>
              <w:rPr>
                <w:rFonts w:hint="eastAsia" w:asciiTheme="minorEastAsia" w:hAnsiTheme="minorEastAsia" w:eastAsiaTheme="minorEastAsia" w:cstheme="minorEastAsia"/>
                <w:color w:val="auto"/>
                <w:sz w:val="22"/>
                <w:szCs w:val="22"/>
                <w:highlight w:val="none"/>
                <w:u w:val="single"/>
                <w:lang w:val="en-US" w:eastAsia="zh-CN"/>
              </w:rPr>
              <w:t>3</w:t>
            </w:r>
            <w:r>
              <w:rPr>
                <w:rFonts w:hint="eastAsia" w:asciiTheme="minorEastAsia" w:hAnsiTheme="minorEastAsia" w:eastAsiaTheme="minorEastAsia" w:cstheme="minorEastAsia"/>
                <w:color w:val="auto"/>
                <w:sz w:val="22"/>
                <w:szCs w:val="22"/>
                <w:highlight w:val="none"/>
              </w:rPr>
              <w:t>分。</w:t>
            </w:r>
          </w:p>
          <w:p w14:paraId="44AAA695">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3.银行资信评级A（含A＋、A－）的，得</w:t>
            </w:r>
            <w:r>
              <w:rPr>
                <w:rFonts w:hint="eastAsia" w:asciiTheme="minorEastAsia" w:hAnsiTheme="minorEastAsia" w:eastAsiaTheme="minorEastAsia" w:cstheme="minorEastAsia"/>
                <w:color w:val="auto"/>
                <w:sz w:val="22"/>
                <w:szCs w:val="22"/>
                <w:highlight w:val="none"/>
                <w:u w:val="single"/>
                <w:lang w:val="en-US" w:eastAsia="zh-CN"/>
              </w:rPr>
              <w:t>1</w:t>
            </w:r>
            <w:r>
              <w:rPr>
                <w:rFonts w:hint="eastAsia" w:asciiTheme="minorEastAsia" w:hAnsiTheme="minorEastAsia" w:eastAsiaTheme="minorEastAsia" w:cstheme="minorEastAsia"/>
                <w:color w:val="auto"/>
                <w:sz w:val="22"/>
                <w:szCs w:val="22"/>
                <w:highlight w:val="none"/>
              </w:rPr>
              <w:t>分。</w:t>
            </w:r>
          </w:p>
          <w:p w14:paraId="761ACE99">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4.未获得过以上评级的，或评级证书</w:t>
            </w:r>
            <w:r>
              <w:rPr>
                <w:rFonts w:hint="eastAsia" w:asciiTheme="minorEastAsia" w:hAnsiTheme="minorEastAsia" w:eastAsiaTheme="minorEastAsia" w:cstheme="minorEastAsia"/>
                <w:snapToGrid w:val="0"/>
                <w:color w:val="auto"/>
                <w:kern w:val="0"/>
                <w:sz w:val="22"/>
                <w:szCs w:val="22"/>
                <w:highlight w:val="none"/>
                <w:lang w:val="en-US" w:eastAsia="zh-CN" w:bidi="ar-SA"/>
              </w:rPr>
              <w:t>（证明）</w:t>
            </w:r>
            <w:r>
              <w:rPr>
                <w:rFonts w:hint="eastAsia" w:asciiTheme="minorEastAsia" w:hAnsiTheme="minorEastAsia" w:eastAsiaTheme="minorEastAsia" w:cstheme="minorEastAsia"/>
                <w:color w:val="auto"/>
                <w:sz w:val="22"/>
                <w:szCs w:val="22"/>
                <w:highlight w:val="none"/>
              </w:rPr>
              <w:t>无效的，不予计分。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CBA1D98">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1.需附在有效期内的资信（信用）评级（等级）证书（证明）扫描件，</w:t>
            </w:r>
            <w:r>
              <w:rPr>
                <w:rFonts w:hint="eastAsia" w:asciiTheme="minorEastAsia" w:hAnsiTheme="minorEastAsia" w:eastAsiaTheme="minorEastAsia" w:cstheme="minorEastAsia"/>
                <w:b/>
                <w:bCs/>
                <w:snapToGrid w:val="0"/>
                <w:color w:val="auto"/>
                <w:kern w:val="0"/>
                <w:sz w:val="22"/>
                <w:szCs w:val="22"/>
                <w:highlight w:val="none"/>
                <w:lang w:val="en-US" w:eastAsia="zh-CN"/>
              </w:rPr>
              <w:t>同时提供原件供核对。</w:t>
            </w:r>
          </w:p>
          <w:p w14:paraId="1818283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2.评级（等级）证书须由</w:t>
            </w:r>
            <w:r>
              <w:rPr>
                <w:rFonts w:hint="eastAsia" w:asciiTheme="minorEastAsia" w:hAnsiTheme="minorEastAsia" w:eastAsiaTheme="minorEastAsia" w:cstheme="minorEastAsia"/>
                <w:snapToGrid w:val="0"/>
                <w:color w:val="auto"/>
                <w:kern w:val="0"/>
                <w:sz w:val="22"/>
                <w:szCs w:val="22"/>
                <w:highlight w:val="none"/>
                <w:u w:val="single"/>
                <w:lang w:val="en-US" w:eastAsia="zh-CN"/>
              </w:rPr>
              <w:t>企业基本账户开户银行/市级或以上金融机构</w:t>
            </w:r>
            <w:r>
              <w:rPr>
                <w:rFonts w:hint="eastAsia" w:asciiTheme="minorEastAsia" w:hAnsiTheme="minorEastAsia" w:eastAsiaTheme="minorEastAsia" w:cstheme="minorEastAsia"/>
                <w:snapToGrid w:val="0"/>
                <w:color w:val="auto"/>
                <w:kern w:val="0"/>
                <w:sz w:val="22"/>
                <w:szCs w:val="22"/>
                <w:highlight w:val="none"/>
                <w:lang w:val="en-US" w:eastAsia="zh-CN"/>
              </w:rPr>
              <w:t>出具。</w:t>
            </w:r>
          </w:p>
          <w:p w14:paraId="0B04966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3.评级（等级）证书（证明）有以下情形之一的，视为无效：</w:t>
            </w:r>
          </w:p>
          <w:p w14:paraId="4ED4FD0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①未提供评级（等级）证书（证明）</w:t>
            </w:r>
            <w:r>
              <w:rPr>
                <w:rFonts w:hint="eastAsia" w:asciiTheme="minorEastAsia" w:hAnsiTheme="minorEastAsia" w:eastAsiaTheme="minorEastAsia" w:cstheme="minorEastAsia"/>
                <w:b/>
                <w:bCs/>
                <w:snapToGrid w:val="0"/>
                <w:color w:val="auto"/>
                <w:kern w:val="0"/>
                <w:sz w:val="22"/>
                <w:szCs w:val="22"/>
                <w:highlight w:val="none"/>
                <w:lang w:val="en-US" w:eastAsia="zh-CN"/>
              </w:rPr>
              <w:t>原件</w:t>
            </w:r>
            <w:r>
              <w:rPr>
                <w:rFonts w:hint="eastAsia" w:asciiTheme="minorEastAsia" w:hAnsiTheme="minorEastAsia" w:eastAsiaTheme="minorEastAsia" w:cstheme="minorEastAsia"/>
                <w:snapToGrid w:val="0"/>
                <w:color w:val="auto"/>
                <w:kern w:val="0"/>
                <w:sz w:val="22"/>
                <w:szCs w:val="22"/>
                <w:highlight w:val="none"/>
                <w:lang w:val="en-US" w:eastAsia="zh-CN"/>
              </w:rPr>
              <w:t>的；</w:t>
            </w:r>
          </w:p>
          <w:p w14:paraId="0596943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②评级（等级）证书（证明）不在有效期内的；</w:t>
            </w:r>
          </w:p>
          <w:p w14:paraId="713ECB07">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66D692A">
            <w:pPr>
              <w:pStyle w:val="5"/>
              <w:wordWrap w:val="0"/>
              <w:adjustRightInd w:val="0"/>
              <w:snapToGrid w:val="0"/>
              <w:spacing w:after="0" w:line="400" w:lineRule="exact"/>
              <w:jc w:val="both"/>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shd w:val="clear" w:color="auto" w:fill="auto"/>
                <w:lang w:bidi="ar"/>
              </w:rPr>
              <w:t>企业管理体系认证 （</w:t>
            </w:r>
            <w:r>
              <w:rPr>
                <w:rFonts w:hint="eastAsia" w:ascii="宋体" w:hAnsi="宋体" w:eastAsia="宋体" w:cs="宋体"/>
                <w:snapToGrid w:val="0"/>
                <w:color w:val="auto"/>
                <w:kern w:val="0"/>
                <w:sz w:val="22"/>
                <w:szCs w:val="22"/>
                <w:highlight w:val="none"/>
                <w:shd w:val="clear" w:color="auto" w:fill="auto"/>
                <w:lang w:val="en-US" w:eastAsia="zh-CN" w:bidi="ar"/>
              </w:rPr>
              <w:t>6</w:t>
            </w:r>
            <w:r>
              <w:rPr>
                <w:rFonts w:hint="eastAsia" w:ascii="宋体" w:hAnsi="宋体" w:eastAsia="宋体" w:cs="宋体"/>
                <w:snapToGrid w:val="0"/>
                <w:color w:val="auto"/>
                <w:kern w:val="0"/>
                <w:sz w:val="22"/>
                <w:szCs w:val="22"/>
                <w:highlight w:val="none"/>
                <w:shd w:val="clear" w:color="auto" w:fill="auto"/>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F4712D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 xml:space="preserve">1.质量管理体系认证、职业健康安全管理体系认证、环境管理体系认证中，每获得 1 项认证得 </w:t>
            </w:r>
            <w:r>
              <w:rPr>
                <w:rFonts w:hint="eastAsia" w:asciiTheme="minorEastAsia" w:hAnsiTheme="minorEastAsia" w:eastAsiaTheme="minorEastAsia" w:cstheme="minorEastAsia"/>
                <w:snapToGrid w:val="0"/>
                <w:color w:val="auto"/>
                <w:kern w:val="0"/>
                <w:sz w:val="22"/>
                <w:szCs w:val="22"/>
                <w:highlight w:val="none"/>
                <w:u w:val="single"/>
                <w:lang w:val="en-US" w:eastAsia="zh-CN"/>
              </w:rPr>
              <w:t xml:space="preserve">2 </w:t>
            </w:r>
            <w:r>
              <w:rPr>
                <w:rFonts w:hint="eastAsia" w:asciiTheme="minorEastAsia" w:hAnsiTheme="minorEastAsia" w:eastAsiaTheme="minorEastAsia" w:cstheme="minorEastAsia"/>
                <w:snapToGrid w:val="0"/>
                <w:color w:val="auto"/>
                <w:kern w:val="0"/>
                <w:sz w:val="22"/>
                <w:szCs w:val="22"/>
                <w:highlight w:val="none"/>
                <w:lang w:val="en-US" w:eastAsia="zh-CN"/>
              </w:rPr>
              <w:t>分，最高得</w:t>
            </w:r>
            <w:r>
              <w:rPr>
                <w:rFonts w:hint="eastAsia" w:asciiTheme="minorEastAsia" w:hAnsiTheme="minorEastAsia" w:eastAsiaTheme="minorEastAsia" w:cstheme="minorEastAsia"/>
                <w:snapToGrid w:val="0"/>
                <w:color w:val="auto"/>
                <w:kern w:val="0"/>
                <w:sz w:val="22"/>
                <w:szCs w:val="22"/>
                <w:highlight w:val="none"/>
                <w:u w:val="single"/>
                <w:lang w:val="en-US" w:eastAsia="zh-CN"/>
              </w:rPr>
              <w:t>6</w:t>
            </w:r>
            <w:r>
              <w:rPr>
                <w:rFonts w:hint="eastAsia" w:asciiTheme="minorEastAsia" w:hAnsiTheme="minorEastAsia" w:eastAsiaTheme="minorEastAsia" w:cstheme="minorEastAsia"/>
                <w:snapToGrid w:val="0"/>
                <w:color w:val="auto"/>
                <w:kern w:val="0"/>
                <w:sz w:val="22"/>
                <w:szCs w:val="22"/>
                <w:highlight w:val="none"/>
                <w:lang w:val="en-US" w:eastAsia="zh-CN"/>
              </w:rPr>
              <w:t>分。</w:t>
            </w:r>
          </w:p>
          <w:p w14:paraId="228E63CC">
            <w:pPr>
              <w:pStyle w:val="5"/>
              <w:wordWrap w:val="0"/>
              <w:adjustRightInd w:val="0"/>
              <w:snapToGrid w:val="0"/>
              <w:spacing w:after="0" w:line="400" w:lineRule="exact"/>
              <w:rPr>
                <w:rFonts w:hint="eastAsia" w:ascii="宋体" w:hAnsi="宋体" w:cs="宋体" w:eastAsia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2.未获得以上认证的，不予计分。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ED1A68">
            <w:pPr>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1.需附在有效期内的认证证书彩色扫描件，</w:t>
            </w:r>
            <w:r>
              <w:rPr>
                <w:rFonts w:hint="eastAsia" w:asciiTheme="minorEastAsia" w:hAnsiTheme="minorEastAsia" w:eastAsiaTheme="minorEastAsia" w:cstheme="minorEastAsia"/>
                <w:b/>
                <w:bCs/>
                <w:color w:val="auto"/>
                <w:sz w:val="22"/>
                <w:szCs w:val="22"/>
                <w:highlight w:val="none"/>
              </w:rPr>
              <w:t>同时提供原件供核对（认证证</w:t>
            </w:r>
            <w:r>
              <w:rPr>
                <w:rFonts w:hint="eastAsia" w:asciiTheme="minorEastAsia" w:hAnsiTheme="minorEastAsia" w:eastAsiaTheme="minorEastAsia" w:cstheme="minorEastAsia"/>
                <w:b/>
                <w:bCs/>
                <w:color w:val="auto"/>
                <w:sz w:val="22"/>
                <w:szCs w:val="22"/>
                <w:highlight w:val="none"/>
                <w:lang w:val="en-US" w:eastAsia="zh-CN"/>
              </w:rPr>
              <w:t>书为</w:t>
            </w:r>
            <w:r>
              <w:rPr>
                <w:rFonts w:hint="eastAsia" w:asciiTheme="minorEastAsia" w:hAnsiTheme="minorEastAsia" w:eastAsiaTheme="minorEastAsia" w:cstheme="minorEastAsia"/>
                <w:b/>
                <w:bCs/>
                <w:color w:val="auto"/>
                <w:sz w:val="22"/>
                <w:szCs w:val="22"/>
                <w:highlight w:val="none"/>
              </w:rPr>
              <w:t>电子证书</w:t>
            </w:r>
            <w:r>
              <w:rPr>
                <w:rFonts w:hint="eastAsia" w:asciiTheme="minorEastAsia" w:hAnsiTheme="minorEastAsia" w:eastAsiaTheme="minorEastAsia" w:cstheme="minorEastAsia"/>
                <w:b/>
                <w:bCs/>
                <w:color w:val="auto"/>
                <w:sz w:val="22"/>
                <w:szCs w:val="22"/>
                <w:highlight w:val="none"/>
                <w:lang w:eastAsia="zh-CN"/>
              </w:rPr>
              <w:t>的</w:t>
            </w:r>
            <w:r>
              <w:rPr>
                <w:rFonts w:hint="eastAsia" w:asciiTheme="minorEastAsia" w:hAnsiTheme="minorEastAsia" w:eastAsiaTheme="minorEastAsia" w:cstheme="minorEastAsia"/>
                <w:b/>
                <w:bCs/>
                <w:color w:val="auto"/>
                <w:sz w:val="22"/>
                <w:szCs w:val="22"/>
                <w:highlight w:val="none"/>
              </w:rPr>
              <w:t>除外）。</w:t>
            </w:r>
          </w:p>
          <w:p w14:paraId="228C50AC">
            <w:pPr>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2.任一认证证书有以下情形之一的，该认证证书视为无效，不予计分：</w:t>
            </w:r>
          </w:p>
          <w:p w14:paraId="5A1A5FDF">
            <w:pPr>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①未提供认证证书原件的；</w:t>
            </w:r>
          </w:p>
          <w:p w14:paraId="24A02C51">
            <w:pPr>
              <w:pStyle w:val="5"/>
              <w:wordWrap w:val="0"/>
              <w:adjustRightInd w:val="0"/>
              <w:snapToGrid w:val="0"/>
              <w:spacing w:after="0" w:line="400" w:lineRule="exact"/>
              <w:rPr>
                <w:rFonts w:hint="eastAsia"/>
                <w:color w:val="auto"/>
                <w:sz w:val="22"/>
                <w:szCs w:val="22"/>
                <w:highlight w:val="none"/>
                <w:lang w:val="en-US" w:eastAsia="zh-CN"/>
              </w:rPr>
            </w:pPr>
            <w:r>
              <w:rPr>
                <w:rFonts w:hint="eastAsia" w:asciiTheme="minorEastAsia" w:hAnsiTheme="minorEastAsia" w:eastAsiaTheme="minorEastAsia" w:cstheme="minorEastAsia"/>
                <w:b w:val="0"/>
                <w:bCs w:val="0"/>
                <w:color w:val="auto"/>
                <w:sz w:val="22"/>
                <w:szCs w:val="22"/>
                <w:highlight w:val="none"/>
              </w:rPr>
              <w:t>②认证证书不在有效期内的。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754E5DC2">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lang w:bidi="ar"/>
              </w:rPr>
              <w:t>企业</w:t>
            </w:r>
          </w:p>
          <w:p w14:paraId="3CFDD6B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bidi="ar"/>
              </w:rPr>
              <w:t>财务状况</w:t>
            </w:r>
          </w:p>
          <w:p w14:paraId="64BFF5A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bidi="ar"/>
              </w:rPr>
              <w:t>（</w:t>
            </w:r>
            <w:r>
              <w:rPr>
                <w:rFonts w:hint="eastAsia" w:ascii="宋体" w:hAnsi="宋体" w:eastAsia="宋体" w:cs="宋体"/>
                <w:b w:val="0"/>
                <w:bCs w:val="0"/>
                <w:snapToGrid w:val="0"/>
                <w:color w:val="auto"/>
                <w:kern w:val="0"/>
                <w:sz w:val="22"/>
                <w:szCs w:val="22"/>
                <w:highlight w:val="none"/>
                <w:lang w:val="en-US" w:eastAsia="zh-CN" w:bidi="ar"/>
              </w:rPr>
              <w:t>9</w:t>
            </w:r>
            <w:r>
              <w:rPr>
                <w:rFonts w:hint="eastAsia" w:ascii="宋体" w:hAnsi="宋体" w:eastAsia="宋体" w:cs="宋体"/>
                <w:snapToGrid w:val="0"/>
                <w:color w:val="auto"/>
                <w:kern w:val="0"/>
                <w:sz w:val="22"/>
                <w:szCs w:val="22"/>
                <w:highlight w:val="none"/>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72703D">
            <w:pPr>
              <w:pStyle w:val="5"/>
              <w:wordWrap w:val="0"/>
              <w:adjustRightInd w:val="0"/>
              <w:snapToGrid w:val="0"/>
              <w:spacing w:after="0" w:line="312" w:lineRule="auto"/>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1.提供不少于</w:t>
            </w:r>
            <w:r>
              <w:rPr>
                <w:rFonts w:hint="eastAsia" w:hAnsi="宋体" w:cs="宋体"/>
                <w:snapToGrid w:val="0"/>
                <w:color w:val="auto"/>
                <w:kern w:val="0"/>
                <w:sz w:val="22"/>
                <w:szCs w:val="22"/>
                <w:highlight w:val="none"/>
                <w:u w:val="single"/>
                <w:lang w:val="en-US" w:eastAsia="zh-CN"/>
              </w:rPr>
              <w:t>50</w:t>
            </w:r>
            <w:r>
              <w:rPr>
                <w:rFonts w:hint="eastAsia" w:hAnsi="宋体" w:cs="宋体"/>
                <w:snapToGrid w:val="0"/>
                <w:color w:val="auto"/>
                <w:kern w:val="0"/>
                <w:sz w:val="22"/>
                <w:szCs w:val="22"/>
                <w:highlight w:val="none"/>
              </w:rPr>
              <w:t>万元银行授信证明的，得</w:t>
            </w:r>
            <w:r>
              <w:rPr>
                <w:rFonts w:hint="eastAsia" w:hAnsi="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u w:val="single"/>
                <w:lang w:val="en-US" w:eastAsia="zh-CN"/>
              </w:rPr>
              <w:t>4</w:t>
            </w:r>
            <w:r>
              <w:rPr>
                <w:rFonts w:hint="eastAsia" w:hAnsi="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rPr>
              <w:t>分。</w:t>
            </w:r>
          </w:p>
          <w:p w14:paraId="4C9E11F3">
            <w:pPr>
              <w:pStyle w:val="5"/>
              <w:wordWrap w:val="0"/>
              <w:adjustRightInd w:val="0"/>
              <w:snapToGrid w:val="0"/>
              <w:spacing w:after="0" w:line="312" w:lineRule="auto"/>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rPr>
              <w:t>2.提供投标人基本账户在本项目招标公告发布之日起至投标截止时间期间出现过至少连续3日不少于</w:t>
            </w:r>
            <w:r>
              <w:rPr>
                <w:rFonts w:hint="eastAsia" w:hAnsi="宋体" w:cs="宋体"/>
                <w:snapToGrid w:val="0"/>
                <w:color w:val="auto"/>
                <w:kern w:val="0"/>
                <w:sz w:val="22"/>
                <w:szCs w:val="22"/>
                <w:highlight w:val="none"/>
                <w:u w:val="single"/>
                <w:lang w:val="en-US" w:eastAsia="zh-CN"/>
              </w:rPr>
              <w:t>50</w:t>
            </w:r>
            <w:r>
              <w:rPr>
                <w:rFonts w:hint="eastAsia" w:hAnsi="宋体" w:cs="宋体"/>
                <w:snapToGrid w:val="0"/>
                <w:color w:val="auto"/>
                <w:kern w:val="0"/>
                <w:sz w:val="22"/>
                <w:szCs w:val="22"/>
                <w:highlight w:val="none"/>
              </w:rPr>
              <w:t>万元存款余额资金流水证明的，得</w:t>
            </w:r>
            <w:r>
              <w:rPr>
                <w:rFonts w:hint="eastAsia" w:hAnsi="宋体" w:cs="宋体"/>
                <w:snapToGrid w:val="0"/>
                <w:color w:val="auto"/>
                <w:kern w:val="0"/>
                <w:sz w:val="22"/>
                <w:szCs w:val="22"/>
                <w:highlight w:val="none"/>
                <w:u w:val="single"/>
              </w:rPr>
              <w:t>5</w:t>
            </w:r>
            <w:r>
              <w:rPr>
                <w:rFonts w:hint="eastAsia" w:hAnsi="宋体" w:cs="宋体"/>
                <w:snapToGrid w:val="0"/>
                <w:color w:val="auto"/>
                <w:kern w:val="0"/>
                <w:sz w:val="22"/>
                <w:szCs w:val="22"/>
                <w:highlight w:val="none"/>
              </w:rPr>
              <w:t>分。</w:t>
            </w:r>
            <w:r>
              <w:rPr>
                <w:rFonts w:hint="eastAsia" w:hAnsi="宋体" w:cs="宋体"/>
                <w:snapToGrid w:val="0"/>
                <w:color w:val="auto"/>
                <w:kern w:val="0"/>
                <w:sz w:val="22"/>
                <w:szCs w:val="22"/>
                <w:highlight w:val="none"/>
                <w:lang w:val="en-US" w:eastAsia="zh-CN"/>
              </w:rPr>
              <w:t xml:space="preserve"> </w:t>
            </w:r>
          </w:p>
          <w:p w14:paraId="6C7C9E30">
            <w:pPr>
              <w:pStyle w:val="6"/>
              <w:rPr>
                <w:rFonts w:hint="eastAsia" w:eastAsia="宋体"/>
                <w:color w:val="auto"/>
                <w:sz w:val="22"/>
                <w:szCs w:val="22"/>
                <w:highlight w:val="none"/>
                <w:lang w:val="en-US" w:eastAsia="zh-CN"/>
              </w:rPr>
            </w:pPr>
            <w:r>
              <w:rPr>
                <w:rFonts w:hint="eastAsia" w:hAnsi="宋体" w:cs="宋体"/>
                <w:snapToGrid w:val="0"/>
                <w:color w:val="auto"/>
                <w:kern w:val="0"/>
                <w:sz w:val="22"/>
                <w:szCs w:val="22"/>
                <w:highlight w:val="none"/>
                <w:lang w:val="en-US" w:eastAsia="zh-CN"/>
              </w:rPr>
              <w:t>3.</w:t>
            </w:r>
            <w:r>
              <w:rPr>
                <w:rFonts w:hAnsi="宋体" w:cs="宋体"/>
                <w:snapToGrid w:val="0"/>
                <w:color w:val="auto"/>
                <w:kern w:val="0"/>
                <w:sz w:val="22"/>
                <w:szCs w:val="22"/>
                <w:highlight w:val="none"/>
              </w:rPr>
              <w:t>未提供以上证明的，不予计分</w:t>
            </w:r>
            <w:r>
              <w:rPr>
                <w:rFonts w:hint="eastAsia" w:hAnsi="宋体" w:cs="宋体"/>
                <w:snapToGrid w:val="0"/>
                <w:color w:val="auto"/>
                <w:kern w:val="0"/>
                <w:sz w:val="22"/>
                <w:szCs w:val="22"/>
                <w:highlight w:val="none"/>
                <w:lang w:eastAsia="zh-CN"/>
              </w:rPr>
              <w:t>。</w:t>
            </w:r>
          </w:p>
          <w:p w14:paraId="7552E393">
            <w:pPr>
              <w:pStyle w:val="38"/>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cs="宋体" w:eastAsiaTheme="minorEastAsia"/>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F5D8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1．需附在有效期内的有关证明扫描件（或打印件），</w:t>
            </w:r>
            <w:r>
              <w:rPr>
                <w:rFonts w:hint="eastAsia" w:hAnsi="宋体" w:cs="宋体"/>
                <w:b/>
                <w:bCs w:val="0"/>
                <w:snapToGrid w:val="0"/>
                <w:color w:val="auto"/>
                <w:kern w:val="0"/>
                <w:sz w:val="22"/>
                <w:szCs w:val="22"/>
                <w:highlight w:val="none"/>
              </w:rPr>
              <w:t>同时提供原件供核对</w:t>
            </w:r>
            <w:r>
              <w:rPr>
                <w:rFonts w:hint="eastAsia" w:hAnsi="宋体" w:cs="宋体"/>
                <w:bCs/>
                <w:snapToGrid w:val="0"/>
                <w:color w:val="auto"/>
                <w:kern w:val="0"/>
                <w:sz w:val="22"/>
                <w:szCs w:val="22"/>
                <w:highlight w:val="none"/>
              </w:rPr>
              <w:t>（电子证明的除外）。</w:t>
            </w:r>
          </w:p>
          <w:p w14:paraId="51779A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2．银行授信证明有以下情形之一的，视为无效，不予计分：</w:t>
            </w:r>
          </w:p>
          <w:p w14:paraId="2021B2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①未提供授信证明原件的（电子证明的除外）；</w:t>
            </w:r>
          </w:p>
          <w:p w14:paraId="280030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②授信证明不在有效期内的；</w:t>
            </w:r>
          </w:p>
          <w:p w14:paraId="58D530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③授信额度不符合要求的；</w:t>
            </w:r>
          </w:p>
          <w:p w14:paraId="1BA9DA7D">
            <w:pPr>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3.存款余额资金流水证明有以下情形之一的，视为无效，不予计分。</w:t>
            </w:r>
          </w:p>
          <w:p w14:paraId="2AFDEF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①未提供存款证明原件的（电子证明的除外）；</w:t>
            </w:r>
          </w:p>
          <w:p w14:paraId="28B9ED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②存款账户不是基本账户的；</w:t>
            </w:r>
          </w:p>
          <w:p w14:paraId="26750F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cs="宋体"/>
                <w:bCs/>
                <w:snapToGrid w:val="0"/>
                <w:color w:val="auto"/>
                <w:kern w:val="0"/>
                <w:sz w:val="22"/>
                <w:szCs w:val="22"/>
                <w:highlight w:val="none"/>
              </w:rPr>
            </w:pPr>
            <w:r>
              <w:rPr>
                <w:rFonts w:hint="eastAsia" w:hAnsi="宋体" w:cs="宋体"/>
                <w:bCs/>
                <w:snapToGrid w:val="0"/>
                <w:color w:val="auto"/>
                <w:kern w:val="0"/>
                <w:sz w:val="22"/>
                <w:szCs w:val="22"/>
                <w:highlight w:val="none"/>
              </w:rPr>
              <w:t>③存款时间不符合要求的；</w:t>
            </w:r>
          </w:p>
          <w:p w14:paraId="6310C94E">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int="eastAsia" w:hAnsi="宋体" w:cs="宋体"/>
                <w:bCs/>
                <w:snapToGrid w:val="0"/>
                <w:color w:val="auto"/>
                <w:kern w:val="0"/>
                <w:sz w:val="22"/>
                <w:szCs w:val="22"/>
                <w:highlight w:val="none"/>
              </w:rPr>
              <w:t>④存款额度不符合要求的。</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019BA8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招标人</w:t>
            </w:r>
          </w:p>
          <w:p w14:paraId="7C6AD12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自选项</w:t>
            </w:r>
          </w:p>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trike w:val="0"/>
                <w:dstrike w:val="0"/>
                <w:color w:val="auto"/>
                <w:sz w:val="22"/>
                <w:szCs w:val="22"/>
                <w:highlight w:val="none"/>
              </w:rPr>
              <w:t>（</w:t>
            </w:r>
            <w:r>
              <w:rPr>
                <w:rFonts w:hint="eastAsia" w:ascii="宋体" w:hAnsi="宋体" w:eastAsia="宋体" w:cs="宋体"/>
                <w:strike w:val="0"/>
                <w:dstrike w:val="0"/>
                <w:color w:val="auto"/>
                <w:sz w:val="22"/>
                <w:szCs w:val="22"/>
                <w:highlight w:val="none"/>
                <w:lang w:val="en-US" w:eastAsia="zh-CN"/>
              </w:rPr>
              <w:t>30</w:t>
            </w:r>
            <w:r>
              <w:rPr>
                <w:rFonts w:hint="eastAsia" w:ascii="宋体" w:hAnsi="宋体" w:eastAsia="宋体" w:cs="宋体"/>
                <w:strike w:val="0"/>
                <w:dstrike w:val="0"/>
                <w:color w:val="auto"/>
                <w:sz w:val="22"/>
                <w:szCs w:val="22"/>
                <w:highlight w:val="none"/>
              </w:rPr>
              <w:t>分</w:t>
            </w:r>
            <w:r>
              <w:rPr>
                <w:rFonts w:hint="eastAsia" w:ascii="宋体" w:hAnsi="宋体" w:eastAsia="宋体" w:cs="宋体"/>
                <w:strike w:val="0"/>
                <w:dstrike w:val="0"/>
                <w:color w:val="auto"/>
                <w:sz w:val="22"/>
                <w:szCs w:val="22"/>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59583A2">
            <w:pPr>
              <w:pStyle w:val="5"/>
              <w:keepNext w:val="0"/>
              <w:keepLines w:val="0"/>
              <w:pageBreakBefore w:val="0"/>
              <w:widowControl/>
              <w:numPr>
                <w:ilvl w:val="0"/>
                <w:numId w:val="1"/>
              </w:numPr>
              <w:kinsoku w:val="0"/>
              <w:wordWrap w:val="0"/>
              <w:overflowPunct/>
              <w:topLinePunct w:val="0"/>
              <w:autoSpaceDE w:val="0"/>
              <w:autoSpaceDN w:val="0"/>
              <w:bidi w:val="0"/>
              <w:adjustRightInd w:val="0"/>
              <w:snapToGrid w:val="0"/>
              <w:spacing w:line="276" w:lineRule="auto"/>
              <w:textAlignment w:val="baseline"/>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近5年来(2021年1月1日至今)投标人未发生事故等级为一般事故及以上的生产安全事故、一般质量事故及以上的工程质量事故的，得5分;</w:t>
            </w:r>
          </w:p>
          <w:p w14:paraId="0610607F">
            <w:pPr>
              <w:pStyle w:val="5"/>
              <w:numPr>
                <w:ilvl w:val="0"/>
                <w:numId w:val="0"/>
              </w:numPr>
              <w:wordWrap w:val="0"/>
              <w:spacing w:line="276" w:lineRule="auto"/>
              <w:ind w:left="0" w:leftChars="0" w:firstLine="0" w:firstLineChars="0"/>
              <w:rPr>
                <w:rFonts w:hint="eastAsia" w:asciiTheme="minorEastAsia" w:hAnsiTheme="minorEastAsia" w:eastAsiaTheme="minorEastAsia" w:cstheme="minorEastAsia"/>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FF2E685">
            <w:pPr>
              <w:spacing w:line="360" w:lineRule="auto"/>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bidi="ar-SA"/>
              </w:rPr>
              <w:t>1.需提供本单位承诺书(格式自定)并加盖本单位公章。未提供本单位承诺书并加盖本单位公章的不得分。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E1D98BC">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1.企业近5年度（202</w:t>
            </w:r>
            <w:r>
              <w:rPr>
                <w:rFonts w:hint="eastAsia" w:hAnsi="宋体" w:eastAsia="宋体" w:cs="宋体"/>
                <w:snapToGrid w:val="0"/>
                <w:color w:val="auto"/>
                <w:kern w:val="0"/>
                <w:sz w:val="22"/>
                <w:szCs w:val="22"/>
                <w:highlight w:val="none"/>
                <w:lang w:val="en-US" w:eastAsia="zh-CN"/>
              </w:rPr>
              <w:t>1</w:t>
            </w:r>
            <w:r>
              <w:rPr>
                <w:rFonts w:hint="eastAsia" w:hAnsi="宋体" w:cs="宋体"/>
                <w:snapToGrid w:val="0"/>
                <w:color w:val="auto"/>
                <w:kern w:val="0"/>
                <w:sz w:val="22"/>
                <w:szCs w:val="22"/>
                <w:highlight w:val="none"/>
              </w:rPr>
              <w:t>年度至今）获得过省级或以上商业联合会颁发的诚信兴商证书的得</w:t>
            </w:r>
            <w:r>
              <w:rPr>
                <w:rFonts w:hint="eastAsia" w:hAnsi="宋体" w:cs="宋体"/>
                <w:snapToGrid w:val="0"/>
                <w:color w:val="auto"/>
                <w:kern w:val="0"/>
                <w:sz w:val="22"/>
                <w:szCs w:val="22"/>
                <w:highlight w:val="none"/>
                <w:lang w:val="en-US" w:eastAsia="zh-CN"/>
              </w:rPr>
              <w:t>5</w:t>
            </w:r>
            <w:r>
              <w:rPr>
                <w:rFonts w:hint="eastAsia" w:hAnsi="宋体" w:cs="宋体"/>
                <w:snapToGrid w:val="0"/>
                <w:color w:val="auto"/>
                <w:kern w:val="0"/>
                <w:sz w:val="22"/>
                <w:szCs w:val="22"/>
                <w:highlight w:val="none"/>
              </w:rPr>
              <w:t>分；</w:t>
            </w:r>
            <w:r>
              <w:rPr>
                <w:rFonts w:hint="eastAsia" w:hAnsi="宋体" w:cs="宋体"/>
                <w:color w:val="auto"/>
                <w:kern w:val="0"/>
                <w:sz w:val="22"/>
                <w:szCs w:val="22"/>
                <w:highlight w:val="none"/>
                <w:lang w:bidi="ar"/>
              </w:rPr>
              <w:t xml:space="preserve"> </w:t>
            </w:r>
            <w:r>
              <w:rPr>
                <w:rFonts w:hint="eastAsia" w:hAnsi="宋体" w:cs="宋体"/>
                <w:snapToGrid w:val="0"/>
                <w:color w:val="auto"/>
                <w:kern w:val="0"/>
                <w:sz w:val="22"/>
                <w:szCs w:val="22"/>
                <w:highlight w:val="none"/>
              </w:rPr>
              <w:t xml:space="preserve"> </w:t>
            </w:r>
          </w:p>
          <w:p w14:paraId="34979059">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asciiTheme="minorEastAsia" w:hAnsiTheme="minorEastAsia" w:eastAsiaTheme="minorEastAsia" w:cstheme="minorEastAsia"/>
                <w:snapToGrid w:val="0"/>
                <w:color w:val="auto"/>
                <w:kern w:val="0"/>
                <w:sz w:val="22"/>
                <w:szCs w:val="22"/>
                <w:highlight w:val="none"/>
              </w:rPr>
            </w:pPr>
            <w:r>
              <w:rPr>
                <w:rFonts w:hint="eastAsia" w:hAnsi="宋体" w:cs="宋体"/>
                <w:snapToGrid w:val="0"/>
                <w:color w:val="auto"/>
                <w:kern w:val="0"/>
                <w:sz w:val="22"/>
                <w:szCs w:val="22"/>
                <w:highlight w:val="none"/>
              </w:rPr>
              <w:t xml:space="preserve">2.其他情形的，不予计分。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56920F">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 xml:space="preserve">1.证书由省级或以上商业联合会颁发，须提供 </w:t>
            </w:r>
          </w:p>
          <w:p w14:paraId="609DB616">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有关证书彩色扫描件，</w:t>
            </w:r>
            <w:r>
              <w:rPr>
                <w:rFonts w:hint="eastAsia" w:hAnsi="宋体" w:cs="宋体"/>
                <w:b/>
                <w:bCs/>
                <w:snapToGrid w:val="0"/>
                <w:color w:val="auto"/>
                <w:kern w:val="0"/>
                <w:sz w:val="22"/>
                <w:szCs w:val="22"/>
                <w:highlight w:val="none"/>
              </w:rPr>
              <w:t>同时提供原件核对。</w:t>
            </w:r>
            <w:r>
              <w:rPr>
                <w:rFonts w:hint="eastAsia" w:hAnsi="宋体" w:cs="宋体"/>
                <w:snapToGrid w:val="0"/>
                <w:color w:val="auto"/>
                <w:kern w:val="0"/>
                <w:sz w:val="22"/>
                <w:szCs w:val="22"/>
                <w:highlight w:val="none"/>
              </w:rPr>
              <w:t xml:space="preserve"> </w:t>
            </w:r>
          </w:p>
          <w:p w14:paraId="7D2FC4E7">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2.未提供原件的，颁发机构不符合要求的，按</w:t>
            </w:r>
          </w:p>
          <w:p w14:paraId="0D533F9E">
            <w:pPr>
              <w:keepNext w:val="0"/>
              <w:keepLines w:val="0"/>
              <w:pageBreakBefore w:val="0"/>
              <w:widowControl/>
              <w:kinsoku w:val="0"/>
              <w:wordWrap w:val="0"/>
              <w:overflowPunct/>
              <w:topLinePunct w:val="0"/>
              <w:bidi w:val="0"/>
              <w:adjustRightInd w:val="0"/>
              <w:snapToGrid w:val="0"/>
              <w:spacing w:line="276" w:lineRule="auto"/>
              <w:jc w:val="left"/>
              <w:textAlignment w:val="baseline"/>
              <w:rPr>
                <w:rFonts w:hint="eastAsia" w:asciiTheme="minorEastAsia" w:hAnsiTheme="minorEastAsia" w:eastAsiaTheme="minorEastAsia" w:cstheme="minorEastAsia"/>
                <w:snapToGrid w:val="0"/>
                <w:color w:val="auto"/>
                <w:kern w:val="0"/>
                <w:sz w:val="22"/>
                <w:szCs w:val="22"/>
                <w:highlight w:val="none"/>
              </w:rPr>
            </w:pPr>
            <w:r>
              <w:rPr>
                <w:rFonts w:hint="eastAsia" w:hAnsi="宋体" w:cs="宋体"/>
                <w:snapToGrid w:val="0"/>
                <w:color w:val="auto"/>
                <w:kern w:val="0"/>
                <w:sz w:val="22"/>
                <w:szCs w:val="22"/>
                <w:highlight w:val="none"/>
              </w:rPr>
              <w:t>第 2 项标准处理。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39A37FD">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企业从202</w:t>
            </w:r>
            <w:r>
              <w:rPr>
                <w:rFonts w:hint="eastAsia" w:hAnsi="宋体" w:cs="宋体"/>
                <w:snapToGrid w:val="0"/>
                <w:color w:val="auto"/>
                <w:kern w:val="0"/>
                <w:sz w:val="22"/>
                <w:szCs w:val="22"/>
                <w:highlight w:val="none"/>
                <w:lang w:val="en-US" w:eastAsia="zh-CN"/>
              </w:rPr>
              <w:t>1</w:t>
            </w:r>
            <w:r>
              <w:rPr>
                <w:rFonts w:hint="eastAsia" w:hAnsi="宋体" w:cs="宋体"/>
                <w:snapToGrid w:val="0"/>
                <w:color w:val="auto"/>
                <w:kern w:val="0"/>
                <w:sz w:val="22"/>
                <w:szCs w:val="22"/>
                <w:highlight w:val="none"/>
              </w:rPr>
              <w:t>年1月1日至今获得过国家级“AAA级信用企业”称号的,得3分，超过1年的，每增加一年加2分，</w:t>
            </w:r>
            <w:r>
              <w:rPr>
                <w:rFonts w:hint="eastAsia" w:hAnsi="宋体" w:cs="宋体"/>
                <w:bCs/>
                <w:snapToGrid w:val="0"/>
                <w:color w:val="auto"/>
                <w:kern w:val="0"/>
                <w:sz w:val="22"/>
                <w:szCs w:val="22"/>
                <w:highlight w:val="none"/>
              </w:rPr>
              <w:t>最高得</w:t>
            </w:r>
            <w:r>
              <w:rPr>
                <w:rFonts w:hint="eastAsia" w:hAnsi="宋体" w:cs="宋体"/>
                <w:snapToGrid w:val="0"/>
                <w:color w:val="auto"/>
                <w:kern w:val="0"/>
                <w:sz w:val="22"/>
                <w:szCs w:val="22"/>
                <w:highlight w:val="none"/>
              </w:rPr>
              <w:t>5分。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85E932F">
            <w:pPr>
              <w:pStyle w:val="5"/>
              <w:keepNext w:val="0"/>
              <w:keepLines w:val="0"/>
              <w:pageBreakBefore w:val="0"/>
              <w:widowControl/>
              <w:kinsoku w:val="0"/>
              <w:wordWrap w:val="0"/>
              <w:overflowPunct/>
              <w:topLinePunct w:val="0"/>
              <w:bidi w:val="0"/>
              <w:adjustRightInd w:val="0"/>
              <w:snapToGrid w:val="0"/>
              <w:spacing w:line="276" w:lineRule="auto"/>
              <w:jc w:val="both"/>
              <w:textAlignment w:val="baseline"/>
              <w:rPr>
                <w:rFonts w:hint="eastAsia" w:hAnsi="宋体" w:cs="宋体"/>
                <w:b/>
                <w:bCs/>
                <w:snapToGrid w:val="0"/>
                <w:color w:val="auto"/>
                <w:kern w:val="0"/>
                <w:sz w:val="22"/>
                <w:szCs w:val="22"/>
                <w:highlight w:val="none"/>
              </w:rPr>
            </w:pPr>
            <w:r>
              <w:rPr>
                <w:rFonts w:hint="eastAsia" w:hAnsi="宋体" w:cs="宋体"/>
                <w:snapToGrid w:val="0"/>
                <w:color w:val="auto"/>
                <w:kern w:val="0"/>
                <w:sz w:val="22"/>
                <w:szCs w:val="22"/>
                <w:highlight w:val="none"/>
              </w:rPr>
              <w:t>1．需附相关证书彩色扫描件，</w:t>
            </w:r>
            <w:r>
              <w:rPr>
                <w:rFonts w:hint="eastAsia" w:hAnsi="宋体" w:cs="宋体"/>
                <w:b/>
                <w:bCs/>
                <w:snapToGrid w:val="0"/>
                <w:color w:val="auto"/>
                <w:kern w:val="0"/>
                <w:sz w:val="22"/>
                <w:szCs w:val="22"/>
                <w:highlight w:val="none"/>
              </w:rPr>
              <w:t>同时提供原件供核对。</w:t>
            </w:r>
          </w:p>
          <w:p w14:paraId="7F8E18FD">
            <w:pPr>
              <w:pStyle w:val="5"/>
              <w:keepNext w:val="0"/>
              <w:keepLines w:val="0"/>
              <w:pageBreakBefore w:val="0"/>
              <w:widowControl/>
              <w:kinsoku w:val="0"/>
              <w:wordWrap w:val="0"/>
              <w:overflowPunct/>
              <w:topLinePunct w:val="0"/>
              <w:bidi w:val="0"/>
              <w:adjustRightInd w:val="0"/>
              <w:snapToGrid w:val="0"/>
              <w:spacing w:after="0" w:line="276" w:lineRule="auto"/>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2．证书须由国家级企业联合会和企业家协会同时颁发。</w:t>
            </w:r>
          </w:p>
          <w:p w14:paraId="3C5A1F32">
            <w:pPr>
              <w:keepNext w:val="0"/>
              <w:keepLines w:val="0"/>
              <w:pageBreakBefore w:val="0"/>
              <w:widowControl/>
              <w:kinsoku w:val="0"/>
              <w:wordWrap w:val="0"/>
              <w:overflowPunct/>
              <w:topLinePunct w:val="0"/>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2"/>
                <w:szCs w:val="22"/>
                <w:highlight w:val="none"/>
                <w:lang w:val="en-US" w:eastAsia="zh-CN" w:bidi="ar-SA"/>
              </w:rPr>
            </w:pPr>
            <w:r>
              <w:rPr>
                <w:rFonts w:hint="eastAsia" w:hAnsi="宋体" w:cs="宋体"/>
                <w:snapToGrid w:val="0"/>
                <w:color w:val="auto"/>
                <w:kern w:val="0"/>
                <w:sz w:val="22"/>
                <w:szCs w:val="22"/>
                <w:highlight w:val="none"/>
              </w:rPr>
              <w:t>3．未提供原件的；颁发机构、获奖时间不符合评分标准和备注规定的，不予得分。</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9DDB89">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default" w:hAnsi="宋体" w:cs="宋体"/>
                <w:snapToGrid w:val="0"/>
                <w:color w:val="auto"/>
                <w:kern w:val="0"/>
                <w:sz w:val="22"/>
                <w:szCs w:val="22"/>
                <w:highlight w:val="none"/>
                <w:lang w:val="en-US" w:eastAsia="zh-CN"/>
              </w:rPr>
              <w:t>企业</w:t>
            </w:r>
            <w:r>
              <w:rPr>
                <w:rFonts w:hint="eastAsia" w:hAnsi="宋体" w:cs="宋体"/>
                <w:snapToGrid w:val="0"/>
                <w:color w:val="auto"/>
                <w:kern w:val="0"/>
                <w:sz w:val="22"/>
                <w:szCs w:val="22"/>
                <w:highlight w:val="none"/>
                <w:lang w:val="en-US" w:eastAsia="zh-CN"/>
              </w:rPr>
              <w:t>2021</w:t>
            </w:r>
            <w:r>
              <w:rPr>
                <w:rFonts w:hint="default" w:hAnsi="宋体" w:cs="宋体"/>
                <w:snapToGrid w:val="0"/>
                <w:color w:val="auto"/>
                <w:kern w:val="0"/>
                <w:sz w:val="22"/>
                <w:szCs w:val="22"/>
                <w:highlight w:val="none"/>
                <w:lang w:val="en-US" w:eastAsia="zh-CN"/>
              </w:rPr>
              <w:t>年</w:t>
            </w:r>
            <w:r>
              <w:rPr>
                <w:rFonts w:hint="eastAsia" w:hAnsi="宋体" w:cs="宋体"/>
                <w:snapToGrid w:val="0"/>
                <w:color w:val="auto"/>
                <w:kern w:val="0"/>
                <w:sz w:val="22"/>
                <w:szCs w:val="22"/>
                <w:highlight w:val="none"/>
                <w:lang w:val="en-US" w:eastAsia="zh-CN"/>
              </w:rPr>
              <w:t>度至今</w:t>
            </w:r>
            <w:r>
              <w:rPr>
                <w:rFonts w:hint="default" w:hAnsi="宋体" w:cs="宋体"/>
                <w:snapToGrid w:val="0"/>
                <w:color w:val="auto"/>
                <w:kern w:val="0"/>
                <w:sz w:val="22"/>
                <w:szCs w:val="22"/>
                <w:highlight w:val="none"/>
                <w:lang w:val="en-US" w:eastAsia="zh-CN"/>
              </w:rPr>
              <w:t>获得</w:t>
            </w:r>
            <w:r>
              <w:rPr>
                <w:rFonts w:hint="eastAsia" w:hAnsi="宋体" w:cs="宋体"/>
                <w:snapToGrid w:val="0"/>
                <w:color w:val="auto"/>
                <w:kern w:val="0"/>
                <w:sz w:val="22"/>
                <w:szCs w:val="22"/>
                <w:highlight w:val="none"/>
                <w:lang w:val="en-US" w:eastAsia="zh-CN"/>
              </w:rPr>
              <w:t>过</w:t>
            </w:r>
            <w:r>
              <w:rPr>
                <w:rFonts w:hint="default" w:hAnsi="宋体" w:cs="宋体"/>
                <w:snapToGrid w:val="0"/>
                <w:color w:val="auto"/>
                <w:kern w:val="0"/>
                <w:sz w:val="22"/>
                <w:szCs w:val="22"/>
                <w:highlight w:val="none"/>
                <w:lang w:val="en-US" w:eastAsia="zh-CN"/>
              </w:rPr>
              <w:t>纳税信用A级纳税人的，得</w:t>
            </w:r>
            <w:r>
              <w:rPr>
                <w:rFonts w:hint="eastAsia" w:hAnsi="宋体" w:cs="宋体"/>
                <w:snapToGrid w:val="0"/>
                <w:color w:val="auto"/>
                <w:kern w:val="0"/>
                <w:sz w:val="22"/>
                <w:szCs w:val="22"/>
                <w:highlight w:val="none"/>
                <w:lang w:val="en-US" w:eastAsia="zh-CN"/>
              </w:rPr>
              <w:t>5</w:t>
            </w:r>
            <w:r>
              <w:rPr>
                <w:rFonts w:hint="default" w:hAnsi="宋体" w:cs="宋体"/>
                <w:snapToGrid w:val="0"/>
                <w:color w:val="auto"/>
                <w:kern w:val="0"/>
                <w:sz w:val="22"/>
                <w:szCs w:val="22"/>
                <w:highlight w:val="none"/>
                <w:lang w:val="en-US" w:eastAsia="zh-CN"/>
              </w:rPr>
              <w:t>分</w:t>
            </w:r>
            <w:r>
              <w:rPr>
                <w:rFonts w:hint="eastAsia" w:hAnsi="宋体" w:cs="宋体"/>
                <w:snapToGrid w:val="0"/>
                <w:color w:val="auto"/>
                <w:kern w:val="0"/>
                <w:sz w:val="22"/>
                <w:szCs w:val="22"/>
                <w:highlight w:val="none"/>
                <w:lang w:val="en-US" w:eastAsia="zh-CN"/>
              </w:rPr>
              <w:t>。</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37D6CFF">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rPr>
            </w:pPr>
            <w:r>
              <w:rPr>
                <w:rFonts w:hint="eastAsia" w:hAnsi="宋体" w:cs="宋体"/>
                <w:snapToGrid w:val="0"/>
                <w:color w:val="auto"/>
                <w:kern w:val="0"/>
                <w:sz w:val="22"/>
                <w:szCs w:val="22"/>
                <w:highlight w:val="none"/>
              </w:rPr>
              <w:t>1.必须提供企业纳税信用A级纳税人证明材料(或证书)彩色扫描件及国家税务总局(或省级电子税务局)网上查询截图打印件，否则不得分。</w:t>
            </w:r>
          </w:p>
          <w:p w14:paraId="4094DAC8">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eastAsia="宋体" w:cs="宋体"/>
                <w:snapToGrid w:val="0"/>
                <w:color w:val="auto"/>
                <w:kern w:val="0"/>
                <w:sz w:val="22"/>
                <w:szCs w:val="22"/>
                <w:highlight w:val="none"/>
                <w:lang w:eastAsia="zh-CN"/>
              </w:rPr>
            </w:pPr>
            <w:r>
              <w:rPr>
                <w:rFonts w:hint="eastAsia" w:hAnsi="宋体" w:cs="宋体"/>
                <w:snapToGrid w:val="0"/>
                <w:color w:val="auto"/>
                <w:kern w:val="0"/>
                <w:sz w:val="22"/>
                <w:szCs w:val="22"/>
                <w:highlight w:val="none"/>
              </w:rPr>
              <w:t>2.只计算投标人自身(不计算投标人的分公司、子公司及分支机构)</w:t>
            </w:r>
            <w:r>
              <w:rPr>
                <w:rFonts w:hint="eastAsia" w:hAnsi="宋体" w:cs="宋体"/>
                <w:snapToGrid w:val="0"/>
                <w:color w:val="auto"/>
                <w:kern w:val="0"/>
                <w:sz w:val="22"/>
                <w:szCs w:val="22"/>
                <w:highlight w:val="none"/>
                <w:lang w:eastAsia="zh-CN"/>
              </w:rPr>
              <w:t>。</w:t>
            </w:r>
          </w:p>
        </w:tc>
      </w:tr>
      <w:tr w14:paraId="7E6D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tcBorders>
              <w:left w:val="single" w:color="auto" w:sz="4" w:space="0"/>
              <w:right w:val="single" w:color="auto" w:sz="4" w:space="0"/>
            </w:tcBorders>
            <w:noWrap w:val="0"/>
            <w:vAlign w:val="center"/>
          </w:tcPr>
          <w:p w14:paraId="3EABC84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46CDE01">
            <w:pPr>
              <w:pStyle w:val="6"/>
              <w:keepNext w:val="0"/>
              <w:keepLines w:val="0"/>
              <w:pageBreakBefore w:val="0"/>
              <w:widowControl/>
              <w:kinsoku w:val="0"/>
              <w:overflowPunct/>
              <w:topLinePunct w:val="0"/>
              <w:bidi w:val="0"/>
              <w:adjustRightInd w:val="0"/>
              <w:snapToGrid w:val="0"/>
              <w:spacing w:line="276" w:lineRule="auto"/>
              <w:textAlignment w:val="baseline"/>
              <w:rPr>
                <w:rFonts w:hint="default"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1.</w:t>
            </w:r>
            <w:r>
              <w:rPr>
                <w:rFonts w:hint="default" w:hAnsi="宋体" w:cs="宋体"/>
                <w:snapToGrid w:val="0"/>
                <w:color w:val="auto"/>
                <w:kern w:val="0"/>
                <w:sz w:val="22"/>
                <w:szCs w:val="22"/>
                <w:highlight w:val="none"/>
                <w:lang w:val="en-US" w:eastAsia="zh-CN"/>
              </w:rPr>
              <w:t>企业近</w:t>
            </w:r>
            <w:r>
              <w:rPr>
                <w:rFonts w:hint="eastAsia" w:hAnsi="宋体" w:cs="宋体"/>
                <w:snapToGrid w:val="0"/>
                <w:color w:val="auto"/>
                <w:kern w:val="0"/>
                <w:sz w:val="22"/>
                <w:szCs w:val="22"/>
                <w:highlight w:val="none"/>
                <w:lang w:val="en-US" w:eastAsia="zh-CN"/>
              </w:rPr>
              <w:t>10</w:t>
            </w:r>
            <w:r>
              <w:rPr>
                <w:rFonts w:hint="default" w:hAnsi="宋体" w:cs="宋体"/>
                <w:snapToGrid w:val="0"/>
                <w:color w:val="auto"/>
                <w:kern w:val="0"/>
                <w:sz w:val="22"/>
                <w:szCs w:val="22"/>
                <w:highlight w:val="none"/>
                <w:lang w:val="en-US" w:eastAsia="zh-CN"/>
              </w:rPr>
              <w:t>年度（</w:t>
            </w:r>
            <w:r>
              <w:rPr>
                <w:rFonts w:hint="eastAsia" w:hAnsi="宋体" w:cs="宋体"/>
                <w:snapToGrid w:val="0"/>
                <w:color w:val="auto"/>
                <w:kern w:val="0"/>
                <w:sz w:val="22"/>
                <w:szCs w:val="22"/>
                <w:highlight w:val="none"/>
                <w:lang w:val="en-US" w:eastAsia="zh-CN"/>
              </w:rPr>
              <w:t>2016</w:t>
            </w:r>
            <w:r>
              <w:rPr>
                <w:rFonts w:hint="default" w:hAnsi="宋体" w:cs="宋体"/>
                <w:snapToGrid w:val="0"/>
                <w:color w:val="auto"/>
                <w:kern w:val="0"/>
                <w:sz w:val="22"/>
                <w:szCs w:val="22"/>
                <w:highlight w:val="none"/>
                <w:lang w:val="en-US" w:eastAsia="zh-CN"/>
              </w:rPr>
              <w:t>年度~</w:t>
            </w:r>
            <w:r>
              <w:rPr>
                <w:rFonts w:hint="eastAsia" w:hAnsi="宋体" w:cs="宋体"/>
                <w:snapToGrid w:val="0"/>
                <w:color w:val="auto"/>
                <w:kern w:val="0"/>
                <w:sz w:val="22"/>
                <w:szCs w:val="22"/>
                <w:highlight w:val="none"/>
                <w:lang w:val="en-US" w:eastAsia="zh-CN"/>
              </w:rPr>
              <w:t>2025</w:t>
            </w:r>
            <w:r>
              <w:rPr>
                <w:rFonts w:hint="default" w:hAnsi="宋体" w:cs="宋体"/>
                <w:snapToGrid w:val="0"/>
                <w:color w:val="auto"/>
                <w:kern w:val="0"/>
                <w:sz w:val="22"/>
                <w:szCs w:val="22"/>
                <w:highlight w:val="none"/>
                <w:lang w:val="en-US" w:eastAsia="zh-CN"/>
              </w:rPr>
              <w:t>年度）连续获得“中国施工企业管理协会”颁发的工程建设诚信典型企业证书的得5分；</w:t>
            </w:r>
          </w:p>
          <w:p w14:paraId="51A5D303">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642FB7E">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b/>
                <w:bCs/>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1．获得“中国施工企业管理协会” 认定，须提供有关证书复印件（或打印件），同时提供</w:t>
            </w:r>
            <w:r>
              <w:rPr>
                <w:rFonts w:hint="eastAsia" w:hAnsi="宋体" w:cs="宋体"/>
                <w:b/>
                <w:bCs/>
                <w:snapToGrid w:val="0"/>
                <w:color w:val="auto"/>
                <w:kern w:val="0"/>
                <w:sz w:val="22"/>
                <w:szCs w:val="22"/>
                <w:highlight w:val="none"/>
                <w:lang w:val="en-US" w:eastAsia="zh-CN"/>
              </w:rPr>
              <w:t>原件供核对。</w:t>
            </w:r>
          </w:p>
          <w:p w14:paraId="7EEF1895">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2．未提供原件的，颁发机构、时间不符合要求的，按第2项标准处理。</w:t>
            </w:r>
          </w:p>
        </w:tc>
      </w:tr>
      <w:tr w14:paraId="6CBF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tcBorders>
              <w:left w:val="single" w:color="auto" w:sz="4" w:space="0"/>
              <w:right w:val="single" w:color="auto" w:sz="4" w:space="0"/>
            </w:tcBorders>
            <w:noWrap w:val="0"/>
            <w:vAlign w:val="center"/>
          </w:tcPr>
          <w:p w14:paraId="5689BFFC">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15A6647">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投标人从2021年1月1日至今获得过县（区）建设主管部门颁发的“百千万工程”工作相关表扬信的，得5分。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399E91">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1.需附相关证明彩色扫描件（或打印件），同时提供</w:t>
            </w:r>
            <w:r>
              <w:rPr>
                <w:rFonts w:hint="eastAsia" w:hAnsi="宋体" w:cs="宋体"/>
                <w:b/>
                <w:bCs/>
                <w:snapToGrid w:val="0"/>
                <w:color w:val="auto"/>
                <w:kern w:val="0"/>
                <w:sz w:val="22"/>
                <w:szCs w:val="22"/>
                <w:highlight w:val="none"/>
                <w:lang w:val="en-US" w:eastAsia="zh-CN"/>
              </w:rPr>
              <w:t>原件供核对</w:t>
            </w:r>
            <w:r>
              <w:rPr>
                <w:rFonts w:hint="eastAsia" w:hAnsi="宋体" w:cs="宋体"/>
                <w:snapToGrid w:val="0"/>
                <w:color w:val="auto"/>
                <w:kern w:val="0"/>
                <w:sz w:val="22"/>
                <w:szCs w:val="22"/>
                <w:highlight w:val="none"/>
                <w:lang w:val="en-US" w:eastAsia="zh-CN"/>
              </w:rPr>
              <w:t>。</w:t>
            </w:r>
          </w:p>
          <w:p w14:paraId="7D0D127E">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2、有以下情形之一的，不予计分：</w:t>
            </w:r>
          </w:p>
          <w:p w14:paraId="30413210">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①未提供原件的；</w:t>
            </w:r>
          </w:p>
          <w:p w14:paraId="1B401FAD">
            <w:pPr>
              <w:pStyle w:val="6"/>
              <w:keepNext w:val="0"/>
              <w:keepLines w:val="0"/>
              <w:pageBreakBefore w:val="0"/>
              <w:widowControl/>
              <w:kinsoku w:val="0"/>
              <w:overflowPunct/>
              <w:topLinePunct w:val="0"/>
              <w:bidi w:val="0"/>
              <w:adjustRightInd w:val="0"/>
              <w:snapToGrid w:val="0"/>
              <w:spacing w:line="276" w:lineRule="auto"/>
              <w:textAlignment w:val="baseline"/>
              <w:rPr>
                <w:rFonts w:hint="eastAsia" w:hAnsi="宋体" w:cs="宋体"/>
                <w:snapToGrid w:val="0"/>
                <w:color w:val="auto"/>
                <w:kern w:val="0"/>
                <w:sz w:val="22"/>
                <w:szCs w:val="22"/>
                <w:highlight w:val="none"/>
                <w:lang w:val="en-US" w:eastAsia="zh-CN"/>
              </w:rPr>
            </w:pPr>
            <w:r>
              <w:rPr>
                <w:rFonts w:hint="eastAsia" w:hAnsi="宋体" w:cs="宋体"/>
                <w:snapToGrid w:val="0"/>
                <w:color w:val="auto"/>
                <w:kern w:val="0"/>
                <w:sz w:val="22"/>
                <w:szCs w:val="22"/>
                <w:highlight w:val="none"/>
                <w:lang w:val="en-US" w:eastAsia="zh-CN"/>
              </w:rPr>
              <w:t>②颁发机构、获得时间不符合要求的。</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技术部分（施工组织设计），满分：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lang w:eastAsia="zh-CN"/>
              </w:rPr>
            </w:pPr>
            <w:r>
              <w:rPr>
                <w:rFonts w:hint="eastAsia" w:ascii="宋体" w:hAnsi="宋体" w:eastAsia="宋体" w:cs="宋体"/>
                <w:b/>
                <w:bCs/>
                <w:caps w:val="0"/>
                <w:smallCaps w:val="0"/>
                <w:snapToGrid w:val="0"/>
                <w:color w:val="auto"/>
                <w:spacing w:val="0"/>
                <w:kern w:val="0"/>
                <w:sz w:val="22"/>
                <w:szCs w:val="22"/>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质量</w:t>
            </w:r>
          </w:p>
          <w:p w14:paraId="1FBF3AEC">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保证措施</w:t>
            </w:r>
          </w:p>
          <w:p w14:paraId="1277B614">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lang w:eastAsia="zh-CN"/>
              </w:rPr>
            </w:pPr>
            <w:r>
              <w:rPr>
                <w:rFonts w:hint="eastAsia" w:eastAsia="宋体"/>
                <w:snapToGrid w:val="0"/>
                <w:color w:val="auto"/>
                <w:kern w:val="0"/>
                <w:sz w:val="22"/>
                <w:szCs w:val="22"/>
                <w:highlight w:val="none"/>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4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0DDE4CE8">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226B370B">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0860C7AB">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38B8B4A">
            <w:pPr>
              <w:pStyle w:val="5"/>
              <w:wordWrap w:val="0"/>
              <w:adjustRightInd w:val="0"/>
              <w:snapToGrid w:val="0"/>
              <w:spacing w:after="0" w:line="400" w:lineRule="exac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【优】应用新技术、新工艺、新材料、新设备，针对项目实际提出先进、可行、具体的保证措施。超过招标文件的质量要求。</w:t>
            </w:r>
            <w:r>
              <w:rPr>
                <w:rStyle w:val="42"/>
                <w:rFonts w:hint="eastAsia" w:ascii="宋体" w:hAnsi="宋体" w:eastAsia="宋体" w:cs="宋体"/>
                <w:b/>
                <w:bCs/>
                <w:color w:val="auto"/>
                <w:sz w:val="21"/>
                <w:szCs w:val="21"/>
                <w:highlight w:val="none"/>
              </w:rPr>
              <w:t>投标人企业注册地或分支机构所在地与项目所在地的距离或全资子公司与项目所在地距离100公里内、投标人在相同地质条件业绩情况等相关证明资料。</w:t>
            </w:r>
          </w:p>
          <w:p w14:paraId="01687139">
            <w:pPr>
              <w:pStyle w:val="5"/>
              <w:wordWrap w:val="0"/>
              <w:adjustRightInd w:val="0"/>
              <w:snapToGrid w:val="0"/>
              <w:spacing w:after="0" w:line="400" w:lineRule="exact"/>
              <w:rPr>
                <w:rFonts w:hint="eastAsia" w:hAnsi="宋体" w:cs="宋体"/>
                <w:b/>
                <w:bCs/>
                <w:snapToGrid w:val="0"/>
                <w:color w:val="auto"/>
                <w:kern w:val="0"/>
                <w:sz w:val="21"/>
                <w:szCs w:val="21"/>
                <w:highlight w:val="none"/>
              </w:rPr>
            </w:pPr>
            <w:r>
              <w:rPr>
                <w:rFonts w:hint="eastAsia" w:hAnsi="宋体" w:cs="宋体"/>
                <w:snapToGrid w:val="0"/>
                <w:color w:val="auto"/>
                <w:kern w:val="0"/>
                <w:sz w:val="21"/>
                <w:szCs w:val="21"/>
                <w:highlight w:val="none"/>
              </w:rPr>
              <w:t>【良】针对项目实际提出先进、可行、具体的保证措施。满足招标文件的质量要求。</w:t>
            </w:r>
            <w:r>
              <w:rPr>
                <w:rStyle w:val="42"/>
                <w:rFonts w:hint="eastAsia" w:ascii="宋体" w:hAnsi="宋体" w:eastAsia="宋体" w:cs="宋体"/>
                <w:b/>
                <w:bCs/>
                <w:color w:val="auto"/>
                <w:sz w:val="21"/>
                <w:szCs w:val="21"/>
                <w:highlight w:val="none"/>
              </w:rPr>
              <w:t>投标人企业注册地或分支机构所在地与项目所在地的距离或全资子公司与项目所在地距离200公里内、投标人在相同地质条件业绩情况等相关证明资料。</w:t>
            </w:r>
          </w:p>
          <w:p w14:paraId="7F255911">
            <w:pPr>
              <w:pStyle w:val="5"/>
              <w:wordWrap w:val="0"/>
              <w:adjustRightInd w:val="0"/>
              <w:snapToGrid w:val="0"/>
              <w:spacing w:after="0" w:line="400" w:lineRule="exact"/>
              <w:rPr>
                <w:rStyle w:val="42"/>
                <w:rFonts w:hint="eastAsia" w:ascii="宋体" w:hAnsi="宋体" w:eastAsia="宋体" w:cs="宋体"/>
                <w:b/>
                <w:bCs/>
                <w:color w:val="auto"/>
                <w:sz w:val="21"/>
                <w:szCs w:val="21"/>
                <w:highlight w:val="none"/>
              </w:rPr>
            </w:pPr>
            <w:r>
              <w:rPr>
                <w:rFonts w:hint="eastAsia" w:hAnsi="宋体" w:cs="宋体"/>
                <w:snapToGrid w:val="0"/>
                <w:color w:val="auto"/>
                <w:kern w:val="0"/>
                <w:sz w:val="21"/>
                <w:szCs w:val="21"/>
                <w:highlight w:val="none"/>
              </w:rPr>
              <w:t>【中】具体措施可行。满足招标文件的质量要求。</w:t>
            </w:r>
            <w:r>
              <w:rPr>
                <w:rStyle w:val="42"/>
                <w:rFonts w:hint="eastAsia" w:ascii="宋体" w:hAnsi="宋体" w:eastAsia="宋体" w:cs="宋体"/>
                <w:b/>
                <w:bCs/>
                <w:color w:val="auto"/>
                <w:sz w:val="21"/>
                <w:szCs w:val="21"/>
                <w:highlight w:val="none"/>
              </w:rPr>
              <w:t>投标人企业注册地或分支机构所在地与项目所在地的距离或全资子公司与项目所在地距离300公里内、投标人在相同地质条件业绩情况等相关证明资料。</w:t>
            </w:r>
          </w:p>
          <w:p w14:paraId="156F11F2">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ascii="Arial" w:hAnsi="宋体" w:eastAsia="Arial" w:cs="宋体"/>
                <w:snapToGrid w:val="0"/>
                <w:color w:val="auto"/>
                <w:kern w:val="0"/>
                <w:sz w:val="21"/>
                <w:szCs w:val="21"/>
                <w:highlight w:val="none"/>
                <w:lang w:val="en-US" w:eastAsia="en-US" w:bidi="ar-SA"/>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项目</w:t>
            </w:r>
          </w:p>
          <w:p w14:paraId="1931B2B7">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管理机构</w:t>
            </w:r>
          </w:p>
          <w:p w14:paraId="0EC815FA">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w:t>
            </w:r>
            <w:r>
              <w:rPr>
                <w:rFonts w:hint="eastAsia" w:eastAsia="宋体"/>
                <w:snapToGrid w:val="0"/>
                <w:color w:val="auto"/>
                <w:kern w:val="0"/>
                <w:sz w:val="22"/>
                <w:szCs w:val="22"/>
                <w:highlight w:val="none"/>
                <w:u w:val="single"/>
              </w:rPr>
              <w:t xml:space="preserve"> 3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21C01A3F">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0CE6CB42">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6255D4DE">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4C5A838">
            <w:pPr>
              <w:pStyle w:val="28"/>
              <w:wordWrap w:val="0"/>
              <w:adjustRightInd w:val="0"/>
              <w:snapToGrid w:val="0"/>
              <w:spacing w:line="312"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2C62DC77">
            <w:pPr>
              <w:pStyle w:val="28"/>
              <w:wordWrap w:val="0"/>
              <w:adjustRightInd w:val="0"/>
              <w:snapToGrid w:val="0"/>
              <w:spacing w:line="312"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【良】组织机构形式合理，指挥系统，生产及质量、绿色施工、安全、文明施工、创优达标监控系统、联络协调系统不齐全。</w:t>
            </w:r>
          </w:p>
          <w:p w14:paraId="61289A22">
            <w:pPr>
              <w:pStyle w:val="28"/>
              <w:wordWrap w:val="0"/>
              <w:adjustRightInd w:val="0"/>
              <w:snapToGrid w:val="0"/>
              <w:spacing w:line="312"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【中】组织机构形式基本合理，有指挥系统，生产及质量、绿色施工、安全、文明施工、创优达标监控系统、联络协调系统不齐全。</w:t>
            </w:r>
          </w:p>
          <w:p w14:paraId="6D31A854">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snapToGrid w:val="0"/>
                <w:color w:val="auto"/>
                <w:kern w:val="0"/>
                <w:sz w:val="21"/>
                <w:szCs w:val="21"/>
                <w:highlight w:val="none"/>
              </w:rPr>
              <w:t>【差】组织机构形不合理，指挥系统，生产及质量、绿色施工、安全、文明施工、创优达标监控系统、联络协调系统不齐全。</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77"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2"/>
              </w:numPr>
              <w:wordWrap w:val="0"/>
              <w:adjustRightInd w:val="0"/>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u w:val="single"/>
                <w:lang w:val="en-US" w:eastAsia="zh-CN"/>
              </w:rPr>
              <w:t>3</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次，每次抽取1个号码，抽出的号球不参与下次抽取。所抽取的</w:t>
            </w:r>
            <w:r>
              <w:rPr>
                <w:rFonts w:hint="eastAsia" w:hAnsi="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BFF4480">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7</w:t>
                  </w:r>
                </w:p>
              </w:tc>
            </w:tr>
            <w:tr w14:paraId="305AAC0D">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4C97E2E6">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14</w:t>
                  </w:r>
                </w:p>
              </w:tc>
            </w:tr>
            <w:tr w14:paraId="33CDB21A">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08886A4B">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21</w:t>
                  </w:r>
                </w:p>
              </w:tc>
            </w:tr>
            <w:tr w14:paraId="1D1D8002">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382953F3">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w:t>
            </w:r>
          </w:p>
          <w:p w14:paraId="194373B5">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N＝100－（| Di－D | ÷D）×100×E</w:t>
            </w:r>
          </w:p>
          <w:p w14:paraId="2F9ECC02">
            <w:pP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2"/>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7762"/>
      <w:bookmarkStart w:id="139" w:name="_Toc19232"/>
      <w:bookmarkStart w:id="140" w:name="_Toc18711"/>
      <w:bookmarkStart w:id="141" w:name="_Toc13897"/>
      <w:bookmarkStart w:id="142" w:name="_Toc2769"/>
      <w:bookmarkStart w:id="143" w:name="_Toc32569"/>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3个工作日内将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公示时间不少于3个工作日。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3D9FAD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0DA33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90A44F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3F01D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010C7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EA2885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9E0B7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8FBBA4B">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C56188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24FD29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A8A702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FD81F0A">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E41E20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ECC204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B6898CE">
      <w:pPr>
        <w:pStyle w:val="8"/>
        <w:rPr>
          <w:rFonts w:hint="eastAsia" w:ascii="宋体" w:hAnsi="宋体" w:eastAsia="宋体" w:cs="宋体"/>
          <w:b/>
          <w:bCs/>
          <w:color w:val="auto"/>
          <w:spacing w:val="-3"/>
          <w:sz w:val="24"/>
          <w:szCs w:val="24"/>
          <w:highlight w:val="none"/>
        </w:rPr>
      </w:pPr>
    </w:p>
    <w:p w14:paraId="1E9A31DC">
      <w:pPr>
        <w:pStyle w:val="8"/>
        <w:rPr>
          <w:rFonts w:hint="eastAsia" w:ascii="宋体" w:hAnsi="宋体" w:eastAsia="宋体" w:cs="宋体"/>
          <w:b/>
          <w:bCs/>
          <w:color w:val="auto"/>
          <w:spacing w:val="-3"/>
          <w:sz w:val="24"/>
          <w:szCs w:val="24"/>
          <w:highlight w:val="none"/>
        </w:rPr>
      </w:pPr>
    </w:p>
    <w:p w14:paraId="49DA02DD">
      <w:pPr>
        <w:pStyle w:val="8"/>
        <w:rPr>
          <w:rFonts w:hint="eastAsia" w:ascii="宋体" w:hAnsi="宋体" w:eastAsia="宋体" w:cs="宋体"/>
          <w:b/>
          <w:bCs/>
          <w:color w:val="auto"/>
          <w:spacing w:val="-3"/>
          <w:sz w:val="24"/>
          <w:szCs w:val="24"/>
          <w:highlight w:val="none"/>
        </w:rPr>
      </w:pPr>
    </w:p>
    <w:p w14:paraId="4F56BCA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15B7AE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069674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1EE422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A23A1D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个工作日内将中标候选人和定标情况在广东省招标投标监管网和韶关市公共资源交易中心工程交易系统上公示，公示时间不少于3个工作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3"/>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3"/>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60AAAD08">
      <w:pPr>
        <w:rPr>
          <w:rFonts w:hint="eastAsia" w:ascii="宋体" w:hAnsi="宋体" w:eastAsia="宋体" w:cs="宋体"/>
          <w:b/>
          <w:bCs/>
          <w:color w:val="auto"/>
          <w:spacing w:val="-7"/>
          <w:sz w:val="24"/>
          <w:szCs w:val="24"/>
          <w:highlight w:val="none"/>
        </w:rPr>
      </w:pPr>
    </w:p>
    <w:p w14:paraId="78BF5276">
      <w:pPr>
        <w:pStyle w:val="3"/>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3"/>
        <w:rPr>
          <w:rFonts w:hint="eastAsia"/>
          <w:highlight w:val="none"/>
        </w:rPr>
      </w:pPr>
    </w:p>
    <w:p w14:paraId="5F34689B">
      <w:pPr>
        <w:pStyle w:val="3"/>
        <w:rPr>
          <w:rFonts w:hint="eastAsia"/>
          <w:highlight w:val="none"/>
        </w:rPr>
      </w:pPr>
    </w:p>
    <w:p w14:paraId="4AEC3161">
      <w:pPr>
        <w:rPr>
          <w:rFonts w:hint="eastAsia" w:ascii="宋体" w:hAnsi="宋体" w:eastAsia="宋体" w:cs="宋体"/>
          <w:b/>
          <w:bCs/>
          <w:color w:val="auto"/>
          <w:spacing w:val="-7"/>
          <w:sz w:val="24"/>
          <w:szCs w:val="24"/>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209"/>
      <w:bookmarkStart w:id="154" w:name="_Toc4926"/>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单价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265F2CDE">
      <w:pPr>
        <w:spacing w:before="35" w:line="309" w:lineRule="auto"/>
        <w:ind w:right="81" w:firstLine="470" w:firstLineChars="200"/>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lang w:val="en-US" w:eastAsia="zh-CN"/>
        </w:rPr>
        <w:t>2.3.3.4  变更程序</w:t>
      </w:r>
    </w:p>
    <w:p w14:paraId="198C071E">
      <w:pPr>
        <w:spacing w:before="35" w:line="309" w:lineRule="auto"/>
        <w:ind w:right="81" w:firstLine="708" w:firstLineChars="300"/>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1）甲方交付的（县水务局已备案的）设计图纸、技术说明及相关资料是施工唯一有效依据，乙方不得擅自修改、调整设计文件内容；确需变更的，必须履行法定审批程序，未经县水务局同意不得实施任何变更行为。​</w:t>
      </w:r>
    </w:p>
    <w:p w14:paraId="0FCF3FEF">
      <w:pPr>
        <w:spacing w:before="35" w:line="309" w:lineRule="auto"/>
        <w:ind w:right="81" w:firstLine="708" w:firstLineChars="300"/>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（2）任何涉及工程功能、技术参数、施工工艺的变更或优化调整（含甲方提出的使用功能变更），乙方均不得先行施工。变更或优化调整申请需提交县水务局审核，其中：</w:t>
      </w:r>
      <w:r>
        <w:rPr>
          <w:rFonts w:hint="eastAsia" w:ascii="宋体" w:hAnsi="宋体" w:eastAsia="宋体" w:cs="宋体"/>
          <w:color w:val="auto"/>
          <w:spacing w:val="-2"/>
          <w:sz w:val="24"/>
          <w:szCs w:val="24"/>
          <w:highlight w:val="none"/>
          <w:lang w:val="en-US" w:eastAsia="zh-CN"/>
        </w:rPr>
        <w:fldChar w:fldCharType="begin"/>
      </w:r>
      <w:r>
        <w:rPr>
          <w:rFonts w:hint="eastAsia" w:ascii="宋体" w:hAnsi="宋体" w:eastAsia="宋体" w:cs="宋体"/>
          <w:color w:val="auto"/>
          <w:spacing w:val="-2"/>
          <w:sz w:val="24"/>
          <w:szCs w:val="24"/>
          <w:highlight w:val="none"/>
          <w:lang w:val="en-US" w:eastAsia="zh-CN"/>
        </w:rPr>
        <w:instrText xml:space="preserve"> EQ \o\ac(</w:instrText>
      </w:r>
      <w:r>
        <w:rPr>
          <w:rFonts w:hint="eastAsia" w:ascii="宋体" w:hAnsi="宋体" w:eastAsia="宋体" w:cs="宋体"/>
          <w:snapToGrid w:val="0"/>
          <w:color w:val="auto"/>
          <w:spacing w:val="-2"/>
          <w:position w:val="-4"/>
          <w:sz w:val="36"/>
          <w:szCs w:val="24"/>
          <w:highlight w:val="none"/>
          <w:lang w:val="en-US" w:eastAsia="zh-CN" w:bidi="ar-SA"/>
        </w:rPr>
        <w:instrText xml:space="preserve">○</w:instrText>
      </w:r>
      <w:r>
        <w:rPr>
          <w:rFonts w:hint="eastAsia" w:ascii="宋体" w:hAnsi="宋体" w:eastAsia="宋体" w:cs="宋体"/>
          <w:color w:val="auto"/>
          <w:spacing w:val="-2"/>
          <w:sz w:val="24"/>
          <w:szCs w:val="24"/>
          <w:highlight w:val="none"/>
          <w:lang w:val="en-US" w:eastAsia="zh-CN"/>
        </w:rPr>
        <w:instrText xml:space="preserve">,1)</w:instrText>
      </w:r>
      <w:r>
        <w:rPr>
          <w:rFonts w:hint="eastAsia" w:ascii="宋体" w:hAnsi="宋体" w:eastAsia="宋体" w:cs="宋体"/>
          <w:color w:val="auto"/>
          <w:spacing w:val="-2"/>
          <w:sz w:val="24"/>
          <w:szCs w:val="24"/>
          <w:highlight w:val="none"/>
          <w:lang w:val="en-US" w:eastAsia="zh-CN"/>
        </w:rPr>
        <w:fldChar w:fldCharType="end"/>
      </w:r>
      <w:r>
        <w:rPr>
          <w:rFonts w:hint="eastAsia" w:ascii="宋体" w:hAnsi="宋体" w:eastAsia="宋体" w:cs="宋体"/>
          <w:color w:val="auto"/>
          <w:spacing w:val="-2"/>
          <w:sz w:val="24"/>
          <w:szCs w:val="24"/>
          <w:highlight w:val="none"/>
          <w:lang w:val="en-US" w:eastAsia="zh-CN"/>
        </w:rPr>
        <w:t>不涉及实质内容的优化调整，征求项目所在地村、组移民意愿同意，书面呈县水务局同意后办理优化调整手续；</w:t>
      </w:r>
      <w:r>
        <w:rPr>
          <w:rFonts w:hint="eastAsia" w:ascii="宋体" w:hAnsi="宋体" w:eastAsia="宋体" w:cs="宋体"/>
          <w:color w:val="auto"/>
          <w:spacing w:val="-2"/>
          <w:sz w:val="24"/>
          <w:szCs w:val="24"/>
          <w:highlight w:val="none"/>
          <w:lang w:val="en-US" w:eastAsia="zh-CN"/>
        </w:rPr>
        <w:fldChar w:fldCharType="begin"/>
      </w:r>
      <w:r>
        <w:rPr>
          <w:rFonts w:hint="eastAsia" w:ascii="宋体" w:hAnsi="宋体" w:eastAsia="宋体" w:cs="宋体"/>
          <w:color w:val="auto"/>
          <w:spacing w:val="-2"/>
          <w:sz w:val="24"/>
          <w:szCs w:val="24"/>
          <w:highlight w:val="none"/>
          <w:lang w:val="en-US" w:eastAsia="zh-CN"/>
        </w:rPr>
        <w:instrText xml:space="preserve"> EQ \o\ac(</w:instrText>
      </w:r>
      <w:r>
        <w:rPr>
          <w:rFonts w:hint="eastAsia" w:ascii="宋体" w:hAnsi="宋体" w:eastAsia="宋体" w:cs="宋体"/>
          <w:snapToGrid w:val="0"/>
          <w:color w:val="auto"/>
          <w:spacing w:val="-2"/>
          <w:position w:val="-4"/>
          <w:sz w:val="36"/>
          <w:szCs w:val="24"/>
          <w:highlight w:val="none"/>
          <w:lang w:val="en-US" w:eastAsia="zh-CN" w:bidi="ar-SA"/>
        </w:rPr>
        <w:instrText xml:space="preserve">○</w:instrText>
      </w:r>
      <w:r>
        <w:rPr>
          <w:rFonts w:hint="eastAsia" w:ascii="宋体" w:hAnsi="宋体" w:eastAsia="宋体" w:cs="宋体"/>
          <w:color w:val="auto"/>
          <w:spacing w:val="-2"/>
          <w:sz w:val="24"/>
          <w:szCs w:val="24"/>
          <w:highlight w:val="none"/>
          <w:lang w:val="en-US" w:eastAsia="zh-CN"/>
        </w:rPr>
        <w:instrText xml:space="preserve">,2)</w:instrText>
      </w:r>
      <w:r>
        <w:rPr>
          <w:rFonts w:hint="eastAsia" w:ascii="宋体" w:hAnsi="宋体" w:eastAsia="宋体" w:cs="宋体"/>
          <w:color w:val="auto"/>
          <w:spacing w:val="-2"/>
          <w:sz w:val="24"/>
          <w:szCs w:val="24"/>
          <w:highlight w:val="none"/>
          <w:lang w:val="en-US" w:eastAsia="zh-CN"/>
        </w:rPr>
        <w:fldChar w:fldCharType="end"/>
      </w:r>
      <w:r>
        <w:rPr>
          <w:rFonts w:hint="eastAsia" w:ascii="宋体" w:hAnsi="宋体" w:eastAsia="宋体" w:cs="宋体"/>
          <w:color w:val="auto"/>
          <w:spacing w:val="-2"/>
          <w:sz w:val="24"/>
          <w:szCs w:val="24"/>
          <w:highlight w:val="none"/>
          <w:lang w:val="en-US" w:eastAsia="zh-CN"/>
        </w:rPr>
        <w:t>涉及工程优化调整、核心技术参数修改、建设规模变动等实质内容的变更，征求项目所在地村、组移民意愿同意，甲乙双方办理变更申请，经县水务局报项目原审批单位批复同意后，方可变更实施，严禁未经审批擅自施工，否则由乙方承担全部返工费用及工期损失。所有变更签证单、批复文件、技术资料等需整理归档，作为工程验收及结算的必备依据，未按规定办理变更手续的，甲方有权不予认可相关变更内容。</w:t>
      </w:r>
    </w:p>
    <w:p w14:paraId="30681A52">
      <w:pPr>
        <w:spacing w:before="35" w:line="309" w:lineRule="auto"/>
        <w:ind w:right="81" w:firstLine="472" w:firstLineChars="200"/>
        <w:rPr>
          <w:rFonts w:hint="default"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（3）本工程实行单价合同结算，</w:t>
      </w:r>
      <w:r>
        <w:rPr>
          <w:rFonts w:hint="eastAsia" w:ascii="宋体" w:hAnsi="宋体" w:eastAsia="宋体" w:cs="宋体"/>
          <w:color w:val="auto"/>
          <w:spacing w:val="-2"/>
          <w:sz w:val="24"/>
          <w:szCs w:val="24"/>
          <w:highlight w:val="none"/>
          <w:lang w:val="zh-CN" w:eastAsia="zh-CN"/>
        </w:rPr>
        <w:t>最终结算价以</w:t>
      </w:r>
      <w:r>
        <w:rPr>
          <w:rFonts w:hint="eastAsia" w:ascii="宋体" w:hAnsi="宋体" w:eastAsia="宋体" w:cs="宋体"/>
          <w:color w:val="auto"/>
          <w:spacing w:val="-2"/>
          <w:sz w:val="24"/>
          <w:szCs w:val="24"/>
          <w:highlight w:val="none"/>
          <w:lang w:val="en-US" w:eastAsia="zh-CN"/>
        </w:rPr>
        <w:t>仁化县财政局评审中心</w:t>
      </w:r>
      <w:r>
        <w:rPr>
          <w:rFonts w:hint="eastAsia" w:ascii="宋体" w:hAnsi="宋体" w:eastAsia="宋体" w:cs="宋体"/>
          <w:color w:val="auto"/>
          <w:spacing w:val="-2"/>
          <w:sz w:val="24"/>
          <w:szCs w:val="24"/>
          <w:highlight w:val="none"/>
          <w:lang w:val="zh-CN" w:eastAsia="zh-CN"/>
        </w:rPr>
        <w:t>审核数为准，</w:t>
      </w:r>
      <w:r>
        <w:rPr>
          <w:rFonts w:hint="eastAsia" w:ascii="宋体" w:hAnsi="宋体" w:eastAsia="宋体" w:cs="宋体"/>
          <w:color w:val="auto"/>
          <w:spacing w:val="-2"/>
          <w:sz w:val="24"/>
          <w:szCs w:val="24"/>
          <w:highlight w:val="none"/>
          <w:lang w:val="en-US" w:eastAsia="zh-CN"/>
        </w:rPr>
        <w:t>实际结算价不得超出合同价。设计变更产生的工程量增减，相关费用由乙方在合同价内统筹承担。</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电商平台价格（优先从京东、国美、苏宁等大型电商平台查询取其平均价）；若以上方式均无法确定材料价格的，则采用厂商报价或市场询价等方式取得有合法依据的市场价格，报发包人确认。</w:t>
      </w:r>
    </w:p>
    <w:p w14:paraId="2C06CFC5">
      <w:pPr>
        <w:pStyle w:val="3"/>
        <w:rPr>
          <w:rFonts w:hint="default" w:eastAsia="宋体"/>
          <w:highlight w:val="none"/>
          <w:lang w:val="en-US" w:eastAsia="zh-CN"/>
        </w:rPr>
      </w:pP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lang w:val="en-US" w:eastAsia="zh-CN"/>
        </w:rPr>
        <w:t xml:space="preserve"> 3.0 </w:t>
      </w:r>
      <w:r>
        <w:rPr>
          <w:rFonts w:hint="eastAsia" w:ascii="宋体" w:hAnsi="宋体" w:eastAsia="宋体" w:cs="宋体"/>
          <w:color w:val="auto"/>
          <w:spacing w:val="-1"/>
          <w:sz w:val="24"/>
          <w:szCs w:val="24"/>
          <w:highlight w:val="none"/>
          <w:lang w:val="en-US" w:eastAsia="zh-CN"/>
        </w:rPr>
        <w:t>承包人必须在工程竣工验收合格之日（县水务局组织验收通过之日）起60天内完成工程财政结算备案（评审）且完成提交合格的报账资料到县水务局申请报账，因承包人逾期提交报账资料的按日扣减合同总金额3‰的违约金进行结算支付。如因逾期完工、逾期提交竣工验收资料或逾期提交报账资料造成项目资金被上级收回或统筹的，所造成的损失由承包人自行承担。</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1816"/>
      <w:bookmarkStart w:id="178" w:name="_Toc5247"/>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施工预付款支付比例为：按施工合同价的</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2C6C3981">
      <w:pPr>
        <w:pStyle w:val="8"/>
        <w:rPr>
          <w:rFonts w:hint="default" w:ascii="宋体" w:hAnsi="宋体" w:eastAsia="宋体" w:cs="宋体"/>
          <w:b/>
          <w:bCs/>
          <w:snapToGrid w:val="0"/>
          <w:color w:val="auto"/>
          <w:kern w:val="0"/>
          <w:sz w:val="24"/>
          <w:szCs w:val="20"/>
          <w:highlight w:val="none"/>
          <w:lang w:val="en-US" w:eastAsia="zh-CN" w:bidi="ar-SA"/>
        </w:rPr>
      </w:pPr>
      <w:r>
        <w:rPr>
          <w:rFonts w:hint="eastAsia" w:hAnsi="宋体" w:eastAsia="宋体" w:cs="宋体"/>
          <w:b/>
          <w:bCs/>
          <w:snapToGrid w:val="0"/>
          <w:color w:val="auto"/>
          <w:kern w:val="0"/>
          <w:sz w:val="24"/>
          <w:szCs w:val="20"/>
          <w:highlight w:val="none"/>
          <w:lang w:val="en-US" w:eastAsia="zh-CN"/>
        </w:rPr>
        <w:t xml:space="preserve">    </w:t>
      </w:r>
      <w:r>
        <w:rPr>
          <w:rFonts w:hint="eastAsia" w:ascii="宋体" w:hAnsi="宋体" w:eastAsia="宋体" w:cs="宋体"/>
          <w:b/>
          <w:bCs/>
          <w:snapToGrid w:val="0"/>
          <w:color w:val="auto"/>
          <w:kern w:val="0"/>
          <w:sz w:val="24"/>
          <w:szCs w:val="20"/>
          <w:highlight w:val="none"/>
          <w:lang w:val="en-US" w:eastAsia="zh-CN" w:bidi="ar-SA"/>
        </w:rPr>
        <w:t>3.10 本项目为政府全额投资，所有支付手续经发包人审批后，还须报政府财政部门审批完毕方可支付，如经发包人审批后已及时履行了向财政部门申报审批手续，则视发包方已履约，发包人不需支付延期付款的利息，承包人也不得因政府财政部门履行审批程序所造成的延期付款而暂停施工和相关服务。</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11</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b/>
          <w:bCs/>
          <w:snapToGrid w:val="0"/>
          <w:color w:val="auto"/>
          <w:kern w:val="0"/>
          <w:sz w:val="24"/>
          <w:szCs w:val="20"/>
          <w:highlight w:val="none"/>
          <w:lang w:val="en-US" w:eastAsia="zh-CN"/>
        </w:rPr>
        <w:t>2</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2E614F27">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支付工程款中的工资款项的25%拨付到承包人的工资专户。</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270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270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竣工验收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在工程完工之日（监理周报、监理日记和检查记录确定完工日）起120天内提交合格的申请验收资料到县水务局进行工程验收，因承包人逾期提交申请验收资料的按日扣减合同总金额3‰的违约金进行结算，累计逾期180日以上视为根本性违约，由县水务局将承包人列入从业单位失信名单。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1E357784">
      <w:pPr>
        <w:pStyle w:val="13"/>
        <w:rPr>
          <w:rFonts w:hint="eastAsia" w:ascii="宋体" w:hAnsi="宋体" w:eastAsia="宋体" w:cs="宋体"/>
          <w:color w:val="auto"/>
          <w:sz w:val="24"/>
          <w:szCs w:val="24"/>
          <w:highlight w:val="none"/>
          <w:lang w:eastAsia="zh-CN"/>
        </w:rPr>
      </w:pPr>
    </w:p>
    <w:p w14:paraId="6E6F0A85">
      <w:pPr>
        <w:pStyle w:val="13"/>
        <w:rPr>
          <w:rFonts w:hint="eastAsia" w:ascii="宋体" w:hAnsi="宋体" w:eastAsia="宋体" w:cs="宋体"/>
          <w:color w:val="auto"/>
          <w:sz w:val="24"/>
          <w:szCs w:val="24"/>
          <w:highlight w:val="none"/>
          <w:lang w:eastAsia="zh-CN"/>
        </w:rPr>
      </w:pPr>
    </w:p>
    <w:p w14:paraId="0390B878">
      <w:pPr>
        <w:pStyle w:val="13"/>
        <w:rPr>
          <w:rFonts w:hint="eastAsia" w:ascii="宋体" w:hAnsi="宋体" w:eastAsia="宋体" w:cs="宋体"/>
          <w:color w:val="auto"/>
          <w:sz w:val="24"/>
          <w:szCs w:val="24"/>
          <w:highlight w:val="none"/>
          <w:lang w:eastAsia="zh-CN"/>
        </w:rPr>
      </w:pPr>
    </w:p>
    <w:p w14:paraId="34442139">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233"/>
      <w:bookmarkStart w:id="189" w:name="_Toc2461"/>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8109"/>
      <w:bookmarkStart w:id="191" w:name="_Toc5777"/>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5652"/>
      <w:bookmarkStart w:id="193"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8494"/>
      <w:bookmarkStart w:id="195" w:name="_Toc30781"/>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bookmarkEnd w:id="217"/>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7397"/>
      <w:bookmarkStart w:id="225" w:name="_Toc297"/>
      <w:bookmarkStart w:id="226"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4767"/>
      <w:bookmarkStart w:id="231" w:name="_Toc10326"/>
      <w:bookmarkStart w:id="232" w:name="_Toc293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5365"/>
      <w:bookmarkStart w:id="240"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89"/>
      <w:bookmarkEnd w:id="248"/>
      <w:bookmarkStart w:id="249" w:name="bookmark156"/>
      <w:bookmarkEnd w:id="249"/>
      <w:bookmarkStart w:id="250" w:name="_Toc24489"/>
      <w:bookmarkStart w:id="251" w:name="_Toc31533"/>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1942"/>
      <w:bookmarkStart w:id="253"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54"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bookmarkEnd w:id="254"/>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5" w:name="_Toc30661"/>
      <w:r>
        <w:rPr>
          <w:rFonts w:hint="eastAsia" w:ascii="宋体" w:hAnsi="宋体" w:eastAsia="宋体" w:cs="宋体"/>
          <w:b/>
          <w:bCs/>
          <w:color w:val="auto"/>
          <w:spacing w:val="-4"/>
          <w:sz w:val="24"/>
          <w:szCs w:val="24"/>
          <w:highlight w:val="none"/>
        </w:rPr>
        <w:t>格式九 项目经理任职声明</w:t>
      </w:r>
      <w:bookmarkEnd w:id="255"/>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6" w:name="bookmark157"/>
      <w:bookmarkEnd w:id="256"/>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7" w:name="_Toc31071"/>
      <w:r>
        <w:rPr>
          <w:rFonts w:hint="eastAsia" w:ascii="宋体" w:hAnsi="宋体" w:eastAsia="宋体" w:cs="宋体"/>
          <w:b/>
          <w:bCs/>
          <w:color w:val="auto"/>
          <w:spacing w:val="-4"/>
          <w:sz w:val="24"/>
          <w:szCs w:val="24"/>
          <w:highlight w:val="none"/>
        </w:rPr>
        <w:t>格式十 项目技术负责人简历表</w:t>
      </w:r>
      <w:bookmarkEnd w:id="257"/>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8" w:name="_Toc25712"/>
      <w:bookmarkStart w:id="259" w:name="_Toc1553"/>
      <w:r>
        <w:rPr>
          <w:rFonts w:hint="eastAsia" w:ascii="宋体" w:hAnsi="宋体" w:eastAsia="宋体" w:cs="宋体"/>
          <w:b/>
          <w:bCs/>
          <w:color w:val="auto"/>
          <w:spacing w:val="-4"/>
          <w:sz w:val="30"/>
          <w:szCs w:val="30"/>
          <w:highlight w:val="none"/>
        </w:rPr>
        <w:t>项目技术负责人简历表</w:t>
      </w:r>
      <w:bookmarkEnd w:id="258"/>
      <w:bookmarkEnd w:id="259"/>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60" w:name="_Toc25235"/>
      <w:r>
        <w:rPr>
          <w:rFonts w:hint="eastAsia" w:ascii="宋体" w:hAnsi="宋体" w:eastAsia="宋体" w:cs="宋体"/>
          <w:b/>
          <w:bCs/>
          <w:color w:val="auto"/>
          <w:spacing w:val="-4"/>
          <w:sz w:val="24"/>
          <w:szCs w:val="24"/>
          <w:highlight w:val="none"/>
        </w:rPr>
        <w:t>格式十一 项目管理机构组成表</w:t>
      </w:r>
      <w:bookmarkEnd w:id="260"/>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1" w:name="bookmark158"/>
      <w:bookmarkEnd w:id="261"/>
      <w:bookmarkStart w:id="262" w:name="_Toc28765"/>
      <w:bookmarkStart w:id="263" w:name="_Toc19973"/>
      <w:r>
        <w:rPr>
          <w:rFonts w:hint="eastAsia" w:ascii="宋体" w:hAnsi="宋体" w:eastAsia="宋体" w:cs="宋体"/>
          <w:b/>
          <w:bCs/>
          <w:color w:val="auto"/>
          <w:spacing w:val="-4"/>
          <w:sz w:val="30"/>
          <w:szCs w:val="30"/>
          <w:highlight w:val="none"/>
        </w:rPr>
        <w:t>项目管理机构组成表</w:t>
      </w:r>
      <w:bookmarkEnd w:id="262"/>
      <w:bookmarkEnd w:id="263"/>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4" w:name="_Toc16480"/>
      <w:r>
        <w:rPr>
          <w:rFonts w:hint="eastAsia" w:ascii="宋体" w:hAnsi="宋体" w:eastAsia="宋体" w:cs="宋体"/>
          <w:b/>
          <w:bCs/>
          <w:color w:val="auto"/>
          <w:spacing w:val="-4"/>
          <w:sz w:val="24"/>
          <w:szCs w:val="24"/>
          <w:highlight w:val="none"/>
        </w:rPr>
        <w:t>格式十二 建造师查询页（有效期+建造师签字）</w:t>
      </w:r>
      <w:bookmarkEnd w:id="264"/>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5"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5"/>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6" w:name="bookmark160"/>
      <w:bookmarkEnd w:id="266"/>
      <w:bookmarkStart w:id="267"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7"/>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8" w:name="OLE_LINK39"/>
            <w:r>
              <w:rPr>
                <w:rFonts w:hint="eastAsia" w:ascii="宋体" w:hAnsi="宋体" w:eastAsia="宋体" w:cs="宋体"/>
                <w:color w:val="auto"/>
                <w:spacing w:val="5"/>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9" w:name="bookmark161"/>
            <w:bookmarkEnd w:id="269"/>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70" w:name="OLE_LINK40"/>
            <w:r>
              <w:rPr>
                <w:rFonts w:hint="eastAsia" w:ascii="宋体" w:hAnsi="宋体" w:eastAsia="宋体" w:cs="宋体"/>
                <w:color w:val="auto"/>
                <w:spacing w:val="2"/>
                <w:sz w:val="24"/>
                <w:szCs w:val="24"/>
                <w:highlight w:val="none"/>
              </w:rPr>
              <w:t xml:space="preserve">     </w:t>
            </w:r>
            <w:bookmarkEnd w:id="270"/>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1" w:name="bookmark162"/>
            <w:bookmarkEnd w:id="271"/>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2"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2"/>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3"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3"/>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4" w:name="bookmark107"/>
      <w:bookmarkEnd w:id="274"/>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5" w:name="_Toc7940"/>
      <w:bookmarkStart w:id="276" w:name="_Toc397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5"/>
      <w:bookmarkEnd w:id="276"/>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b/>
          <w:bCs/>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注：上述承诺书中的</w:t>
      </w:r>
      <w:r>
        <w:rPr>
          <w:rFonts w:hint="eastAsia" w:ascii="宋体" w:hAnsi="宋体" w:eastAsia="宋体" w:cs="宋体"/>
          <w:b/>
          <w:bCs/>
          <w:i w:val="0"/>
          <w:iCs w:val="0"/>
          <w:color w:val="auto"/>
          <w:kern w:val="2"/>
          <w:sz w:val="21"/>
          <w:szCs w:val="21"/>
          <w:highlight w:val="none"/>
          <w:u w:val="none" w:color="auto"/>
          <w:vertAlign w:val="baseline"/>
          <w:lang w:val="en-US" w:eastAsia="zh-CN" w:bidi="ar-SA"/>
        </w:rPr>
        <w:t>企业社会贡献下浮率要使用阿拉伯数字填报，不得填报负值，企业社会贡献下浮率没有填报任何数字或填报负值的按无企业社会贡献处理，但不作无效投标处理。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7" w:name="_Toc26911"/>
      <w:bookmarkStart w:id="278" w:name="_Toc26323"/>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7"/>
      <w:bookmarkEnd w:id="278"/>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9"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9"/>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21FCC8FE"/>
    <w:multiLevelType w:val="singleLevel"/>
    <w:tmpl w:val="21FCC8FE"/>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733E26"/>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3B67E12"/>
    <w:rsid w:val="04021749"/>
    <w:rsid w:val="04B67F25"/>
    <w:rsid w:val="04BF763A"/>
    <w:rsid w:val="04E2157A"/>
    <w:rsid w:val="04EF43C3"/>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DE24CD"/>
    <w:rsid w:val="080C703A"/>
    <w:rsid w:val="086230FE"/>
    <w:rsid w:val="088C763C"/>
    <w:rsid w:val="08CD7283"/>
    <w:rsid w:val="08E41D65"/>
    <w:rsid w:val="08EB6C4F"/>
    <w:rsid w:val="092D5890"/>
    <w:rsid w:val="0963211F"/>
    <w:rsid w:val="096D145C"/>
    <w:rsid w:val="09C807D3"/>
    <w:rsid w:val="09CF47C3"/>
    <w:rsid w:val="09F06AB0"/>
    <w:rsid w:val="09FA34EB"/>
    <w:rsid w:val="09FF4A68"/>
    <w:rsid w:val="0A3D267A"/>
    <w:rsid w:val="0A4D175D"/>
    <w:rsid w:val="0A62467A"/>
    <w:rsid w:val="0A7D4664"/>
    <w:rsid w:val="0A87732E"/>
    <w:rsid w:val="0AAA48E8"/>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CB0DFD"/>
    <w:rsid w:val="0DCE22AF"/>
    <w:rsid w:val="0DF525DE"/>
    <w:rsid w:val="0DF61CE0"/>
    <w:rsid w:val="0DF86616"/>
    <w:rsid w:val="0E1B62C2"/>
    <w:rsid w:val="0E1E1875"/>
    <w:rsid w:val="0E460DCC"/>
    <w:rsid w:val="0E684952"/>
    <w:rsid w:val="0E86353F"/>
    <w:rsid w:val="0E8E37ED"/>
    <w:rsid w:val="0EAF2E14"/>
    <w:rsid w:val="0EDB59B8"/>
    <w:rsid w:val="0F1C2D99"/>
    <w:rsid w:val="0F541CA1"/>
    <w:rsid w:val="0F6F04DC"/>
    <w:rsid w:val="1025513D"/>
    <w:rsid w:val="105858FC"/>
    <w:rsid w:val="106C3AC2"/>
    <w:rsid w:val="108403E2"/>
    <w:rsid w:val="109275A9"/>
    <w:rsid w:val="10C15734"/>
    <w:rsid w:val="10C44237"/>
    <w:rsid w:val="1122342A"/>
    <w:rsid w:val="11533574"/>
    <w:rsid w:val="11785740"/>
    <w:rsid w:val="117A3266"/>
    <w:rsid w:val="11862732"/>
    <w:rsid w:val="118F278E"/>
    <w:rsid w:val="119D4F21"/>
    <w:rsid w:val="11A47985"/>
    <w:rsid w:val="11C67A56"/>
    <w:rsid w:val="11D80D88"/>
    <w:rsid w:val="12443874"/>
    <w:rsid w:val="12474DCB"/>
    <w:rsid w:val="12527641"/>
    <w:rsid w:val="126805E3"/>
    <w:rsid w:val="12874FEB"/>
    <w:rsid w:val="12D44BF8"/>
    <w:rsid w:val="12E0534B"/>
    <w:rsid w:val="12E7492B"/>
    <w:rsid w:val="12E74FC1"/>
    <w:rsid w:val="12F27F6E"/>
    <w:rsid w:val="136A44E0"/>
    <w:rsid w:val="137E75A2"/>
    <w:rsid w:val="139029BB"/>
    <w:rsid w:val="14141B79"/>
    <w:rsid w:val="1457788F"/>
    <w:rsid w:val="14760C96"/>
    <w:rsid w:val="14882C02"/>
    <w:rsid w:val="14902DA1"/>
    <w:rsid w:val="14D013EF"/>
    <w:rsid w:val="150D2643"/>
    <w:rsid w:val="15115C90"/>
    <w:rsid w:val="15763D45"/>
    <w:rsid w:val="15853F88"/>
    <w:rsid w:val="15A45AE5"/>
    <w:rsid w:val="15D97B34"/>
    <w:rsid w:val="15DC13FE"/>
    <w:rsid w:val="15E038B4"/>
    <w:rsid w:val="16005D04"/>
    <w:rsid w:val="160E0085"/>
    <w:rsid w:val="16105F47"/>
    <w:rsid w:val="162E6E4D"/>
    <w:rsid w:val="16443E43"/>
    <w:rsid w:val="166D1495"/>
    <w:rsid w:val="16737FC1"/>
    <w:rsid w:val="16C17241"/>
    <w:rsid w:val="16CB4A2F"/>
    <w:rsid w:val="1722468F"/>
    <w:rsid w:val="173C4B1A"/>
    <w:rsid w:val="17726DD2"/>
    <w:rsid w:val="17C50FB3"/>
    <w:rsid w:val="17F92A0B"/>
    <w:rsid w:val="18226406"/>
    <w:rsid w:val="182A472E"/>
    <w:rsid w:val="18602A8A"/>
    <w:rsid w:val="190B3062"/>
    <w:rsid w:val="1963464B"/>
    <w:rsid w:val="197764F6"/>
    <w:rsid w:val="19BC1F42"/>
    <w:rsid w:val="1A3A6836"/>
    <w:rsid w:val="1A584D7E"/>
    <w:rsid w:val="1A5B5BFF"/>
    <w:rsid w:val="1A5D1977"/>
    <w:rsid w:val="1AC50DC4"/>
    <w:rsid w:val="1AE57555"/>
    <w:rsid w:val="1B0A266C"/>
    <w:rsid w:val="1B656D35"/>
    <w:rsid w:val="1B6A170F"/>
    <w:rsid w:val="1B745FC1"/>
    <w:rsid w:val="1BEC4D61"/>
    <w:rsid w:val="1C2A3ADB"/>
    <w:rsid w:val="1C324211"/>
    <w:rsid w:val="1C512E14"/>
    <w:rsid w:val="1C7F3E27"/>
    <w:rsid w:val="1CDC3027"/>
    <w:rsid w:val="1CF00880"/>
    <w:rsid w:val="1D880AB9"/>
    <w:rsid w:val="1DA27862"/>
    <w:rsid w:val="1DE11B57"/>
    <w:rsid w:val="1E206F43"/>
    <w:rsid w:val="1E3B5B2B"/>
    <w:rsid w:val="1E491296"/>
    <w:rsid w:val="1E4F7829"/>
    <w:rsid w:val="1E5D49E3"/>
    <w:rsid w:val="1E7D45CD"/>
    <w:rsid w:val="1E994221"/>
    <w:rsid w:val="1EDA5344"/>
    <w:rsid w:val="1EE13915"/>
    <w:rsid w:val="1EE461C3"/>
    <w:rsid w:val="1F487665"/>
    <w:rsid w:val="1F683A66"/>
    <w:rsid w:val="1F875754"/>
    <w:rsid w:val="1FFE32B4"/>
    <w:rsid w:val="2020237A"/>
    <w:rsid w:val="20515ADA"/>
    <w:rsid w:val="20800BDE"/>
    <w:rsid w:val="20801F1B"/>
    <w:rsid w:val="208A4B48"/>
    <w:rsid w:val="208F6602"/>
    <w:rsid w:val="209669C5"/>
    <w:rsid w:val="20B16579"/>
    <w:rsid w:val="20B56069"/>
    <w:rsid w:val="20C37337"/>
    <w:rsid w:val="20CB1F07"/>
    <w:rsid w:val="20DD111C"/>
    <w:rsid w:val="20F6072B"/>
    <w:rsid w:val="21090925"/>
    <w:rsid w:val="21244F9D"/>
    <w:rsid w:val="21335230"/>
    <w:rsid w:val="213D3171"/>
    <w:rsid w:val="222C2B90"/>
    <w:rsid w:val="22457E73"/>
    <w:rsid w:val="22795DF9"/>
    <w:rsid w:val="22837AA1"/>
    <w:rsid w:val="22B45EAC"/>
    <w:rsid w:val="22F866E1"/>
    <w:rsid w:val="23213C5D"/>
    <w:rsid w:val="232C2DD6"/>
    <w:rsid w:val="2331574F"/>
    <w:rsid w:val="233953DA"/>
    <w:rsid w:val="235B72E4"/>
    <w:rsid w:val="23931F66"/>
    <w:rsid w:val="23A423C5"/>
    <w:rsid w:val="23C465C3"/>
    <w:rsid w:val="24262DDA"/>
    <w:rsid w:val="2446643F"/>
    <w:rsid w:val="246102B6"/>
    <w:rsid w:val="24782AD4"/>
    <w:rsid w:val="248726E0"/>
    <w:rsid w:val="249C3951"/>
    <w:rsid w:val="24DB3BC4"/>
    <w:rsid w:val="24FA6740"/>
    <w:rsid w:val="25004979"/>
    <w:rsid w:val="25243F0A"/>
    <w:rsid w:val="25317C88"/>
    <w:rsid w:val="253A7C36"/>
    <w:rsid w:val="254C2D14"/>
    <w:rsid w:val="256D06AE"/>
    <w:rsid w:val="2582242A"/>
    <w:rsid w:val="259D2ECD"/>
    <w:rsid w:val="25A55F80"/>
    <w:rsid w:val="25B20381"/>
    <w:rsid w:val="25E62821"/>
    <w:rsid w:val="25F25669"/>
    <w:rsid w:val="260B04D9"/>
    <w:rsid w:val="263960D9"/>
    <w:rsid w:val="264763B7"/>
    <w:rsid w:val="2672726E"/>
    <w:rsid w:val="26734FA1"/>
    <w:rsid w:val="26881A92"/>
    <w:rsid w:val="268B2A3A"/>
    <w:rsid w:val="268B3DAD"/>
    <w:rsid w:val="26962499"/>
    <w:rsid w:val="26A61FB0"/>
    <w:rsid w:val="26C2212C"/>
    <w:rsid w:val="26DA2456"/>
    <w:rsid w:val="27035E88"/>
    <w:rsid w:val="27231678"/>
    <w:rsid w:val="27415C62"/>
    <w:rsid w:val="27B65EBB"/>
    <w:rsid w:val="27CA47C6"/>
    <w:rsid w:val="282B4E63"/>
    <w:rsid w:val="283F446A"/>
    <w:rsid w:val="28884FF7"/>
    <w:rsid w:val="289F315B"/>
    <w:rsid w:val="28BE7E3F"/>
    <w:rsid w:val="28CF57EE"/>
    <w:rsid w:val="28D472A8"/>
    <w:rsid w:val="29017971"/>
    <w:rsid w:val="290C4C94"/>
    <w:rsid w:val="290F389D"/>
    <w:rsid w:val="2962542C"/>
    <w:rsid w:val="2987256D"/>
    <w:rsid w:val="299E36C0"/>
    <w:rsid w:val="29CF0DBC"/>
    <w:rsid w:val="2AE80DE9"/>
    <w:rsid w:val="2B367172"/>
    <w:rsid w:val="2B7314CC"/>
    <w:rsid w:val="2B784A6E"/>
    <w:rsid w:val="2B9A7B07"/>
    <w:rsid w:val="2B9F5CDF"/>
    <w:rsid w:val="2BA07916"/>
    <w:rsid w:val="2BAE2033"/>
    <w:rsid w:val="2BB37649"/>
    <w:rsid w:val="2BC9037C"/>
    <w:rsid w:val="2BFD3113"/>
    <w:rsid w:val="2C0003B4"/>
    <w:rsid w:val="2C1005F7"/>
    <w:rsid w:val="2C15160E"/>
    <w:rsid w:val="2C44430E"/>
    <w:rsid w:val="2C4F172C"/>
    <w:rsid w:val="2C9C00DD"/>
    <w:rsid w:val="2CA156F3"/>
    <w:rsid w:val="2CDA0C05"/>
    <w:rsid w:val="2D906B09"/>
    <w:rsid w:val="2D9C5EBB"/>
    <w:rsid w:val="2DD973AC"/>
    <w:rsid w:val="2DFB1659"/>
    <w:rsid w:val="2E0221C2"/>
    <w:rsid w:val="2E611B70"/>
    <w:rsid w:val="2E7A61FC"/>
    <w:rsid w:val="2E9A689E"/>
    <w:rsid w:val="2ECB6A58"/>
    <w:rsid w:val="2EDD4BB1"/>
    <w:rsid w:val="2F01185F"/>
    <w:rsid w:val="2F2729AC"/>
    <w:rsid w:val="2F3C0F4C"/>
    <w:rsid w:val="2F4D3910"/>
    <w:rsid w:val="2F7E1D1C"/>
    <w:rsid w:val="2FB4573E"/>
    <w:rsid w:val="2FB82F9F"/>
    <w:rsid w:val="2FE418AC"/>
    <w:rsid w:val="2FE5383E"/>
    <w:rsid w:val="2FEA4C7F"/>
    <w:rsid w:val="30025987"/>
    <w:rsid w:val="30330D58"/>
    <w:rsid w:val="3037089D"/>
    <w:rsid w:val="30EA3353"/>
    <w:rsid w:val="31013C49"/>
    <w:rsid w:val="312319EF"/>
    <w:rsid w:val="313C778B"/>
    <w:rsid w:val="318F6462"/>
    <w:rsid w:val="321A2D0F"/>
    <w:rsid w:val="32382656"/>
    <w:rsid w:val="324D664C"/>
    <w:rsid w:val="3267118D"/>
    <w:rsid w:val="32870EE7"/>
    <w:rsid w:val="32BE6EB2"/>
    <w:rsid w:val="32C7154E"/>
    <w:rsid w:val="33010C9A"/>
    <w:rsid w:val="33156D5E"/>
    <w:rsid w:val="3317207A"/>
    <w:rsid w:val="331A6B7B"/>
    <w:rsid w:val="331F2052"/>
    <w:rsid w:val="333554DB"/>
    <w:rsid w:val="33396D39"/>
    <w:rsid w:val="33643EF5"/>
    <w:rsid w:val="33D80BF4"/>
    <w:rsid w:val="33E76003"/>
    <w:rsid w:val="33F77F81"/>
    <w:rsid w:val="34254482"/>
    <w:rsid w:val="346534AA"/>
    <w:rsid w:val="346F257B"/>
    <w:rsid w:val="348C4EDB"/>
    <w:rsid w:val="348F605A"/>
    <w:rsid w:val="349873DC"/>
    <w:rsid w:val="34CF1DAC"/>
    <w:rsid w:val="34E716B6"/>
    <w:rsid w:val="34F12F90"/>
    <w:rsid w:val="3505113E"/>
    <w:rsid w:val="35233259"/>
    <w:rsid w:val="35357321"/>
    <w:rsid w:val="355115AF"/>
    <w:rsid w:val="359F2BE0"/>
    <w:rsid w:val="35AE6CC5"/>
    <w:rsid w:val="35FC399A"/>
    <w:rsid w:val="360A620A"/>
    <w:rsid w:val="362A675A"/>
    <w:rsid w:val="36B60605"/>
    <w:rsid w:val="36DB3EF8"/>
    <w:rsid w:val="36DB7A54"/>
    <w:rsid w:val="36DD3EED"/>
    <w:rsid w:val="36EC39E0"/>
    <w:rsid w:val="374F542D"/>
    <w:rsid w:val="37647A49"/>
    <w:rsid w:val="376F46BE"/>
    <w:rsid w:val="37704A11"/>
    <w:rsid w:val="37C45ACE"/>
    <w:rsid w:val="37DF2D89"/>
    <w:rsid w:val="37E335F2"/>
    <w:rsid w:val="3835053A"/>
    <w:rsid w:val="386B727B"/>
    <w:rsid w:val="38BE1535"/>
    <w:rsid w:val="39020228"/>
    <w:rsid w:val="39194863"/>
    <w:rsid w:val="391D7376"/>
    <w:rsid w:val="39403E21"/>
    <w:rsid w:val="397A7B42"/>
    <w:rsid w:val="399A1E48"/>
    <w:rsid w:val="39B4157B"/>
    <w:rsid w:val="39D55A01"/>
    <w:rsid w:val="39F90A3C"/>
    <w:rsid w:val="3A104D75"/>
    <w:rsid w:val="3A4C2C68"/>
    <w:rsid w:val="3A4D1A2B"/>
    <w:rsid w:val="3A5E69D2"/>
    <w:rsid w:val="3B2C2F74"/>
    <w:rsid w:val="3B3415C4"/>
    <w:rsid w:val="3B341851"/>
    <w:rsid w:val="3B345984"/>
    <w:rsid w:val="3B351E28"/>
    <w:rsid w:val="3B4F53C1"/>
    <w:rsid w:val="3B626996"/>
    <w:rsid w:val="3B6C6BA3"/>
    <w:rsid w:val="3B78218B"/>
    <w:rsid w:val="3BAE3989"/>
    <w:rsid w:val="3BB15227"/>
    <w:rsid w:val="3BF02721"/>
    <w:rsid w:val="3BF375EE"/>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A51073"/>
    <w:rsid w:val="3ECB4852"/>
    <w:rsid w:val="3EEB0292"/>
    <w:rsid w:val="3F281B00"/>
    <w:rsid w:val="3F4A7E6C"/>
    <w:rsid w:val="3F6A7BC7"/>
    <w:rsid w:val="3F930BE9"/>
    <w:rsid w:val="3F952DC8"/>
    <w:rsid w:val="3FE15005"/>
    <w:rsid w:val="3FE77469"/>
    <w:rsid w:val="400E2C48"/>
    <w:rsid w:val="409969B6"/>
    <w:rsid w:val="40ED6D01"/>
    <w:rsid w:val="41216845"/>
    <w:rsid w:val="413A36FE"/>
    <w:rsid w:val="41595546"/>
    <w:rsid w:val="41CC2DBB"/>
    <w:rsid w:val="4213220D"/>
    <w:rsid w:val="4235270E"/>
    <w:rsid w:val="423F17DF"/>
    <w:rsid w:val="42461BF0"/>
    <w:rsid w:val="424C7A58"/>
    <w:rsid w:val="427179B7"/>
    <w:rsid w:val="428D039F"/>
    <w:rsid w:val="429E2362"/>
    <w:rsid w:val="42FC0E58"/>
    <w:rsid w:val="43077F25"/>
    <w:rsid w:val="4310792B"/>
    <w:rsid w:val="43621354"/>
    <w:rsid w:val="436D5ED7"/>
    <w:rsid w:val="437454B8"/>
    <w:rsid w:val="43947908"/>
    <w:rsid w:val="43AA0EDA"/>
    <w:rsid w:val="43D25E53"/>
    <w:rsid w:val="43E25FC1"/>
    <w:rsid w:val="43EA7528"/>
    <w:rsid w:val="440138A0"/>
    <w:rsid w:val="44246EDE"/>
    <w:rsid w:val="44692B43"/>
    <w:rsid w:val="447C65C0"/>
    <w:rsid w:val="44857BE4"/>
    <w:rsid w:val="448742A8"/>
    <w:rsid w:val="44983428"/>
    <w:rsid w:val="44C47D79"/>
    <w:rsid w:val="451A208F"/>
    <w:rsid w:val="45433394"/>
    <w:rsid w:val="457E617A"/>
    <w:rsid w:val="45877724"/>
    <w:rsid w:val="458A0FC3"/>
    <w:rsid w:val="458D2861"/>
    <w:rsid w:val="45BB3260"/>
    <w:rsid w:val="46092999"/>
    <w:rsid w:val="4612476D"/>
    <w:rsid w:val="465D66D7"/>
    <w:rsid w:val="468F5CB4"/>
    <w:rsid w:val="46957C1F"/>
    <w:rsid w:val="46C027C2"/>
    <w:rsid w:val="4743767B"/>
    <w:rsid w:val="474820C5"/>
    <w:rsid w:val="475B13E7"/>
    <w:rsid w:val="47777325"/>
    <w:rsid w:val="47DD7AD0"/>
    <w:rsid w:val="47E70FBB"/>
    <w:rsid w:val="481D611E"/>
    <w:rsid w:val="48221986"/>
    <w:rsid w:val="48324CCC"/>
    <w:rsid w:val="48B545A9"/>
    <w:rsid w:val="48D34790"/>
    <w:rsid w:val="48F826E7"/>
    <w:rsid w:val="4929464F"/>
    <w:rsid w:val="494C6C0E"/>
    <w:rsid w:val="4955379A"/>
    <w:rsid w:val="498C348F"/>
    <w:rsid w:val="49C34AA3"/>
    <w:rsid w:val="49DA3B9B"/>
    <w:rsid w:val="49DA528B"/>
    <w:rsid w:val="49FA4012"/>
    <w:rsid w:val="49FA5FEB"/>
    <w:rsid w:val="4A4F4589"/>
    <w:rsid w:val="4A5573E4"/>
    <w:rsid w:val="4A617E1F"/>
    <w:rsid w:val="4A62606A"/>
    <w:rsid w:val="4A712751"/>
    <w:rsid w:val="4B380D6F"/>
    <w:rsid w:val="4B3A1029"/>
    <w:rsid w:val="4B555BCF"/>
    <w:rsid w:val="4B6E0A3F"/>
    <w:rsid w:val="4B771FE9"/>
    <w:rsid w:val="4B8F7333"/>
    <w:rsid w:val="4BBC29D4"/>
    <w:rsid w:val="4BF61160"/>
    <w:rsid w:val="4C39104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B40E5E"/>
    <w:rsid w:val="4EF9194B"/>
    <w:rsid w:val="4F1A33B7"/>
    <w:rsid w:val="4F411EB6"/>
    <w:rsid w:val="4F582EF7"/>
    <w:rsid w:val="4FA15887"/>
    <w:rsid w:val="4FBA24A4"/>
    <w:rsid w:val="4FBB7FCB"/>
    <w:rsid w:val="50100316"/>
    <w:rsid w:val="502A41CA"/>
    <w:rsid w:val="503B2279"/>
    <w:rsid w:val="504D7564"/>
    <w:rsid w:val="509531FC"/>
    <w:rsid w:val="50983373"/>
    <w:rsid w:val="50AB5953"/>
    <w:rsid w:val="50D60C20"/>
    <w:rsid w:val="50E20EB9"/>
    <w:rsid w:val="51183927"/>
    <w:rsid w:val="5135755A"/>
    <w:rsid w:val="51574F11"/>
    <w:rsid w:val="517B73AD"/>
    <w:rsid w:val="518A5306"/>
    <w:rsid w:val="51983548"/>
    <w:rsid w:val="51AB3D3B"/>
    <w:rsid w:val="51D04201"/>
    <w:rsid w:val="51DA0BDC"/>
    <w:rsid w:val="51DC4954"/>
    <w:rsid w:val="521A27DD"/>
    <w:rsid w:val="52534816"/>
    <w:rsid w:val="52634928"/>
    <w:rsid w:val="528648C0"/>
    <w:rsid w:val="52A0414F"/>
    <w:rsid w:val="53277999"/>
    <w:rsid w:val="534C5B09"/>
    <w:rsid w:val="53987EBC"/>
    <w:rsid w:val="53A35FB7"/>
    <w:rsid w:val="53BB4A3D"/>
    <w:rsid w:val="53DE7460"/>
    <w:rsid w:val="53E24E44"/>
    <w:rsid w:val="53F219E8"/>
    <w:rsid w:val="53F94527"/>
    <w:rsid w:val="54014B46"/>
    <w:rsid w:val="5472334E"/>
    <w:rsid w:val="54C55B73"/>
    <w:rsid w:val="54DB5397"/>
    <w:rsid w:val="550348EE"/>
    <w:rsid w:val="5563097D"/>
    <w:rsid w:val="556F4EE2"/>
    <w:rsid w:val="55D21BD3"/>
    <w:rsid w:val="56312D95"/>
    <w:rsid w:val="564725B8"/>
    <w:rsid w:val="56652099"/>
    <w:rsid w:val="56680EAC"/>
    <w:rsid w:val="56843C9F"/>
    <w:rsid w:val="569B3338"/>
    <w:rsid w:val="56F5281F"/>
    <w:rsid w:val="573E766F"/>
    <w:rsid w:val="5765355C"/>
    <w:rsid w:val="57690BD0"/>
    <w:rsid w:val="576F0018"/>
    <w:rsid w:val="57C15E41"/>
    <w:rsid w:val="57CA1153"/>
    <w:rsid w:val="57E46E53"/>
    <w:rsid w:val="580118E9"/>
    <w:rsid w:val="580E253F"/>
    <w:rsid w:val="58254B7B"/>
    <w:rsid w:val="58337298"/>
    <w:rsid w:val="584A495B"/>
    <w:rsid w:val="5892758E"/>
    <w:rsid w:val="58947716"/>
    <w:rsid w:val="58A65CBC"/>
    <w:rsid w:val="58B66C06"/>
    <w:rsid w:val="58B8779D"/>
    <w:rsid w:val="58C779E0"/>
    <w:rsid w:val="5909228A"/>
    <w:rsid w:val="59154BEF"/>
    <w:rsid w:val="591558F8"/>
    <w:rsid w:val="59484FC5"/>
    <w:rsid w:val="59CA7788"/>
    <w:rsid w:val="5A056A12"/>
    <w:rsid w:val="5A2E712E"/>
    <w:rsid w:val="5A2F2D66"/>
    <w:rsid w:val="5A6D6164"/>
    <w:rsid w:val="5A86004F"/>
    <w:rsid w:val="5A8938AD"/>
    <w:rsid w:val="5AAE69DB"/>
    <w:rsid w:val="5AF0582F"/>
    <w:rsid w:val="5AF947C9"/>
    <w:rsid w:val="5B1B6AA6"/>
    <w:rsid w:val="5B1C3154"/>
    <w:rsid w:val="5B224E28"/>
    <w:rsid w:val="5B7D7A78"/>
    <w:rsid w:val="5BAF7B56"/>
    <w:rsid w:val="5BD91F04"/>
    <w:rsid w:val="5BDB5C7C"/>
    <w:rsid w:val="5BF611E3"/>
    <w:rsid w:val="5C0E6052"/>
    <w:rsid w:val="5C313AEE"/>
    <w:rsid w:val="5C86208C"/>
    <w:rsid w:val="5CAC7619"/>
    <w:rsid w:val="5D131446"/>
    <w:rsid w:val="5D7C18C6"/>
    <w:rsid w:val="5D8D1D31"/>
    <w:rsid w:val="5DA14CA4"/>
    <w:rsid w:val="5DA779D9"/>
    <w:rsid w:val="5DC84953"/>
    <w:rsid w:val="5DDC3F2E"/>
    <w:rsid w:val="5DE77B30"/>
    <w:rsid w:val="5E9D546B"/>
    <w:rsid w:val="5EAC56AE"/>
    <w:rsid w:val="5EC7698C"/>
    <w:rsid w:val="5EDA0A8B"/>
    <w:rsid w:val="5F0537AA"/>
    <w:rsid w:val="5F162912"/>
    <w:rsid w:val="5F20072A"/>
    <w:rsid w:val="5F2117F1"/>
    <w:rsid w:val="5F27754A"/>
    <w:rsid w:val="5F2B3E04"/>
    <w:rsid w:val="5F760F40"/>
    <w:rsid w:val="5F8351CE"/>
    <w:rsid w:val="5FE40A36"/>
    <w:rsid w:val="5FF3691B"/>
    <w:rsid w:val="5FFF5CB2"/>
    <w:rsid w:val="60161979"/>
    <w:rsid w:val="60673F83"/>
    <w:rsid w:val="606E1F64"/>
    <w:rsid w:val="607B17DC"/>
    <w:rsid w:val="60945848"/>
    <w:rsid w:val="609E5FA7"/>
    <w:rsid w:val="60C253E7"/>
    <w:rsid w:val="60CE0B25"/>
    <w:rsid w:val="611834CF"/>
    <w:rsid w:val="61555832"/>
    <w:rsid w:val="618E0004"/>
    <w:rsid w:val="61A30FEA"/>
    <w:rsid w:val="61D5316E"/>
    <w:rsid w:val="61D67CE4"/>
    <w:rsid w:val="61DB6D9C"/>
    <w:rsid w:val="61EF4230"/>
    <w:rsid w:val="6200643D"/>
    <w:rsid w:val="62017AE3"/>
    <w:rsid w:val="623C3CCB"/>
    <w:rsid w:val="6277131B"/>
    <w:rsid w:val="627806C9"/>
    <w:rsid w:val="62894736"/>
    <w:rsid w:val="62CD2097"/>
    <w:rsid w:val="62EC69C1"/>
    <w:rsid w:val="63520F1A"/>
    <w:rsid w:val="636E0BBA"/>
    <w:rsid w:val="63964B41"/>
    <w:rsid w:val="63994A58"/>
    <w:rsid w:val="646C600B"/>
    <w:rsid w:val="647C3D75"/>
    <w:rsid w:val="64CC5E52"/>
    <w:rsid w:val="64DA0DFC"/>
    <w:rsid w:val="64FD5E87"/>
    <w:rsid w:val="65785BCE"/>
    <w:rsid w:val="658C3A08"/>
    <w:rsid w:val="658D4138"/>
    <w:rsid w:val="65B768E4"/>
    <w:rsid w:val="66043DF1"/>
    <w:rsid w:val="66171FA7"/>
    <w:rsid w:val="661D46CA"/>
    <w:rsid w:val="66887A48"/>
    <w:rsid w:val="66B94E0C"/>
    <w:rsid w:val="66BB1AFB"/>
    <w:rsid w:val="66CF7EED"/>
    <w:rsid w:val="66E83943"/>
    <w:rsid w:val="670F317A"/>
    <w:rsid w:val="673D6A15"/>
    <w:rsid w:val="6753700F"/>
    <w:rsid w:val="67960780"/>
    <w:rsid w:val="6817628E"/>
    <w:rsid w:val="68295FC1"/>
    <w:rsid w:val="682E5386"/>
    <w:rsid w:val="683726A5"/>
    <w:rsid w:val="684B23DC"/>
    <w:rsid w:val="68576EF7"/>
    <w:rsid w:val="6874548F"/>
    <w:rsid w:val="68817FE2"/>
    <w:rsid w:val="688D47A2"/>
    <w:rsid w:val="68CD623B"/>
    <w:rsid w:val="68DB72BC"/>
    <w:rsid w:val="68FD36D6"/>
    <w:rsid w:val="69146C72"/>
    <w:rsid w:val="69562DE6"/>
    <w:rsid w:val="695E105C"/>
    <w:rsid w:val="696012B6"/>
    <w:rsid w:val="69642093"/>
    <w:rsid w:val="69C02956"/>
    <w:rsid w:val="69CA6B08"/>
    <w:rsid w:val="69F11830"/>
    <w:rsid w:val="6A042666"/>
    <w:rsid w:val="6A5D11DA"/>
    <w:rsid w:val="6A9736F0"/>
    <w:rsid w:val="6AF830B1"/>
    <w:rsid w:val="6B1715B7"/>
    <w:rsid w:val="6B2C2051"/>
    <w:rsid w:val="6B3233DF"/>
    <w:rsid w:val="6B680BAF"/>
    <w:rsid w:val="6B6C68F1"/>
    <w:rsid w:val="6BA17D14"/>
    <w:rsid w:val="6BBB33D4"/>
    <w:rsid w:val="6BCC55E2"/>
    <w:rsid w:val="6BEA8026"/>
    <w:rsid w:val="6C0C5BDB"/>
    <w:rsid w:val="6C2418C5"/>
    <w:rsid w:val="6C6770B8"/>
    <w:rsid w:val="6C832144"/>
    <w:rsid w:val="6C845EBC"/>
    <w:rsid w:val="6CA41CC8"/>
    <w:rsid w:val="6CC20E82"/>
    <w:rsid w:val="6CD26C28"/>
    <w:rsid w:val="6CF3436B"/>
    <w:rsid w:val="6D006B74"/>
    <w:rsid w:val="6D056FFD"/>
    <w:rsid w:val="6D443964"/>
    <w:rsid w:val="6D5B6316"/>
    <w:rsid w:val="6D9143ED"/>
    <w:rsid w:val="6DC74A88"/>
    <w:rsid w:val="6DD724DA"/>
    <w:rsid w:val="6DDC0B81"/>
    <w:rsid w:val="6DEA2117"/>
    <w:rsid w:val="6E041063"/>
    <w:rsid w:val="6E0C6BA8"/>
    <w:rsid w:val="6E24797D"/>
    <w:rsid w:val="6E4C538F"/>
    <w:rsid w:val="6E700B4D"/>
    <w:rsid w:val="6E8C1058"/>
    <w:rsid w:val="6EBF142E"/>
    <w:rsid w:val="6ED722D3"/>
    <w:rsid w:val="6EE175F6"/>
    <w:rsid w:val="6F7C2E7B"/>
    <w:rsid w:val="6FC36D9E"/>
    <w:rsid w:val="6FE70C3C"/>
    <w:rsid w:val="70076BE8"/>
    <w:rsid w:val="70105F68"/>
    <w:rsid w:val="70852D97"/>
    <w:rsid w:val="70A47AAD"/>
    <w:rsid w:val="70AE40C7"/>
    <w:rsid w:val="70C25205"/>
    <w:rsid w:val="70C40F7D"/>
    <w:rsid w:val="70DA254F"/>
    <w:rsid w:val="70E51DA8"/>
    <w:rsid w:val="70F20FE3"/>
    <w:rsid w:val="71174B27"/>
    <w:rsid w:val="711A75F6"/>
    <w:rsid w:val="713D4E81"/>
    <w:rsid w:val="71946BA2"/>
    <w:rsid w:val="71A843FB"/>
    <w:rsid w:val="71C97895"/>
    <w:rsid w:val="721E450C"/>
    <w:rsid w:val="7256750B"/>
    <w:rsid w:val="725A21C1"/>
    <w:rsid w:val="7262278F"/>
    <w:rsid w:val="72D73D3D"/>
    <w:rsid w:val="73394BB6"/>
    <w:rsid w:val="73397A01"/>
    <w:rsid w:val="736A253A"/>
    <w:rsid w:val="73A429A0"/>
    <w:rsid w:val="73AC2D59"/>
    <w:rsid w:val="73BE1CB4"/>
    <w:rsid w:val="73EC5B91"/>
    <w:rsid w:val="73FC458A"/>
    <w:rsid w:val="742E7E7F"/>
    <w:rsid w:val="745B7503"/>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B92C06"/>
    <w:rsid w:val="76C31EDD"/>
    <w:rsid w:val="76EC2FDC"/>
    <w:rsid w:val="77060EB2"/>
    <w:rsid w:val="77120FDD"/>
    <w:rsid w:val="775C2950"/>
    <w:rsid w:val="77610F13"/>
    <w:rsid w:val="778C37F8"/>
    <w:rsid w:val="779D7E32"/>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435553"/>
    <w:rsid w:val="794672BF"/>
    <w:rsid w:val="797B41A3"/>
    <w:rsid w:val="79E263BE"/>
    <w:rsid w:val="7A064282"/>
    <w:rsid w:val="7A182BA1"/>
    <w:rsid w:val="7A335E70"/>
    <w:rsid w:val="7A3C1D44"/>
    <w:rsid w:val="7A9E283F"/>
    <w:rsid w:val="7ACB4CB6"/>
    <w:rsid w:val="7ADD5362"/>
    <w:rsid w:val="7B036E36"/>
    <w:rsid w:val="7B0E3521"/>
    <w:rsid w:val="7B1A0118"/>
    <w:rsid w:val="7B31160A"/>
    <w:rsid w:val="7B4C2104"/>
    <w:rsid w:val="7B62386D"/>
    <w:rsid w:val="7B6E2211"/>
    <w:rsid w:val="7BAD0A4E"/>
    <w:rsid w:val="7BB00E61"/>
    <w:rsid w:val="7BD227A0"/>
    <w:rsid w:val="7C1822AA"/>
    <w:rsid w:val="7C85264B"/>
    <w:rsid w:val="7CA06753"/>
    <w:rsid w:val="7CB43242"/>
    <w:rsid w:val="7CB61824"/>
    <w:rsid w:val="7CBD69D7"/>
    <w:rsid w:val="7CC76395"/>
    <w:rsid w:val="7CEF2EDE"/>
    <w:rsid w:val="7D1961AD"/>
    <w:rsid w:val="7D4839C1"/>
    <w:rsid w:val="7D4A1A28"/>
    <w:rsid w:val="7D4F7E21"/>
    <w:rsid w:val="7D7A30EF"/>
    <w:rsid w:val="7D9D293A"/>
    <w:rsid w:val="7DA51A4B"/>
    <w:rsid w:val="7DD87E16"/>
    <w:rsid w:val="7E0B01EB"/>
    <w:rsid w:val="7E1E7F1F"/>
    <w:rsid w:val="7E321E60"/>
    <w:rsid w:val="7E390B0F"/>
    <w:rsid w:val="7E493D4F"/>
    <w:rsid w:val="7E5356EF"/>
    <w:rsid w:val="7E611BB9"/>
    <w:rsid w:val="7E881DA7"/>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2"/>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868</Words>
  <Characters>946</Characters>
  <Lines>0</Lines>
  <Paragraphs>0</Paragraphs>
  <TotalTime>2</TotalTime>
  <ScaleCrop>false</ScaleCrop>
  <LinksUpToDate>false</LinksUpToDate>
  <CharactersWithSpaces>1076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dc:creator>
  <cp:lastModifiedBy>晨曦</cp:lastModifiedBy>
  <cp:lastPrinted>2026-03-09T06:21:00Z</cp:lastPrinted>
  <dcterms:modified xsi:type="dcterms:W3CDTF">2026-04-01T03:15:14Z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A327EB87874948D7A033D563F40FD605_13</vt:lpwstr>
  </property>
  <property fmtid="{D5CDD505-2E9C-101B-9397-08002B2CF9AE}" pid="4" name="KSOTemplateDocerSaveRecord">
    <vt:lpwstr>eyJoZGlkIjoiOGJmMDA2NGQyMzZlNjM5MzA0YmFjNTc5NjdkZmMxODQiLCJ1c2VySWQiOiIyNTU5NTE0NjEifQ==</vt:lpwstr>
  </property>
</Properties>
</file>