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A10F9">
      <w:pPr>
        <w:pStyle w:val="3"/>
        <w:rPr>
          <w:rFonts w:hint="eastAsia" w:ascii="宋体" w:hAnsi="宋体" w:eastAsia="宋体" w:cs="宋体"/>
          <w:b/>
          <w:bCs/>
          <w:color w:val="auto"/>
          <w:kern w:val="2"/>
          <w:sz w:val="56"/>
          <w:szCs w:val="72"/>
          <w:highlight w:val="none"/>
          <w:u w:val="none"/>
          <w:lang w:val="en-US" w:eastAsia="zh-CN" w:bidi="ar-SA"/>
        </w:rPr>
      </w:pPr>
      <w:r>
        <w:rPr>
          <w:rFonts w:hint="eastAsia" w:ascii="宋体" w:hAnsi="宋体" w:eastAsia="宋体" w:cs="宋体"/>
          <w:b/>
          <w:bCs/>
          <w:color w:val="auto"/>
          <w:kern w:val="2"/>
          <w:sz w:val="56"/>
          <w:szCs w:val="72"/>
          <w:highlight w:val="none"/>
          <w:u w:val="none"/>
          <w:lang w:val="en-US" w:eastAsia="zh-CN" w:bidi="ar-SA"/>
        </w:rPr>
        <w:drawing>
          <wp:inline distT="0" distB="0" distL="114300" distR="114300">
            <wp:extent cx="6285865" cy="8714740"/>
            <wp:effectExtent l="0" t="0" r="8255" b="2540"/>
            <wp:docPr id="25" name="图片 25" descr="施工招文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施工招文封面_01"/>
                    <pic:cNvPicPr>
                      <a:picLocks noChangeAspect="1"/>
                    </pic:cNvPicPr>
                  </pic:nvPicPr>
                  <pic:blipFill>
                    <a:blip r:embed="rId28"/>
                    <a:stretch>
                      <a:fillRect/>
                    </a:stretch>
                  </pic:blipFill>
                  <pic:spPr>
                    <a:xfrm>
                      <a:off x="0" y="0"/>
                      <a:ext cx="6285865" cy="8714740"/>
                    </a:xfrm>
                    <a:prstGeom prst="rect">
                      <a:avLst/>
                    </a:prstGeom>
                  </pic:spPr>
                </pic:pic>
              </a:graphicData>
            </a:graphic>
          </wp:inline>
        </w:drawing>
      </w:r>
    </w:p>
    <w:p w14:paraId="6E29DB7F">
      <w:pPr>
        <w:rPr>
          <w:rFonts w:hint="eastAsia" w:ascii="宋体" w:hAnsi="宋体" w:eastAsia="宋体" w:cs="宋体"/>
          <w:b/>
          <w:bCs/>
          <w:color w:val="auto"/>
          <w:kern w:val="2"/>
          <w:sz w:val="56"/>
          <w:szCs w:val="72"/>
          <w:highlight w:val="none"/>
          <w:u w:val="none"/>
          <w:lang w:val="en-US" w:eastAsia="zh-CN" w:bidi="ar-SA"/>
        </w:rPr>
      </w:pPr>
    </w:p>
    <w:p w14:paraId="7A96D5DD">
      <w:pPr>
        <w:rPr>
          <w:rFonts w:hint="eastAsia" w:ascii="宋体" w:hAnsi="宋体" w:eastAsia="宋体" w:cs="宋体"/>
          <w:b/>
          <w:bCs/>
          <w:color w:val="auto"/>
          <w:kern w:val="2"/>
          <w:sz w:val="56"/>
          <w:szCs w:val="72"/>
          <w:highlight w:val="none"/>
          <w:u w:val="none"/>
          <w:lang w:val="en-US" w:eastAsia="zh-CN" w:bidi="ar-SA"/>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242E58A3">
      <w:pPr>
        <w:rPr>
          <w:rFonts w:hint="eastAsia" w:ascii="宋体" w:hAnsi="宋体" w:eastAsia="宋体" w:cs="宋体"/>
          <w:color w:val="auto"/>
          <w:highlight w:val="none"/>
        </w:rPr>
      </w:pPr>
    </w:p>
    <w:p w14:paraId="6EF33911">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3DE58AC8">
      <w:pPr>
        <w:pStyle w:val="9"/>
        <w:tabs>
          <w:tab w:val="right" w:leader="dot" w:pos="9746"/>
        </w:tabs>
        <w:rPr>
          <w:color w:val="auto"/>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_Toc28044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第一章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w:t>
      </w:r>
      <w:r>
        <w:rPr>
          <w:color w:val="auto"/>
          <w:highlight w:val="none"/>
        </w:rPr>
        <w:tab/>
      </w:r>
      <w:r>
        <w:rPr>
          <w:color w:val="auto"/>
          <w:highlight w:val="none"/>
        </w:rPr>
        <w:fldChar w:fldCharType="begin"/>
      </w:r>
      <w:r>
        <w:rPr>
          <w:color w:val="auto"/>
          <w:highlight w:val="none"/>
        </w:rPr>
        <w:instrText xml:space="preserve"> PAGEREF _Toc28044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zCs w:val="24"/>
          <w:highlight w:val="none"/>
        </w:rPr>
        <w:fldChar w:fldCharType="end"/>
      </w:r>
    </w:p>
    <w:p w14:paraId="74F0BCF2">
      <w:pPr>
        <w:pStyle w:val="1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_Toc23469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第一节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_Toc23469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zCs w:val="24"/>
          <w:highlight w:val="none"/>
        </w:rPr>
        <w:fldChar w:fldCharType="end"/>
      </w:r>
    </w:p>
    <w:p w14:paraId="28083D28">
      <w:pPr>
        <w:pStyle w:val="1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_Toc5546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_Toc5546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eastAsia="宋体" w:cs="宋体"/>
          <w:color w:val="auto"/>
          <w:szCs w:val="24"/>
          <w:highlight w:val="none"/>
        </w:rPr>
        <w:fldChar w:fldCharType="end"/>
      </w:r>
    </w:p>
    <w:p w14:paraId="40E4984F">
      <w:pPr>
        <w:pStyle w:val="1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_Toc27205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第三节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投标人须知正文</w:t>
      </w:r>
      <w:r>
        <w:rPr>
          <w:color w:val="auto"/>
          <w:highlight w:val="none"/>
        </w:rPr>
        <w:tab/>
      </w:r>
      <w:r>
        <w:rPr>
          <w:color w:val="auto"/>
          <w:highlight w:val="none"/>
        </w:rPr>
        <w:fldChar w:fldCharType="begin"/>
      </w:r>
      <w:r>
        <w:rPr>
          <w:color w:val="auto"/>
          <w:highlight w:val="none"/>
        </w:rPr>
        <w:instrText xml:space="preserve"> PAGEREF _Toc27205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zCs w:val="24"/>
          <w:highlight w:val="none"/>
        </w:rPr>
        <w:fldChar w:fldCharType="end"/>
      </w:r>
    </w:p>
    <w:p w14:paraId="26A94F8A">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_Toc30132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1</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4"/>
          <w:szCs w:val="24"/>
          <w:highlight w:val="none"/>
        </w:rPr>
        <w:t>．项目概况、招标范围和标段划分、投标费用等</w:t>
      </w:r>
      <w:r>
        <w:rPr>
          <w:color w:val="auto"/>
          <w:highlight w:val="none"/>
        </w:rPr>
        <w:tab/>
      </w:r>
      <w:r>
        <w:rPr>
          <w:color w:val="auto"/>
          <w:highlight w:val="none"/>
        </w:rPr>
        <w:fldChar w:fldCharType="begin"/>
      </w:r>
      <w:r>
        <w:rPr>
          <w:color w:val="auto"/>
          <w:highlight w:val="none"/>
        </w:rPr>
        <w:instrText xml:space="preserve"> PAGEREF _Toc30132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zCs w:val="24"/>
          <w:highlight w:val="none"/>
        </w:rPr>
        <w:fldChar w:fldCharType="end"/>
      </w:r>
    </w:p>
    <w:p w14:paraId="579BA347">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_Toc17618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zCs w:val="24"/>
          <w:highlight w:val="none"/>
        </w:rPr>
        <w:t>2．</w:t>
      </w:r>
      <w:r>
        <w:rPr>
          <w:rFonts w:hint="eastAsia" w:ascii="宋体" w:hAnsi="宋体" w:eastAsia="宋体" w:cs="宋体"/>
          <w:bCs/>
          <w:color w:val="auto"/>
          <w:szCs w:val="24"/>
          <w:highlight w:val="none"/>
          <w:lang w:eastAsia="zh-CN"/>
        </w:rPr>
        <w:t>投标人</w:t>
      </w:r>
      <w:r>
        <w:rPr>
          <w:rFonts w:hint="eastAsia" w:ascii="宋体" w:hAnsi="宋体" w:eastAsia="宋体" w:cs="宋体"/>
          <w:bCs/>
          <w:color w:val="auto"/>
          <w:szCs w:val="24"/>
          <w:highlight w:val="none"/>
        </w:rPr>
        <w:t>资质要求</w:t>
      </w:r>
      <w:r>
        <w:rPr>
          <w:color w:val="auto"/>
          <w:highlight w:val="none"/>
        </w:rPr>
        <w:tab/>
      </w:r>
      <w:r>
        <w:rPr>
          <w:color w:val="auto"/>
          <w:highlight w:val="none"/>
        </w:rPr>
        <w:fldChar w:fldCharType="begin"/>
      </w:r>
      <w:r>
        <w:rPr>
          <w:color w:val="auto"/>
          <w:highlight w:val="none"/>
        </w:rPr>
        <w:instrText xml:space="preserve"> PAGEREF _Toc17618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zCs w:val="24"/>
          <w:highlight w:val="none"/>
        </w:rPr>
        <w:fldChar w:fldCharType="end"/>
      </w:r>
    </w:p>
    <w:p w14:paraId="202080D6">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_Toc7079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3．招标文件的获取</w:t>
      </w:r>
      <w:r>
        <w:rPr>
          <w:color w:val="auto"/>
          <w:highlight w:val="none"/>
        </w:rPr>
        <w:tab/>
      </w:r>
      <w:r>
        <w:rPr>
          <w:color w:val="auto"/>
          <w:highlight w:val="none"/>
        </w:rPr>
        <w:fldChar w:fldCharType="begin"/>
      </w:r>
      <w:r>
        <w:rPr>
          <w:color w:val="auto"/>
          <w:highlight w:val="none"/>
        </w:rPr>
        <w:instrText xml:space="preserve"> PAGEREF _Toc7079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szCs w:val="24"/>
          <w:highlight w:val="none"/>
        </w:rPr>
        <w:fldChar w:fldCharType="end"/>
      </w:r>
    </w:p>
    <w:p w14:paraId="5362E5E7">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_Toc16717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4</w:t>
      </w:r>
      <w:r>
        <w:rPr>
          <w:rFonts w:hint="eastAsia" w:ascii="宋体" w:hAnsi="宋体" w:eastAsia="宋体" w:cs="宋体"/>
          <w:bCs/>
          <w:color w:val="auto"/>
          <w:spacing w:val="-8"/>
          <w:szCs w:val="24"/>
          <w:highlight w:val="none"/>
          <w:lang w:val="en-US" w:eastAsia="zh-CN"/>
        </w:rPr>
        <w:t xml:space="preserve"> </w:t>
      </w:r>
      <w:r>
        <w:rPr>
          <w:rFonts w:hint="eastAsia" w:ascii="宋体" w:hAnsi="宋体" w:eastAsia="宋体" w:cs="宋体"/>
          <w:bCs/>
          <w:color w:val="auto"/>
          <w:spacing w:val="-8"/>
          <w:szCs w:val="24"/>
          <w:highlight w:val="none"/>
        </w:rPr>
        <w:t>．工期要求</w:t>
      </w:r>
      <w:r>
        <w:rPr>
          <w:color w:val="auto"/>
          <w:highlight w:val="none"/>
        </w:rPr>
        <w:tab/>
      </w:r>
      <w:r>
        <w:rPr>
          <w:color w:val="auto"/>
          <w:highlight w:val="none"/>
        </w:rPr>
        <w:fldChar w:fldCharType="begin"/>
      </w:r>
      <w:r>
        <w:rPr>
          <w:color w:val="auto"/>
          <w:highlight w:val="none"/>
        </w:rPr>
        <w:instrText xml:space="preserve"> PAGEREF _Toc16717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zCs w:val="24"/>
          <w:highlight w:val="none"/>
        </w:rPr>
        <w:fldChar w:fldCharType="end"/>
      </w:r>
    </w:p>
    <w:p w14:paraId="118B9F89">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_Toc11737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5</w:t>
      </w:r>
      <w:r>
        <w:rPr>
          <w:rFonts w:hint="eastAsia" w:ascii="宋体" w:hAnsi="宋体" w:eastAsia="宋体" w:cs="宋体"/>
          <w:bCs/>
          <w:color w:val="auto"/>
          <w:spacing w:val="-5"/>
          <w:szCs w:val="24"/>
          <w:highlight w:val="none"/>
          <w:lang w:val="en-US" w:eastAsia="zh-CN"/>
        </w:rPr>
        <w:t xml:space="preserve"> </w:t>
      </w:r>
      <w:r>
        <w:rPr>
          <w:rFonts w:hint="eastAsia" w:ascii="宋体" w:hAnsi="宋体" w:eastAsia="宋体" w:cs="宋体"/>
          <w:bCs/>
          <w:color w:val="auto"/>
          <w:spacing w:val="-5"/>
          <w:szCs w:val="24"/>
          <w:highlight w:val="none"/>
        </w:rPr>
        <w:t>．质量标准和材料、机械要求</w:t>
      </w:r>
      <w:r>
        <w:rPr>
          <w:color w:val="auto"/>
          <w:highlight w:val="none"/>
        </w:rPr>
        <w:tab/>
      </w:r>
      <w:r>
        <w:rPr>
          <w:color w:val="auto"/>
          <w:highlight w:val="none"/>
        </w:rPr>
        <w:fldChar w:fldCharType="begin"/>
      </w:r>
      <w:r>
        <w:rPr>
          <w:color w:val="auto"/>
          <w:highlight w:val="none"/>
        </w:rPr>
        <w:instrText xml:space="preserve"> PAGEREF _Toc11737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zCs w:val="24"/>
          <w:highlight w:val="none"/>
        </w:rPr>
        <w:fldChar w:fldCharType="end"/>
      </w:r>
    </w:p>
    <w:p w14:paraId="46618D77">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_Toc31725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6</w:t>
      </w:r>
      <w:r>
        <w:rPr>
          <w:rFonts w:hint="eastAsia" w:ascii="宋体" w:hAnsi="宋体" w:eastAsia="宋体" w:cs="宋体"/>
          <w:bCs/>
          <w:color w:val="auto"/>
          <w:spacing w:val="-20"/>
          <w:szCs w:val="24"/>
          <w:highlight w:val="none"/>
        </w:rPr>
        <w:t xml:space="preserve"> </w:t>
      </w:r>
      <w:r>
        <w:rPr>
          <w:rFonts w:hint="eastAsia" w:ascii="宋体" w:hAnsi="宋体" w:eastAsia="宋体" w:cs="宋体"/>
          <w:bCs/>
          <w:color w:val="auto"/>
          <w:spacing w:val="-6"/>
          <w:szCs w:val="24"/>
          <w:highlight w:val="none"/>
        </w:rPr>
        <w:t>．施工条件及现场踏勘</w:t>
      </w:r>
      <w:r>
        <w:rPr>
          <w:color w:val="auto"/>
          <w:highlight w:val="none"/>
        </w:rPr>
        <w:tab/>
      </w:r>
      <w:r>
        <w:rPr>
          <w:color w:val="auto"/>
          <w:highlight w:val="none"/>
        </w:rPr>
        <w:fldChar w:fldCharType="begin"/>
      </w:r>
      <w:r>
        <w:rPr>
          <w:color w:val="auto"/>
          <w:highlight w:val="none"/>
        </w:rPr>
        <w:instrText xml:space="preserve"> PAGEREF _Toc31725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szCs w:val="24"/>
          <w:highlight w:val="none"/>
        </w:rPr>
        <w:fldChar w:fldCharType="end"/>
      </w:r>
    </w:p>
    <w:p w14:paraId="094F6A34">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_Toc4600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7</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5"/>
          <w:szCs w:val="24"/>
          <w:highlight w:val="none"/>
        </w:rPr>
        <w:t>．招标文件的提问和答疑</w:t>
      </w:r>
      <w:r>
        <w:rPr>
          <w:color w:val="auto"/>
          <w:highlight w:val="none"/>
        </w:rPr>
        <w:tab/>
      </w:r>
      <w:r>
        <w:rPr>
          <w:color w:val="auto"/>
          <w:highlight w:val="none"/>
        </w:rPr>
        <w:fldChar w:fldCharType="begin"/>
      </w:r>
      <w:r>
        <w:rPr>
          <w:color w:val="auto"/>
          <w:highlight w:val="none"/>
        </w:rPr>
        <w:instrText xml:space="preserve"> PAGEREF _Toc4600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szCs w:val="24"/>
          <w:highlight w:val="none"/>
        </w:rPr>
        <w:fldChar w:fldCharType="end"/>
      </w:r>
    </w:p>
    <w:p w14:paraId="23E7A2E9">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_Toc23728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8</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5"/>
          <w:szCs w:val="24"/>
          <w:highlight w:val="none"/>
        </w:rPr>
        <w:t>．</w:t>
      </w:r>
      <w:r>
        <w:rPr>
          <w:rFonts w:hint="eastAsia" w:ascii="宋体" w:hAnsi="宋体" w:eastAsia="宋体" w:cs="宋体"/>
          <w:bCs/>
          <w:color w:val="auto"/>
          <w:spacing w:val="-1"/>
          <w:szCs w:val="24"/>
          <w:highlight w:val="none"/>
        </w:rPr>
        <w:t>招标控制价及</w:t>
      </w:r>
      <w:r>
        <w:rPr>
          <w:rFonts w:hint="eastAsia" w:ascii="宋体" w:hAnsi="宋体" w:eastAsia="宋体" w:cs="宋体"/>
          <w:bCs/>
          <w:color w:val="auto"/>
          <w:spacing w:val="-1"/>
          <w:szCs w:val="24"/>
          <w:highlight w:val="none"/>
          <w:lang w:eastAsia="zh-CN"/>
        </w:rPr>
        <w:t>招标控制价</w:t>
      </w:r>
      <w:r>
        <w:rPr>
          <w:color w:val="auto"/>
          <w:highlight w:val="none"/>
        </w:rPr>
        <w:tab/>
      </w:r>
      <w:r>
        <w:rPr>
          <w:color w:val="auto"/>
          <w:highlight w:val="none"/>
        </w:rPr>
        <w:fldChar w:fldCharType="begin"/>
      </w:r>
      <w:r>
        <w:rPr>
          <w:color w:val="auto"/>
          <w:highlight w:val="none"/>
        </w:rPr>
        <w:instrText xml:space="preserve"> PAGEREF _Toc23728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eastAsia="宋体" w:cs="宋体"/>
          <w:color w:val="auto"/>
          <w:szCs w:val="24"/>
          <w:highlight w:val="none"/>
        </w:rPr>
        <w:fldChar w:fldCharType="end"/>
      </w:r>
    </w:p>
    <w:p w14:paraId="03102E23">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_Toc27885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9</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8"/>
          <w:szCs w:val="24"/>
          <w:highlight w:val="none"/>
        </w:rPr>
        <w:t>．投标报价</w:t>
      </w:r>
      <w:r>
        <w:rPr>
          <w:color w:val="auto"/>
          <w:highlight w:val="none"/>
        </w:rPr>
        <w:tab/>
      </w:r>
      <w:r>
        <w:rPr>
          <w:color w:val="auto"/>
          <w:highlight w:val="none"/>
        </w:rPr>
        <w:fldChar w:fldCharType="begin"/>
      </w:r>
      <w:r>
        <w:rPr>
          <w:color w:val="auto"/>
          <w:highlight w:val="none"/>
        </w:rPr>
        <w:instrText xml:space="preserve"> PAGEREF _Toc27885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eastAsia="宋体" w:cs="宋体"/>
          <w:color w:val="auto"/>
          <w:szCs w:val="24"/>
          <w:highlight w:val="none"/>
        </w:rPr>
        <w:fldChar w:fldCharType="end"/>
      </w:r>
    </w:p>
    <w:p w14:paraId="72487209">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_Toc26166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10</w:t>
      </w:r>
      <w:r>
        <w:rPr>
          <w:rFonts w:hint="eastAsia" w:ascii="宋体" w:hAnsi="宋体" w:eastAsia="宋体" w:cs="宋体"/>
          <w:bCs/>
          <w:color w:val="auto"/>
          <w:spacing w:val="-21"/>
          <w:szCs w:val="24"/>
          <w:highlight w:val="none"/>
        </w:rPr>
        <w:t xml:space="preserve"> </w:t>
      </w:r>
      <w:r>
        <w:rPr>
          <w:rFonts w:hint="eastAsia" w:ascii="宋体" w:hAnsi="宋体" w:eastAsia="宋体" w:cs="宋体"/>
          <w:bCs/>
          <w:color w:val="auto"/>
          <w:spacing w:val="-6"/>
          <w:szCs w:val="24"/>
          <w:highlight w:val="none"/>
        </w:rPr>
        <w:t>．投标文件的编制要求</w:t>
      </w:r>
      <w:r>
        <w:rPr>
          <w:color w:val="auto"/>
          <w:highlight w:val="none"/>
        </w:rPr>
        <w:tab/>
      </w:r>
      <w:r>
        <w:rPr>
          <w:color w:val="auto"/>
          <w:highlight w:val="none"/>
        </w:rPr>
        <w:fldChar w:fldCharType="begin"/>
      </w:r>
      <w:r>
        <w:rPr>
          <w:color w:val="auto"/>
          <w:highlight w:val="none"/>
        </w:rPr>
        <w:instrText xml:space="preserve"> PAGEREF _Toc26166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color w:val="auto"/>
          <w:szCs w:val="24"/>
          <w:highlight w:val="none"/>
        </w:rPr>
        <w:fldChar w:fldCharType="end"/>
      </w:r>
    </w:p>
    <w:p w14:paraId="5664B1FB">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_Toc19146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9"/>
          <w:szCs w:val="24"/>
          <w:highlight w:val="none"/>
        </w:rPr>
        <w:t>11.</w:t>
      </w:r>
      <w:r>
        <w:rPr>
          <w:rFonts w:hint="eastAsia" w:ascii="宋体" w:hAnsi="宋体" w:eastAsia="宋体" w:cs="宋体"/>
          <w:bCs/>
          <w:color w:val="auto"/>
          <w:spacing w:val="20"/>
          <w:szCs w:val="24"/>
          <w:highlight w:val="none"/>
        </w:rPr>
        <w:t xml:space="preserve">  </w:t>
      </w:r>
      <w:r>
        <w:rPr>
          <w:rFonts w:hint="eastAsia" w:ascii="宋体" w:hAnsi="宋体" w:eastAsia="宋体" w:cs="宋体"/>
          <w:color w:val="auto"/>
          <w:spacing w:val="-9"/>
          <w:szCs w:val="24"/>
          <w:highlight w:val="none"/>
        </w:rPr>
        <w:t>电子投标：</w:t>
      </w:r>
      <w:r>
        <w:rPr>
          <w:color w:val="auto"/>
          <w:highlight w:val="none"/>
        </w:rPr>
        <w:tab/>
      </w:r>
      <w:r>
        <w:rPr>
          <w:color w:val="auto"/>
          <w:highlight w:val="none"/>
        </w:rPr>
        <w:fldChar w:fldCharType="begin"/>
      </w:r>
      <w:r>
        <w:rPr>
          <w:color w:val="auto"/>
          <w:highlight w:val="none"/>
        </w:rPr>
        <w:instrText xml:space="preserve"> PAGEREF _Toc19146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eastAsia="宋体" w:cs="宋体"/>
          <w:color w:val="auto"/>
          <w:szCs w:val="24"/>
          <w:highlight w:val="none"/>
        </w:rPr>
        <w:fldChar w:fldCharType="end"/>
      </w:r>
    </w:p>
    <w:p w14:paraId="2E002DF0">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9"/>
          <w:szCs w:val="24"/>
          <w:highlight w:val="none"/>
          <w:lang w:val="en-US" w:eastAsia="zh-CN"/>
        </w:rPr>
        <w:t>12.</w:t>
      </w:r>
      <w:r>
        <w:rPr>
          <w:rFonts w:hint="eastAsia" w:ascii="宋体" w:hAnsi="宋体" w:eastAsia="宋体" w:cs="宋体"/>
          <w:bCs/>
          <w:color w:val="auto"/>
          <w:spacing w:val="22"/>
          <w:w w:val="101"/>
          <w:szCs w:val="24"/>
          <w:highlight w:val="none"/>
        </w:rPr>
        <w:t xml:space="preserve"> </w:t>
      </w:r>
      <w:r>
        <w:rPr>
          <w:rFonts w:hint="eastAsia" w:ascii="宋体" w:hAnsi="宋体" w:eastAsia="宋体" w:cs="宋体"/>
          <w:bCs/>
          <w:color w:val="auto"/>
          <w:spacing w:val="-4"/>
          <w:szCs w:val="24"/>
          <w:highlight w:val="none"/>
        </w:rPr>
        <w:t>电子投标及投标解密失败及突发情况的补救方案</w:t>
      </w:r>
      <w:r>
        <w:rPr>
          <w:color w:val="auto"/>
          <w:highlight w:val="none"/>
        </w:rPr>
        <w:tab/>
      </w:r>
      <w:r>
        <w:rPr>
          <w:color w:val="auto"/>
          <w:highlight w:val="none"/>
        </w:rPr>
        <w:fldChar w:fldCharType="begin"/>
      </w:r>
      <w:r>
        <w:rPr>
          <w:color w:val="auto"/>
          <w:highlight w:val="none"/>
        </w:rPr>
        <w:instrText xml:space="preserve"> PAGEREF _Toc118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eastAsia="宋体" w:cs="宋体"/>
          <w:color w:val="auto"/>
          <w:szCs w:val="24"/>
          <w:highlight w:val="none"/>
        </w:rPr>
        <w:fldChar w:fldCharType="end"/>
      </w:r>
    </w:p>
    <w:p w14:paraId="676E0CC0">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_Toc30506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13</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7"/>
          <w:szCs w:val="24"/>
          <w:highlight w:val="none"/>
        </w:rPr>
        <w:t>．投标文件的提交</w:t>
      </w:r>
      <w:r>
        <w:rPr>
          <w:color w:val="auto"/>
          <w:highlight w:val="none"/>
        </w:rPr>
        <w:tab/>
      </w:r>
      <w:r>
        <w:rPr>
          <w:color w:val="auto"/>
          <w:highlight w:val="none"/>
        </w:rPr>
        <w:fldChar w:fldCharType="begin"/>
      </w:r>
      <w:r>
        <w:rPr>
          <w:color w:val="auto"/>
          <w:highlight w:val="none"/>
        </w:rPr>
        <w:instrText xml:space="preserve"> PAGEREF _Toc30506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eastAsia="宋体" w:cs="宋体"/>
          <w:color w:val="auto"/>
          <w:szCs w:val="24"/>
          <w:highlight w:val="none"/>
        </w:rPr>
        <w:fldChar w:fldCharType="end"/>
      </w:r>
    </w:p>
    <w:p w14:paraId="31989733">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_Toc17939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11"/>
          <w:szCs w:val="24"/>
          <w:highlight w:val="none"/>
        </w:rPr>
        <w:t>14</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11"/>
          <w:szCs w:val="24"/>
          <w:highlight w:val="none"/>
        </w:rPr>
        <w:t>．开标</w:t>
      </w:r>
      <w:r>
        <w:rPr>
          <w:color w:val="auto"/>
          <w:highlight w:val="none"/>
        </w:rPr>
        <w:tab/>
      </w:r>
      <w:r>
        <w:rPr>
          <w:color w:val="auto"/>
          <w:highlight w:val="none"/>
        </w:rPr>
        <w:fldChar w:fldCharType="begin"/>
      </w:r>
      <w:r>
        <w:rPr>
          <w:color w:val="auto"/>
          <w:highlight w:val="none"/>
        </w:rPr>
        <w:instrText xml:space="preserve"> PAGEREF _Toc17939 \h </w:instrText>
      </w:r>
      <w:r>
        <w:rPr>
          <w:color w:val="auto"/>
          <w:highlight w:val="none"/>
        </w:rPr>
        <w:fldChar w:fldCharType="separate"/>
      </w:r>
      <w:r>
        <w:rPr>
          <w:color w:val="auto"/>
          <w:highlight w:val="none"/>
        </w:rPr>
        <w:t>24</w:t>
      </w:r>
      <w:r>
        <w:rPr>
          <w:color w:val="auto"/>
          <w:highlight w:val="none"/>
        </w:rPr>
        <w:fldChar w:fldCharType="end"/>
      </w:r>
      <w:r>
        <w:rPr>
          <w:rFonts w:hint="eastAsia" w:ascii="宋体" w:hAnsi="宋体" w:eastAsia="宋体" w:cs="宋体"/>
          <w:color w:val="auto"/>
          <w:szCs w:val="24"/>
          <w:highlight w:val="none"/>
        </w:rPr>
        <w:fldChar w:fldCharType="end"/>
      </w:r>
    </w:p>
    <w:p w14:paraId="19B67E26">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_Toc4537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11"/>
          <w:szCs w:val="24"/>
          <w:highlight w:val="none"/>
        </w:rPr>
        <w:t>15</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11"/>
          <w:szCs w:val="24"/>
          <w:highlight w:val="none"/>
        </w:rPr>
        <w:t>．评标</w:t>
      </w:r>
      <w:r>
        <w:rPr>
          <w:color w:val="auto"/>
          <w:highlight w:val="none"/>
        </w:rPr>
        <w:tab/>
      </w:r>
      <w:r>
        <w:rPr>
          <w:color w:val="auto"/>
          <w:highlight w:val="none"/>
        </w:rPr>
        <w:fldChar w:fldCharType="begin"/>
      </w:r>
      <w:r>
        <w:rPr>
          <w:color w:val="auto"/>
          <w:highlight w:val="none"/>
        </w:rPr>
        <w:instrText xml:space="preserve"> PAGEREF _Toc4537 \h </w:instrText>
      </w:r>
      <w:r>
        <w:rPr>
          <w:color w:val="auto"/>
          <w:highlight w:val="none"/>
        </w:rPr>
        <w:fldChar w:fldCharType="separate"/>
      </w:r>
      <w:r>
        <w:rPr>
          <w:color w:val="auto"/>
          <w:highlight w:val="none"/>
        </w:rPr>
        <w:t>25</w:t>
      </w:r>
      <w:r>
        <w:rPr>
          <w:color w:val="auto"/>
          <w:highlight w:val="none"/>
        </w:rPr>
        <w:fldChar w:fldCharType="end"/>
      </w:r>
      <w:r>
        <w:rPr>
          <w:rFonts w:hint="eastAsia" w:ascii="宋体" w:hAnsi="宋体" w:eastAsia="宋体" w:cs="宋体"/>
          <w:color w:val="auto"/>
          <w:szCs w:val="24"/>
          <w:highlight w:val="none"/>
        </w:rPr>
        <w:fldChar w:fldCharType="end"/>
      </w:r>
    </w:p>
    <w:p w14:paraId="5230C5BD">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_Toc20825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16</w:t>
      </w:r>
      <w:r>
        <w:rPr>
          <w:rFonts w:hint="eastAsia" w:ascii="宋体" w:hAnsi="宋体" w:eastAsia="宋体" w:cs="宋体"/>
          <w:bCs/>
          <w:color w:val="auto"/>
          <w:spacing w:val="-20"/>
          <w:szCs w:val="24"/>
          <w:highlight w:val="none"/>
        </w:rPr>
        <w:t xml:space="preserve"> </w:t>
      </w:r>
      <w:r>
        <w:rPr>
          <w:rFonts w:hint="eastAsia" w:ascii="宋体" w:hAnsi="宋体" w:eastAsia="宋体" w:cs="宋体"/>
          <w:bCs/>
          <w:color w:val="auto"/>
          <w:spacing w:val="-7"/>
          <w:szCs w:val="24"/>
          <w:highlight w:val="none"/>
        </w:rPr>
        <w:t>．中标候选人公示</w:t>
      </w:r>
      <w:r>
        <w:rPr>
          <w:color w:val="auto"/>
          <w:highlight w:val="none"/>
        </w:rPr>
        <w:tab/>
      </w:r>
      <w:r>
        <w:rPr>
          <w:color w:val="auto"/>
          <w:highlight w:val="none"/>
        </w:rPr>
        <w:fldChar w:fldCharType="begin"/>
      </w:r>
      <w:r>
        <w:rPr>
          <w:color w:val="auto"/>
          <w:highlight w:val="none"/>
        </w:rPr>
        <w:instrText xml:space="preserve"> PAGEREF _Toc20825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eastAsia="宋体" w:cs="宋体"/>
          <w:color w:val="auto"/>
          <w:szCs w:val="24"/>
          <w:highlight w:val="none"/>
        </w:rPr>
        <w:fldChar w:fldCharType="end"/>
      </w:r>
    </w:p>
    <w:p w14:paraId="3C551C47">
      <w:pPr>
        <w:pStyle w:val="1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_Toc1969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第四节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否决投标条件</w:t>
      </w:r>
      <w:r>
        <w:rPr>
          <w:color w:val="auto"/>
          <w:highlight w:val="none"/>
        </w:rPr>
        <w:tab/>
      </w:r>
      <w:r>
        <w:rPr>
          <w:color w:val="auto"/>
          <w:highlight w:val="none"/>
        </w:rPr>
        <w:fldChar w:fldCharType="begin"/>
      </w:r>
      <w:r>
        <w:rPr>
          <w:color w:val="auto"/>
          <w:highlight w:val="none"/>
        </w:rPr>
        <w:instrText xml:space="preserve"> PAGEREF _Toc1969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szCs w:val="24"/>
          <w:highlight w:val="none"/>
        </w:rPr>
        <w:fldChar w:fldCharType="end"/>
      </w:r>
    </w:p>
    <w:p w14:paraId="74A05DCC">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_Toc11822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1</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8"/>
          <w:szCs w:val="24"/>
          <w:highlight w:val="none"/>
        </w:rPr>
        <w:t>．资格评审环节</w:t>
      </w:r>
      <w:r>
        <w:rPr>
          <w:color w:val="auto"/>
          <w:highlight w:val="none"/>
        </w:rPr>
        <w:tab/>
      </w:r>
      <w:r>
        <w:rPr>
          <w:color w:val="auto"/>
          <w:highlight w:val="none"/>
        </w:rPr>
        <w:fldChar w:fldCharType="begin"/>
      </w:r>
      <w:r>
        <w:rPr>
          <w:color w:val="auto"/>
          <w:highlight w:val="none"/>
        </w:rPr>
        <w:instrText xml:space="preserve"> PAGEREF _Toc11822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szCs w:val="24"/>
          <w:highlight w:val="none"/>
        </w:rPr>
        <w:fldChar w:fldCharType="end"/>
      </w:r>
    </w:p>
    <w:p w14:paraId="44429470">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_Toc8853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．形式评审环节</w:t>
      </w:r>
      <w:r>
        <w:rPr>
          <w:color w:val="auto"/>
          <w:highlight w:val="none"/>
        </w:rPr>
        <w:tab/>
      </w:r>
      <w:r>
        <w:rPr>
          <w:color w:val="auto"/>
          <w:highlight w:val="none"/>
        </w:rPr>
        <w:fldChar w:fldCharType="begin"/>
      </w:r>
      <w:r>
        <w:rPr>
          <w:color w:val="auto"/>
          <w:highlight w:val="none"/>
        </w:rPr>
        <w:instrText xml:space="preserve"> PAGEREF _Toc8853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4"/>
          <w:highlight w:val="none"/>
        </w:rPr>
        <w:fldChar w:fldCharType="end"/>
      </w:r>
    </w:p>
    <w:p w14:paraId="3078DFA5">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_Toc121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3</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6"/>
          <w:szCs w:val="24"/>
          <w:highlight w:val="none"/>
        </w:rPr>
        <w:t>．响应性评审环节</w:t>
      </w:r>
      <w:r>
        <w:rPr>
          <w:color w:val="auto"/>
          <w:highlight w:val="none"/>
        </w:rPr>
        <w:tab/>
      </w:r>
      <w:r>
        <w:rPr>
          <w:color w:val="auto"/>
          <w:highlight w:val="none"/>
        </w:rPr>
        <w:fldChar w:fldCharType="begin"/>
      </w:r>
      <w:r>
        <w:rPr>
          <w:color w:val="auto"/>
          <w:highlight w:val="none"/>
        </w:rPr>
        <w:instrText xml:space="preserve"> PAGEREF _Toc121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4"/>
          <w:highlight w:val="none"/>
        </w:rPr>
        <w:fldChar w:fldCharType="end"/>
      </w:r>
    </w:p>
    <w:p w14:paraId="70CF0D8A">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_Toc7538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11"/>
          <w:szCs w:val="24"/>
          <w:highlight w:val="none"/>
        </w:rPr>
        <w:t>4</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11"/>
          <w:szCs w:val="24"/>
          <w:highlight w:val="none"/>
        </w:rPr>
        <w:t>．其他</w:t>
      </w:r>
      <w:r>
        <w:rPr>
          <w:color w:val="auto"/>
          <w:highlight w:val="none"/>
        </w:rPr>
        <w:tab/>
      </w:r>
      <w:r>
        <w:rPr>
          <w:color w:val="auto"/>
          <w:highlight w:val="none"/>
        </w:rPr>
        <w:fldChar w:fldCharType="begin"/>
      </w:r>
      <w:r>
        <w:rPr>
          <w:color w:val="auto"/>
          <w:highlight w:val="none"/>
        </w:rPr>
        <w:instrText xml:space="preserve"> PAGEREF _Toc7538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eastAsia="宋体" w:cs="宋体"/>
          <w:color w:val="auto"/>
          <w:szCs w:val="24"/>
          <w:highlight w:val="none"/>
        </w:rPr>
        <w:fldChar w:fldCharType="end"/>
      </w:r>
    </w:p>
    <w:p w14:paraId="400C12E8">
      <w:pPr>
        <w:pStyle w:val="9"/>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_Toc10955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第二章</w:t>
      </w:r>
      <w:r>
        <w:rPr>
          <w:rFonts w:hint="eastAsia" w:ascii="宋体" w:hAnsi="宋体" w:eastAsia="宋体" w:cs="宋体"/>
          <w:color w:val="auto"/>
          <w:spacing w:val="32"/>
          <w:szCs w:val="24"/>
          <w:highlight w:val="none"/>
        </w:rPr>
        <w:t xml:space="preserve"> </w:t>
      </w:r>
      <w:r>
        <w:rPr>
          <w:rFonts w:hint="eastAsia" w:ascii="宋体" w:hAnsi="宋体" w:eastAsia="宋体" w:cs="宋体"/>
          <w:bCs/>
          <w:color w:val="auto"/>
          <w:spacing w:val="-7"/>
          <w:szCs w:val="24"/>
          <w:highlight w:val="none"/>
        </w:rPr>
        <w:t>中标人须知</w:t>
      </w:r>
      <w:r>
        <w:rPr>
          <w:color w:val="auto"/>
          <w:highlight w:val="none"/>
        </w:rPr>
        <w:tab/>
      </w:r>
      <w:r>
        <w:rPr>
          <w:color w:val="auto"/>
          <w:highlight w:val="none"/>
        </w:rPr>
        <w:fldChar w:fldCharType="begin"/>
      </w:r>
      <w:r>
        <w:rPr>
          <w:color w:val="auto"/>
          <w:highlight w:val="none"/>
        </w:rPr>
        <w:instrText xml:space="preserve"> PAGEREF _Toc10955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zCs w:val="24"/>
          <w:highlight w:val="none"/>
        </w:rPr>
        <w:fldChar w:fldCharType="end"/>
      </w:r>
    </w:p>
    <w:p w14:paraId="37BA08D4">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_Toc32102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9"/>
          <w:szCs w:val="24"/>
          <w:highlight w:val="none"/>
        </w:rPr>
        <w:t>1</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9"/>
          <w:szCs w:val="24"/>
          <w:highlight w:val="none"/>
        </w:rPr>
        <w:t>．中标通知书</w:t>
      </w:r>
      <w:r>
        <w:rPr>
          <w:color w:val="auto"/>
          <w:highlight w:val="none"/>
        </w:rPr>
        <w:tab/>
      </w:r>
      <w:r>
        <w:rPr>
          <w:color w:val="auto"/>
          <w:highlight w:val="none"/>
        </w:rPr>
        <w:fldChar w:fldCharType="begin"/>
      </w:r>
      <w:r>
        <w:rPr>
          <w:color w:val="auto"/>
          <w:highlight w:val="none"/>
        </w:rPr>
        <w:instrText xml:space="preserve"> PAGEREF _Toc32102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zCs w:val="24"/>
          <w:highlight w:val="none"/>
        </w:rPr>
        <w:fldChar w:fldCharType="end"/>
      </w:r>
    </w:p>
    <w:p w14:paraId="3C7527EA">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_Toc24401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．中标结果公示</w:t>
      </w:r>
      <w:r>
        <w:rPr>
          <w:color w:val="auto"/>
          <w:highlight w:val="none"/>
        </w:rPr>
        <w:tab/>
      </w:r>
      <w:r>
        <w:rPr>
          <w:color w:val="auto"/>
          <w:highlight w:val="none"/>
        </w:rPr>
        <w:fldChar w:fldCharType="begin"/>
      </w:r>
      <w:r>
        <w:rPr>
          <w:color w:val="auto"/>
          <w:highlight w:val="none"/>
        </w:rPr>
        <w:instrText xml:space="preserve"> PAGEREF _Toc24401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zCs w:val="24"/>
          <w:highlight w:val="none"/>
        </w:rPr>
        <w:fldChar w:fldCharType="end"/>
      </w:r>
    </w:p>
    <w:p w14:paraId="39804A0D">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_Toc3915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3</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8"/>
          <w:szCs w:val="24"/>
          <w:highlight w:val="none"/>
        </w:rPr>
        <w:t>．履约保证</w:t>
      </w:r>
      <w:r>
        <w:rPr>
          <w:color w:val="auto"/>
          <w:highlight w:val="none"/>
        </w:rPr>
        <w:tab/>
      </w:r>
      <w:r>
        <w:rPr>
          <w:color w:val="auto"/>
          <w:highlight w:val="none"/>
        </w:rPr>
        <w:fldChar w:fldCharType="begin"/>
      </w:r>
      <w:r>
        <w:rPr>
          <w:color w:val="auto"/>
          <w:highlight w:val="none"/>
        </w:rPr>
        <w:instrText xml:space="preserve"> PAGEREF _Toc3915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zCs w:val="24"/>
          <w:highlight w:val="none"/>
        </w:rPr>
        <w:fldChar w:fldCharType="end"/>
      </w:r>
    </w:p>
    <w:p w14:paraId="6EB9552C">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_Toc5465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4</w:t>
      </w:r>
      <w:r>
        <w:rPr>
          <w:rFonts w:hint="eastAsia" w:ascii="宋体" w:hAnsi="宋体" w:eastAsia="宋体" w:cs="宋体"/>
          <w:bCs/>
          <w:color w:val="auto"/>
          <w:spacing w:val="-27"/>
          <w:szCs w:val="24"/>
          <w:highlight w:val="none"/>
        </w:rPr>
        <w:t xml:space="preserve"> </w:t>
      </w:r>
      <w:r>
        <w:rPr>
          <w:rFonts w:hint="eastAsia" w:ascii="宋体" w:hAnsi="宋体" w:eastAsia="宋体" w:cs="宋体"/>
          <w:bCs/>
          <w:color w:val="auto"/>
          <w:spacing w:val="-8"/>
          <w:szCs w:val="24"/>
          <w:highlight w:val="none"/>
        </w:rPr>
        <w:t>．合同订立</w:t>
      </w:r>
      <w:r>
        <w:rPr>
          <w:color w:val="auto"/>
          <w:highlight w:val="none"/>
        </w:rPr>
        <w:tab/>
      </w:r>
      <w:r>
        <w:rPr>
          <w:color w:val="auto"/>
          <w:highlight w:val="none"/>
        </w:rPr>
        <w:fldChar w:fldCharType="begin"/>
      </w:r>
      <w:r>
        <w:rPr>
          <w:color w:val="auto"/>
          <w:highlight w:val="none"/>
        </w:rPr>
        <w:instrText xml:space="preserve"> PAGEREF _Toc5465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zCs w:val="24"/>
          <w:highlight w:val="none"/>
        </w:rPr>
        <w:fldChar w:fldCharType="end"/>
      </w:r>
    </w:p>
    <w:p w14:paraId="645AA1E7">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_Toc15277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5</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6"/>
          <w:szCs w:val="24"/>
          <w:highlight w:val="none"/>
        </w:rPr>
        <w:t>．放弃中标的处理</w:t>
      </w:r>
      <w:r>
        <w:rPr>
          <w:color w:val="auto"/>
          <w:highlight w:val="none"/>
        </w:rPr>
        <w:tab/>
      </w:r>
      <w:r>
        <w:rPr>
          <w:color w:val="auto"/>
          <w:highlight w:val="none"/>
        </w:rPr>
        <w:fldChar w:fldCharType="begin"/>
      </w:r>
      <w:r>
        <w:rPr>
          <w:color w:val="auto"/>
          <w:highlight w:val="none"/>
        </w:rPr>
        <w:instrText xml:space="preserve"> PAGEREF _Toc15277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eastAsia="宋体" w:cs="宋体"/>
          <w:color w:val="auto"/>
          <w:szCs w:val="24"/>
          <w:highlight w:val="none"/>
        </w:rPr>
        <w:fldChar w:fldCharType="end"/>
      </w:r>
    </w:p>
    <w:p w14:paraId="0CD855C4">
      <w:pPr>
        <w:pStyle w:val="9"/>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_Toc28650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第三章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拟签订合同的主要条款</w:t>
      </w:r>
      <w:r>
        <w:rPr>
          <w:color w:val="auto"/>
          <w:highlight w:val="none"/>
        </w:rPr>
        <w:tab/>
      </w:r>
      <w:r>
        <w:rPr>
          <w:color w:val="auto"/>
          <w:highlight w:val="none"/>
        </w:rPr>
        <w:fldChar w:fldCharType="begin"/>
      </w:r>
      <w:r>
        <w:rPr>
          <w:color w:val="auto"/>
          <w:highlight w:val="none"/>
        </w:rPr>
        <w:instrText xml:space="preserve"> PAGEREF _Toc28650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eastAsia="宋体" w:cs="宋体"/>
          <w:color w:val="auto"/>
          <w:szCs w:val="24"/>
          <w:highlight w:val="none"/>
        </w:rPr>
        <w:fldChar w:fldCharType="end"/>
      </w:r>
    </w:p>
    <w:p w14:paraId="06084143">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_Toc11124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1</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8"/>
          <w:szCs w:val="24"/>
          <w:highlight w:val="none"/>
        </w:rPr>
        <w:t>．工程承包方式</w:t>
      </w:r>
      <w:r>
        <w:rPr>
          <w:color w:val="auto"/>
          <w:highlight w:val="none"/>
        </w:rPr>
        <w:tab/>
      </w:r>
      <w:r>
        <w:rPr>
          <w:color w:val="auto"/>
          <w:highlight w:val="none"/>
        </w:rPr>
        <w:fldChar w:fldCharType="begin"/>
      </w:r>
      <w:r>
        <w:rPr>
          <w:color w:val="auto"/>
          <w:highlight w:val="none"/>
        </w:rPr>
        <w:instrText xml:space="preserve"> PAGEREF _Toc11124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eastAsia="宋体" w:cs="宋体"/>
          <w:color w:val="auto"/>
          <w:szCs w:val="24"/>
          <w:highlight w:val="none"/>
        </w:rPr>
        <w:fldChar w:fldCharType="end"/>
      </w:r>
    </w:p>
    <w:p w14:paraId="79B80EE0">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_Toc17990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．工程结算原则</w:t>
      </w:r>
      <w:r>
        <w:rPr>
          <w:color w:val="auto"/>
          <w:highlight w:val="none"/>
        </w:rPr>
        <w:tab/>
      </w:r>
      <w:r>
        <w:rPr>
          <w:color w:val="auto"/>
          <w:highlight w:val="none"/>
        </w:rPr>
        <w:fldChar w:fldCharType="begin"/>
      </w:r>
      <w:r>
        <w:rPr>
          <w:color w:val="auto"/>
          <w:highlight w:val="none"/>
        </w:rPr>
        <w:instrText xml:space="preserve"> PAGEREF _Toc17990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eastAsia="宋体" w:cs="宋体"/>
          <w:color w:val="auto"/>
          <w:szCs w:val="24"/>
          <w:highlight w:val="none"/>
        </w:rPr>
        <w:fldChar w:fldCharType="end"/>
      </w:r>
    </w:p>
    <w:p w14:paraId="23025005">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_Toc19181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zCs w:val="24"/>
          <w:highlight w:val="none"/>
        </w:rPr>
        <w:t>3. 工程付款办法</w:t>
      </w:r>
      <w:r>
        <w:rPr>
          <w:color w:val="auto"/>
          <w:highlight w:val="none"/>
        </w:rPr>
        <w:tab/>
      </w:r>
      <w:r>
        <w:rPr>
          <w:color w:val="auto"/>
          <w:highlight w:val="none"/>
        </w:rPr>
        <w:fldChar w:fldCharType="begin"/>
      </w:r>
      <w:r>
        <w:rPr>
          <w:color w:val="auto"/>
          <w:highlight w:val="none"/>
        </w:rPr>
        <w:instrText xml:space="preserve"> PAGEREF _Toc19181 \h </w:instrText>
      </w:r>
      <w:r>
        <w:rPr>
          <w:color w:val="auto"/>
          <w:highlight w:val="none"/>
        </w:rPr>
        <w:fldChar w:fldCharType="separate"/>
      </w:r>
      <w:r>
        <w:rPr>
          <w:color w:val="auto"/>
          <w:highlight w:val="none"/>
        </w:rPr>
        <w:t>50</w:t>
      </w:r>
      <w:r>
        <w:rPr>
          <w:color w:val="auto"/>
          <w:highlight w:val="none"/>
        </w:rPr>
        <w:fldChar w:fldCharType="end"/>
      </w:r>
      <w:r>
        <w:rPr>
          <w:rFonts w:hint="eastAsia" w:ascii="宋体" w:hAnsi="宋体" w:eastAsia="宋体" w:cs="宋体"/>
          <w:color w:val="auto"/>
          <w:szCs w:val="24"/>
          <w:highlight w:val="none"/>
        </w:rPr>
        <w:fldChar w:fldCharType="end"/>
      </w:r>
    </w:p>
    <w:p w14:paraId="3D785368">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_Toc17742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4</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7"/>
          <w:szCs w:val="24"/>
          <w:highlight w:val="none"/>
        </w:rPr>
        <w:t>．其他专用合同条款</w:t>
      </w:r>
      <w:r>
        <w:rPr>
          <w:color w:val="auto"/>
          <w:highlight w:val="none"/>
        </w:rPr>
        <w:tab/>
      </w:r>
      <w:r>
        <w:rPr>
          <w:color w:val="auto"/>
          <w:highlight w:val="none"/>
        </w:rPr>
        <w:fldChar w:fldCharType="begin"/>
      </w:r>
      <w:r>
        <w:rPr>
          <w:color w:val="auto"/>
          <w:highlight w:val="none"/>
        </w:rPr>
        <w:instrText xml:space="preserve"> PAGEREF _Toc17742 \h </w:instrText>
      </w:r>
      <w:r>
        <w:rPr>
          <w:color w:val="auto"/>
          <w:highlight w:val="none"/>
        </w:rPr>
        <w:fldChar w:fldCharType="separate"/>
      </w:r>
      <w:r>
        <w:rPr>
          <w:color w:val="auto"/>
          <w:highlight w:val="none"/>
        </w:rPr>
        <w:t>51</w:t>
      </w:r>
      <w:r>
        <w:rPr>
          <w:color w:val="auto"/>
          <w:highlight w:val="none"/>
        </w:rPr>
        <w:fldChar w:fldCharType="end"/>
      </w:r>
      <w:r>
        <w:rPr>
          <w:rFonts w:hint="eastAsia" w:ascii="宋体" w:hAnsi="宋体" w:eastAsia="宋体" w:cs="宋体"/>
          <w:color w:val="auto"/>
          <w:szCs w:val="24"/>
          <w:highlight w:val="none"/>
        </w:rPr>
        <w:fldChar w:fldCharType="end"/>
      </w:r>
    </w:p>
    <w:p w14:paraId="7A3B2D90">
      <w:pPr>
        <w:pStyle w:val="9"/>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_Toc26138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第四章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技术要求</w:t>
      </w:r>
      <w:r>
        <w:rPr>
          <w:color w:val="auto"/>
          <w:highlight w:val="none"/>
        </w:rPr>
        <w:tab/>
      </w:r>
      <w:r>
        <w:rPr>
          <w:color w:val="auto"/>
          <w:highlight w:val="none"/>
        </w:rPr>
        <w:fldChar w:fldCharType="begin"/>
      </w:r>
      <w:r>
        <w:rPr>
          <w:color w:val="auto"/>
          <w:highlight w:val="none"/>
        </w:rPr>
        <w:instrText xml:space="preserve"> PAGEREF _Toc26138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eastAsia="宋体" w:cs="宋体"/>
          <w:color w:val="auto"/>
          <w:szCs w:val="24"/>
          <w:highlight w:val="none"/>
        </w:rPr>
        <w:fldChar w:fldCharType="end"/>
      </w:r>
    </w:p>
    <w:p w14:paraId="66B4E695">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_Toc6424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1</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6"/>
          <w:szCs w:val="24"/>
          <w:highlight w:val="none"/>
        </w:rPr>
        <w:t>．</w:t>
      </w:r>
      <w:r>
        <w:rPr>
          <w:rFonts w:hint="eastAsia" w:ascii="宋体" w:hAnsi="宋体" w:eastAsia="宋体" w:cs="宋体"/>
          <w:bCs/>
          <w:color w:val="auto"/>
          <w:spacing w:val="-1"/>
          <w:szCs w:val="24"/>
          <w:highlight w:val="none"/>
        </w:rPr>
        <w:t>房屋建筑工程建设项目</w:t>
      </w:r>
      <w:r>
        <w:rPr>
          <w:color w:val="auto"/>
          <w:highlight w:val="none"/>
        </w:rPr>
        <w:tab/>
      </w:r>
      <w:r>
        <w:rPr>
          <w:color w:val="auto"/>
          <w:highlight w:val="none"/>
        </w:rPr>
        <w:fldChar w:fldCharType="begin"/>
      </w:r>
      <w:r>
        <w:rPr>
          <w:color w:val="auto"/>
          <w:highlight w:val="none"/>
        </w:rPr>
        <w:instrText xml:space="preserve"> PAGEREF _Toc6424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eastAsia="宋体" w:cs="宋体"/>
          <w:color w:val="auto"/>
          <w:szCs w:val="24"/>
          <w:highlight w:val="none"/>
        </w:rPr>
        <w:fldChar w:fldCharType="end"/>
      </w:r>
    </w:p>
    <w:p w14:paraId="5F3C795B">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_Toc12394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2</w:t>
      </w:r>
      <w:r>
        <w:rPr>
          <w:rFonts w:hint="eastAsia" w:ascii="宋体" w:hAnsi="宋体" w:eastAsia="宋体" w:cs="宋体"/>
          <w:bCs/>
          <w:color w:val="auto"/>
          <w:spacing w:val="-18"/>
          <w:szCs w:val="24"/>
          <w:highlight w:val="none"/>
        </w:rPr>
        <w:t xml:space="preserve"> </w:t>
      </w:r>
      <w:r>
        <w:rPr>
          <w:rFonts w:hint="eastAsia" w:ascii="宋体" w:hAnsi="宋体" w:eastAsia="宋体" w:cs="宋体"/>
          <w:bCs/>
          <w:color w:val="auto"/>
          <w:spacing w:val="-5"/>
          <w:szCs w:val="24"/>
          <w:highlight w:val="none"/>
        </w:rPr>
        <w:t>．市政基础设施工程建设项目</w:t>
      </w:r>
      <w:r>
        <w:rPr>
          <w:color w:val="auto"/>
          <w:highlight w:val="none"/>
        </w:rPr>
        <w:tab/>
      </w:r>
      <w:r>
        <w:rPr>
          <w:color w:val="auto"/>
          <w:highlight w:val="none"/>
        </w:rPr>
        <w:fldChar w:fldCharType="begin"/>
      </w:r>
      <w:r>
        <w:rPr>
          <w:color w:val="auto"/>
          <w:highlight w:val="none"/>
        </w:rPr>
        <w:instrText xml:space="preserve"> PAGEREF _Toc12394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eastAsia="宋体" w:cs="宋体"/>
          <w:color w:val="auto"/>
          <w:szCs w:val="24"/>
          <w:highlight w:val="none"/>
        </w:rPr>
        <w:fldChar w:fldCharType="end"/>
      </w:r>
    </w:p>
    <w:p w14:paraId="355DD7FC">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_Toc18496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3</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8"/>
          <w:szCs w:val="24"/>
          <w:highlight w:val="none"/>
        </w:rPr>
        <w:t>．备查要求</w:t>
      </w:r>
      <w:r>
        <w:rPr>
          <w:color w:val="auto"/>
          <w:highlight w:val="none"/>
        </w:rPr>
        <w:tab/>
      </w:r>
      <w:r>
        <w:rPr>
          <w:color w:val="auto"/>
          <w:highlight w:val="none"/>
        </w:rPr>
        <w:fldChar w:fldCharType="begin"/>
      </w:r>
      <w:r>
        <w:rPr>
          <w:color w:val="auto"/>
          <w:highlight w:val="none"/>
        </w:rPr>
        <w:instrText xml:space="preserve"> PAGEREF _Toc18496 \h </w:instrText>
      </w:r>
      <w:r>
        <w:rPr>
          <w:color w:val="auto"/>
          <w:highlight w:val="none"/>
        </w:rPr>
        <w:fldChar w:fldCharType="separate"/>
      </w:r>
      <w:r>
        <w:rPr>
          <w:color w:val="auto"/>
          <w:highlight w:val="none"/>
        </w:rPr>
        <w:t>60</w:t>
      </w:r>
      <w:r>
        <w:rPr>
          <w:color w:val="auto"/>
          <w:highlight w:val="none"/>
        </w:rPr>
        <w:fldChar w:fldCharType="end"/>
      </w:r>
      <w:r>
        <w:rPr>
          <w:rFonts w:hint="eastAsia" w:ascii="宋体" w:hAnsi="宋体" w:eastAsia="宋体" w:cs="宋体"/>
          <w:color w:val="auto"/>
          <w:szCs w:val="24"/>
          <w:highlight w:val="none"/>
        </w:rPr>
        <w:fldChar w:fldCharType="end"/>
      </w:r>
    </w:p>
    <w:p w14:paraId="66C28A85">
      <w:pPr>
        <w:pStyle w:val="9"/>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_Toc23370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第五章</w:t>
      </w:r>
      <w:r>
        <w:rPr>
          <w:rFonts w:hint="eastAsia" w:ascii="宋体" w:hAnsi="宋体" w:eastAsia="宋体" w:cs="宋体"/>
          <w:color w:val="auto"/>
          <w:spacing w:val="33"/>
          <w:szCs w:val="24"/>
          <w:highlight w:val="none"/>
        </w:rPr>
        <w:t xml:space="preserve"> </w:t>
      </w:r>
      <w:r>
        <w:rPr>
          <w:rFonts w:hint="eastAsia" w:ascii="宋体" w:hAnsi="宋体" w:eastAsia="宋体" w:cs="宋体"/>
          <w:bCs/>
          <w:color w:val="auto"/>
          <w:spacing w:val="-5"/>
          <w:szCs w:val="24"/>
          <w:highlight w:val="none"/>
        </w:rPr>
        <w:t>图纸和招标工程量清单</w:t>
      </w:r>
      <w:r>
        <w:rPr>
          <w:color w:val="auto"/>
          <w:highlight w:val="none"/>
        </w:rPr>
        <w:tab/>
      </w:r>
      <w:r>
        <w:rPr>
          <w:color w:val="auto"/>
          <w:highlight w:val="none"/>
        </w:rPr>
        <w:fldChar w:fldCharType="begin"/>
      </w:r>
      <w:r>
        <w:rPr>
          <w:color w:val="auto"/>
          <w:highlight w:val="none"/>
        </w:rPr>
        <w:instrText xml:space="preserve"> PAGEREF _Toc23370 \h </w:instrText>
      </w:r>
      <w:r>
        <w:rPr>
          <w:color w:val="auto"/>
          <w:highlight w:val="none"/>
        </w:rPr>
        <w:fldChar w:fldCharType="separate"/>
      </w:r>
      <w:r>
        <w:rPr>
          <w:color w:val="auto"/>
          <w:highlight w:val="none"/>
        </w:rPr>
        <w:t>61</w:t>
      </w:r>
      <w:r>
        <w:rPr>
          <w:color w:val="auto"/>
          <w:highlight w:val="none"/>
        </w:rPr>
        <w:fldChar w:fldCharType="end"/>
      </w:r>
      <w:r>
        <w:rPr>
          <w:rFonts w:hint="eastAsia" w:ascii="宋体" w:hAnsi="宋体" w:eastAsia="宋体" w:cs="宋体"/>
          <w:color w:val="auto"/>
          <w:szCs w:val="24"/>
          <w:highlight w:val="none"/>
        </w:rPr>
        <w:fldChar w:fldCharType="end"/>
      </w:r>
    </w:p>
    <w:p w14:paraId="04065264">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_Toc30394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14"/>
          <w:szCs w:val="24"/>
          <w:highlight w:val="none"/>
        </w:rPr>
        <w:t>1</w:t>
      </w:r>
      <w:r>
        <w:rPr>
          <w:rFonts w:hint="eastAsia" w:ascii="宋体" w:hAnsi="宋体" w:eastAsia="宋体" w:cs="宋体"/>
          <w:bCs/>
          <w:color w:val="auto"/>
          <w:spacing w:val="-27"/>
          <w:szCs w:val="24"/>
          <w:highlight w:val="none"/>
        </w:rPr>
        <w:t xml:space="preserve"> </w:t>
      </w:r>
      <w:r>
        <w:rPr>
          <w:rFonts w:hint="eastAsia" w:ascii="宋体" w:hAnsi="宋体" w:eastAsia="宋体" w:cs="宋体"/>
          <w:bCs/>
          <w:color w:val="auto"/>
          <w:spacing w:val="-14"/>
          <w:szCs w:val="24"/>
          <w:highlight w:val="none"/>
        </w:rPr>
        <w:t>．图纸</w:t>
      </w:r>
      <w:r>
        <w:rPr>
          <w:color w:val="auto"/>
          <w:highlight w:val="none"/>
        </w:rPr>
        <w:tab/>
      </w:r>
      <w:r>
        <w:rPr>
          <w:color w:val="auto"/>
          <w:highlight w:val="none"/>
        </w:rPr>
        <w:fldChar w:fldCharType="begin"/>
      </w:r>
      <w:r>
        <w:rPr>
          <w:color w:val="auto"/>
          <w:highlight w:val="none"/>
        </w:rPr>
        <w:instrText xml:space="preserve"> PAGEREF _Toc30394 \h </w:instrText>
      </w:r>
      <w:r>
        <w:rPr>
          <w:color w:val="auto"/>
          <w:highlight w:val="none"/>
        </w:rPr>
        <w:fldChar w:fldCharType="separate"/>
      </w:r>
      <w:r>
        <w:rPr>
          <w:color w:val="auto"/>
          <w:highlight w:val="none"/>
        </w:rPr>
        <w:t>61</w:t>
      </w:r>
      <w:r>
        <w:rPr>
          <w:color w:val="auto"/>
          <w:highlight w:val="none"/>
        </w:rPr>
        <w:fldChar w:fldCharType="end"/>
      </w:r>
      <w:r>
        <w:rPr>
          <w:rFonts w:hint="eastAsia" w:ascii="宋体" w:hAnsi="宋体" w:eastAsia="宋体" w:cs="宋体"/>
          <w:color w:val="auto"/>
          <w:szCs w:val="24"/>
          <w:highlight w:val="none"/>
        </w:rPr>
        <w:fldChar w:fldCharType="end"/>
      </w:r>
    </w:p>
    <w:p w14:paraId="135750E6">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_Toc14897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2</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6"/>
          <w:szCs w:val="24"/>
          <w:highlight w:val="none"/>
        </w:rPr>
        <w:t>．招标工程量清单</w:t>
      </w:r>
      <w:r>
        <w:rPr>
          <w:color w:val="auto"/>
          <w:highlight w:val="none"/>
        </w:rPr>
        <w:tab/>
      </w:r>
      <w:r>
        <w:rPr>
          <w:color w:val="auto"/>
          <w:highlight w:val="none"/>
        </w:rPr>
        <w:fldChar w:fldCharType="begin"/>
      </w:r>
      <w:r>
        <w:rPr>
          <w:color w:val="auto"/>
          <w:highlight w:val="none"/>
        </w:rPr>
        <w:instrText xml:space="preserve"> PAGEREF _Toc14897 \h </w:instrText>
      </w:r>
      <w:r>
        <w:rPr>
          <w:color w:val="auto"/>
          <w:highlight w:val="none"/>
        </w:rPr>
        <w:fldChar w:fldCharType="separate"/>
      </w:r>
      <w:r>
        <w:rPr>
          <w:color w:val="auto"/>
          <w:highlight w:val="none"/>
        </w:rPr>
        <w:t>61</w:t>
      </w:r>
      <w:r>
        <w:rPr>
          <w:color w:val="auto"/>
          <w:highlight w:val="none"/>
        </w:rPr>
        <w:fldChar w:fldCharType="end"/>
      </w:r>
      <w:r>
        <w:rPr>
          <w:rFonts w:hint="eastAsia" w:ascii="宋体" w:hAnsi="宋体" w:eastAsia="宋体" w:cs="宋体"/>
          <w:color w:val="auto"/>
          <w:szCs w:val="24"/>
          <w:highlight w:val="none"/>
        </w:rPr>
        <w:fldChar w:fldCharType="end"/>
      </w:r>
    </w:p>
    <w:p w14:paraId="2FAEC950">
      <w:pPr>
        <w:pStyle w:val="9"/>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_Toc13354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第六章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投标文件格式</w:t>
      </w:r>
      <w:r>
        <w:rPr>
          <w:color w:val="auto"/>
          <w:highlight w:val="none"/>
        </w:rPr>
        <w:tab/>
      </w:r>
      <w:r>
        <w:rPr>
          <w:color w:val="auto"/>
          <w:highlight w:val="none"/>
        </w:rPr>
        <w:fldChar w:fldCharType="begin"/>
      </w:r>
      <w:r>
        <w:rPr>
          <w:color w:val="auto"/>
          <w:highlight w:val="none"/>
        </w:rPr>
        <w:instrText xml:space="preserve"> PAGEREF _Toc13354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color w:val="auto"/>
          <w:szCs w:val="24"/>
          <w:highlight w:val="none"/>
        </w:rPr>
        <w:fldChar w:fldCharType="end"/>
      </w:r>
    </w:p>
    <w:p w14:paraId="27C96414">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_Toc10257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格式一</w:t>
      </w:r>
      <w:r>
        <w:rPr>
          <w:rFonts w:hint="eastAsia" w:ascii="宋体" w:hAnsi="宋体" w:eastAsia="宋体" w:cs="宋体"/>
          <w:color w:val="auto"/>
          <w:spacing w:val="-4"/>
          <w:szCs w:val="24"/>
          <w:highlight w:val="none"/>
        </w:rPr>
        <w:t xml:space="preserve"> </w:t>
      </w:r>
      <w:r>
        <w:rPr>
          <w:rFonts w:hint="eastAsia" w:ascii="宋体" w:hAnsi="宋体" w:eastAsia="宋体" w:cs="宋体"/>
          <w:bCs/>
          <w:color w:val="auto"/>
          <w:spacing w:val="-4"/>
          <w:szCs w:val="24"/>
          <w:highlight w:val="none"/>
        </w:rPr>
        <w:t>封面</w:t>
      </w:r>
      <w:r>
        <w:rPr>
          <w:color w:val="auto"/>
          <w:highlight w:val="none"/>
        </w:rPr>
        <w:tab/>
      </w:r>
      <w:r>
        <w:rPr>
          <w:color w:val="auto"/>
          <w:highlight w:val="none"/>
        </w:rPr>
        <w:fldChar w:fldCharType="begin"/>
      </w:r>
      <w:r>
        <w:rPr>
          <w:color w:val="auto"/>
          <w:highlight w:val="none"/>
        </w:rPr>
        <w:instrText xml:space="preserve"> PAGEREF _Toc10257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color w:val="auto"/>
          <w:szCs w:val="24"/>
          <w:highlight w:val="none"/>
        </w:rPr>
        <w:fldChar w:fldCharType="end"/>
      </w:r>
    </w:p>
    <w:p w14:paraId="72E03FCD">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_Toc23059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格式二 投标函</w:t>
      </w:r>
      <w:r>
        <w:rPr>
          <w:color w:val="auto"/>
          <w:highlight w:val="none"/>
        </w:rPr>
        <w:tab/>
      </w:r>
      <w:r>
        <w:rPr>
          <w:color w:val="auto"/>
          <w:highlight w:val="none"/>
        </w:rPr>
        <w:fldChar w:fldCharType="begin"/>
      </w:r>
      <w:r>
        <w:rPr>
          <w:color w:val="auto"/>
          <w:highlight w:val="none"/>
        </w:rPr>
        <w:instrText xml:space="preserve"> PAGEREF _Toc23059 \h </w:instrText>
      </w:r>
      <w:r>
        <w:rPr>
          <w:color w:val="auto"/>
          <w:highlight w:val="none"/>
        </w:rPr>
        <w:fldChar w:fldCharType="separate"/>
      </w:r>
      <w:r>
        <w:rPr>
          <w:color w:val="auto"/>
          <w:highlight w:val="none"/>
        </w:rPr>
        <w:t>63</w:t>
      </w:r>
      <w:r>
        <w:rPr>
          <w:color w:val="auto"/>
          <w:highlight w:val="none"/>
        </w:rPr>
        <w:fldChar w:fldCharType="end"/>
      </w:r>
      <w:r>
        <w:rPr>
          <w:rFonts w:hint="eastAsia" w:ascii="宋体" w:hAnsi="宋体" w:eastAsia="宋体" w:cs="宋体"/>
          <w:color w:val="auto"/>
          <w:szCs w:val="24"/>
          <w:highlight w:val="none"/>
        </w:rPr>
        <w:fldChar w:fldCharType="end"/>
      </w:r>
    </w:p>
    <w:p w14:paraId="1A0320F2">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_Toc16728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_Toc16728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eastAsia="宋体" w:cs="宋体"/>
          <w:color w:val="auto"/>
          <w:szCs w:val="24"/>
          <w:highlight w:val="none"/>
        </w:rPr>
        <w:fldChar w:fldCharType="end"/>
      </w:r>
    </w:p>
    <w:p w14:paraId="2A095D1D">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_Toc24663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_Toc24663 \h </w:instrText>
      </w:r>
      <w:r>
        <w:rPr>
          <w:color w:val="auto"/>
          <w:highlight w:val="none"/>
        </w:rPr>
        <w:fldChar w:fldCharType="separate"/>
      </w:r>
      <w:r>
        <w:rPr>
          <w:color w:val="auto"/>
          <w:highlight w:val="none"/>
        </w:rPr>
        <w:t>66</w:t>
      </w:r>
      <w:r>
        <w:rPr>
          <w:color w:val="auto"/>
          <w:highlight w:val="none"/>
        </w:rPr>
        <w:fldChar w:fldCharType="end"/>
      </w:r>
      <w:r>
        <w:rPr>
          <w:rFonts w:hint="eastAsia" w:ascii="宋体" w:hAnsi="宋体" w:eastAsia="宋体" w:cs="宋体"/>
          <w:color w:val="auto"/>
          <w:szCs w:val="24"/>
          <w:highlight w:val="none"/>
        </w:rPr>
        <w:fldChar w:fldCharType="end"/>
      </w:r>
    </w:p>
    <w:p w14:paraId="0BC04D58">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_Toc24290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_Toc24290 \h </w:instrText>
      </w:r>
      <w:r>
        <w:rPr>
          <w:color w:val="auto"/>
          <w:highlight w:val="none"/>
        </w:rPr>
        <w:fldChar w:fldCharType="separate"/>
      </w:r>
      <w:r>
        <w:rPr>
          <w:color w:val="auto"/>
          <w:highlight w:val="none"/>
        </w:rPr>
        <w:t>67</w:t>
      </w:r>
      <w:r>
        <w:rPr>
          <w:color w:val="auto"/>
          <w:highlight w:val="none"/>
        </w:rPr>
        <w:fldChar w:fldCharType="end"/>
      </w:r>
      <w:r>
        <w:rPr>
          <w:rFonts w:hint="eastAsia" w:ascii="宋体" w:hAnsi="宋体" w:eastAsia="宋体" w:cs="宋体"/>
          <w:color w:val="auto"/>
          <w:szCs w:val="24"/>
          <w:highlight w:val="none"/>
        </w:rPr>
        <w:fldChar w:fldCharType="end"/>
      </w:r>
    </w:p>
    <w:p w14:paraId="3E9CE276">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_Toc733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格式六 联合体协议书</w:t>
      </w:r>
      <w:r>
        <w:rPr>
          <w:color w:val="auto"/>
          <w:highlight w:val="none"/>
        </w:rPr>
        <w:tab/>
      </w:r>
      <w:r>
        <w:rPr>
          <w:color w:val="auto"/>
          <w:highlight w:val="none"/>
        </w:rPr>
        <w:fldChar w:fldCharType="begin"/>
      </w:r>
      <w:r>
        <w:rPr>
          <w:color w:val="auto"/>
          <w:highlight w:val="none"/>
        </w:rPr>
        <w:instrText xml:space="preserve"> PAGEREF _Toc733 \h </w:instrText>
      </w:r>
      <w:r>
        <w:rPr>
          <w:color w:val="auto"/>
          <w:highlight w:val="none"/>
        </w:rPr>
        <w:fldChar w:fldCharType="separate"/>
      </w:r>
      <w:r>
        <w:rPr>
          <w:color w:val="auto"/>
          <w:highlight w:val="none"/>
        </w:rPr>
        <w:t>68</w:t>
      </w:r>
      <w:r>
        <w:rPr>
          <w:color w:val="auto"/>
          <w:highlight w:val="none"/>
        </w:rPr>
        <w:fldChar w:fldCharType="end"/>
      </w:r>
      <w:r>
        <w:rPr>
          <w:rFonts w:hint="eastAsia" w:ascii="宋体" w:hAnsi="宋体" w:eastAsia="宋体" w:cs="宋体"/>
          <w:color w:val="auto"/>
          <w:szCs w:val="24"/>
          <w:highlight w:val="none"/>
        </w:rPr>
        <w:fldChar w:fldCharType="end"/>
      </w:r>
    </w:p>
    <w:p w14:paraId="605D25F7">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_Toc24967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格式七 投标人基本情况表</w:t>
      </w:r>
      <w:r>
        <w:rPr>
          <w:color w:val="auto"/>
          <w:highlight w:val="none"/>
        </w:rPr>
        <w:tab/>
      </w:r>
      <w:r>
        <w:rPr>
          <w:color w:val="auto"/>
          <w:highlight w:val="none"/>
        </w:rPr>
        <w:fldChar w:fldCharType="begin"/>
      </w:r>
      <w:r>
        <w:rPr>
          <w:color w:val="auto"/>
          <w:highlight w:val="none"/>
        </w:rPr>
        <w:instrText xml:space="preserve"> PAGEREF _Toc24967 \h </w:instrText>
      </w:r>
      <w:r>
        <w:rPr>
          <w:color w:val="auto"/>
          <w:highlight w:val="none"/>
        </w:rPr>
        <w:fldChar w:fldCharType="separate"/>
      </w:r>
      <w:r>
        <w:rPr>
          <w:color w:val="auto"/>
          <w:highlight w:val="none"/>
        </w:rPr>
        <w:t>69</w:t>
      </w:r>
      <w:r>
        <w:rPr>
          <w:color w:val="auto"/>
          <w:highlight w:val="none"/>
        </w:rPr>
        <w:fldChar w:fldCharType="end"/>
      </w:r>
      <w:r>
        <w:rPr>
          <w:rFonts w:hint="eastAsia" w:ascii="宋体" w:hAnsi="宋体" w:eastAsia="宋体" w:cs="宋体"/>
          <w:color w:val="auto"/>
          <w:szCs w:val="24"/>
          <w:highlight w:val="none"/>
        </w:rPr>
        <w:fldChar w:fldCharType="end"/>
      </w:r>
    </w:p>
    <w:p w14:paraId="45711945">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_Toc10594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格式八 项目经理简历表</w:t>
      </w:r>
      <w:r>
        <w:rPr>
          <w:color w:val="auto"/>
          <w:highlight w:val="none"/>
        </w:rPr>
        <w:tab/>
      </w:r>
      <w:r>
        <w:rPr>
          <w:color w:val="auto"/>
          <w:highlight w:val="none"/>
        </w:rPr>
        <w:fldChar w:fldCharType="begin"/>
      </w:r>
      <w:r>
        <w:rPr>
          <w:color w:val="auto"/>
          <w:highlight w:val="none"/>
        </w:rPr>
        <w:instrText xml:space="preserve"> PAGEREF _Toc10594 \h </w:instrText>
      </w:r>
      <w:r>
        <w:rPr>
          <w:color w:val="auto"/>
          <w:highlight w:val="none"/>
        </w:rPr>
        <w:fldChar w:fldCharType="separate"/>
      </w:r>
      <w:r>
        <w:rPr>
          <w:color w:val="auto"/>
          <w:highlight w:val="none"/>
        </w:rPr>
        <w:t>70</w:t>
      </w:r>
      <w:r>
        <w:rPr>
          <w:color w:val="auto"/>
          <w:highlight w:val="none"/>
        </w:rPr>
        <w:fldChar w:fldCharType="end"/>
      </w:r>
      <w:r>
        <w:rPr>
          <w:rFonts w:hint="eastAsia" w:ascii="宋体" w:hAnsi="宋体" w:eastAsia="宋体" w:cs="宋体"/>
          <w:color w:val="auto"/>
          <w:szCs w:val="24"/>
          <w:highlight w:val="none"/>
        </w:rPr>
        <w:fldChar w:fldCharType="end"/>
      </w:r>
    </w:p>
    <w:p w14:paraId="7221F006">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_Toc6967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格式九 项目经理任职声明</w:t>
      </w:r>
      <w:r>
        <w:rPr>
          <w:color w:val="auto"/>
          <w:highlight w:val="none"/>
        </w:rPr>
        <w:tab/>
      </w:r>
      <w:r>
        <w:rPr>
          <w:color w:val="auto"/>
          <w:highlight w:val="none"/>
        </w:rPr>
        <w:fldChar w:fldCharType="begin"/>
      </w:r>
      <w:r>
        <w:rPr>
          <w:color w:val="auto"/>
          <w:highlight w:val="none"/>
        </w:rPr>
        <w:instrText xml:space="preserve"> PAGEREF _Toc6967 \h </w:instrText>
      </w:r>
      <w:r>
        <w:rPr>
          <w:color w:val="auto"/>
          <w:highlight w:val="none"/>
        </w:rPr>
        <w:fldChar w:fldCharType="separate"/>
      </w:r>
      <w:r>
        <w:rPr>
          <w:color w:val="auto"/>
          <w:highlight w:val="none"/>
        </w:rPr>
        <w:t>71</w:t>
      </w:r>
      <w:r>
        <w:rPr>
          <w:color w:val="auto"/>
          <w:highlight w:val="none"/>
        </w:rPr>
        <w:fldChar w:fldCharType="end"/>
      </w:r>
      <w:r>
        <w:rPr>
          <w:rFonts w:hint="eastAsia" w:ascii="宋体" w:hAnsi="宋体" w:eastAsia="宋体" w:cs="宋体"/>
          <w:color w:val="auto"/>
          <w:szCs w:val="24"/>
          <w:highlight w:val="none"/>
        </w:rPr>
        <w:fldChar w:fldCharType="end"/>
      </w:r>
    </w:p>
    <w:p w14:paraId="27C55B91">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_Toc19125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 项目技术负责人简历表</w:t>
      </w:r>
      <w:r>
        <w:rPr>
          <w:color w:val="auto"/>
          <w:highlight w:val="none"/>
        </w:rPr>
        <w:tab/>
      </w:r>
      <w:r>
        <w:rPr>
          <w:color w:val="auto"/>
          <w:highlight w:val="none"/>
        </w:rPr>
        <w:fldChar w:fldCharType="begin"/>
      </w:r>
      <w:r>
        <w:rPr>
          <w:color w:val="auto"/>
          <w:highlight w:val="none"/>
        </w:rPr>
        <w:instrText xml:space="preserve"> PAGEREF _Toc19125 \h </w:instrText>
      </w:r>
      <w:r>
        <w:rPr>
          <w:color w:val="auto"/>
          <w:highlight w:val="none"/>
        </w:rPr>
        <w:fldChar w:fldCharType="separate"/>
      </w:r>
      <w:r>
        <w:rPr>
          <w:color w:val="auto"/>
          <w:highlight w:val="none"/>
        </w:rPr>
        <w:t>72</w:t>
      </w:r>
      <w:r>
        <w:rPr>
          <w:color w:val="auto"/>
          <w:highlight w:val="none"/>
        </w:rPr>
        <w:fldChar w:fldCharType="end"/>
      </w:r>
      <w:r>
        <w:rPr>
          <w:rFonts w:hint="eastAsia" w:ascii="宋体" w:hAnsi="宋体" w:eastAsia="宋体" w:cs="宋体"/>
          <w:color w:val="auto"/>
          <w:szCs w:val="24"/>
          <w:highlight w:val="none"/>
        </w:rPr>
        <w:fldChar w:fldCharType="end"/>
      </w:r>
    </w:p>
    <w:p w14:paraId="12CC1585">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_Toc18872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格式十一 项目管理机构组成表</w:t>
      </w:r>
      <w:r>
        <w:rPr>
          <w:color w:val="auto"/>
          <w:highlight w:val="none"/>
        </w:rPr>
        <w:tab/>
      </w:r>
      <w:r>
        <w:rPr>
          <w:color w:val="auto"/>
          <w:highlight w:val="none"/>
        </w:rPr>
        <w:fldChar w:fldCharType="begin"/>
      </w:r>
      <w:r>
        <w:rPr>
          <w:color w:val="auto"/>
          <w:highlight w:val="none"/>
        </w:rPr>
        <w:instrText xml:space="preserve"> PAGEREF _Toc18872 \h </w:instrText>
      </w:r>
      <w:r>
        <w:rPr>
          <w:color w:val="auto"/>
          <w:highlight w:val="none"/>
        </w:rPr>
        <w:fldChar w:fldCharType="separate"/>
      </w:r>
      <w:r>
        <w:rPr>
          <w:color w:val="auto"/>
          <w:highlight w:val="none"/>
        </w:rPr>
        <w:t>73</w:t>
      </w:r>
      <w:r>
        <w:rPr>
          <w:color w:val="auto"/>
          <w:highlight w:val="none"/>
        </w:rPr>
        <w:fldChar w:fldCharType="end"/>
      </w:r>
      <w:r>
        <w:rPr>
          <w:rFonts w:hint="eastAsia" w:ascii="宋体" w:hAnsi="宋体" w:eastAsia="宋体" w:cs="宋体"/>
          <w:color w:val="auto"/>
          <w:szCs w:val="24"/>
          <w:highlight w:val="none"/>
        </w:rPr>
        <w:fldChar w:fldCharType="end"/>
      </w:r>
    </w:p>
    <w:p w14:paraId="74758C77">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_Toc3823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格式十二 建造师查询页（有效期+建造师签字）</w:t>
      </w:r>
      <w:r>
        <w:rPr>
          <w:color w:val="auto"/>
          <w:highlight w:val="none"/>
        </w:rPr>
        <w:tab/>
      </w:r>
      <w:r>
        <w:rPr>
          <w:color w:val="auto"/>
          <w:highlight w:val="none"/>
        </w:rPr>
        <w:fldChar w:fldCharType="begin"/>
      </w:r>
      <w:r>
        <w:rPr>
          <w:color w:val="auto"/>
          <w:highlight w:val="none"/>
        </w:rPr>
        <w:instrText xml:space="preserve"> PAGEREF _Toc3823 \h </w:instrText>
      </w:r>
      <w:r>
        <w:rPr>
          <w:color w:val="auto"/>
          <w:highlight w:val="none"/>
        </w:rPr>
        <w:fldChar w:fldCharType="separate"/>
      </w:r>
      <w:r>
        <w:rPr>
          <w:color w:val="auto"/>
          <w:highlight w:val="none"/>
        </w:rPr>
        <w:t>74</w:t>
      </w:r>
      <w:r>
        <w:rPr>
          <w:color w:val="auto"/>
          <w:highlight w:val="none"/>
        </w:rPr>
        <w:fldChar w:fldCharType="end"/>
      </w:r>
      <w:r>
        <w:rPr>
          <w:rFonts w:hint="eastAsia" w:ascii="宋体" w:hAnsi="宋体" w:eastAsia="宋体" w:cs="宋体"/>
          <w:color w:val="auto"/>
          <w:szCs w:val="24"/>
          <w:highlight w:val="none"/>
        </w:rPr>
        <w:fldChar w:fldCharType="end"/>
      </w:r>
    </w:p>
    <w:p w14:paraId="7342A1D3">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_Toc30843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格式十三：</w:t>
      </w:r>
      <w:r>
        <w:rPr>
          <w:rFonts w:hint="eastAsia" w:ascii="宋体" w:hAnsi="宋体" w:eastAsia="宋体" w:cs="宋体"/>
          <w:bCs/>
          <w:color w:val="auto"/>
          <w:spacing w:val="7"/>
          <w:szCs w:val="22"/>
          <w:highlight w:val="none"/>
        </w:rPr>
        <w:t>危险性较大的分部分项工程清单及超过一定规模的危险性较大的</w:t>
      </w:r>
      <w:r>
        <w:rPr>
          <w:rFonts w:hint="eastAsia" w:ascii="宋体" w:hAnsi="宋体" w:eastAsia="宋体" w:cs="宋体"/>
          <w:bCs/>
          <w:color w:val="auto"/>
          <w:spacing w:val="5"/>
          <w:szCs w:val="22"/>
          <w:highlight w:val="none"/>
        </w:rPr>
        <w:t>分部分项工程清单</w:t>
      </w:r>
      <w:r>
        <w:rPr>
          <w:color w:val="auto"/>
          <w:highlight w:val="none"/>
        </w:rPr>
        <w:tab/>
      </w:r>
      <w:r>
        <w:rPr>
          <w:color w:val="auto"/>
          <w:highlight w:val="none"/>
        </w:rPr>
        <w:fldChar w:fldCharType="begin"/>
      </w:r>
      <w:r>
        <w:rPr>
          <w:color w:val="auto"/>
          <w:highlight w:val="none"/>
        </w:rPr>
        <w:instrText xml:space="preserve"> PAGEREF _Toc30843 \h </w:instrText>
      </w:r>
      <w:r>
        <w:rPr>
          <w:color w:val="auto"/>
          <w:highlight w:val="none"/>
        </w:rPr>
        <w:fldChar w:fldCharType="separate"/>
      </w:r>
      <w:r>
        <w:rPr>
          <w:color w:val="auto"/>
          <w:highlight w:val="none"/>
        </w:rPr>
        <w:t>76</w:t>
      </w:r>
      <w:r>
        <w:rPr>
          <w:color w:val="auto"/>
          <w:highlight w:val="none"/>
        </w:rPr>
        <w:fldChar w:fldCharType="end"/>
      </w:r>
      <w:r>
        <w:rPr>
          <w:rFonts w:hint="eastAsia" w:ascii="宋体" w:hAnsi="宋体" w:eastAsia="宋体" w:cs="宋体"/>
          <w:color w:val="auto"/>
          <w:szCs w:val="24"/>
          <w:highlight w:val="none"/>
        </w:rPr>
        <w:fldChar w:fldCharType="end"/>
      </w:r>
    </w:p>
    <w:p w14:paraId="38F80CED">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_Toc2618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格式十四</w:t>
      </w:r>
      <w:r>
        <w:rPr>
          <w:rFonts w:hint="eastAsia" w:ascii="宋体" w:hAnsi="宋体" w:eastAsia="宋体" w:cs="宋体"/>
          <w:bCs/>
          <w:color w:val="auto"/>
          <w:spacing w:val="-4"/>
          <w:szCs w:val="24"/>
          <w:highlight w:val="none"/>
          <w:lang w:val="en-US" w:eastAsia="zh-CN"/>
        </w:rPr>
        <w:t xml:space="preserve">  </w:t>
      </w:r>
      <w:r>
        <w:rPr>
          <w:rFonts w:hint="eastAsia" w:ascii="宋体" w:hAnsi="宋体" w:eastAsia="宋体" w:cs="宋体"/>
          <w:bCs/>
          <w:color w:val="auto"/>
          <w:spacing w:val="4"/>
          <w:position w:val="3"/>
          <w:szCs w:val="21"/>
          <w:highlight w:val="none"/>
        </w:rPr>
        <w:t>投标保证金信用承诺函</w:t>
      </w:r>
      <w:r>
        <w:rPr>
          <w:color w:val="auto"/>
          <w:highlight w:val="none"/>
        </w:rPr>
        <w:tab/>
      </w:r>
      <w:r>
        <w:rPr>
          <w:color w:val="auto"/>
          <w:highlight w:val="none"/>
        </w:rPr>
        <w:fldChar w:fldCharType="begin"/>
      </w:r>
      <w:r>
        <w:rPr>
          <w:color w:val="auto"/>
          <w:highlight w:val="none"/>
        </w:rPr>
        <w:instrText xml:space="preserve"> PAGEREF _Toc2618 \h </w:instrText>
      </w:r>
      <w:r>
        <w:rPr>
          <w:color w:val="auto"/>
          <w:highlight w:val="none"/>
        </w:rPr>
        <w:fldChar w:fldCharType="separate"/>
      </w:r>
      <w:r>
        <w:rPr>
          <w:color w:val="auto"/>
          <w:highlight w:val="none"/>
        </w:rPr>
        <w:t>81</w:t>
      </w:r>
      <w:r>
        <w:rPr>
          <w:color w:val="auto"/>
          <w:highlight w:val="none"/>
        </w:rPr>
        <w:fldChar w:fldCharType="end"/>
      </w:r>
      <w:r>
        <w:rPr>
          <w:rFonts w:hint="eastAsia" w:ascii="宋体" w:hAnsi="宋体" w:eastAsia="宋体" w:cs="宋体"/>
          <w:color w:val="auto"/>
          <w:szCs w:val="24"/>
          <w:highlight w:val="none"/>
        </w:rPr>
        <w:fldChar w:fldCharType="end"/>
      </w:r>
    </w:p>
    <w:p w14:paraId="6431E361">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_Toc22936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w:t>
      </w:r>
      <w:r>
        <w:rPr>
          <w:rFonts w:hint="eastAsia" w:ascii="宋体" w:hAnsi="宋体" w:eastAsia="宋体" w:cs="宋体"/>
          <w:bCs/>
          <w:color w:val="auto"/>
          <w:spacing w:val="-4"/>
          <w:szCs w:val="24"/>
          <w:highlight w:val="none"/>
          <w:lang w:eastAsia="zh-CN"/>
        </w:rPr>
        <w:t>五</w:t>
      </w:r>
      <w:r>
        <w:rPr>
          <w:rFonts w:hint="eastAsia" w:ascii="宋体" w:hAnsi="宋体" w:eastAsia="宋体" w:cs="宋体"/>
          <w:bCs/>
          <w:color w:val="auto"/>
          <w:spacing w:val="-4"/>
          <w:szCs w:val="24"/>
          <w:highlight w:val="none"/>
        </w:rPr>
        <w:t xml:space="preserve">  原件一览表</w:t>
      </w:r>
      <w:r>
        <w:rPr>
          <w:color w:val="auto"/>
          <w:highlight w:val="none"/>
        </w:rPr>
        <w:tab/>
      </w:r>
      <w:r>
        <w:rPr>
          <w:color w:val="auto"/>
          <w:highlight w:val="none"/>
        </w:rPr>
        <w:fldChar w:fldCharType="begin"/>
      </w:r>
      <w:r>
        <w:rPr>
          <w:color w:val="auto"/>
          <w:highlight w:val="none"/>
        </w:rPr>
        <w:instrText xml:space="preserve"> PAGEREF _Toc22936 \h </w:instrText>
      </w:r>
      <w:r>
        <w:rPr>
          <w:color w:val="auto"/>
          <w:highlight w:val="none"/>
        </w:rPr>
        <w:fldChar w:fldCharType="separate"/>
      </w:r>
      <w:r>
        <w:rPr>
          <w:color w:val="auto"/>
          <w:highlight w:val="none"/>
        </w:rPr>
        <w:t>82</w:t>
      </w:r>
      <w:r>
        <w:rPr>
          <w:color w:val="auto"/>
          <w:highlight w:val="none"/>
        </w:rPr>
        <w:fldChar w:fldCharType="end"/>
      </w:r>
      <w:r>
        <w:rPr>
          <w:rFonts w:hint="eastAsia" w:ascii="宋体" w:hAnsi="宋体" w:eastAsia="宋体" w:cs="宋体"/>
          <w:color w:val="auto"/>
          <w:szCs w:val="24"/>
          <w:highlight w:val="none"/>
        </w:rPr>
        <w:fldChar w:fldCharType="end"/>
      </w:r>
    </w:p>
    <w:p w14:paraId="3649F317">
      <w:pPr>
        <w:pStyle w:val="1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_Toc28712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第七章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建设工程施工合同</w:t>
      </w:r>
      <w:r>
        <w:rPr>
          <w:color w:val="auto"/>
          <w:highlight w:val="none"/>
        </w:rPr>
        <w:tab/>
      </w:r>
      <w:r>
        <w:rPr>
          <w:color w:val="auto"/>
          <w:highlight w:val="none"/>
        </w:rPr>
        <w:fldChar w:fldCharType="begin"/>
      </w:r>
      <w:r>
        <w:rPr>
          <w:color w:val="auto"/>
          <w:highlight w:val="none"/>
        </w:rPr>
        <w:instrText xml:space="preserve"> PAGEREF _Toc28712 \h </w:instrText>
      </w:r>
      <w:r>
        <w:rPr>
          <w:color w:val="auto"/>
          <w:highlight w:val="none"/>
        </w:rPr>
        <w:fldChar w:fldCharType="separate"/>
      </w:r>
      <w:r>
        <w:rPr>
          <w:color w:val="auto"/>
          <w:highlight w:val="none"/>
        </w:rPr>
        <w:t>83</w:t>
      </w:r>
      <w:r>
        <w:rPr>
          <w:color w:val="auto"/>
          <w:highlight w:val="none"/>
        </w:rPr>
        <w:fldChar w:fldCharType="end"/>
      </w:r>
      <w:r>
        <w:rPr>
          <w:rFonts w:hint="eastAsia" w:ascii="宋体" w:hAnsi="宋体" w:eastAsia="宋体" w:cs="宋体"/>
          <w:color w:val="auto"/>
          <w:szCs w:val="24"/>
          <w:highlight w:val="none"/>
        </w:rPr>
        <w:fldChar w:fldCharType="end"/>
      </w:r>
    </w:p>
    <w:p w14:paraId="07B91383">
      <w:pPr>
        <w:spacing w:line="220" w:lineRule="auto"/>
        <w:jc w:val="center"/>
        <w:rPr>
          <w:rFonts w:hint="eastAsia" w:ascii="宋体" w:hAnsi="宋体" w:eastAsia="宋体" w:cs="宋体"/>
          <w:color w:val="auto"/>
          <w:sz w:val="24"/>
          <w:szCs w:val="24"/>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Cs w:val="24"/>
          <w:highlight w:val="none"/>
        </w:rPr>
        <w:fldChar w:fldCharType="end"/>
      </w:r>
    </w:p>
    <w:p w14:paraId="6FAD710A">
      <w:pPr>
        <w:pStyle w:val="5"/>
        <w:spacing w:line="272" w:lineRule="auto"/>
        <w:rPr>
          <w:rFonts w:hint="eastAsia" w:ascii="宋体" w:hAnsi="宋体" w:eastAsia="宋体" w:cs="宋体"/>
          <w:color w:val="auto"/>
          <w:highlight w:val="none"/>
        </w:rPr>
      </w:pPr>
    </w:p>
    <w:p w14:paraId="41787C92">
      <w:pPr>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28044"/>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225EA8A0">
      <w:pPr>
        <w:spacing w:before="156" w:line="219" w:lineRule="auto"/>
        <w:ind w:left="17"/>
        <w:outlineLvl w:val="1"/>
        <w:rPr>
          <w:rFonts w:hint="eastAsia" w:ascii="宋体" w:hAnsi="宋体" w:eastAsia="宋体" w:cs="宋体"/>
          <w:color w:val="auto"/>
          <w:sz w:val="24"/>
          <w:szCs w:val="24"/>
          <w:highlight w:val="none"/>
        </w:rPr>
      </w:pPr>
      <w:bookmarkStart w:id="2" w:name="bookmark3"/>
      <w:bookmarkEnd w:id="2"/>
      <w:bookmarkStart w:id="3" w:name="_Toc23469"/>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7D4C9041">
      <w:pPr>
        <w:spacing w:before="25"/>
        <w:rPr>
          <w:rFonts w:hint="eastAsia" w:ascii="宋体" w:hAnsi="宋体" w:eastAsia="宋体" w:cs="宋体"/>
          <w:color w:val="auto"/>
          <w:highlight w:val="none"/>
        </w:rPr>
      </w:pPr>
    </w:p>
    <w:tbl>
      <w:tblPr>
        <w:tblStyle w:val="14"/>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6E71DC35">
            <w:pPr>
              <w:spacing w:before="203" w:line="209" w:lineRule="auto"/>
              <w:ind w:left="0" w:lef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序号</w:t>
            </w:r>
          </w:p>
        </w:tc>
        <w:tc>
          <w:tcPr>
            <w:tcW w:w="1860" w:type="dxa"/>
            <w:vAlign w:val="center"/>
          </w:tcPr>
          <w:p w14:paraId="4C2E1B8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内容</w:t>
            </w:r>
          </w:p>
        </w:tc>
        <w:tc>
          <w:tcPr>
            <w:tcW w:w="7544" w:type="dxa"/>
            <w:vAlign w:val="center"/>
          </w:tcPr>
          <w:p w14:paraId="5AEE082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743D7C8">
            <w:pPr>
              <w:spacing w:before="223" w:line="195" w:lineRule="auto"/>
              <w:jc w:val="center"/>
              <w:rPr>
                <w:rFonts w:hint="eastAsia" w:asciiTheme="minorEastAsia" w:hAnsiTheme="minorEastAsia" w:eastAsiaTheme="minorEastAsia" w:cstheme="minorEastAsia"/>
                <w:color w:val="auto"/>
                <w:sz w:val="21"/>
                <w:szCs w:val="21"/>
                <w:highlight w:val="none"/>
              </w:rPr>
            </w:pPr>
            <w:bookmarkStart w:id="4" w:name="OLE_LINK2" w:colFirst="2" w:colLast="2"/>
            <w:r>
              <w:rPr>
                <w:rFonts w:hint="eastAsia" w:asciiTheme="minorEastAsia" w:hAnsiTheme="minorEastAsia" w:eastAsiaTheme="minorEastAsia" w:cstheme="minorEastAsia"/>
                <w:color w:val="auto"/>
                <w:sz w:val="21"/>
                <w:szCs w:val="21"/>
                <w:highlight w:val="none"/>
              </w:rPr>
              <w:t>1</w:t>
            </w:r>
          </w:p>
        </w:tc>
        <w:tc>
          <w:tcPr>
            <w:tcW w:w="1860" w:type="dxa"/>
            <w:vAlign w:val="center"/>
          </w:tcPr>
          <w:p w14:paraId="2DAD04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项目名称</w:t>
            </w:r>
          </w:p>
        </w:tc>
        <w:tc>
          <w:tcPr>
            <w:tcW w:w="7544" w:type="dxa"/>
            <w:vAlign w:val="center"/>
          </w:tcPr>
          <w:p w14:paraId="495090BD">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仁化产业转移工业园区基础建设（二期）-韶关仁化产业园区桥南配套区新征用地基础设施建设项目施工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6B02EA2B">
            <w:pPr>
              <w:spacing w:before="22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860" w:type="dxa"/>
            <w:vAlign w:val="center"/>
          </w:tcPr>
          <w:p w14:paraId="4498F62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项目业主</w:t>
            </w:r>
          </w:p>
        </w:tc>
        <w:tc>
          <w:tcPr>
            <w:tcW w:w="7544" w:type="dxa"/>
            <w:vAlign w:val="center"/>
          </w:tcPr>
          <w:p w14:paraId="0533DE1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仁化县丹霞旅游经济开发试验区管理委员会</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vAlign w:val="center"/>
          </w:tcPr>
          <w:p w14:paraId="3A5F6D9F">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860" w:type="dxa"/>
            <w:vAlign w:val="center"/>
          </w:tcPr>
          <w:p w14:paraId="157B504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项目批准部门及项目批准文号</w:t>
            </w:r>
          </w:p>
        </w:tc>
        <w:tc>
          <w:tcPr>
            <w:tcW w:w="7544" w:type="dxa"/>
            <w:vAlign w:val="center"/>
          </w:tcPr>
          <w:p w14:paraId="2C0F6B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仁化县发展改革和政务数据局</w:t>
            </w:r>
          </w:p>
          <w:p w14:paraId="667F29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仁发改和政数投审〔2026〕12号</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7E34B725">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w:t>
            </w:r>
          </w:p>
        </w:tc>
        <w:tc>
          <w:tcPr>
            <w:tcW w:w="1860" w:type="dxa"/>
            <w:vAlign w:val="center"/>
          </w:tcPr>
          <w:p w14:paraId="1DD2D51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建设地点</w:t>
            </w:r>
          </w:p>
        </w:tc>
        <w:tc>
          <w:tcPr>
            <w:tcW w:w="7544" w:type="dxa"/>
            <w:tcMar>
              <w:top w:w="0" w:type="dxa"/>
              <w:left w:w="0" w:type="dxa"/>
              <w:bottom w:w="0" w:type="dxa"/>
              <w:right w:w="0" w:type="dxa"/>
            </w:tcMar>
            <w:vAlign w:val="center"/>
          </w:tcPr>
          <w:p w14:paraId="3520413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hAnsi="宋体" w:eastAsia="宋体" w:cs="Calibri"/>
                <w:bCs/>
                <w:color w:val="auto"/>
                <w:sz w:val="21"/>
                <w:szCs w:val="21"/>
                <w:highlight w:val="none"/>
                <w:lang w:val="en-US" w:eastAsia="zh-CN"/>
              </w:rPr>
              <w:t>韶关仁化产业园区</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582" w:type="dxa"/>
            <w:vAlign w:val="center"/>
          </w:tcPr>
          <w:p w14:paraId="318E89F5">
            <w:pPr>
              <w:spacing w:before="226"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1860" w:type="dxa"/>
            <w:vAlign w:val="center"/>
          </w:tcPr>
          <w:p w14:paraId="66CCEB4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项目代码</w:t>
            </w:r>
          </w:p>
        </w:tc>
        <w:tc>
          <w:tcPr>
            <w:tcW w:w="7544" w:type="dxa"/>
            <w:vAlign w:val="center"/>
          </w:tcPr>
          <w:p w14:paraId="4449217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Calibri"/>
                <w:bCs/>
                <w:color w:val="auto"/>
                <w:sz w:val="21"/>
                <w:szCs w:val="21"/>
                <w:highlight w:val="none"/>
                <w:lang w:eastAsia="zh-CN"/>
              </w:rPr>
              <w:t>2208-440224-04-01-823973</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6D804121">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1860" w:type="dxa"/>
            <w:vAlign w:val="center"/>
          </w:tcPr>
          <w:p w14:paraId="5A6B568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资金来源及落实情况</w:t>
            </w:r>
          </w:p>
        </w:tc>
        <w:tc>
          <w:tcPr>
            <w:tcW w:w="7544" w:type="dxa"/>
            <w:vAlign w:val="center"/>
          </w:tcPr>
          <w:p w14:paraId="440E9E3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上级资金和县级财政资金安排解决，100%</w:t>
            </w:r>
          </w:p>
        </w:tc>
      </w:tr>
      <w:tr w14:paraId="576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82" w:type="dxa"/>
            <w:vAlign w:val="center"/>
          </w:tcPr>
          <w:p w14:paraId="400528AE">
            <w:pPr>
              <w:spacing w:before="228"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1860" w:type="dxa"/>
            <w:vAlign w:val="center"/>
          </w:tcPr>
          <w:p w14:paraId="3CAF0EE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招标人</w:t>
            </w:r>
          </w:p>
        </w:tc>
        <w:tc>
          <w:tcPr>
            <w:tcW w:w="7544" w:type="dxa"/>
            <w:vAlign w:val="center"/>
          </w:tcPr>
          <w:p w14:paraId="5B71CC7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仁化县丹霞旅游经济开发试验区管理委员会</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82" w:type="dxa"/>
            <w:vAlign w:val="center"/>
          </w:tcPr>
          <w:p w14:paraId="44304D14">
            <w:pPr>
              <w:spacing w:before="224"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1860" w:type="dxa"/>
            <w:vAlign w:val="center"/>
          </w:tcPr>
          <w:p w14:paraId="31C26FC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招标代理机构</w:t>
            </w:r>
          </w:p>
        </w:tc>
        <w:tc>
          <w:tcPr>
            <w:tcW w:w="7544" w:type="dxa"/>
            <w:vAlign w:val="center"/>
          </w:tcPr>
          <w:p w14:paraId="4E3C0A9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广东爱科工程咨询管理有限公司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5A5AC857">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p>
        </w:tc>
        <w:tc>
          <w:tcPr>
            <w:tcW w:w="1860" w:type="dxa"/>
            <w:vAlign w:val="center"/>
          </w:tcPr>
          <w:p w14:paraId="11B17F7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c>
          <w:tcPr>
            <w:tcW w:w="7544" w:type="dxa"/>
            <w:vAlign w:val="center"/>
          </w:tcPr>
          <w:p w14:paraId="2E0AD3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广州博厦建筑设计研究院有限公司</w:t>
            </w:r>
          </w:p>
        </w:tc>
      </w:tr>
      <w:bookmarkEnd w:id="4"/>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1D58DA3A">
            <w:pPr>
              <w:spacing w:before="24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10</w:t>
            </w:r>
          </w:p>
        </w:tc>
        <w:tc>
          <w:tcPr>
            <w:tcW w:w="1860" w:type="dxa"/>
            <w:vAlign w:val="center"/>
          </w:tcPr>
          <w:p w14:paraId="1DD07B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造价咨询单位</w:t>
            </w:r>
          </w:p>
        </w:tc>
        <w:tc>
          <w:tcPr>
            <w:tcW w:w="7544" w:type="dxa"/>
            <w:vAlign w:val="center"/>
          </w:tcPr>
          <w:p w14:paraId="7A3C8A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□非全过程造价咨询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5392F3A2">
            <w:pPr>
              <w:spacing w:before="24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11</w:t>
            </w:r>
          </w:p>
        </w:tc>
        <w:tc>
          <w:tcPr>
            <w:tcW w:w="1860" w:type="dxa"/>
            <w:vAlign w:val="center"/>
          </w:tcPr>
          <w:p w14:paraId="12C094C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监理单位</w:t>
            </w:r>
          </w:p>
        </w:tc>
        <w:tc>
          <w:tcPr>
            <w:tcW w:w="7544" w:type="dxa"/>
            <w:vAlign w:val="center"/>
          </w:tcPr>
          <w:p w14:paraId="03F5A6D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□已确定监理单位</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☑未确定监理单位</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515EDE6">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lang w:eastAsia="zh-CN"/>
              </w:rPr>
              <w:t>1</w:t>
            </w:r>
            <w:r>
              <w:rPr>
                <w:rFonts w:hint="eastAsia" w:asciiTheme="minorEastAsia" w:hAnsiTheme="minorEastAsia" w:eastAsiaTheme="minorEastAsia" w:cstheme="minorEastAsia"/>
                <w:color w:val="auto"/>
                <w:spacing w:val="-8"/>
                <w:sz w:val="21"/>
                <w:szCs w:val="21"/>
                <w:highlight w:val="none"/>
              </w:rPr>
              <w:t>2</w:t>
            </w:r>
          </w:p>
        </w:tc>
        <w:tc>
          <w:tcPr>
            <w:tcW w:w="1860" w:type="dxa"/>
            <w:vAlign w:val="center"/>
          </w:tcPr>
          <w:p w14:paraId="3DF6750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建设内容和规模</w:t>
            </w:r>
          </w:p>
        </w:tc>
        <w:tc>
          <w:tcPr>
            <w:tcW w:w="7544" w:type="dxa"/>
            <w:vAlign w:val="center"/>
          </w:tcPr>
          <w:p w14:paraId="52FBCE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□建设规模：</w:t>
            </w:r>
            <w:r>
              <w:rPr>
                <w:rFonts w:hint="eastAsia" w:asciiTheme="minorEastAsia" w:hAnsiTheme="minorEastAsia" w:eastAsiaTheme="minorEastAsia" w:cstheme="minorEastAsia"/>
                <w:snapToGrid w:val="0"/>
                <w:color w:val="auto"/>
                <w:kern w:val="0"/>
                <w:sz w:val="21"/>
                <w:szCs w:val="21"/>
                <w:highlight w:val="none"/>
                <w:lang w:val="en-US" w:eastAsia="zh-CN"/>
              </w:rPr>
              <w:t>/</w:t>
            </w:r>
          </w:p>
          <w:p w14:paraId="33FB465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☑建设内容：新建挡土墙、排水沟、铺种绿</w:t>
            </w:r>
            <w:r>
              <w:rPr>
                <w:rFonts w:hint="eastAsia" w:asciiTheme="minorEastAsia" w:hAnsiTheme="minorEastAsia" w:eastAsiaTheme="minorEastAsia" w:cstheme="minorEastAsia"/>
                <w:snapToGrid w:val="0"/>
                <w:color w:val="auto"/>
                <w:kern w:val="0"/>
                <w:sz w:val="21"/>
                <w:szCs w:val="21"/>
                <w:highlight w:val="none"/>
                <w:lang w:val="en-US" w:eastAsia="zh-CN"/>
              </w:rPr>
              <w:t>植、场地平整等</w:t>
            </w:r>
            <w:r>
              <w:rPr>
                <w:rFonts w:hint="eastAsia" w:asciiTheme="minorEastAsia" w:hAnsiTheme="minorEastAsia" w:eastAsiaTheme="minorEastAsia" w:cstheme="minorEastAsia"/>
                <w:snapToGrid w:val="0"/>
                <w:color w:val="auto"/>
                <w:kern w:val="0"/>
                <w:sz w:val="21"/>
                <w:szCs w:val="21"/>
                <w:highlight w:val="none"/>
                <w:lang w:eastAsia="zh-CN"/>
              </w:rPr>
              <w:t>。</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5D9D5ABA">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13</w:t>
            </w:r>
          </w:p>
        </w:tc>
        <w:tc>
          <w:tcPr>
            <w:tcW w:w="1860" w:type="dxa"/>
            <w:vAlign w:val="center"/>
          </w:tcPr>
          <w:p w14:paraId="280E556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项目总投资</w:t>
            </w:r>
          </w:p>
        </w:tc>
        <w:tc>
          <w:tcPr>
            <w:tcW w:w="7544" w:type="dxa"/>
            <w:vAlign w:val="center"/>
          </w:tcPr>
          <w:p w14:paraId="0C56FD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项目概算总投资1983.59万元，其中工程费用1225.07万元、工程建设其他费用664.06万元、预备费用94.46万元。</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798375C9">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14</w:t>
            </w:r>
          </w:p>
        </w:tc>
        <w:tc>
          <w:tcPr>
            <w:tcW w:w="1860" w:type="dxa"/>
            <w:vAlign w:val="center"/>
          </w:tcPr>
          <w:p w14:paraId="2A6F498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招标范围</w:t>
            </w:r>
          </w:p>
        </w:tc>
        <w:tc>
          <w:tcPr>
            <w:tcW w:w="7544" w:type="dxa"/>
            <w:vAlign w:val="center"/>
          </w:tcPr>
          <w:p w14:paraId="3DE01C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按审查合格的施工图纸及工程量清单内容施工</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EED9D8B">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15</w:t>
            </w:r>
          </w:p>
        </w:tc>
        <w:tc>
          <w:tcPr>
            <w:tcW w:w="1860" w:type="dxa"/>
            <w:vAlign w:val="center"/>
          </w:tcPr>
          <w:p w14:paraId="5CD69A5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标段划分</w:t>
            </w:r>
          </w:p>
        </w:tc>
        <w:tc>
          <w:tcPr>
            <w:tcW w:w="7544" w:type="dxa"/>
            <w:vAlign w:val="center"/>
          </w:tcPr>
          <w:p w14:paraId="71E5B42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本招标项目不划分标段。 </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5" w:hRule="atLeast"/>
        </w:trPr>
        <w:tc>
          <w:tcPr>
            <w:tcW w:w="582" w:type="dxa"/>
            <w:vAlign w:val="center"/>
          </w:tcPr>
          <w:p w14:paraId="650937A5">
            <w:pPr>
              <w:spacing w:before="57" w:line="195"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8"/>
                <w:sz w:val="21"/>
                <w:szCs w:val="21"/>
                <w:highlight w:val="none"/>
              </w:rPr>
              <w:t>16</w:t>
            </w:r>
          </w:p>
        </w:tc>
        <w:tc>
          <w:tcPr>
            <w:tcW w:w="1860" w:type="dxa"/>
            <w:vAlign w:val="center"/>
          </w:tcPr>
          <w:p w14:paraId="00B1E99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工期</w:t>
            </w:r>
          </w:p>
        </w:tc>
        <w:tc>
          <w:tcPr>
            <w:tcW w:w="7544" w:type="dxa"/>
            <w:vAlign w:val="top"/>
          </w:tcPr>
          <w:p w14:paraId="7C99F2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kern w:val="0"/>
                <w:sz w:val="21"/>
                <w:szCs w:val="21"/>
                <w:highlight w:val="none"/>
                <w:lang w:val="en-US" w:eastAsia="zh-CN"/>
              </w:rPr>
              <w:t>180个日历天</w:t>
            </w:r>
            <w:r>
              <w:rPr>
                <w:rFonts w:hint="eastAsia" w:asciiTheme="minorEastAsia" w:hAnsiTheme="minorEastAsia" w:eastAsiaTheme="minorEastAsia" w:cstheme="minorEastAsia"/>
                <w:snapToGrid w:val="0"/>
                <w:color w:val="auto"/>
                <w:kern w:val="0"/>
                <w:sz w:val="21"/>
                <w:szCs w:val="21"/>
                <w:highlight w:val="none"/>
                <w:lang w:eastAsia="zh-CN"/>
              </w:rPr>
              <w:t>。具体如下：</w:t>
            </w:r>
          </w:p>
          <w:p w14:paraId="72F8637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☑总工期：</w:t>
            </w:r>
            <w:r>
              <w:rPr>
                <w:rFonts w:hint="eastAsia" w:asciiTheme="minorEastAsia" w:hAnsiTheme="minorEastAsia" w:eastAsiaTheme="minorEastAsia" w:cstheme="minorEastAsia"/>
                <w:snapToGrid w:val="0"/>
                <w:color w:val="auto"/>
                <w:kern w:val="0"/>
                <w:sz w:val="21"/>
                <w:szCs w:val="21"/>
                <w:highlight w:val="none"/>
                <w:lang w:val="en-US" w:eastAsia="zh-CN"/>
              </w:rPr>
              <w:t>180</w:t>
            </w:r>
            <w:r>
              <w:rPr>
                <w:rFonts w:hint="eastAsia" w:asciiTheme="minorEastAsia" w:hAnsiTheme="minorEastAsia" w:eastAsiaTheme="minorEastAsia" w:cstheme="minorEastAsia"/>
                <w:snapToGrid w:val="0"/>
                <w:color w:val="auto"/>
                <w:kern w:val="0"/>
                <w:sz w:val="21"/>
                <w:szCs w:val="21"/>
                <w:highlight w:val="none"/>
                <w:lang w:eastAsia="zh-CN"/>
              </w:rPr>
              <w:t>天 （日历天）。</w:t>
            </w:r>
          </w:p>
          <w:p w14:paraId="4845D3F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□计划开工日期：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日（具体开工日期以合同为准）</w:t>
            </w:r>
          </w:p>
          <w:p w14:paraId="3EF82E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□计划竣工日期：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w:t>
            </w:r>
          </w:p>
          <w:p w14:paraId="00A01DB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□除上述总工期外，发包人还要求以下阶段工期：        </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0" w:hRule="atLeast"/>
        </w:trPr>
        <w:tc>
          <w:tcPr>
            <w:tcW w:w="582" w:type="dxa"/>
            <w:vAlign w:val="center"/>
          </w:tcPr>
          <w:p w14:paraId="47B272B4">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17</w:t>
            </w:r>
          </w:p>
        </w:tc>
        <w:tc>
          <w:tcPr>
            <w:tcW w:w="1860" w:type="dxa"/>
            <w:vAlign w:val="center"/>
          </w:tcPr>
          <w:p w14:paraId="29B95E6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p>
        </w:tc>
        <w:tc>
          <w:tcPr>
            <w:tcW w:w="7544" w:type="dxa"/>
            <w:vAlign w:val="top"/>
          </w:tcPr>
          <w:p w14:paraId="586BE7A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☑质量目标：</w:t>
            </w:r>
            <w:r>
              <w:rPr>
                <w:rFonts w:hint="eastAsia" w:asciiTheme="minorEastAsia" w:hAnsiTheme="minorEastAsia" w:eastAsiaTheme="minorEastAsia" w:cstheme="minorEastAsia"/>
                <w:snapToGrid w:val="0"/>
                <w:color w:val="auto"/>
                <w:kern w:val="0"/>
                <w:sz w:val="21"/>
                <w:szCs w:val="21"/>
                <w:highlight w:val="none"/>
                <w:u w:val="single"/>
                <w:lang w:eastAsia="zh-CN"/>
              </w:rPr>
              <w:t>合格</w:t>
            </w:r>
          </w:p>
          <w:p w14:paraId="5B397B7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r>
              <w:rPr>
                <w:rFonts w:hint="eastAsia" w:ascii="宋体" w:hAnsi="宋体" w:eastAsia="宋体" w:cs="宋体"/>
                <w:snapToGrid w:val="0"/>
                <w:color w:val="auto"/>
                <w:kern w:val="0"/>
                <w:sz w:val="22"/>
                <w:szCs w:val="22"/>
                <w:highlight w:val="none"/>
                <w:lang w:val="en-US" w:eastAsia="zh-CN"/>
              </w:rPr>
              <w:t>达到《建筑工程施工质量验收统一标准》(GB50300-2013)和《建筑与市政工程施工质量控制通用规范》（GB55032-2022）合格。</w:t>
            </w:r>
          </w:p>
          <w:p w14:paraId="054D070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□优质工程要求：</w:t>
            </w:r>
            <w:r>
              <w:rPr>
                <w:rFonts w:hint="eastAsia" w:asciiTheme="minorEastAsia" w:hAnsiTheme="minorEastAsia" w:eastAsiaTheme="minorEastAsia" w:cstheme="minorEastAsia"/>
                <w:snapToGrid w:val="0"/>
                <w:color w:val="auto"/>
                <w:kern w:val="0"/>
                <w:sz w:val="21"/>
                <w:szCs w:val="21"/>
                <w:highlight w:val="none"/>
                <w:u w:val="single"/>
                <w:lang w:eastAsia="zh-CN"/>
              </w:rPr>
              <w:t>无</w:t>
            </w:r>
            <w:r>
              <w:rPr>
                <w:rFonts w:hint="eastAsia" w:asciiTheme="minorEastAsia" w:hAnsiTheme="minorEastAsia" w:eastAsiaTheme="minorEastAsia" w:cstheme="minorEastAsia"/>
                <w:snapToGrid w:val="0"/>
                <w:color w:val="auto"/>
                <w:kern w:val="0"/>
                <w:sz w:val="21"/>
                <w:szCs w:val="21"/>
                <w:highlight w:val="none"/>
                <w:lang w:eastAsia="zh-CN"/>
              </w:rPr>
              <w:t>....</w:t>
            </w:r>
          </w:p>
          <w:p w14:paraId="6B00BF1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工程优质费：☑无</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□有：</w:t>
            </w:r>
            <w:r>
              <w:rPr>
                <w:rFonts w:hint="eastAsia" w:asciiTheme="minorEastAsia" w:hAnsiTheme="minorEastAsia" w:eastAsiaTheme="minorEastAsia" w:cstheme="minorEastAsia"/>
                <w:snapToGrid w:val="0"/>
                <w:color w:val="auto"/>
                <w:kern w:val="0"/>
                <w:sz w:val="21"/>
                <w:szCs w:val="21"/>
                <w:highlight w:val="none"/>
                <w:lang w:val="en-US" w:eastAsia="zh-CN"/>
              </w:rPr>
              <w:t>/</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4BC67C17">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18</w:t>
            </w:r>
          </w:p>
        </w:tc>
        <w:tc>
          <w:tcPr>
            <w:tcW w:w="1860" w:type="dxa"/>
            <w:vMerge w:val="restart"/>
            <w:vAlign w:val="center"/>
          </w:tcPr>
          <w:p w14:paraId="7C8582B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合同类型</w:t>
            </w:r>
          </w:p>
        </w:tc>
        <w:tc>
          <w:tcPr>
            <w:tcW w:w="7544" w:type="dxa"/>
            <w:vAlign w:val="top"/>
          </w:tcPr>
          <w:p w14:paraId="32295EB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☑单价合同：发承包双方约定以工程量清单及其综合单价进行合 同价款计算、调整和确认的建设工程施工合同。</w:t>
            </w:r>
          </w:p>
          <w:p w14:paraId="2158BF3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 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2941AE80">
            <w:pPr>
              <w:spacing w:before="57" w:line="195" w:lineRule="auto"/>
              <w:jc w:val="center"/>
              <w:rPr>
                <w:rFonts w:hint="eastAsia" w:asciiTheme="minorEastAsia" w:hAnsiTheme="minorEastAsia" w:eastAsiaTheme="minorEastAsia" w:cstheme="minorEastAsia"/>
                <w:color w:val="auto"/>
                <w:spacing w:val="-8"/>
                <w:sz w:val="21"/>
                <w:szCs w:val="21"/>
                <w:highlight w:val="none"/>
              </w:rPr>
            </w:pPr>
          </w:p>
        </w:tc>
        <w:tc>
          <w:tcPr>
            <w:tcW w:w="1860" w:type="dxa"/>
            <w:vMerge w:val="continue"/>
            <w:vAlign w:val="center"/>
          </w:tcPr>
          <w:p w14:paraId="035DBDE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p>
        </w:tc>
        <w:tc>
          <w:tcPr>
            <w:tcW w:w="7544" w:type="dxa"/>
            <w:vAlign w:val="top"/>
          </w:tcPr>
          <w:p w14:paraId="7E667DD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□总价合同：发承包双方约定以施工图及其预算和有关条件进行合同价款计算、调整和确认的建设工程施工合同。 </w:t>
            </w:r>
          </w:p>
          <w:p w14:paraId="29EEDD8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972A2CD">
            <w:pPr>
              <w:spacing w:before="1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19</w:t>
            </w:r>
          </w:p>
        </w:tc>
        <w:tc>
          <w:tcPr>
            <w:tcW w:w="1860" w:type="dxa"/>
            <w:vAlign w:val="center"/>
          </w:tcPr>
          <w:p w14:paraId="2898AA7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房屋建筑工程绿色建筑标准</w:t>
            </w:r>
          </w:p>
        </w:tc>
        <w:tc>
          <w:tcPr>
            <w:tcW w:w="7544" w:type="dxa"/>
            <w:vAlign w:val="center"/>
          </w:tcPr>
          <w:p w14:paraId="43CBE360">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纳入绿色建设实施范围。</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73257DF0">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19.</w:t>
            </w:r>
            <w:r>
              <w:rPr>
                <w:rFonts w:hint="eastAsia" w:asciiTheme="minorEastAsia" w:hAnsiTheme="minorEastAsia" w:eastAsiaTheme="minorEastAsia" w:cstheme="minorEastAsia"/>
                <w:color w:val="auto"/>
                <w:spacing w:val="-26"/>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1</w:t>
            </w:r>
          </w:p>
        </w:tc>
        <w:tc>
          <w:tcPr>
            <w:tcW w:w="1860" w:type="dxa"/>
            <w:vAlign w:val="center"/>
          </w:tcPr>
          <w:p w14:paraId="2598019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装配式建筑标准</w:t>
            </w:r>
          </w:p>
        </w:tc>
        <w:tc>
          <w:tcPr>
            <w:tcW w:w="7544" w:type="dxa"/>
            <w:vAlign w:val="center"/>
          </w:tcPr>
          <w:p w14:paraId="654C85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纳入装配式建造建设实施范围。</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F56262D">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20</w:t>
            </w:r>
          </w:p>
        </w:tc>
        <w:tc>
          <w:tcPr>
            <w:tcW w:w="1860" w:type="dxa"/>
            <w:vAlign w:val="center"/>
          </w:tcPr>
          <w:p w14:paraId="7A9699B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w:t>
            </w:r>
          </w:p>
        </w:tc>
        <w:tc>
          <w:tcPr>
            <w:tcW w:w="7544" w:type="dxa"/>
            <w:vAlign w:val="center"/>
          </w:tcPr>
          <w:p w14:paraId="041C9A4A">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2A7C3934">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21</w:t>
            </w:r>
          </w:p>
        </w:tc>
        <w:tc>
          <w:tcPr>
            <w:tcW w:w="1860" w:type="dxa"/>
            <w:vAlign w:val="center"/>
          </w:tcPr>
          <w:p w14:paraId="2B19F4D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承包人提供材料和工程设备</w:t>
            </w:r>
          </w:p>
        </w:tc>
        <w:tc>
          <w:tcPr>
            <w:tcW w:w="7544" w:type="dxa"/>
            <w:vAlign w:val="top"/>
          </w:tcPr>
          <w:p w14:paraId="25B336F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除招标文件约定的发包人提供的甲供材料外，合同工程所需的材料和工程设备应由承包人负责采购、运输和保管，并对其采购的材料 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1881E8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□其它说明：鼓励承包人积极采购环保产品进行施工。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5BDE6007">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22</w:t>
            </w:r>
          </w:p>
        </w:tc>
        <w:tc>
          <w:tcPr>
            <w:tcW w:w="1860" w:type="dxa"/>
            <w:vAlign w:val="center"/>
          </w:tcPr>
          <w:p w14:paraId="079BF0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招标控制价</w:t>
            </w:r>
          </w:p>
        </w:tc>
        <w:tc>
          <w:tcPr>
            <w:tcW w:w="7544" w:type="dxa"/>
            <w:vAlign w:val="center"/>
          </w:tcPr>
          <w:p w14:paraId="00DC73E7">
            <w:pPr>
              <w:pageBreakBefore w:val="0"/>
              <w:widowControl w:val="0"/>
              <w:kinsoku/>
              <w:wordWrap w:val="0"/>
              <w:overflowPunct/>
              <w:topLinePunct w:val="0"/>
              <w:autoSpaceDE/>
              <w:autoSpaceDN/>
              <w:bidi w:val="0"/>
              <w:adjustRightInd w:val="0"/>
              <w:snapToGrid w:val="0"/>
              <w:spacing w:line="400" w:lineRule="exact"/>
              <w:ind w:left="0" w:leftChars="0" w:firstLine="401" w:firstLineChars="1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本项目</w:t>
            </w:r>
            <w:r>
              <w:rPr>
                <w:rFonts w:hint="eastAsia" w:asciiTheme="minorEastAsia" w:hAnsiTheme="minorEastAsia" w:eastAsiaTheme="minorEastAsia" w:cstheme="minorEastAsia"/>
                <w:snapToGrid w:val="0"/>
                <w:color w:val="auto"/>
                <w:kern w:val="0"/>
                <w:sz w:val="21"/>
                <w:szCs w:val="21"/>
                <w:highlight w:val="none"/>
                <w:lang w:eastAsia="zh-CN"/>
              </w:rPr>
              <w:t>招标控制价、工程量清单、图纸最终以补充公告形式在开标前15天另行发布于相关网站，各投标人可在全国公共资源交易平台（广东省·韶关市）（https://ygp.gdzwfw.gov.cn/ggzy-portal/#/440200/index）自行下载。</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3E0E6845">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23</w:t>
            </w:r>
          </w:p>
        </w:tc>
        <w:tc>
          <w:tcPr>
            <w:tcW w:w="1860" w:type="dxa"/>
            <w:vAlign w:val="center"/>
          </w:tcPr>
          <w:p w14:paraId="0D0D0A1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投标人的投标报价</w:t>
            </w:r>
          </w:p>
        </w:tc>
        <w:tc>
          <w:tcPr>
            <w:tcW w:w="7544" w:type="dxa"/>
            <w:vAlign w:val="center"/>
          </w:tcPr>
          <w:p w14:paraId="713375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招标控制价。</w:t>
            </w:r>
          </w:p>
          <w:p w14:paraId="01DD1AE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投标报价方式： ☑工程量清单报</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2B41BF8F">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24</w:t>
            </w:r>
          </w:p>
        </w:tc>
        <w:tc>
          <w:tcPr>
            <w:tcW w:w="1860" w:type="dxa"/>
            <w:vAlign w:val="center"/>
          </w:tcPr>
          <w:p w14:paraId="1820F47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投标报价风险</w:t>
            </w:r>
          </w:p>
        </w:tc>
        <w:tc>
          <w:tcPr>
            <w:tcW w:w="7544" w:type="dxa"/>
            <w:vAlign w:val="center"/>
          </w:tcPr>
          <w:p w14:paraId="2E356AE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☑投标人依据招标文件约定自行考虑风险因素，一旦中标，投标报价（合同价）除合同另有约定外将不因市场变化而调整。</w:t>
            </w:r>
          </w:p>
          <w:p w14:paraId="060271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6588B20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☑人工费、材料费、机具费、管理费、利润、措施项目费（不含</w:t>
            </w:r>
            <w:r>
              <w:rPr>
                <w:rFonts w:hint="eastAsia" w:asciiTheme="minorEastAsia" w:hAnsiTheme="minorEastAsia" w:eastAsiaTheme="minorEastAsia" w:cstheme="minorEastAsia"/>
                <w:snapToGrid w:val="0"/>
                <w:color w:val="auto"/>
                <w:kern w:val="0"/>
                <w:sz w:val="21"/>
                <w:szCs w:val="21"/>
                <w:highlight w:val="none"/>
                <w:lang w:val="en-US" w:eastAsia="zh-CN"/>
              </w:rPr>
              <w:t>安全生产措施费</w:t>
            </w:r>
            <w:r>
              <w:rPr>
                <w:rFonts w:hint="eastAsia" w:asciiTheme="minorEastAsia" w:hAnsiTheme="minorEastAsia" w:eastAsiaTheme="minorEastAsia" w:cstheme="minorEastAsia"/>
                <w:snapToGrid w:val="0"/>
                <w:color w:val="auto"/>
                <w:kern w:val="0"/>
                <w:sz w:val="21"/>
                <w:szCs w:val="21"/>
                <w:highlight w:val="none"/>
                <w:lang w:eastAsia="zh-CN"/>
              </w:rPr>
              <w:t>）投标人漏报或不报，招标人视为有关费用 已包括在工程量清单项目的其它单价及合价中不予另外增加。</w:t>
            </w:r>
          </w:p>
          <w:p w14:paraId="648E63A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eastAsia="zh-CN"/>
              </w:rPr>
              <w:t>措施项目中的安全生产措施应单独列项，费用不可竞争，且应符合《企业安全生产费用提取和使用管理办法》（财资〔2022〕136号）及我省有关文件规定。</w:t>
            </w:r>
          </w:p>
          <w:p w14:paraId="7D8A46B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58860A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1EFA524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4E438C3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6414FDC8">
            <w:pPr>
              <w:spacing w:before="284"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25</w:t>
            </w:r>
          </w:p>
        </w:tc>
        <w:tc>
          <w:tcPr>
            <w:tcW w:w="1860" w:type="dxa"/>
            <w:vAlign w:val="center"/>
          </w:tcPr>
          <w:p w14:paraId="4C71A8E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投标费用</w:t>
            </w:r>
          </w:p>
        </w:tc>
        <w:tc>
          <w:tcPr>
            <w:tcW w:w="7544" w:type="dxa"/>
            <w:vAlign w:val="center"/>
          </w:tcPr>
          <w:p w14:paraId="225B857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投标人自行承担编制与递交投标文件的一切费用。</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7A4811E9">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26</w:t>
            </w:r>
          </w:p>
        </w:tc>
        <w:tc>
          <w:tcPr>
            <w:tcW w:w="1860" w:type="dxa"/>
            <w:vAlign w:val="center"/>
          </w:tcPr>
          <w:p w14:paraId="0786E8B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投标人资格要求</w:t>
            </w:r>
          </w:p>
        </w:tc>
        <w:tc>
          <w:tcPr>
            <w:tcW w:w="7544" w:type="dxa"/>
            <w:vAlign w:val="center"/>
          </w:tcPr>
          <w:p w14:paraId="1F0406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1.本次招标不接受联合体投标。</w:t>
            </w:r>
          </w:p>
          <w:p w14:paraId="249C9AE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2．资质要求</w:t>
            </w:r>
          </w:p>
          <w:p w14:paraId="64899B7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 投标人须具备独立法人资格，按国家法律经营。</w:t>
            </w:r>
          </w:p>
          <w:p w14:paraId="710042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2.2 投标人须持有建设行政主管部门颁发的企业资质证书及安全生产许可证。</w:t>
            </w:r>
          </w:p>
          <w:p w14:paraId="42052BA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2.3 投标人须具备以下资质：</w:t>
            </w:r>
            <w:r>
              <w:rPr>
                <w:rFonts w:hint="eastAsia" w:asciiTheme="minorEastAsia" w:hAnsiTheme="minorEastAsia" w:eastAsiaTheme="minorEastAsia" w:cstheme="minorEastAsia"/>
                <w:snapToGrid w:val="0"/>
                <w:color w:val="auto"/>
                <w:kern w:val="0"/>
                <w:sz w:val="21"/>
                <w:szCs w:val="21"/>
                <w:highlight w:val="none"/>
                <w:u w:val="single"/>
                <w:lang w:eastAsia="zh-CN"/>
              </w:rPr>
              <w:t>具有建设行政主管部门颁发的</w:t>
            </w:r>
            <w:r>
              <w:rPr>
                <w:rFonts w:hint="eastAsia" w:asciiTheme="minorEastAsia" w:hAnsiTheme="minorEastAsia" w:eastAsiaTheme="minorEastAsia" w:cstheme="minorEastAsia"/>
                <w:snapToGrid w:val="0"/>
                <w:color w:val="auto"/>
                <w:kern w:val="0"/>
                <w:sz w:val="21"/>
                <w:szCs w:val="21"/>
                <w:highlight w:val="none"/>
                <w:u w:val="single"/>
                <w:lang w:val="en-US" w:eastAsia="zh-CN"/>
              </w:rPr>
              <w:t>市政公用</w:t>
            </w:r>
            <w:r>
              <w:rPr>
                <w:rFonts w:hint="eastAsia" w:asciiTheme="minorEastAsia" w:hAnsiTheme="minorEastAsia" w:eastAsiaTheme="minorEastAsia" w:cstheme="minorEastAsia"/>
                <w:snapToGrid w:val="0"/>
                <w:color w:val="auto"/>
                <w:kern w:val="0"/>
                <w:sz w:val="21"/>
                <w:szCs w:val="21"/>
                <w:highlight w:val="none"/>
                <w:u w:val="single"/>
                <w:lang w:eastAsia="zh-CN"/>
              </w:rPr>
              <w:t>工程施工总承包叁级(含叁级)以上资质</w:t>
            </w:r>
            <w:r>
              <w:rPr>
                <w:rFonts w:hint="eastAsia" w:asciiTheme="minorEastAsia" w:hAnsiTheme="minorEastAsia" w:eastAsiaTheme="minorEastAsia" w:cstheme="minorEastAsia"/>
                <w:snapToGrid w:val="0"/>
                <w:color w:val="auto"/>
                <w:kern w:val="0"/>
                <w:sz w:val="21"/>
                <w:szCs w:val="21"/>
                <w:highlight w:val="none"/>
                <w:lang w:eastAsia="zh-CN"/>
              </w:rPr>
              <w:t>。</w:t>
            </w:r>
          </w:p>
          <w:p w14:paraId="60E86E35">
            <w:pPr>
              <w:pageBreakBefore w:val="0"/>
              <w:widowControl w:val="0"/>
              <w:kinsoku/>
              <w:wordWrap w:val="0"/>
              <w:overflowPunct/>
              <w:topLinePunct w:val="0"/>
              <w:autoSpaceDE/>
              <w:autoSpaceDN/>
              <w:bidi w:val="0"/>
              <w:adjustRightInd w:val="0"/>
              <w:snapToGrid w:val="0"/>
              <w:spacing w:line="400" w:lineRule="exact"/>
              <w:ind w:left="0" w:leftChars="0" w:right="5" w:righ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2.4 </w:t>
            </w:r>
            <w:r>
              <w:rPr>
                <w:rFonts w:hint="eastAsia" w:asciiTheme="minorEastAsia" w:hAnsiTheme="minorEastAsia" w:eastAsiaTheme="minorEastAsia" w:cstheme="minorEastAsia"/>
                <w:snapToGrid w:val="0"/>
                <w:color w:val="auto"/>
                <w:kern w:val="0"/>
                <w:sz w:val="21"/>
                <w:szCs w:val="21"/>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C01C18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3．相关人员要求</w:t>
            </w:r>
          </w:p>
          <w:p w14:paraId="6FC830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3.1  </w:t>
            </w:r>
            <w:r>
              <w:rPr>
                <w:rFonts w:hint="eastAsia" w:asciiTheme="minorEastAsia" w:hAnsiTheme="minorEastAsia" w:eastAsiaTheme="minorEastAsia" w:cstheme="minorEastAsia"/>
                <w:snapToGrid w:val="0"/>
                <w:color w:val="auto"/>
                <w:kern w:val="0"/>
                <w:sz w:val="21"/>
                <w:szCs w:val="21"/>
                <w:highlight w:val="none"/>
                <w:lang w:val="en-US" w:eastAsia="zh-CN"/>
              </w:rPr>
              <w:t>拟派项目经理为</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市政工程 </w:t>
            </w:r>
            <w:r>
              <w:rPr>
                <w:rFonts w:hint="eastAsia" w:asciiTheme="minorEastAsia" w:hAnsiTheme="minorEastAsia" w:eastAsiaTheme="minorEastAsia" w:cstheme="minorEastAsia"/>
                <w:snapToGrid w:val="0"/>
                <w:color w:val="auto"/>
                <w:kern w:val="0"/>
                <w:sz w:val="21"/>
                <w:szCs w:val="21"/>
                <w:highlight w:val="none"/>
                <w:lang w:val="en-US"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Theme="minorEastAsia" w:hAnsiTheme="minorEastAsia" w:eastAsiaTheme="minorEastAsia" w:cstheme="minorEastAsia"/>
                <w:snapToGrid w:val="0"/>
                <w:color w:val="auto"/>
                <w:kern w:val="0"/>
                <w:sz w:val="21"/>
                <w:szCs w:val="21"/>
                <w:highlight w:val="none"/>
                <w:lang w:eastAsia="zh-CN"/>
              </w:rPr>
              <w:t>。</w:t>
            </w:r>
          </w:p>
          <w:p w14:paraId="60D9B5C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3.2 拟派项目技术负责人须具备</w:t>
            </w:r>
            <w:r>
              <w:rPr>
                <w:rFonts w:hint="eastAsia" w:asciiTheme="minorEastAsia" w:hAnsiTheme="minorEastAsia" w:eastAsiaTheme="minorEastAsia" w:cstheme="minorEastAsia"/>
                <w:snapToGrid w:val="0"/>
                <w:color w:val="auto"/>
                <w:kern w:val="0"/>
                <w:sz w:val="21"/>
                <w:szCs w:val="21"/>
                <w:highlight w:val="none"/>
                <w:u w:val="single"/>
                <w:lang w:val="en-US" w:eastAsia="zh-CN"/>
              </w:rPr>
              <w:t>市政</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工程 </w:t>
            </w:r>
            <w:r>
              <w:rPr>
                <w:rFonts w:hint="eastAsia" w:asciiTheme="minorEastAsia" w:hAnsiTheme="minorEastAsia" w:eastAsiaTheme="minorEastAsia" w:cstheme="minorEastAsia"/>
                <w:snapToGrid w:val="0"/>
                <w:color w:val="auto"/>
                <w:kern w:val="0"/>
                <w:sz w:val="21"/>
                <w:szCs w:val="21"/>
                <w:highlight w:val="none"/>
                <w:lang w:eastAsia="zh-CN"/>
              </w:rPr>
              <w:t>相关专业</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级以上（含</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级）技术职称。</w:t>
            </w:r>
          </w:p>
          <w:p w14:paraId="2030FE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3.3 投标人拟派专职安全生产管理人员须具备有效安全生产考核合格证明（C证，安全生产考核合格证书或“广东省建筑施工企业管理人员安全生产考核系统”考核合格信息打印页），且不少于 </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 xml:space="preserve"> 人。</w:t>
            </w:r>
          </w:p>
          <w:p w14:paraId="21CFF5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3.4 投标人（包括组成联合体的所有成员单位）与其拟派往本项目管理机构的所有人员之间必须具备合法、唯一的劳动聘用关系。拟派人员中具备注册执业资格的，其注册单位须与投标人保持一致。</w:t>
            </w:r>
          </w:p>
          <w:p w14:paraId="462664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 ．禁止投标条款：</w:t>
            </w:r>
          </w:p>
          <w:p w14:paraId="74FC15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4.1  投标人不得存在下列情形之一：</w:t>
            </w:r>
          </w:p>
          <w:p w14:paraId="6B9ABBE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（1）为招标人不具有独立法人资格的附属机构（单位）；</w:t>
            </w:r>
          </w:p>
          <w:p w14:paraId="633C9F8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（2）为本招标项目前期准备提供设计或咨询服务的；</w:t>
            </w:r>
          </w:p>
          <w:p w14:paraId="7070AC1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（3）与本招标项目的其他投标人为同一个单位负责人；</w:t>
            </w:r>
          </w:p>
          <w:p w14:paraId="49F4C8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（4）与本招标项目的其他投标人存在控股、管理关系；</w:t>
            </w:r>
          </w:p>
          <w:p w14:paraId="29D809C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（5）为本招标项目的监理人；</w:t>
            </w:r>
          </w:p>
          <w:p w14:paraId="040C32B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（6）为本招标项目的代建人；</w:t>
            </w:r>
          </w:p>
          <w:p w14:paraId="249688B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（7）为本招标项目的招标代理机构；</w:t>
            </w:r>
          </w:p>
          <w:p w14:paraId="0D904BC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（8）与本招标项目的监理人或代建人或招标代理机构同为一个法定代表人；</w:t>
            </w:r>
          </w:p>
          <w:p w14:paraId="2A03126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（9）与本招标项目的监理人或代建人或招标代理机构存在控股或参股关系；</w:t>
            </w:r>
          </w:p>
          <w:p w14:paraId="4426A53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（10）与本招标项目的监理人或代建人或招标代理机构存在相互任职或工作关系；</w:t>
            </w:r>
          </w:p>
          <w:p w14:paraId="033E4C8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（11）被依法暂停或者取消投标资格；</w:t>
            </w:r>
          </w:p>
          <w:p w14:paraId="56D9D6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（12）被责令停产停业、暂扣或者吊销许可证、暂扣或者吊销执照；</w:t>
            </w:r>
          </w:p>
          <w:p w14:paraId="1992EDF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（13）进入清算程序，或被宣告破产，或其他丧失履约能力的情形；</w:t>
            </w:r>
          </w:p>
          <w:p w14:paraId="56C621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（14）在最近三年内发生重大工程质量或安全问题（以相关行业 主管部门的行政处罚决定或司法机关出具的有关法律文书为准）；</w:t>
            </w:r>
          </w:p>
          <w:p w14:paraId="5C943DD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（15）被“信用中国 ”网站（https://www.creditchina.gov.cn）发布的《法人和非法人组织公共信用信息报告》列为严重失信主体名单的。</w:t>
            </w:r>
          </w:p>
          <w:p w14:paraId="51742B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4.2  招标人拒绝以下名单中的单位参加本次投标：</w:t>
            </w:r>
          </w:p>
          <w:tbl>
            <w:tblPr>
              <w:tblStyle w:val="14"/>
              <w:tblW w:w="7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3429"/>
              <w:gridCol w:w="2964"/>
            </w:tblGrid>
            <w:tr w14:paraId="118E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74" w:type="dxa"/>
                  <w:vAlign w:val="center"/>
                </w:tcPr>
                <w:p w14:paraId="6CBCE8F7">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3429" w:type="dxa"/>
                  <w:vAlign w:val="center"/>
                </w:tcPr>
                <w:p w14:paraId="68D924E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2964" w:type="dxa"/>
                  <w:vAlign w:val="center"/>
                </w:tcPr>
                <w:p w14:paraId="1ED3D5D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0248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4" w:type="dxa"/>
                  <w:vAlign w:val="center"/>
                </w:tcPr>
                <w:p w14:paraId="222835B7">
                  <w:pPr>
                    <w:pStyle w:val="21"/>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p>
              </w:tc>
              <w:tc>
                <w:tcPr>
                  <w:tcW w:w="3429" w:type="dxa"/>
                  <w:vAlign w:val="center"/>
                </w:tcPr>
                <w:p w14:paraId="3C439119">
                  <w:pPr>
                    <w:pStyle w:val="21"/>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仁化县丹霞旅游经济开发试验区管理委员会</w:t>
                  </w:r>
                </w:p>
              </w:tc>
              <w:tc>
                <w:tcPr>
                  <w:tcW w:w="2964" w:type="dxa"/>
                  <w:vAlign w:val="center"/>
                </w:tcPr>
                <w:p w14:paraId="49CCDC7E">
                  <w:pPr>
                    <w:pStyle w:val="21"/>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为本招标项目的招标人</w:t>
                  </w:r>
                </w:p>
              </w:tc>
            </w:tr>
            <w:tr w14:paraId="538A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2BC09F4D">
                  <w:pPr>
                    <w:pStyle w:val="21"/>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2</w:t>
                  </w:r>
                </w:p>
              </w:tc>
              <w:tc>
                <w:tcPr>
                  <w:tcW w:w="3429" w:type="dxa"/>
                  <w:vAlign w:val="center"/>
                </w:tcPr>
                <w:p w14:paraId="2B44927A">
                  <w:pPr>
                    <w:pStyle w:val="21"/>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广东爱科工程咨询管理有限公司</w:t>
                  </w:r>
                </w:p>
              </w:tc>
              <w:tc>
                <w:tcPr>
                  <w:tcW w:w="2964" w:type="dxa"/>
                  <w:vAlign w:val="center"/>
                </w:tcPr>
                <w:p w14:paraId="2A87CD39">
                  <w:pPr>
                    <w:pStyle w:val="21"/>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79F3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053DDA25">
                  <w:pPr>
                    <w:pStyle w:val="21"/>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w:t>
                  </w:r>
                </w:p>
              </w:tc>
              <w:tc>
                <w:tcPr>
                  <w:tcW w:w="3429" w:type="dxa"/>
                  <w:vAlign w:val="center"/>
                </w:tcPr>
                <w:p w14:paraId="39E4800A">
                  <w:pPr>
                    <w:pStyle w:val="21"/>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广州博厦建筑设计研究院有限公司</w:t>
                  </w:r>
                </w:p>
              </w:tc>
              <w:tc>
                <w:tcPr>
                  <w:tcW w:w="2964" w:type="dxa"/>
                  <w:vAlign w:val="center"/>
                </w:tcPr>
                <w:p w14:paraId="74FCA806">
                  <w:pPr>
                    <w:pStyle w:val="21"/>
                    <w:wordWrap w:val="0"/>
                    <w:adjustRightInd w:val="0"/>
                    <w:snapToGrid w:val="0"/>
                    <w:spacing w:line="340" w:lineRule="exact"/>
                    <w:jc w:val="left"/>
                    <w:rPr>
                      <w:rFonts w:hint="default" w:ascii="宋体" w:hAnsi="宋体" w:eastAsia="宋体" w:cs="宋体"/>
                      <w:snapToGrid w:val="0"/>
                      <w:color w:val="auto"/>
                      <w:kern w:val="0"/>
                      <w:sz w:val="21"/>
                      <w:szCs w:val="21"/>
                      <w:highlight w:val="yellow"/>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cs="宋体"/>
                      <w:snapToGrid w:val="0"/>
                      <w:color w:val="auto"/>
                      <w:kern w:val="0"/>
                      <w:sz w:val="21"/>
                      <w:szCs w:val="21"/>
                      <w:highlight w:val="none"/>
                      <w:lang w:val="en-US" w:eastAsia="zh-CN"/>
                    </w:rPr>
                    <w:t>设计单位</w:t>
                  </w:r>
                </w:p>
              </w:tc>
            </w:tr>
            <w:tr w14:paraId="32A2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7CFF47E7">
                  <w:pPr>
                    <w:pStyle w:val="21"/>
                    <w:wordWrap w:val="0"/>
                    <w:adjustRightInd w:val="0"/>
                    <w:snapToGrid w:val="0"/>
                    <w:spacing w:line="34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3429" w:type="dxa"/>
                  <w:vAlign w:val="center"/>
                </w:tcPr>
                <w:p w14:paraId="5FA8F57D">
                  <w:pPr>
                    <w:pStyle w:val="21"/>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中核大地生态科技有限公司</w:t>
                  </w:r>
                </w:p>
              </w:tc>
              <w:tc>
                <w:tcPr>
                  <w:tcW w:w="2964" w:type="dxa"/>
                  <w:vAlign w:val="center"/>
                </w:tcPr>
                <w:p w14:paraId="161974BB">
                  <w:pPr>
                    <w:pStyle w:val="21"/>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勘察单位</w:t>
                  </w:r>
                </w:p>
              </w:tc>
            </w:tr>
            <w:tr w14:paraId="571C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74" w:type="dxa"/>
                  <w:vAlign w:val="center"/>
                </w:tcPr>
                <w:p w14:paraId="4B24B6F7">
                  <w:pPr>
                    <w:pStyle w:val="21"/>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5</w:t>
                  </w:r>
                </w:p>
              </w:tc>
              <w:tc>
                <w:tcPr>
                  <w:tcW w:w="3429" w:type="dxa"/>
                  <w:vAlign w:val="center"/>
                </w:tcPr>
                <w:p w14:paraId="27BF11F0">
                  <w:pPr>
                    <w:pStyle w:val="21"/>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广东加达工程咨询有限公司</w:t>
                  </w:r>
                </w:p>
              </w:tc>
              <w:tc>
                <w:tcPr>
                  <w:tcW w:w="2964" w:type="dxa"/>
                  <w:vAlign w:val="center"/>
                </w:tcPr>
                <w:p w14:paraId="4A836E5E">
                  <w:pPr>
                    <w:pStyle w:val="21"/>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eastAsia="zh-CN"/>
                    </w:rPr>
                    <w:t>为本招标项目的全过程造价咨询单位</w:t>
                  </w:r>
                </w:p>
              </w:tc>
            </w:tr>
            <w:tr w14:paraId="4C6A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674" w:type="dxa"/>
                  <w:vAlign w:val="center"/>
                </w:tcPr>
                <w:p w14:paraId="146DB4DA">
                  <w:pPr>
                    <w:pStyle w:val="21"/>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6</w:t>
                  </w:r>
                </w:p>
              </w:tc>
              <w:tc>
                <w:tcPr>
                  <w:tcW w:w="3429" w:type="dxa"/>
                  <w:vAlign w:val="center"/>
                </w:tcPr>
                <w:p w14:paraId="46B59ACC">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sz w:val="21"/>
                      <w:szCs w:val="21"/>
                      <w:highlight w:val="none"/>
                      <w:lang w:eastAsia="zh-CN"/>
                    </w:rPr>
                    <w:t>仁化县住房和城乡建设管理局</w:t>
                  </w:r>
                </w:p>
              </w:tc>
              <w:tc>
                <w:tcPr>
                  <w:tcW w:w="2964" w:type="dxa"/>
                  <w:vAlign w:val="center"/>
                </w:tcPr>
                <w:p w14:paraId="02023FA8">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为本招标项目的监督单位</w:t>
                  </w:r>
                </w:p>
              </w:tc>
            </w:tr>
          </w:tbl>
          <w:p w14:paraId="4842427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 ．其他要求</w:t>
            </w:r>
          </w:p>
          <w:p w14:paraId="1C70EAF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6C795553">
            <w:pPr>
              <w:spacing w:before="1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27</w:t>
            </w:r>
          </w:p>
        </w:tc>
        <w:tc>
          <w:tcPr>
            <w:tcW w:w="1860" w:type="dxa"/>
            <w:vAlign w:val="center"/>
          </w:tcPr>
          <w:p w14:paraId="315C6AC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投标有效期</w:t>
            </w:r>
          </w:p>
        </w:tc>
        <w:tc>
          <w:tcPr>
            <w:tcW w:w="7544" w:type="dxa"/>
            <w:vAlign w:val="center"/>
          </w:tcPr>
          <w:p w14:paraId="10AD749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kern w:val="0"/>
                <w:sz w:val="21"/>
                <w:szCs w:val="21"/>
                <w:highlight w:val="none"/>
                <w:u w:val="single"/>
                <w:lang w:eastAsia="zh-CN"/>
              </w:rPr>
              <w:t>90</w:t>
            </w:r>
            <w:r>
              <w:rPr>
                <w:rFonts w:hint="eastAsia" w:asciiTheme="minorEastAsia" w:hAnsiTheme="minorEastAsia" w:eastAsiaTheme="minorEastAsia" w:cstheme="minorEastAsia"/>
                <w:snapToGrid w:val="0"/>
                <w:color w:val="auto"/>
                <w:kern w:val="0"/>
                <w:sz w:val="21"/>
                <w:szCs w:val="21"/>
                <w:highlight w:val="none"/>
                <w:lang w:eastAsia="zh-CN"/>
              </w:rPr>
              <w:t xml:space="preserve"> 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7E0149C9">
            <w:pPr>
              <w:spacing w:before="69" w:line="188" w:lineRule="auto"/>
              <w:ind w:left="205"/>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28</w:t>
            </w:r>
          </w:p>
        </w:tc>
        <w:tc>
          <w:tcPr>
            <w:tcW w:w="1860" w:type="dxa"/>
            <w:vAlign w:val="center"/>
          </w:tcPr>
          <w:p w14:paraId="21626DA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投标文件组成</w:t>
            </w:r>
          </w:p>
        </w:tc>
        <w:tc>
          <w:tcPr>
            <w:tcW w:w="7544" w:type="dxa"/>
            <w:vAlign w:val="center"/>
          </w:tcPr>
          <w:p w14:paraId="0891F66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投标文件包括商务标书、经济标书、施工组织设计三个分册。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080D10B9">
            <w:pPr>
              <w:spacing w:before="69" w:line="188" w:lineRule="auto"/>
              <w:ind w:left="205"/>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29</w:t>
            </w:r>
          </w:p>
        </w:tc>
        <w:tc>
          <w:tcPr>
            <w:tcW w:w="1860" w:type="dxa"/>
            <w:vAlign w:val="center"/>
          </w:tcPr>
          <w:p w14:paraId="60E2025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施工组织设计评审方式</w:t>
            </w:r>
          </w:p>
        </w:tc>
        <w:tc>
          <w:tcPr>
            <w:tcW w:w="7544" w:type="dxa"/>
            <w:vAlign w:val="center"/>
          </w:tcPr>
          <w:p w14:paraId="044BE8C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本次招标施工组织设计 不采用 “暗标 ”方式进行评审。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7F5E06">
            <w:pPr>
              <w:spacing w:before="69" w:line="188" w:lineRule="auto"/>
              <w:ind w:left="209"/>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30</w:t>
            </w:r>
          </w:p>
        </w:tc>
        <w:tc>
          <w:tcPr>
            <w:tcW w:w="1860" w:type="dxa"/>
            <w:vAlign w:val="center"/>
          </w:tcPr>
          <w:p w14:paraId="010615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w:t>
            </w:r>
          </w:p>
        </w:tc>
        <w:tc>
          <w:tcPr>
            <w:tcW w:w="7544" w:type="dxa"/>
            <w:vAlign w:val="top"/>
          </w:tcPr>
          <w:p w14:paraId="1DF9186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评标委员会由 5 人组成，其中招标人代表 0 人，专家 5 人。专家从广东省综合评标评审专家库（韶关区域）中随机抽取，其中技术类专家 3 人，经济类专家 2 人。</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58D68E09">
            <w:pPr>
              <w:spacing w:before="258" w:line="188" w:lineRule="auto"/>
              <w:ind w:left="209"/>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31</w:t>
            </w:r>
          </w:p>
        </w:tc>
        <w:tc>
          <w:tcPr>
            <w:tcW w:w="1860" w:type="dxa"/>
            <w:vAlign w:val="center"/>
          </w:tcPr>
          <w:p w14:paraId="1729A2D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评标方法</w:t>
            </w:r>
          </w:p>
        </w:tc>
        <w:tc>
          <w:tcPr>
            <w:tcW w:w="7544" w:type="dxa"/>
            <w:vAlign w:val="center"/>
          </w:tcPr>
          <w:p w14:paraId="14FB030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A＋B 值评标法  □经评审的最低投标价法   ☑综合评估法</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5A8F9F23">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32</w:t>
            </w:r>
          </w:p>
        </w:tc>
        <w:tc>
          <w:tcPr>
            <w:tcW w:w="1860" w:type="dxa"/>
            <w:vAlign w:val="center"/>
          </w:tcPr>
          <w:p w14:paraId="5E4B993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招标文件要求提交的用于评审的证书、证件、证明原件</w:t>
            </w:r>
          </w:p>
        </w:tc>
        <w:tc>
          <w:tcPr>
            <w:tcW w:w="7544" w:type="dxa"/>
            <w:vAlign w:val="top"/>
          </w:tcPr>
          <w:p w14:paraId="11169AF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7" w:hRule="atLeast"/>
        </w:trPr>
        <w:tc>
          <w:tcPr>
            <w:tcW w:w="582" w:type="dxa"/>
            <w:vAlign w:val="center"/>
          </w:tcPr>
          <w:p w14:paraId="6E15237F">
            <w:pPr>
              <w:spacing w:before="69" w:line="188" w:lineRule="auto"/>
              <w:ind w:left="209"/>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33</w:t>
            </w:r>
          </w:p>
        </w:tc>
        <w:tc>
          <w:tcPr>
            <w:tcW w:w="1860" w:type="dxa"/>
            <w:vAlign w:val="center"/>
          </w:tcPr>
          <w:p w14:paraId="6186C35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招标代理费和评标专家酬劳</w:t>
            </w:r>
          </w:p>
        </w:tc>
        <w:tc>
          <w:tcPr>
            <w:tcW w:w="7544" w:type="dxa"/>
            <w:vAlign w:val="center"/>
          </w:tcPr>
          <w:p w14:paraId="7ABDDE2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工程的招标代理费和评标专家酬劳由中标人支付，该费用不再另行报价，由投标人在投标报价时综合考虑在内。中标人须向招标代理机构一次性支付（招标代理服务费：根据《招标代理服务收费管理暂行办法》（计价格[2002]1980号）计算服务费用金额，并以工程中标价来计算服务费用，落实40%下浮率，服务费用包含所有费用，具体以签订的合同为准。</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37D7D386">
            <w:pPr>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rPr>
              <w:t>34</w:t>
            </w:r>
          </w:p>
        </w:tc>
        <w:tc>
          <w:tcPr>
            <w:tcW w:w="1860" w:type="dxa"/>
            <w:vAlign w:val="center"/>
          </w:tcPr>
          <w:p w14:paraId="5DBBB6F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w:t>
            </w:r>
          </w:p>
          <w:p w14:paraId="36239D2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294DCE90">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单位名称：</w:t>
            </w:r>
            <w:r>
              <w:rPr>
                <w:rFonts w:hint="eastAsia" w:ascii="宋体" w:hAnsi="宋体" w:eastAsia="宋体" w:cs="宋体"/>
                <w:snapToGrid w:val="0"/>
                <w:color w:val="auto"/>
                <w:kern w:val="0"/>
                <w:sz w:val="22"/>
                <w:szCs w:val="22"/>
                <w:highlight w:val="none"/>
                <w:lang w:eastAsia="zh-CN"/>
              </w:rPr>
              <w:t>仁化县丹霞旅游经济开发试验区管理委员会</w:t>
            </w:r>
          </w:p>
          <w:p w14:paraId="45B2C2F5">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办公地址：</w:t>
            </w:r>
            <w:r>
              <w:rPr>
                <w:rFonts w:hint="eastAsia" w:ascii="宋体" w:hAnsi="宋体" w:eastAsia="宋体" w:cs="宋体"/>
                <w:snapToGrid w:val="0"/>
                <w:color w:val="auto"/>
                <w:kern w:val="0"/>
                <w:sz w:val="22"/>
                <w:szCs w:val="22"/>
                <w:highlight w:val="none"/>
                <w:lang w:eastAsia="zh-CN"/>
              </w:rPr>
              <w:t>仁化县周田镇新庄工业园</w:t>
            </w:r>
          </w:p>
          <w:p w14:paraId="5B16EB9D">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rPr>
              <w:t>联系人（部门）：</w:t>
            </w:r>
            <w:r>
              <w:rPr>
                <w:rFonts w:hint="eastAsia" w:ascii="宋体" w:hAnsi="宋体" w:eastAsia="宋体" w:cs="宋体"/>
                <w:snapToGrid w:val="0"/>
                <w:color w:val="auto"/>
                <w:kern w:val="0"/>
                <w:sz w:val="22"/>
                <w:szCs w:val="22"/>
                <w:highlight w:val="none"/>
                <w:lang w:val="en-US" w:eastAsia="zh-CN"/>
              </w:rPr>
              <w:t>黄工</w:t>
            </w:r>
          </w:p>
          <w:p w14:paraId="01E5EFA9">
            <w:pPr>
              <w:wordWrap w:val="0"/>
              <w:adjustRightInd w:val="0"/>
              <w:snapToGrid w:val="0"/>
              <w:spacing w:line="360" w:lineRule="exact"/>
              <w:ind w:firstLine="22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 xml:space="preserve">联系电话： </w:t>
            </w:r>
            <w:r>
              <w:rPr>
                <w:rFonts w:hint="eastAsia" w:ascii="宋体" w:hAnsi="宋体" w:eastAsia="宋体" w:cs="宋体"/>
                <w:snapToGrid w:val="0"/>
                <w:color w:val="auto"/>
                <w:kern w:val="0"/>
                <w:sz w:val="22"/>
                <w:szCs w:val="22"/>
                <w:highlight w:val="none"/>
                <w:lang w:eastAsia="zh-CN"/>
              </w:rPr>
              <w:t>0751-6422238</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582" w:type="dxa"/>
            <w:vAlign w:val="center"/>
          </w:tcPr>
          <w:p w14:paraId="7AB56B55">
            <w:pPr>
              <w:spacing w:before="69" w:line="188" w:lineRule="auto"/>
              <w:jc w:val="center"/>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35</w:t>
            </w:r>
          </w:p>
        </w:tc>
        <w:tc>
          <w:tcPr>
            <w:tcW w:w="1860" w:type="dxa"/>
            <w:vAlign w:val="center"/>
          </w:tcPr>
          <w:p w14:paraId="57A132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招标代理机构</w:t>
            </w:r>
          </w:p>
          <w:p w14:paraId="3F031D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49523478">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单位名称：广东爱科工程咨询管理有限公司</w:t>
            </w:r>
          </w:p>
          <w:p w14:paraId="0747FA2E">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办公地址：仁化县建设路52号第三层</w:t>
            </w:r>
          </w:p>
          <w:p w14:paraId="302859BB">
            <w:pPr>
              <w:wordWrap w:val="0"/>
              <w:adjustRightInd w:val="0"/>
              <w:snapToGrid w:val="0"/>
              <w:spacing w:line="360" w:lineRule="exact"/>
              <w:ind w:firstLine="220" w:firstLineChars="100"/>
              <w:jc w:val="left"/>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rPr>
              <w:t>联 系 人：温工</w:t>
            </w:r>
          </w:p>
          <w:p w14:paraId="245C4B76">
            <w:pPr>
              <w:wordWrap w:val="0"/>
              <w:adjustRightInd w:val="0"/>
              <w:snapToGrid w:val="0"/>
              <w:spacing w:line="360" w:lineRule="exact"/>
              <w:ind w:firstLine="220" w:firstLineChars="10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2"/>
                <w:szCs w:val="22"/>
                <w:highlight w:val="none"/>
              </w:rPr>
              <w:t>电    话：13500208871</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18F6589E">
            <w:pPr>
              <w:spacing w:before="69" w:line="188" w:lineRule="auto"/>
              <w:jc w:val="center"/>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36</w:t>
            </w:r>
          </w:p>
        </w:tc>
        <w:tc>
          <w:tcPr>
            <w:tcW w:w="1860" w:type="dxa"/>
            <w:vAlign w:val="center"/>
          </w:tcPr>
          <w:p w14:paraId="1AD5452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交易场所联系方式</w:t>
            </w:r>
          </w:p>
        </w:tc>
        <w:tc>
          <w:tcPr>
            <w:tcW w:w="7544" w:type="dxa"/>
            <w:vAlign w:val="center"/>
          </w:tcPr>
          <w:p w14:paraId="48075B41">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单位名称：韶关市公共资源交易中心</w:t>
            </w:r>
          </w:p>
          <w:p w14:paraId="533E5EA8">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办公地址：仁化县丹霞大道228号1</w:t>
            </w:r>
            <w:r>
              <w:rPr>
                <w:rFonts w:hint="eastAsia" w:ascii="宋体" w:hAnsi="宋体" w:eastAsia="宋体" w:cs="宋体"/>
                <w:snapToGrid w:val="0"/>
                <w:color w:val="auto"/>
                <w:kern w:val="0"/>
                <w:sz w:val="22"/>
                <w:szCs w:val="22"/>
                <w:highlight w:val="none"/>
                <w:lang w:val="en-US" w:eastAsia="zh-CN"/>
              </w:rPr>
              <w:t>2</w:t>
            </w:r>
            <w:r>
              <w:rPr>
                <w:rFonts w:hint="eastAsia" w:ascii="宋体" w:hAnsi="宋体" w:eastAsia="宋体" w:cs="宋体"/>
                <w:snapToGrid w:val="0"/>
                <w:color w:val="auto"/>
                <w:kern w:val="0"/>
                <w:sz w:val="22"/>
                <w:szCs w:val="22"/>
                <w:highlight w:val="none"/>
              </w:rPr>
              <w:t>楼韶关市公共资源交易中心仁化分中心</w:t>
            </w:r>
          </w:p>
          <w:p w14:paraId="1EFAF941">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联系人（部门）：工程交易部</w:t>
            </w:r>
          </w:p>
          <w:p w14:paraId="3F289E33">
            <w:pPr>
              <w:wordWrap w:val="0"/>
              <w:adjustRightInd w:val="0"/>
              <w:snapToGrid w:val="0"/>
              <w:spacing w:line="360" w:lineRule="exact"/>
              <w:ind w:firstLine="250"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联系电话：0751-6354032</w:t>
            </w:r>
          </w:p>
        </w:tc>
      </w:tr>
      <w:tr w14:paraId="03DC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6CED66FD">
            <w:pPr>
              <w:spacing w:before="69" w:line="188" w:lineRule="auto"/>
              <w:jc w:val="center"/>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37</w:t>
            </w:r>
          </w:p>
        </w:tc>
        <w:tc>
          <w:tcPr>
            <w:tcW w:w="1860" w:type="dxa"/>
            <w:vAlign w:val="center"/>
          </w:tcPr>
          <w:p w14:paraId="2B5659C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行政监督部</w:t>
            </w:r>
          </w:p>
          <w:p w14:paraId="205A3A6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门联系方式</w:t>
            </w:r>
          </w:p>
        </w:tc>
        <w:tc>
          <w:tcPr>
            <w:tcW w:w="7544" w:type="dxa"/>
            <w:vAlign w:val="center"/>
          </w:tcPr>
          <w:p w14:paraId="05FA39AB">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单位名称：仁化县住房和城乡建设管理局</w:t>
            </w:r>
          </w:p>
          <w:p w14:paraId="3BF6F686">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办公地址：仁化县丹霞大道228号仁化县行政服务中心6楼</w:t>
            </w:r>
          </w:p>
          <w:p w14:paraId="2D2F14F4">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联系人（部门）：建筑业监督管理股</w:t>
            </w:r>
          </w:p>
          <w:p w14:paraId="3C714782">
            <w:pPr>
              <w:wordWrap w:val="0"/>
              <w:adjustRightInd w:val="0"/>
              <w:snapToGrid w:val="0"/>
              <w:spacing w:line="360" w:lineRule="exact"/>
              <w:ind w:firstLine="250"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 xml:space="preserve">联系电话：0751-6354573 </w:t>
            </w:r>
          </w:p>
        </w:tc>
      </w:tr>
    </w:tbl>
    <w:p w14:paraId="2196EE89">
      <w:pPr>
        <w:rPr>
          <w:rFonts w:hint="eastAsia" w:ascii="宋体" w:hAnsi="宋体" w:eastAsia="宋体" w:cs="宋体"/>
          <w:b/>
          <w:bCs/>
          <w:color w:val="auto"/>
          <w:spacing w:val="-3"/>
          <w:sz w:val="24"/>
          <w:szCs w:val="24"/>
          <w:highlight w:val="none"/>
        </w:rPr>
      </w:pPr>
      <w:bookmarkStart w:id="5" w:name="bookmark115"/>
      <w:bookmarkEnd w:id="5"/>
      <w:bookmarkStart w:id="6" w:name="_Toc5546"/>
      <w:r>
        <w:rPr>
          <w:rFonts w:hint="eastAsia" w:ascii="宋体" w:hAnsi="宋体" w:eastAsia="宋体" w:cs="宋体"/>
          <w:b/>
          <w:bCs/>
          <w:color w:val="auto"/>
          <w:spacing w:val="-3"/>
          <w:sz w:val="24"/>
          <w:szCs w:val="24"/>
          <w:highlight w:val="none"/>
        </w:rPr>
        <w:br w:type="page"/>
      </w:r>
    </w:p>
    <w:p w14:paraId="2A3BA98B">
      <w:pPr>
        <w:spacing w:before="156" w:line="219" w:lineRule="auto"/>
        <w:ind w:left="17"/>
        <w:jc w:val="left"/>
        <w:outlineLvl w:val="1"/>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第二节 重要事项时间地点一览表</w:t>
      </w:r>
      <w:bookmarkEnd w:id="6"/>
    </w:p>
    <w:p w14:paraId="69A179A8">
      <w:pPr>
        <w:pStyle w:val="5"/>
        <w:rPr>
          <w:rFonts w:hint="eastAsia" w:ascii="宋体" w:hAnsi="宋体" w:eastAsia="宋体" w:cs="宋体"/>
          <w:color w:val="auto"/>
          <w:highlight w:val="none"/>
        </w:rPr>
      </w:pPr>
    </w:p>
    <w:tbl>
      <w:tblPr>
        <w:tblStyle w:val="14"/>
        <w:tblW w:w="5003"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51"/>
        <w:gridCol w:w="1402"/>
        <w:gridCol w:w="7909"/>
      </w:tblGrid>
      <w:tr w14:paraId="1FCC57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15154A6">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1</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7FC0689B">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招标公告</w:t>
            </w:r>
          </w:p>
          <w:p w14:paraId="6CF9F9BC">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发布时间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1A14D70">
            <w:pPr>
              <w:pStyle w:val="21"/>
              <w:widowControl/>
              <w:snapToGrid w:val="0"/>
              <w:jc w:val="left"/>
              <w:rPr>
                <w:rFonts w:hint="eastAsia" w:ascii="宋体" w:hAnsi="宋体" w:eastAsia="宋体" w:cs="宋体"/>
                <w:snapToGrid w:val="0"/>
                <w:color w:val="000000"/>
                <w:kern w:val="0"/>
                <w:sz w:val="22"/>
                <w:szCs w:val="22"/>
                <w:highlight w:val="none"/>
                <w:lang w:eastAsia="zh-CN"/>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2</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5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18</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p>
        </w:tc>
      </w:tr>
      <w:tr w14:paraId="19E577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5A45AD0F">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2</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51929FC">
            <w:pPr>
              <w:pStyle w:val="21"/>
              <w:wordWrap w:val="0"/>
              <w:adjustRightInd w:val="0"/>
              <w:snapToGrid w:val="0"/>
              <w:spacing w:line="360" w:lineRule="exact"/>
              <w:jc w:val="center"/>
              <w:rPr>
                <w:rFonts w:hint="default" w:ascii="宋体" w:hAnsi="宋体" w:eastAsia="宋体" w:cs="宋体"/>
                <w:snapToGrid w:val="0"/>
                <w:color w:val="000000"/>
                <w:kern w:val="0"/>
                <w:sz w:val="22"/>
                <w:szCs w:val="22"/>
                <w:highlight w:val="none"/>
                <w:lang w:val="en-US" w:eastAsia="zh-CN"/>
              </w:rPr>
            </w:pPr>
            <w:r>
              <w:rPr>
                <w:rFonts w:hint="eastAsia" w:ascii="宋体" w:hAnsi="宋体" w:cs="宋体"/>
                <w:snapToGrid w:val="0"/>
                <w:color w:val="000000"/>
                <w:kern w:val="0"/>
                <w:sz w:val="22"/>
                <w:szCs w:val="22"/>
                <w:highlight w:val="none"/>
                <w:lang w:val="en-US" w:eastAsia="zh-CN"/>
              </w:rPr>
              <w:t>获取招标文件</w:t>
            </w:r>
          </w:p>
          <w:p w14:paraId="13B17BC0">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56576377">
            <w:pPr>
              <w:pStyle w:val="21"/>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2</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27</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19308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D32DC5D">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3</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0AF3A7CB">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网上提问</w:t>
            </w:r>
          </w:p>
          <w:p w14:paraId="2BE90DC1">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516B27F">
            <w:pPr>
              <w:pStyle w:val="21"/>
              <w:wordWrap w:val="0"/>
              <w:adjustRightInd w:val="0"/>
              <w:snapToGrid w:val="0"/>
              <w:spacing w:line="400" w:lineRule="exact"/>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2</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12</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00 </w:t>
            </w:r>
            <w:r>
              <w:rPr>
                <w:rFonts w:hint="eastAsia" w:ascii="宋体" w:hAnsi="宋体" w:cs="宋体"/>
                <w:color w:val="auto"/>
                <w:kern w:val="0"/>
                <w:sz w:val="22"/>
                <w:szCs w:val="22"/>
                <w:highlight w:val="none"/>
              </w:rPr>
              <w:t>分</w:t>
            </w:r>
          </w:p>
        </w:tc>
      </w:tr>
      <w:tr w14:paraId="01F57E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98C0766">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4</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4139913">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网上答疑</w:t>
            </w:r>
          </w:p>
          <w:p w14:paraId="70A9C70E">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9EFA0E5">
            <w:pPr>
              <w:pStyle w:val="21"/>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2</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12</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30 </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2</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15</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00</w:t>
            </w:r>
            <w:r>
              <w:rPr>
                <w:rFonts w:hint="eastAsia" w:ascii="宋体" w:hAnsi="宋体" w:cs="宋体"/>
                <w:color w:val="auto"/>
                <w:kern w:val="0"/>
                <w:sz w:val="22"/>
                <w:szCs w:val="22"/>
                <w:highlight w:val="none"/>
              </w:rPr>
              <w:t>分</w:t>
            </w:r>
          </w:p>
        </w:tc>
      </w:tr>
      <w:tr w14:paraId="1F4DA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1050AA6F">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5</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0B31F86">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投标保证缴</w:t>
            </w:r>
          </w:p>
          <w:p w14:paraId="249647CA">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纳截止时间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0544092">
            <w:pPr>
              <w:pStyle w:val="21"/>
              <w:widowControl/>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投标保证金到账截止时间：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2</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26</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p w14:paraId="534D20EF">
            <w:pPr>
              <w:pStyle w:val="21"/>
              <w:widowControl/>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投标保证担保上传截止时间：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2</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26</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p w14:paraId="086C2F12">
            <w:pPr>
              <w:pStyle w:val="21"/>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rPr>
              <w:t>投标保证保险投保截止时间：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2</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26</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5CEC71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213E411F">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6</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67DAD104">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电子投标</w:t>
            </w:r>
          </w:p>
          <w:p w14:paraId="3E473E72">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EF7FFA6">
            <w:pPr>
              <w:pStyle w:val="21"/>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2</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27</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255B6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0CC6312E">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7</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ED64A0B">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lang w:val="en-US" w:eastAsia="zh-CN"/>
              </w:rPr>
            </w:pPr>
            <w:r>
              <w:rPr>
                <w:rFonts w:hint="eastAsia" w:ascii="宋体" w:hAnsi="宋体" w:cs="宋体"/>
                <w:snapToGrid w:val="0"/>
                <w:color w:val="000000"/>
                <w:kern w:val="0"/>
                <w:sz w:val="22"/>
                <w:szCs w:val="22"/>
                <w:highlight w:val="none"/>
                <w:lang w:val="en-US" w:eastAsia="zh-CN"/>
              </w:rPr>
              <w:t>投标评审原件（如有）</w:t>
            </w:r>
          </w:p>
          <w:p w14:paraId="7F77CCDF">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lang w:val="en-US" w:eastAsia="zh-CN"/>
              </w:rPr>
              <w:t>递交时间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2F71BF2">
            <w:pPr>
              <w:pStyle w:val="21"/>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2</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27</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2</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27</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lang w:val="en-US" w:eastAsia="zh-CN"/>
              </w:rPr>
              <w:t>9</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lang w:val="en-US" w:eastAsia="zh-CN"/>
              </w:rPr>
              <w:t>30</w:t>
            </w:r>
            <w:r>
              <w:rPr>
                <w:rFonts w:hint="eastAsia" w:ascii="宋体" w:hAnsi="宋体" w:cs="宋体"/>
                <w:snapToGrid w:val="0"/>
                <w:color w:val="auto"/>
                <w:kern w:val="0"/>
                <w:sz w:val="22"/>
                <w:szCs w:val="22"/>
                <w:highlight w:val="none"/>
              </w:rPr>
              <w:t>分</w:t>
            </w:r>
          </w:p>
        </w:tc>
      </w:tr>
      <w:tr w14:paraId="7281FC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7EB5C072">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8</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9E24EC4">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lang w:val="en-US" w:eastAsia="zh-CN"/>
              </w:rPr>
            </w:pPr>
            <w:r>
              <w:rPr>
                <w:rFonts w:hint="eastAsia" w:ascii="宋体" w:hAnsi="宋体" w:cs="宋体"/>
                <w:snapToGrid w:val="0"/>
                <w:color w:val="000000"/>
                <w:kern w:val="0"/>
                <w:sz w:val="22"/>
                <w:szCs w:val="22"/>
                <w:highlight w:val="none"/>
                <w:lang w:val="en-US" w:eastAsia="zh-CN"/>
              </w:rPr>
              <w:t>投标评审原件（如有）</w:t>
            </w:r>
          </w:p>
          <w:p w14:paraId="3261A94D">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lang w:val="en-US" w:eastAsia="zh-CN"/>
              </w:rPr>
              <w:t>递交地点</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19EFF54">
            <w:pPr>
              <w:pStyle w:val="21"/>
              <w:wordWrap w:val="0"/>
              <w:adjustRightInd w:val="0"/>
              <w:snapToGrid w:val="0"/>
              <w:spacing w:line="40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rPr>
              <w:t>递交场所：韶关市公共资源交易中心仁化分中心</w:t>
            </w:r>
          </w:p>
          <w:p w14:paraId="54D0F656">
            <w:pPr>
              <w:pStyle w:val="21"/>
              <w:wordWrap w:val="0"/>
              <w:adjustRightInd w:val="0"/>
              <w:snapToGrid w:val="0"/>
              <w:spacing w:line="400" w:lineRule="exact"/>
              <w:ind w:firstLine="220" w:firstLineChars="100"/>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地址：仁化县丹霞大道228号11楼韶关市公共资源交易中心仁化分中心，具体房间号以当日现场通知为准。</w:t>
            </w:r>
          </w:p>
        </w:tc>
      </w:tr>
      <w:tr w14:paraId="6DA9E2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0"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56908499">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9</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42877DA">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开标时间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A9DFEE6">
            <w:pPr>
              <w:pStyle w:val="21"/>
              <w:wordWrap w:val="0"/>
              <w:adjustRightInd w:val="0"/>
              <w:snapToGrid w:val="0"/>
              <w:spacing w:line="400" w:lineRule="exact"/>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 xml:space="preserve"> </w:t>
            </w:r>
            <w:r>
              <w:rPr>
                <w:rFonts w:hint="eastAsia" w:asciiTheme="minorEastAsia" w:hAnsiTheme="minorEastAsia" w:eastAsiaTheme="minorEastAsia" w:cstheme="minorEastAsia"/>
                <w:color w:val="auto"/>
                <w:kern w:val="0"/>
                <w:sz w:val="22"/>
                <w:szCs w:val="22"/>
                <w:highlight w:val="none"/>
                <w:u w:val="single"/>
              </w:rPr>
              <w:t>202</w:t>
            </w:r>
            <w:r>
              <w:rPr>
                <w:rFonts w:hint="eastAsia" w:asciiTheme="minorEastAsia" w:hAnsiTheme="minorEastAsia" w:eastAsiaTheme="minorEastAsia" w:cstheme="minorEastAsia"/>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2</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27</w:t>
            </w:r>
            <w:bookmarkStart w:id="265" w:name="_GoBack"/>
            <w:bookmarkEnd w:id="265"/>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600A21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78"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13530CF7">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10</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7D61018">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开标地点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C3C51B8">
            <w:pPr>
              <w:pStyle w:val="21"/>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开标场所：韶关市公共资源交易中心仁化分中心</w:t>
            </w:r>
          </w:p>
          <w:p w14:paraId="0A73ED51">
            <w:pPr>
              <w:pStyle w:val="21"/>
              <w:wordWrap w:val="0"/>
              <w:adjustRightInd w:val="0"/>
              <w:snapToGrid w:val="0"/>
              <w:spacing w:line="400" w:lineRule="exact"/>
              <w:ind w:firstLine="220" w:firstLineChars="100"/>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地址：仁化县丹霞大道228号11楼韶关市公共资源交易中心仁化分中心，具体房间号以当日现场通知为准。</w:t>
            </w:r>
          </w:p>
        </w:tc>
      </w:tr>
      <w:tr w14:paraId="4FC692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8" w:hRule="exact"/>
        </w:trPr>
        <w:tc>
          <w:tcPr>
            <w:tcW w:w="949" w:type="pct"/>
            <w:gridSpan w:val="2"/>
            <w:tcBorders>
              <w:top w:val="single" w:color="080000" w:sz="4" w:space="0"/>
              <w:left w:val="single" w:color="080000" w:sz="4" w:space="0"/>
              <w:bottom w:val="single" w:color="080000" w:sz="4" w:space="0"/>
              <w:right w:val="single" w:color="080000" w:sz="4" w:space="0"/>
            </w:tcBorders>
            <w:noWrap w:val="0"/>
            <w:vAlign w:val="center"/>
          </w:tcPr>
          <w:p w14:paraId="2F0B7FAB">
            <w:pPr>
              <w:pStyle w:val="21"/>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lang w:val="en-US" w:eastAsia="zh-CN"/>
              </w:rPr>
              <w:t>备注</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344A197">
            <w:pPr>
              <w:pStyle w:val="21"/>
              <w:wordWrap w:val="0"/>
              <w:adjustRightInd w:val="0"/>
              <w:snapToGrid w:val="0"/>
              <w:spacing w:line="400" w:lineRule="exact"/>
              <w:ind w:firstLine="220" w:firstLineChars="100"/>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自行下载招标文件、资料文件及招标答疑书等。若由于投标人自身原因未能及时取得上述资料的，由此发生的任何责任由投标人自负。</w:t>
            </w:r>
          </w:p>
        </w:tc>
      </w:tr>
    </w:tbl>
    <w:p w14:paraId="05CEB252">
      <w:pPr>
        <w:tabs>
          <w:tab w:val="left" w:pos="8820"/>
        </w:tabs>
        <w:rPr>
          <w:rFonts w:hint="eastAsia" w:ascii="宋体" w:hAnsi="宋体" w:eastAsia="宋体" w:cs="宋体"/>
          <w:b w:val="0"/>
          <w:bCs w:val="0"/>
          <w:color w:val="auto"/>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433C4EC2">
      <w:pPr>
        <w:jc w:val="center"/>
        <w:outlineLvl w:val="1"/>
        <w:rPr>
          <w:rFonts w:hint="eastAsia" w:ascii="宋体" w:hAnsi="宋体" w:eastAsia="宋体" w:cs="宋体"/>
          <w:color w:val="auto"/>
          <w:sz w:val="24"/>
          <w:szCs w:val="24"/>
          <w:highlight w:val="none"/>
        </w:rPr>
      </w:pPr>
      <w:bookmarkStart w:id="7" w:name="_Toc27205"/>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73B8EDD5">
      <w:pPr>
        <w:pStyle w:val="5"/>
        <w:spacing w:line="256" w:lineRule="auto"/>
        <w:rPr>
          <w:rFonts w:hint="eastAsia" w:ascii="宋体" w:hAnsi="宋体" w:eastAsia="宋体" w:cs="宋体"/>
          <w:color w:val="auto"/>
          <w:highlight w:val="none"/>
        </w:rPr>
      </w:pPr>
    </w:p>
    <w:p w14:paraId="6017DF82">
      <w:pPr>
        <w:pStyle w:val="5"/>
        <w:spacing w:line="257" w:lineRule="auto"/>
        <w:rPr>
          <w:rFonts w:hint="eastAsia" w:ascii="宋体" w:hAnsi="宋体" w:eastAsia="宋体" w:cs="宋体"/>
          <w:color w:val="auto"/>
          <w:highlight w:val="none"/>
        </w:rPr>
      </w:pPr>
    </w:p>
    <w:p w14:paraId="2BD22834">
      <w:pPr>
        <w:keepNext w:val="0"/>
        <w:keepLines w:val="0"/>
        <w:widowControl/>
        <w:suppressLineNumbers w:val="0"/>
        <w:spacing w:line="360" w:lineRule="auto"/>
        <w:ind w:right="-258" w:rightChars="-123" w:firstLine="480" w:firstLineChars="200"/>
        <w:jc w:val="left"/>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eastAsia="zh-CN"/>
        </w:rPr>
        <w:t>仁化产业转移工业园区基础建设（二期）</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仁化县发展改革和政务数据局以《仁化县发展改革和政务数据局关于仁化产业转移工业园区基础建设(二期)-韶关仁化产业园区桥南配套区新征用地基础设施建设项目初步设计概算的批复》（仁发改和政数投审〔202</w:t>
      </w:r>
      <w:r>
        <w:rPr>
          <w:rFonts w:hint="eastAsia" w:ascii="宋体" w:hAnsi="宋体" w:eastAsia="宋体" w:cs="宋体"/>
          <w:snapToGrid w:val="0"/>
          <w:color w:val="auto"/>
          <w:kern w:val="0"/>
          <w:sz w:val="24"/>
          <w:szCs w:val="32"/>
          <w:highlight w:val="none"/>
          <w:u w:val="single"/>
          <w:lang w:val="en-US" w:eastAsia="zh-CN"/>
        </w:rPr>
        <w:t>6</w:t>
      </w:r>
      <w:r>
        <w:rPr>
          <w:rFonts w:hint="eastAsia" w:ascii="宋体" w:hAnsi="宋体" w:eastAsia="宋体" w:cs="宋体"/>
          <w:snapToGrid w:val="0"/>
          <w:color w:val="auto"/>
          <w:kern w:val="0"/>
          <w:sz w:val="24"/>
          <w:szCs w:val="32"/>
          <w:highlight w:val="none"/>
          <w:u w:val="single"/>
          <w:lang w:eastAsia="zh-CN"/>
        </w:rPr>
        <w:t>〕</w:t>
      </w:r>
      <w:r>
        <w:rPr>
          <w:rFonts w:hint="eastAsia" w:ascii="宋体" w:hAnsi="宋体" w:eastAsia="宋体" w:cs="宋体"/>
          <w:snapToGrid w:val="0"/>
          <w:color w:val="auto"/>
          <w:kern w:val="0"/>
          <w:sz w:val="24"/>
          <w:szCs w:val="32"/>
          <w:highlight w:val="none"/>
          <w:u w:val="single"/>
          <w:lang w:val="en-US" w:eastAsia="zh-CN"/>
        </w:rPr>
        <w:t>12</w:t>
      </w:r>
      <w:r>
        <w:rPr>
          <w:rFonts w:hint="eastAsia" w:ascii="宋体" w:hAnsi="宋体" w:eastAsia="宋体" w:cs="宋体"/>
          <w:snapToGrid w:val="0"/>
          <w:color w:val="auto"/>
          <w:kern w:val="0"/>
          <w:sz w:val="24"/>
          <w:szCs w:val="32"/>
          <w:highlight w:val="none"/>
          <w:u w:val="single"/>
          <w:lang w:eastAsia="zh-CN"/>
        </w:rPr>
        <w:t>号）</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2208-440224-04-01-823973</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仁化县丹霞旅游经济开发试验区管理委员会</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上级资金和县级财政资金安排解决</w:t>
      </w:r>
      <w:r>
        <w:rPr>
          <w:rFonts w:hint="eastAsia" w:ascii="宋体" w:hAnsi="宋体" w:eastAsia="宋体" w:cs="宋体"/>
          <w:snapToGrid w:val="0"/>
          <w:color w:val="auto"/>
          <w:kern w:val="0"/>
          <w:sz w:val="24"/>
          <w:szCs w:val="32"/>
          <w:highlight w:val="none"/>
          <w:u w:val="single"/>
        </w:rPr>
        <w:t xml:space="preserve"> </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仁化县丹霞旅游经济开发试验区管理委员会</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广东爱科工程咨询管理有限公司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val="en-US" w:eastAsia="zh-CN"/>
        </w:rPr>
        <w:t xml:space="preserve"> 施工 </w:t>
      </w:r>
      <w:r>
        <w:rPr>
          <w:rFonts w:hint="eastAsia" w:ascii="宋体" w:hAnsi="宋体" w:eastAsia="宋体" w:cs="宋体"/>
          <w:snapToGrid w:val="0"/>
          <w:color w:val="auto"/>
          <w:kern w:val="0"/>
          <w:sz w:val="24"/>
          <w:szCs w:val="24"/>
          <w:highlight w:val="none"/>
        </w:rPr>
        <w:t>进行公开招标。</w:t>
      </w:r>
    </w:p>
    <w:p w14:paraId="58CD94D9">
      <w:pPr>
        <w:spacing w:before="78" w:line="220" w:lineRule="auto"/>
        <w:ind w:left="496"/>
        <w:outlineLvl w:val="2"/>
        <w:rPr>
          <w:rFonts w:hint="eastAsia" w:ascii="宋体" w:hAnsi="宋体" w:eastAsia="宋体" w:cs="宋体"/>
          <w:color w:val="auto"/>
          <w:sz w:val="24"/>
          <w:szCs w:val="24"/>
          <w:highlight w:val="none"/>
        </w:rPr>
      </w:pPr>
      <w:bookmarkStart w:id="8" w:name="bookmark73"/>
      <w:bookmarkEnd w:id="8"/>
      <w:bookmarkStart w:id="9" w:name="bookmark59"/>
      <w:bookmarkEnd w:id="9"/>
      <w:bookmarkStart w:id="10" w:name="bookmark52"/>
      <w:bookmarkEnd w:id="10"/>
      <w:bookmarkStart w:id="11" w:name="_Toc15993"/>
      <w:bookmarkStart w:id="12" w:name="_Toc30132"/>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37B86162">
      <w:pPr>
        <w:spacing w:before="15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0DC5D72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z w:val="24"/>
          <w:szCs w:val="24"/>
          <w:highlight w:val="none"/>
          <w:u w:val="single"/>
          <w:lang w:val="en-US" w:eastAsia="zh-CN"/>
        </w:rPr>
        <w:t>韶关仁化产业园区。</w:t>
      </w:r>
    </w:p>
    <w:p w14:paraId="45A735E9">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z w:val="24"/>
          <w:szCs w:val="24"/>
          <w:highlight w:val="none"/>
          <w:u w:val="single"/>
          <w:lang w:val="en-US" w:eastAsia="zh-CN"/>
        </w:rPr>
        <w:t>新建挡土墙、排水沟、铺种绿植、场地平整等。</w:t>
      </w:r>
    </w:p>
    <w:p w14:paraId="45B0CA0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19"/>
          <w:rFonts w:hint="eastAsia" w:ascii="宋体" w:hAnsi="宋体" w:eastAsia="宋体" w:cs="宋体"/>
          <w:color w:val="auto"/>
          <w:kern w:val="0"/>
          <w:sz w:val="24"/>
          <w:szCs w:val="24"/>
          <w:highlight w:val="none"/>
        </w:rPr>
        <w:t>：</w:t>
      </w:r>
      <w:r>
        <w:rPr>
          <w:rStyle w:val="19"/>
          <w:rFonts w:hint="eastAsia" w:ascii="宋体" w:hAnsi="宋体" w:eastAsia="宋体" w:cs="宋体"/>
          <w:color w:val="auto"/>
          <w:kern w:val="0"/>
          <w:sz w:val="24"/>
          <w:szCs w:val="24"/>
          <w:highlight w:val="none"/>
          <w:u w:val="single"/>
          <w:lang w:val="en-US" w:eastAsia="zh-CN"/>
        </w:rPr>
        <w:t>项目概算总投资1983.59万元，其中工程费用1225.07万元、工程建设其他费用664.06万元、预备费用94.46万元</w:t>
      </w:r>
      <w:r>
        <w:rPr>
          <w:rFonts w:hint="eastAsia" w:ascii="宋体" w:hAnsi="宋体" w:eastAsia="宋体" w:cs="宋体"/>
          <w:color w:val="auto"/>
          <w:sz w:val="24"/>
          <w:szCs w:val="24"/>
          <w:highlight w:val="none"/>
          <w:u w:val="single"/>
          <w:lang w:val="en-US" w:eastAsia="zh-CN"/>
        </w:rPr>
        <w:t>。</w:t>
      </w:r>
    </w:p>
    <w:p w14:paraId="76EA2F0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single"/>
          <w:lang w:val="en-US" w:eastAsia="zh-CN"/>
        </w:rPr>
        <w:t xml:space="preserve"> 招标范围和标段划分</w:t>
      </w:r>
    </w:p>
    <w:p w14:paraId="2307A456">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rPr>
        <w:t>按审查合格的施工图纸及工程量清单内容施工</w:t>
      </w:r>
      <w:r>
        <w:rPr>
          <w:rFonts w:hint="eastAsia" w:ascii="宋体" w:hAnsi="宋体" w:eastAsia="宋体" w:cs="宋体"/>
          <w:color w:val="auto"/>
          <w:spacing w:val="-1"/>
          <w:sz w:val="24"/>
          <w:szCs w:val="24"/>
          <w:highlight w:val="none"/>
          <w:lang w:eastAsia="zh-CN"/>
        </w:rPr>
        <w:t>。</w:t>
      </w:r>
    </w:p>
    <w:p w14:paraId="1F279E88">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4"/>
          <w:szCs w:val="24"/>
          <w:highlight w:val="none"/>
        </w:rPr>
      </w:pPr>
      <w:bookmarkStart w:id="13" w:name="_Toc24593"/>
      <w:bookmarkStart w:id="14" w:name="_Toc28202"/>
      <w:bookmarkStart w:id="15" w:name="_Toc14190"/>
      <w:bookmarkStart w:id="16" w:name="_Toc20855"/>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14:paraId="6D2283DD">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1512139">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03E7691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17" w:name="_Toc17618"/>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17"/>
    </w:p>
    <w:p w14:paraId="23060124">
      <w:pPr>
        <w:wordWrap w:val="0"/>
        <w:adjustRightInd w:val="0"/>
        <w:snapToGrid w:val="0"/>
        <w:spacing w:line="360" w:lineRule="auto"/>
        <w:ind w:firstLine="482" w:firstLineChars="200"/>
        <w:rPr>
          <w:rStyle w:val="19"/>
          <w:rFonts w:hint="eastAsia" w:ascii="宋体" w:hAnsi="宋体" w:eastAsia="宋体" w:cs="宋体"/>
          <w:b/>
          <w:bCs/>
          <w:color w:val="auto"/>
          <w:kern w:val="0"/>
          <w:sz w:val="24"/>
          <w:szCs w:val="24"/>
          <w:highlight w:val="none"/>
          <w:lang w:val="en-US" w:eastAsia="zh-CN"/>
        </w:rPr>
      </w:pPr>
      <w:r>
        <w:rPr>
          <w:rStyle w:val="19"/>
          <w:rFonts w:hint="eastAsia" w:ascii="宋体" w:hAnsi="宋体" w:eastAsia="宋体" w:cs="宋体"/>
          <w:b/>
          <w:bCs/>
          <w:color w:val="auto"/>
          <w:kern w:val="0"/>
          <w:sz w:val="24"/>
          <w:szCs w:val="24"/>
          <w:highlight w:val="none"/>
          <w:lang w:val="en-US" w:eastAsia="zh-CN"/>
        </w:rPr>
        <w:t>2.1</w:t>
      </w:r>
      <w:r>
        <w:rPr>
          <w:rStyle w:val="19"/>
          <w:rFonts w:hint="eastAsia" w:ascii="宋体" w:hAnsi="宋体" w:eastAsia="宋体" w:cs="宋体"/>
          <w:b w:val="0"/>
          <w:bCs w:val="0"/>
          <w:color w:val="auto"/>
          <w:kern w:val="0"/>
          <w:sz w:val="24"/>
          <w:szCs w:val="24"/>
          <w:highlight w:val="none"/>
          <w:lang w:val="en-US" w:eastAsia="zh-CN"/>
        </w:rPr>
        <w:t xml:space="preserve"> 本次招标不接受联合体投标。</w:t>
      </w:r>
    </w:p>
    <w:p w14:paraId="35E5AE8D">
      <w:pPr>
        <w:wordWrap w:val="0"/>
        <w:adjustRightInd w:val="0"/>
        <w:snapToGrid w:val="0"/>
        <w:spacing w:line="360" w:lineRule="auto"/>
        <w:ind w:firstLine="482" w:firstLineChars="200"/>
        <w:rPr>
          <w:rStyle w:val="19"/>
          <w:rFonts w:hint="eastAsia" w:ascii="宋体" w:hAnsi="宋体" w:eastAsia="宋体" w:cs="宋体"/>
          <w:b w:val="0"/>
          <w:bCs w:val="0"/>
          <w:color w:val="auto"/>
          <w:kern w:val="0"/>
          <w:sz w:val="24"/>
          <w:szCs w:val="24"/>
          <w:highlight w:val="none"/>
          <w:lang w:val="en-US" w:eastAsia="zh-CN"/>
        </w:rPr>
      </w:pPr>
      <w:r>
        <w:rPr>
          <w:rStyle w:val="19"/>
          <w:rFonts w:hint="eastAsia" w:ascii="宋体" w:hAnsi="宋体" w:eastAsia="宋体" w:cs="宋体"/>
          <w:b/>
          <w:bCs/>
          <w:color w:val="auto"/>
          <w:kern w:val="0"/>
          <w:sz w:val="24"/>
          <w:szCs w:val="24"/>
          <w:highlight w:val="none"/>
          <w:lang w:val="en-US" w:eastAsia="zh-CN"/>
        </w:rPr>
        <w:t xml:space="preserve">2.2 </w:t>
      </w:r>
      <w:r>
        <w:rPr>
          <w:rStyle w:val="19"/>
          <w:rFonts w:hint="eastAsia" w:ascii="宋体" w:hAnsi="宋体" w:eastAsia="宋体" w:cs="宋体"/>
          <w:b w:val="0"/>
          <w:bCs w:val="0"/>
          <w:color w:val="auto"/>
          <w:kern w:val="0"/>
          <w:sz w:val="24"/>
          <w:szCs w:val="24"/>
          <w:highlight w:val="none"/>
          <w:lang w:val="en-US" w:eastAsia="zh-CN"/>
        </w:rPr>
        <w:t>资格资质要求</w:t>
      </w:r>
    </w:p>
    <w:p w14:paraId="62376B4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19"/>
          <w:rFonts w:hint="eastAsia" w:ascii="宋体" w:hAnsi="宋体" w:eastAsia="宋体" w:cs="宋体"/>
          <w:b/>
          <w:bCs/>
          <w:color w:val="auto"/>
          <w:kern w:val="0"/>
          <w:sz w:val="24"/>
          <w:szCs w:val="24"/>
          <w:highlight w:val="none"/>
          <w:lang w:val="en-US" w:eastAsia="zh-CN"/>
        </w:rPr>
        <w:t xml:space="preserve">2.2.1 </w:t>
      </w:r>
      <w:r>
        <w:rPr>
          <w:rFonts w:hint="eastAsia" w:ascii="宋体" w:hAnsi="宋体" w:eastAsia="宋体" w:cs="宋体"/>
          <w:b w:val="0"/>
          <w:bCs w:val="0"/>
          <w:color w:val="auto"/>
          <w:sz w:val="24"/>
          <w:szCs w:val="24"/>
          <w:highlight w:val="none"/>
          <w:lang w:val="en-US" w:eastAsia="zh-CN"/>
        </w:rPr>
        <w:t>投标人须具备独立法人资格，按国家法律经营。</w:t>
      </w:r>
    </w:p>
    <w:p w14:paraId="6CD5160B">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19"/>
          <w:rFonts w:hint="eastAsia" w:ascii="宋体" w:hAnsi="宋体" w:eastAsia="宋体" w:cs="宋体"/>
          <w:b/>
          <w:bCs/>
          <w:color w:val="auto"/>
          <w:kern w:val="0"/>
          <w:sz w:val="24"/>
          <w:szCs w:val="24"/>
          <w:highlight w:val="none"/>
          <w:lang w:val="en-US" w:eastAsia="zh-CN"/>
        </w:rPr>
        <w:t xml:space="preserve">2.2.2 </w:t>
      </w:r>
      <w:r>
        <w:rPr>
          <w:rFonts w:hint="eastAsia" w:ascii="宋体" w:hAnsi="宋体" w:eastAsia="宋体" w:cs="宋体"/>
          <w:b w:val="0"/>
          <w:bCs w:val="0"/>
          <w:color w:val="auto"/>
          <w:sz w:val="24"/>
          <w:szCs w:val="24"/>
          <w:highlight w:val="none"/>
          <w:lang w:val="en-US" w:eastAsia="zh-CN"/>
        </w:rPr>
        <w:t>投标人须持有建设行政主管部门颁发的企业资质证书及安全生产许可证。</w:t>
      </w:r>
    </w:p>
    <w:p w14:paraId="043527F0">
      <w:pPr>
        <w:wordWrap w:val="0"/>
        <w:adjustRightInd w:val="0"/>
        <w:snapToGrid w:val="0"/>
        <w:spacing w:line="360" w:lineRule="auto"/>
        <w:ind w:firstLine="482" w:firstLineChars="200"/>
        <w:rPr>
          <w:rStyle w:val="19"/>
          <w:rFonts w:hint="eastAsia" w:ascii="宋体" w:hAnsi="宋体" w:eastAsia="宋体" w:cs="宋体"/>
          <w:b/>
          <w:bCs/>
          <w:color w:val="auto"/>
          <w:kern w:val="0"/>
          <w:sz w:val="24"/>
          <w:szCs w:val="24"/>
          <w:highlight w:val="none"/>
          <w:lang w:val="en-US" w:eastAsia="zh-CN"/>
        </w:rPr>
      </w:pPr>
      <w:r>
        <w:rPr>
          <w:rStyle w:val="19"/>
          <w:rFonts w:hint="eastAsia" w:ascii="宋体" w:hAnsi="宋体" w:eastAsia="宋体" w:cs="宋体"/>
          <w:b/>
          <w:bCs/>
          <w:color w:val="auto"/>
          <w:kern w:val="0"/>
          <w:sz w:val="24"/>
          <w:szCs w:val="24"/>
          <w:highlight w:val="none"/>
          <w:lang w:val="en-US" w:eastAsia="zh-CN"/>
        </w:rPr>
        <w:t xml:space="preserve">2.2.3 </w:t>
      </w:r>
      <w:r>
        <w:rPr>
          <w:rFonts w:hint="eastAsia" w:ascii="宋体" w:hAnsi="宋体" w:eastAsia="宋体" w:cs="宋体"/>
          <w:b w:val="0"/>
          <w:bCs w:val="0"/>
          <w:color w:val="auto"/>
          <w:sz w:val="24"/>
          <w:szCs w:val="24"/>
          <w:highlight w:val="none"/>
          <w:lang w:val="en-US" w:eastAsia="zh-CN"/>
        </w:rPr>
        <w:t>投标人须具备以下资质：</w:t>
      </w:r>
      <w:r>
        <w:rPr>
          <w:rFonts w:hint="eastAsia" w:ascii="宋体" w:hAnsi="宋体" w:eastAsia="宋体" w:cs="宋体"/>
          <w:b w:val="0"/>
          <w:bCs w:val="0"/>
          <w:color w:val="auto"/>
          <w:sz w:val="24"/>
          <w:szCs w:val="24"/>
          <w:highlight w:val="none"/>
          <w:u w:val="single"/>
          <w:lang w:val="en-US" w:eastAsia="zh-CN"/>
        </w:rPr>
        <w:t>具有建设行政主管部门颁发的市政公用工程施工总承包叁级(含叁级)以上资质。</w:t>
      </w:r>
    </w:p>
    <w:p w14:paraId="1396A9AD">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19"/>
          <w:rFonts w:hint="eastAsia" w:ascii="宋体" w:hAnsi="宋体" w:eastAsia="宋体" w:cs="宋体"/>
          <w:b/>
          <w:bCs/>
          <w:color w:val="auto"/>
          <w:kern w:val="0"/>
          <w:sz w:val="24"/>
          <w:szCs w:val="24"/>
          <w:highlight w:val="none"/>
          <w:lang w:val="en-US" w:eastAsia="zh-CN"/>
        </w:rPr>
        <w:t xml:space="preserve">2.2.4 </w:t>
      </w:r>
      <w:r>
        <w:rPr>
          <w:rFonts w:hint="eastAsia" w:ascii="宋体" w:hAnsi="宋体" w:eastAsia="宋体" w:cs="宋体"/>
          <w:b w:val="0"/>
          <w:bCs w:val="0"/>
          <w:color w:val="auto"/>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B37663C">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19"/>
          <w:rFonts w:hint="eastAsia" w:ascii="宋体" w:hAnsi="宋体" w:eastAsia="宋体" w:cs="宋体"/>
          <w:b/>
          <w:bCs/>
          <w:color w:val="auto"/>
          <w:kern w:val="0"/>
          <w:sz w:val="24"/>
          <w:szCs w:val="24"/>
          <w:highlight w:val="none"/>
          <w:lang w:val="en-US" w:eastAsia="zh-CN"/>
        </w:rPr>
        <w:t xml:space="preserve">2.3 </w:t>
      </w:r>
      <w:r>
        <w:rPr>
          <w:rFonts w:hint="eastAsia" w:ascii="宋体" w:hAnsi="宋体" w:eastAsia="宋体" w:cs="宋体"/>
          <w:b w:val="0"/>
          <w:bCs w:val="0"/>
          <w:color w:val="auto"/>
          <w:sz w:val="24"/>
          <w:szCs w:val="24"/>
          <w:highlight w:val="none"/>
          <w:lang w:val="en-US" w:eastAsia="zh-CN"/>
        </w:rPr>
        <w:t>相关人员要求</w:t>
      </w:r>
    </w:p>
    <w:p w14:paraId="6C531DE2">
      <w:pPr>
        <w:wordWrap w:val="0"/>
        <w:adjustRightInd w:val="0"/>
        <w:snapToGrid w:val="0"/>
        <w:spacing w:line="360" w:lineRule="auto"/>
        <w:ind w:firstLine="482" w:firstLineChars="200"/>
        <w:rPr>
          <w:rStyle w:val="19"/>
          <w:rFonts w:hint="eastAsia" w:ascii="宋体" w:hAnsi="宋体" w:eastAsia="宋体" w:cs="宋体"/>
          <w:b/>
          <w:bCs/>
          <w:color w:val="auto"/>
          <w:kern w:val="0"/>
          <w:sz w:val="24"/>
          <w:szCs w:val="24"/>
          <w:highlight w:val="none"/>
          <w:lang w:val="en-US" w:eastAsia="zh-CN"/>
        </w:rPr>
      </w:pPr>
      <w:r>
        <w:rPr>
          <w:rStyle w:val="19"/>
          <w:rFonts w:hint="eastAsia" w:ascii="宋体" w:hAnsi="宋体" w:eastAsia="宋体" w:cs="宋体"/>
          <w:b/>
          <w:bCs/>
          <w:color w:val="auto"/>
          <w:kern w:val="0"/>
          <w:sz w:val="24"/>
          <w:szCs w:val="24"/>
          <w:highlight w:val="none"/>
          <w:lang w:val="en-US" w:eastAsia="zh-CN"/>
        </w:rPr>
        <w:t xml:space="preserve">2.3.1 </w:t>
      </w:r>
      <w:r>
        <w:rPr>
          <w:rFonts w:hint="eastAsia" w:ascii="宋体" w:hAnsi="宋体" w:eastAsia="宋体" w:cs="宋体"/>
          <w:b w:val="0"/>
          <w:bCs w:val="0"/>
          <w:color w:val="auto"/>
          <w:sz w:val="24"/>
          <w:szCs w:val="24"/>
          <w:highlight w:val="none"/>
          <w:lang w:val="en-US" w:eastAsia="zh-CN"/>
        </w:rPr>
        <w:t>拟派项目经理为</w:t>
      </w:r>
      <w:r>
        <w:rPr>
          <w:rFonts w:hint="eastAsia" w:ascii="宋体" w:hAnsi="宋体" w:eastAsia="宋体" w:cs="宋体"/>
          <w:b w:val="0"/>
          <w:bCs w:val="0"/>
          <w:color w:val="auto"/>
          <w:sz w:val="24"/>
          <w:szCs w:val="24"/>
          <w:highlight w:val="none"/>
          <w:u w:val="single"/>
          <w:lang w:val="en-US" w:eastAsia="zh-CN"/>
        </w:rPr>
        <w:t xml:space="preserve"> 市政工程 </w:t>
      </w:r>
      <w:r>
        <w:rPr>
          <w:rFonts w:hint="eastAsia" w:ascii="宋体" w:hAnsi="宋体" w:eastAsia="宋体" w:cs="宋体"/>
          <w:b w:val="0"/>
          <w:bCs w:val="0"/>
          <w:color w:val="auto"/>
          <w:sz w:val="24"/>
          <w:szCs w:val="24"/>
          <w:highlight w:val="none"/>
          <w:lang w:val="en-US" w:eastAsia="zh-CN"/>
        </w:rPr>
        <w:t xml:space="preserve">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  </w:t>
      </w:r>
    </w:p>
    <w:p w14:paraId="736A262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19"/>
          <w:rFonts w:hint="eastAsia" w:ascii="宋体" w:hAnsi="宋体" w:eastAsia="宋体" w:cs="宋体"/>
          <w:b/>
          <w:bCs/>
          <w:color w:val="auto"/>
          <w:kern w:val="0"/>
          <w:sz w:val="24"/>
          <w:szCs w:val="24"/>
          <w:highlight w:val="none"/>
          <w:lang w:val="en-US" w:eastAsia="zh-CN"/>
        </w:rPr>
        <w:t xml:space="preserve">2.3.2 </w:t>
      </w:r>
      <w:r>
        <w:rPr>
          <w:rFonts w:hint="eastAsia" w:ascii="宋体" w:hAnsi="宋体" w:eastAsia="宋体" w:cs="宋体"/>
          <w:b w:val="0"/>
          <w:bCs w:val="0"/>
          <w:color w:val="auto"/>
          <w:sz w:val="24"/>
          <w:szCs w:val="24"/>
          <w:highlight w:val="none"/>
          <w:lang w:val="en-US" w:eastAsia="zh-CN"/>
        </w:rPr>
        <w:t>拟派项目技术负责人须具备</w:t>
      </w:r>
      <w:r>
        <w:rPr>
          <w:rFonts w:hint="eastAsia" w:ascii="宋体" w:hAnsi="宋体" w:eastAsia="宋体" w:cs="宋体"/>
          <w:b w:val="0"/>
          <w:bCs w:val="0"/>
          <w:color w:val="auto"/>
          <w:sz w:val="24"/>
          <w:szCs w:val="24"/>
          <w:highlight w:val="none"/>
          <w:u w:val="single"/>
          <w:lang w:val="en-US" w:eastAsia="zh-CN"/>
        </w:rPr>
        <w:t xml:space="preserve"> 市政工程</w:t>
      </w:r>
      <w:r>
        <w:rPr>
          <w:rFonts w:hint="eastAsia" w:ascii="宋体" w:hAnsi="宋体" w:eastAsia="宋体" w:cs="宋体"/>
          <w:b w:val="0"/>
          <w:bCs w:val="0"/>
          <w:color w:val="auto"/>
          <w:sz w:val="24"/>
          <w:szCs w:val="24"/>
          <w:highlight w:val="none"/>
          <w:lang w:val="en-US" w:eastAsia="zh-CN"/>
        </w:rPr>
        <w:t>类相关专业中级或以上技术职称。</w:t>
      </w:r>
    </w:p>
    <w:p w14:paraId="3C9096CE">
      <w:pPr>
        <w:wordWrap w:val="0"/>
        <w:adjustRightInd w:val="0"/>
        <w:snapToGrid w:val="0"/>
        <w:spacing w:line="360" w:lineRule="auto"/>
        <w:ind w:firstLine="482" w:firstLineChars="200"/>
        <w:rPr>
          <w:rStyle w:val="19"/>
          <w:rFonts w:hint="eastAsia" w:ascii="宋体" w:hAnsi="宋体" w:eastAsia="宋体" w:cs="宋体"/>
          <w:b/>
          <w:bCs/>
          <w:color w:val="auto"/>
          <w:kern w:val="0"/>
          <w:sz w:val="24"/>
          <w:szCs w:val="24"/>
          <w:highlight w:val="none"/>
          <w:lang w:val="en-US" w:eastAsia="zh-CN"/>
        </w:rPr>
      </w:pPr>
      <w:r>
        <w:rPr>
          <w:rStyle w:val="19"/>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b w:val="0"/>
          <w:bCs w:val="0"/>
          <w:color w:val="auto"/>
          <w:sz w:val="24"/>
          <w:szCs w:val="24"/>
          <w:highlight w:val="none"/>
          <w:lang w:val="en-US" w:eastAsia="zh-CN"/>
        </w:rPr>
        <w:t xml:space="preserve">拟派专职安全生产管理人员须具备有效安全生产考核合格证明（C证，安全生产考核合格证书或“广东省建筑施工企业管理人员安全生产考核信息系统”考核合格信息打印页），且不少于1人。 </w:t>
      </w:r>
    </w:p>
    <w:p w14:paraId="711B4950">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19"/>
          <w:rFonts w:hint="eastAsia" w:ascii="宋体" w:hAnsi="宋体" w:eastAsia="宋体" w:cs="宋体"/>
          <w:b/>
          <w:bCs/>
          <w:color w:val="auto"/>
          <w:kern w:val="0"/>
          <w:sz w:val="24"/>
          <w:szCs w:val="24"/>
          <w:highlight w:val="none"/>
          <w:lang w:val="en-US" w:eastAsia="zh-CN"/>
        </w:rPr>
        <w:t xml:space="preserve">2.3.4 </w:t>
      </w:r>
      <w:r>
        <w:rPr>
          <w:rFonts w:hint="eastAsia" w:ascii="宋体" w:hAnsi="宋体" w:eastAsia="宋体" w:cs="宋体"/>
          <w:b w:val="0"/>
          <w:bCs w:val="0"/>
          <w:color w:val="auto"/>
          <w:sz w:val="24"/>
          <w:szCs w:val="24"/>
          <w:highlight w:val="none"/>
          <w:lang w:val="en-US"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6B0DD0FC">
      <w:pPr>
        <w:spacing w:before="78"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198E7E83">
      <w:pPr>
        <w:spacing w:before="153"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6C5CBCD6">
      <w:pPr>
        <w:spacing w:before="153"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00645A12">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466E2120">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358EB851">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6D365ADF">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661267E9">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6248B25F">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199345F5">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42A9F078">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3ED798D0">
      <w:pPr>
        <w:spacing w:before="155" w:line="219"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3D5B3F7C">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649343B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1E4B846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73DFCEAC">
      <w:pPr>
        <w:pStyle w:val="21"/>
        <w:wordWrap w:val="0"/>
        <w:adjustRightInd w:val="0"/>
        <w:snapToGrid w:val="0"/>
        <w:spacing w:line="440" w:lineRule="exact"/>
        <w:ind w:firstLine="480"/>
        <w:jc w:val="left"/>
        <w:rPr>
          <w:rFonts w:hint="eastAsia" w:ascii="宋体" w:hAnsi="宋体" w:eastAsia="宋体" w:cs="宋体"/>
          <w:color w:val="auto"/>
          <w:spacing w:val="2"/>
          <w:sz w:val="24"/>
          <w:szCs w:val="24"/>
          <w:highlight w:val="none"/>
        </w:rPr>
      </w:pPr>
      <w:bookmarkStart w:id="18" w:name="bookmark116"/>
      <w:bookmarkEnd w:id="18"/>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39E50891">
      <w:pPr>
        <w:pStyle w:val="21"/>
        <w:wordWrap w:val="0"/>
        <w:adjustRightInd w:val="0"/>
        <w:snapToGrid w:val="0"/>
        <w:spacing w:line="44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40B021B1">
      <w:pPr>
        <w:spacing w:before="118" w:line="293" w:lineRule="auto"/>
        <w:ind w:left="232" w:right="99"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26B8C09D">
      <w:pPr>
        <w:spacing w:before="155" w:line="219" w:lineRule="auto"/>
        <w:ind w:left="706"/>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tbl>
      <w:tblPr>
        <w:tblStyle w:val="14"/>
        <w:tblW w:w="8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4264"/>
        <w:gridCol w:w="3720"/>
      </w:tblGrid>
      <w:tr w14:paraId="3076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694A6BC8">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4264" w:type="dxa"/>
            <w:vAlign w:val="center"/>
          </w:tcPr>
          <w:p w14:paraId="04B025F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3720" w:type="dxa"/>
            <w:vAlign w:val="center"/>
          </w:tcPr>
          <w:p w14:paraId="35E4854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7EAC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02AE2E34">
            <w:pPr>
              <w:pStyle w:val="21"/>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p>
        </w:tc>
        <w:tc>
          <w:tcPr>
            <w:tcW w:w="4264" w:type="dxa"/>
            <w:vAlign w:val="center"/>
          </w:tcPr>
          <w:p w14:paraId="65193855">
            <w:pPr>
              <w:pStyle w:val="21"/>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仁化县丹霞旅游经济开发试验区管理委员会</w:t>
            </w:r>
          </w:p>
        </w:tc>
        <w:tc>
          <w:tcPr>
            <w:tcW w:w="3720" w:type="dxa"/>
            <w:vAlign w:val="center"/>
          </w:tcPr>
          <w:p w14:paraId="74874F27">
            <w:pPr>
              <w:pStyle w:val="21"/>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为本招标项目的招标人</w:t>
            </w:r>
          </w:p>
        </w:tc>
      </w:tr>
      <w:tr w14:paraId="5852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03866D64">
            <w:pPr>
              <w:pStyle w:val="21"/>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2</w:t>
            </w:r>
          </w:p>
        </w:tc>
        <w:tc>
          <w:tcPr>
            <w:tcW w:w="4264" w:type="dxa"/>
            <w:vAlign w:val="center"/>
          </w:tcPr>
          <w:p w14:paraId="62B0D81F">
            <w:pPr>
              <w:pStyle w:val="21"/>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广东爱科工程咨询管理有限公司</w:t>
            </w:r>
          </w:p>
        </w:tc>
        <w:tc>
          <w:tcPr>
            <w:tcW w:w="3720" w:type="dxa"/>
            <w:vAlign w:val="center"/>
          </w:tcPr>
          <w:p w14:paraId="2D7AE2F8">
            <w:pPr>
              <w:pStyle w:val="21"/>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52B1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7B69EA9B">
            <w:pPr>
              <w:pStyle w:val="21"/>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w:t>
            </w:r>
          </w:p>
        </w:tc>
        <w:tc>
          <w:tcPr>
            <w:tcW w:w="4264" w:type="dxa"/>
            <w:vAlign w:val="center"/>
          </w:tcPr>
          <w:p w14:paraId="1D9C1895">
            <w:pPr>
              <w:pStyle w:val="21"/>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广州博厦建筑设计研究院有限公司</w:t>
            </w:r>
          </w:p>
        </w:tc>
        <w:tc>
          <w:tcPr>
            <w:tcW w:w="3720" w:type="dxa"/>
            <w:vAlign w:val="center"/>
          </w:tcPr>
          <w:p w14:paraId="0FEDB35A">
            <w:pPr>
              <w:pStyle w:val="21"/>
              <w:wordWrap w:val="0"/>
              <w:adjustRightInd w:val="0"/>
              <w:snapToGrid w:val="0"/>
              <w:spacing w:line="340" w:lineRule="exact"/>
              <w:jc w:val="left"/>
              <w:rPr>
                <w:rFonts w:hint="default" w:ascii="宋体" w:hAnsi="宋体" w:eastAsia="宋体" w:cs="宋体"/>
                <w:snapToGrid w:val="0"/>
                <w:color w:val="auto"/>
                <w:kern w:val="0"/>
                <w:sz w:val="21"/>
                <w:szCs w:val="21"/>
                <w:highlight w:val="yellow"/>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cs="宋体"/>
                <w:snapToGrid w:val="0"/>
                <w:color w:val="auto"/>
                <w:kern w:val="0"/>
                <w:sz w:val="21"/>
                <w:szCs w:val="21"/>
                <w:highlight w:val="none"/>
                <w:lang w:val="en-US" w:eastAsia="zh-CN"/>
              </w:rPr>
              <w:t>设计单位</w:t>
            </w:r>
          </w:p>
        </w:tc>
      </w:tr>
      <w:tr w14:paraId="5007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3F58E3F6">
            <w:pPr>
              <w:pStyle w:val="21"/>
              <w:wordWrap w:val="0"/>
              <w:adjustRightInd w:val="0"/>
              <w:snapToGrid w:val="0"/>
              <w:spacing w:line="34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4264" w:type="dxa"/>
            <w:vAlign w:val="center"/>
          </w:tcPr>
          <w:p w14:paraId="4241CE45">
            <w:pPr>
              <w:pStyle w:val="21"/>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中核大地生态科技有限公司</w:t>
            </w:r>
          </w:p>
        </w:tc>
        <w:tc>
          <w:tcPr>
            <w:tcW w:w="3720" w:type="dxa"/>
            <w:vAlign w:val="center"/>
          </w:tcPr>
          <w:p w14:paraId="40CA11E2">
            <w:pPr>
              <w:pStyle w:val="21"/>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勘察单位</w:t>
            </w:r>
          </w:p>
        </w:tc>
      </w:tr>
      <w:tr w14:paraId="02DF0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32464B34">
            <w:pPr>
              <w:pStyle w:val="21"/>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5</w:t>
            </w:r>
          </w:p>
        </w:tc>
        <w:tc>
          <w:tcPr>
            <w:tcW w:w="4264" w:type="dxa"/>
            <w:vAlign w:val="center"/>
          </w:tcPr>
          <w:p w14:paraId="13512776">
            <w:pPr>
              <w:pStyle w:val="21"/>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广东加达工程咨询有限公司</w:t>
            </w:r>
          </w:p>
        </w:tc>
        <w:tc>
          <w:tcPr>
            <w:tcW w:w="3720" w:type="dxa"/>
            <w:vAlign w:val="center"/>
          </w:tcPr>
          <w:p w14:paraId="6647436C">
            <w:pPr>
              <w:pStyle w:val="21"/>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eastAsia="zh-CN"/>
              </w:rPr>
              <w:t>为本招标项目的全过程造价咨询单位</w:t>
            </w:r>
          </w:p>
        </w:tc>
      </w:tr>
      <w:tr w14:paraId="3F54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6EBA4238">
            <w:pPr>
              <w:pStyle w:val="21"/>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6</w:t>
            </w:r>
          </w:p>
        </w:tc>
        <w:tc>
          <w:tcPr>
            <w:tcW w:w="4264" w:type="dxa"/>
            <w:vAlign w:val="center"/>
          </w:tcPr>
          <w:p w14:paraId="362699C4">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sz w:val="21"/>
                <w:szCs w:val="21"/>
                <w:highlight w:val="none"/>
                <w:lang w:eastAsia="zh-CN"/>
              </w:rPr>
              <w:t>仁化县住房和城乡建设管理局</w:t>
            </w:r>
          </w:p>
        </w:tc>
        <w:tc>
          <w:tcPr>
            <w:tcW w:w="3720" w:type="dxa"/>
            <w:vAlign w:val="center"/>
          </w:tcPr>
          <w:p w14:paraId="22A4A390">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为本招标项目的监督单位</w:t>
            </w:r>
          </w:p>
        </w:tc>
      </w:tr>
    </w:tbl>
    <w:p w14:paraId="7FDEB427">
      <w:pPr>
        <w:spacing w:line="93" w:lineRule="auto"/>
        <w:rPr>
          <w:rFonts w:hint="eastAsia" w:ascii="宋体" w:hAnsi="宋体" w:eastAsia="宋体" w:cs="宋体"/>
          <w:color w:val="auto"/>
          <w:sz w:val="2"/>
          <w:highlight w:val="none"/>
        </w:rPr>
      </w:pPr>
    </w:p>
    <w:p w14:paraId="44FD298A">
      <w:pPr>
        <w:spacing w:before="153" w:line="221"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29532D5">
      <w:pPr>
        <w:spacing w:before="150" w:line="334"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52</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4"/>
          <w:sz w:val="24"/>
          <w:szCs w:val="24"/>
          <w:highlight w:val="none"/>
        </w:rPr>
        <w:t>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0063DCBD">
      <w:pPr>
        <w:spacing w:before="79" w:line="220" w:lineRule="auto"/>
        <w:ind w:left="715"/>
        <w:outlineLvl w:val="2"/>
        <w:rPr>
          <w:rFonts w:hint="eastAsia" w:ascii="宋体" w:hAnsi="宋体" w:eastAsia="宋体" w:cs="宋体"/>
          <w:color w:val="auto"/>
          <w:sz w:val="24"/>
          <w:szCs w:val="24"/>
          <w:highlight w:val="none"/>
        </w:rPr>
      </w:pPr>
      <w:bookmarkStart w:id="19" w:name="_Toc7079"/>
      <w:bookmarkStart w:id="20" w:name="_Toc23243"/>
      <w:r>
        <w:rPr>
          <w:rFonts w:hint="eastAsia" w:ascii="宋体" w:hAnsi="宋体" w:eastAsia="宋体" w:cs="宋体"/>
          <w:b/>
          <w:bCs/>
          <w:color w:val="auto"/>
          <w:spacing w:val="-4"/>
          <w:sz w:val="24"/>
          <w:szCs w:val="24"/>
          <w:highlight w:val="none"/>
        </w:rPr>
        <w:t>3．招标文件的获取</w:t>
      </w:r>
      <w:bookmarkEnd w:id="19"/>
      <w:bookmarkEnd w:id="20"/>
    </w:p>
    <w:p w14:paraId="6F47DB12">
      <w:pPr>
        <w:spacing w:before="182" w:line="219"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53B49621">
      <w:pPr>
        <w:spacing w:before="178" w:line="355"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 xml:space="preserve">  //ygp.gdzwfw.gov.cn/ggz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 （附件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业务咨询电话：0751-8633211、8633071。</w:t>
      </w:r>
    </w:p>
    <w:p w14:paraId="68899B1C">
      <w:pPr>
        <w:spacing w:before="142" w:line="33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66BF8C88">
      <w:pPr>
        <w:spacing w:before="32" w:line="332"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2BFC4BF1">
      <w:pPr>
        <w:spacing w:before="37" w:line="329"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人自行承担。</w:t>
      </w:r>
    </w:p>
    <w:p w14:paraId="3B9F37C6">
      <w:pPr>
        <w:spacing w:before="33" w:line="335"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05AB0BB7">
      <w:pPr>
        <w:spacing w:before="33" w:line="221"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050F418D">
      <w:pPr>
        <w:spacing w:before="152" w:line="28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10万元</w:t>
      </w:r>
      <w:r>
        <w:rPr>
          <w:rFonts w:hint="eastAsia" w:ascii="宋体" w:hAnsi="宋体" w:eastAsia="宋体" w:cs="宋体"/>
          <w:color w:val="auto"/>
          <w:spacing w:val="-1"/>
          <w:sz w:val="24"/>
          <w:szCs w:val="24"/>
          <w:highlight w:val="none"/>
        </w:rPr>
        <w:t xml:space="preserve">人民币的投标保证。 </w:t>
      </w:r>
    </w:p>
    <w:p w14:paraId="28067BD7">
      <w:pPr>
        <w:spacing w:before="35" w:line="325"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353E08E8">
      <w:pPr>
        <w:spacing w:before="78" w:line="334" w:lineRule="auto"/>
        <w:ind w:left="12" w:right="2" w:firstLine="490"/>
        <w:jc w:val="both"/>
        <w:rPr>
          <w:rFonts w:hint="eastAsia" w:ascii="宋体" w:hAnsi="宋体" w:eastAsia="宋体" w:cs="宋体"/>
          <w:color w:val="auto"/>
          <w:spacing w:val="-1"/>
          <w:sz w:val="24"/>
          <w:szCs w:val="24"/>
          <w:highlight w:val="none"/>
        </w:rPr>
      </w:pPr>
      <w:bookmarkStart w:id="21" w:name="bookmark117"/>
      <w:bookmarkEnd w:id="21"/>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2D0F206B">
      <w:pPr>
        <w:spacing w:before="78" w:line="334" w:lineRule="auto"/>
        <w:ind w:left="12" w:right="2" w:firstLine="49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F9AA94">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 ·韶关市） （</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 目中下载《建设工程网上交易系统保险保证金缴纳操作指南》，了解网上投保具体操 作流程。逾期投保的，其投标无效。</w:t>
      </w:r>
    </w:p>
    <w:p w14:paraId="6CFA3F60">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06BEDC68">
      <w:pPr>
        <w:spacing w:before="78" w:line="334" w:lineRule="auto"/>
        <w:ind w:left="12" w:right="2" w:firstLine="490"/>
        <w:jc w:val="both"/>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31109792">
      <w:pPr>
        <w:spacing w:before="79" w:line="221" w:lineRule="auto"/>
        <w:ind w:left="487"/>
        <w:outlineLvl w:val="2"/>
        <w:rPr>
          <w:rFonts w:hint="eastAsia" w:ascii="宋体" w:hAnsi="宋体" w:eastAsia="宋体" w:cs="宋体"/>
          <w:color w:val="auto"/>
          <w:sz w:val="24"/>
          <w:szCs w:val="24"/>
          <w:highlight w:val="none"/>
        </w:rPr>
      </w:pPr>
      <w:bookmarkStart w:id="22" w:name="bookmark64"/>
      <w:bookmarkEnd w:id="22"/>
      <w:bookmarkStart w:id="23" w:name="bookmark78"/>
      <w:bookmarkEnd w:id="23"/>
      <w:bookmarkStart w:id="24" w:name="_Toc15498"/>
      <w:bookmarkStart w:id="25" w:name="_Toc16717"/>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4"/>
      <w:bookmarkEnd w:id="25"/>
    </w:p>
    <w:p w14:paraId="492DB599">
      <w:pPr>
        <w:spacing w:before="153" w:line="324" w:lineRule="auto"/>
        <w:ind w:left="30" w:right="65" w:firstLine="4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180个日历天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6CEF653C">
      <w:pPr>
        <w:spacing w:before="78" w:line="219" w:lineRule="auto"/>
        <w:ind w:left="488"/>
        <w:outlineLvl w:val="2"/>
        <w:rPr>
          <w:rFonts w:hint="eastAsia" w:ascii="宋体" w:hAnsi="宋体" w:eastAsia="宋体" w:cs="宋体"/>
          <w:color w:val="auto"/>
          <w:sz w:val="24"/>
          <w:szCs w:val="24"/>
          <w:highlight w:val="none"/>
        </w:rPr>
      </w:pPr>
      <w:bookmarkStart w:id="26" w:name="_Toc11737"/>
      <w:bookmarkStart w:id="27" w:name="_Toc4154"/>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6"/>
      <w:bookmarkEnd w:id="27"/>
    </w:p>
    <w:p w14:paraId="6580E484">
      <w:pPr>
        <w:spacing w:before="154" w:line="279" w:lineRule="auto"/>
        <w:ind w:left="11" w:right="99"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施工工艺严格按照国家和广东省的有关现行施工技术规范及标准执行，工程</w:t>
      </w:r>
      <w:r>
        <w:rPr>
          <w:rFonts w:hint="eastAsia" w:ascii="宋体" w:hAnsi="宋体" w:eastAsia="宋体" w:cs="宋体"/>
          <w:color w:val="auto"/>
          <w:spacing w:val="-1"/>
          <w:sz w:val="24"/>
          <w:szCs w:val="24"/>
          <w:highlight w:val="none"/>
        </w:rPr>
        <w:t>质量标准须达到</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达到《建筑工程施工质量验收统一标准》(GB50300-2013)并且合格</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w:t>
      </w:r>
    </w:p>
    <w:p w14:paraId="549FF2FB">
      <w:pPr>
        <w:spacing w:before="154" w:line="279" w:lineRule="auto"/>
        <w:ind w:left="10" w:right="99"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48C34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
          <w:sz w:val="24"/>
          <w:szCs w:val="24"/>
          <w:highlight w:val="none"/>
        </w:rPr>
        <w:t>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规定执行，在保修期内因施工质量问题而造成返修，一切费用由中标人负责。中标人 在向招标人提交竣工验收报告时，应当向招标人出具质量保修书。质量保修书中应当明确建设工程的保修范围、保修期限和保修责任等。</w:t>
      </w:r>
    </w:p>
    <w:p w14:paraId="6F4EC01E">
      <w:pPr>
        <w:spacing w:before="152" w:line="309" w:lineRule="auto"/>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rPr>
        <w:t>本招标项目</w:t>
      </w:r>
      <w:r>
        <w:rPr>
          <w:rFonts w:hint="eastAsia" w:ascii="宋体" w:hAnsi="宋体" w:eastAsia="宋体" w:cs="宋体"/>
          <w:color w:val="auto"/>
          <w:spacing w:val="-6"/>
          <w:sz w:val="24"/>
          <w:szCs w:val="24"/>
          <w:highlight w:val="none"/>
          <w:lang w:val="en-US" w:eastAsia="zh-CN"/>
        </w:rPr>
        <w:t>不</w:t>
      </w:r>
      <w:r>
        <w:rPr>
          <w:rFonts w:hint="eastAsia" w:ascii="宋体" w:hAnsi="宋体" w:eastAsia="宋体" w:cs="宋体"/>
          <w:color w:val="auto"/>
          <w:spacing w:val="-6"/>
          <w:sz w:val="24"/>
          <w:szCs w:val="24"/>
          <w:highlight w:val="none"/>
        </w:rPr>
        <w:t>纳入绿色建设实施范围</w:t>
      </w:r>
      <w:r>
        <w:rPr>
          <w:rFonts w:hint="eastAsia" w:ascii="宋体" w:hAnsi="宋体" w:eastAsia="宋体" w:cs="宋体"/>
          <w:color w:val="auto"/>
          <w:spacing w:val="-6"/>
          <w:sz w:val="24"/>
          <w:szCs w:val="24"/>
          <w:highlight w:val="none"/>
          <w:lang w:eastAsia="zh-CN"/>
        </w:rPr>
        <w:t>。</w:t>
      </w:r>
    </w:p>
    <w:p w14:paraId="3EA8CECA">
      <w:pPr>
        <w:spacing w:before="152" w:line="309" w:lineRule="auto"/>
        <w:ind w:left="9"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529B957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 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7DD80F84">
      <w:pPr>
        <w:spacing w:before="152" w:line="309" w:lineRule="auto"/>
        <w:ind w:left="9" w:firstLine="568"/>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A8A6FE1">
      <w:pPr>
        <w:spacing w:before="78" w:line="220" w:lineRule="auto"/>
        <w:ind w:left="489"/>
        <w:outlineLvl w:val="2"/>
        <w:rPr>
          <w:rFonts w:hint="eastAsia" w:ascii="宋体" w:hAnsi="宋体" w:eastAsia="宋体" w:cs="宋体"/>
          <w:color w:val="auto"/>
          <w:sz w:val="24"/>
          <w:szCs w:val="24"/>
          <w:highlight w:val="none"/>
        </w:rPr>
      </w:pPr>
      <w:bookmarkStart w:id="28" w:name="_Toc7763"/>
      <w:bookmarkStart w:id="29" w:name="_Toc31725"/>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8"/>
      <w:bookmarkEnd w:id="29"/>
    </w:p>
    <w:p w14:paraId="4C828FEF">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2BD082AA">
      <w:pPr>
        <w:spacing w:before="155" w:line="324" w:lineRule="auto"/>
        <w:ind w:left="12" w:right="99"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C5809E9">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5F05CB4A">
      <w:pPr>
        <w:spacing w:before="155" w:line="324" w:lineRule="auto"/>
        <w:ind w:left="12" w:right="99"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6.4</w:t>
      </w:r>
      <w:r>
        <w:rPr>
          <w:rFonts w:hint="eastAsia" w:ascii="宋体" w:hAnsi="宋体" w:eastAsia="宋体" w:cs="宋体"/>
          <w:color w:val="auto"/>
          <w:spacing w:val="-2"/>
          <w:sz w:val="24"/>
          <w:szCs w:val="24"/>
          <w:highlight w:val="none"/>
        </w:rPr>
        <w:t xml:space="preserve">  施工用水、用电各提供一驳接点到现场边缘。要求中标人单独安装水表、电表，其水、电费按项目所在地</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u w:val="single"/>
          <w:lang w:val="en-US" w:eastAsia="zh-CN"/>
        </w:rPr>
        <w:t xml:space="preserve">仁化县 </w:t>
      </w:r>
      <w:r>
        <w:rPr>
          <w:rFonts w:hint="eastAsia" w:ascii="宋体" w:hAnsi="宋体" w:eastAsia="宋体" w:cs="宋体"/>
          <w:color w:val="auto"/>
          <w:spacing w:val="-2"/>
          <w:sz w:val="24"/>
          <w:szCs w:val="24"/>
          <w:highlight w:val="none"/>
        </w:rPr>
        <w:t>基建工程水、电计费</w:t>
      </w:r>
      <w:r>
        <w:rPr>
          <w:rFonts w:hint="eastAsia" w:ascii="宋体" w:hAnsi="宋体" w:eastAsia="宋体" w:cs="宋体"/>
          <w:color w:val="auto"/>
          <w:spacing w:val="-3"/>
          <w:sz w:val="24"/>
          <w:szCs w:val="24"/>
          <w:highlight w:val="none"/>
        </w:rPr>
        <w:t>标准计算并由中标人缴纳。</w:t>
      </w:r>
    </w:p>
    <w:p w14:paraId="189BF34C">
      <w:pPr>
        <w:spacing w:before="154" w:line="29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6.5  </w:t>
      </w:r>
      <w:r>
        <w:rPr>
          <w:rFonts w:hint="eastAsia" w:ascii="宋体" w:hAnsi="宋体" w:eastAsia="宋体" w:cs="宋体"/>
          <w:color w:val="auto"/>
          <w:spacing w:val="-2"/>
          <w:sz w:val="24"/>
          <w:szCs w:val="24"/>
          <w:highlight w:val="none"/>
        </w:rPr>
        <w:t>招标人不组织现场踏勘，但会在招标文件及有关设计文件中明确告知招标项</w:t>
      </w:r>
      <w:r>
        <w:rPr>
          <w:rFonts w:hint="eastAsia" w:ascii="宋体" w:hAnsi="宋体" w:eastAsia="宋体" w:cs="宋体"/>
          <w:color w:val="auto"/>
          <w:spacing w:val="-1"/>
          <w:sz w:val="24"/>
          <w:szCs w:val="24"/>
          <w:highlight w:val="none"/>
        </w:rPr>
        <w:t>目的具体位置和周边环境，并在现场设置足以识别的标识或提</w:t>
      </w:r>
      <w:r>
        <w:rPr>
          <w:rFonts w:hint="eastAsia" w:ascii="宋体" w:hAnsi="宋体" w:eastAsia="宋体" w:cs="宋体"/>
          <w:color w:val="auto"/>
          <w:spacing w:val="-2"/>
          <w:sz w:val="24"/>
          <w:szCs w:val="24"/>
          <w:highlight w:val="none"/>
        </w:rPr>
        <w:t>供足以表明招标项目具</w:t>
      </w:r>
      <w:r>
        <w:rPr>
          <w:rFonts w:hint="eastAsia" w:ascii="宋体" w:hAnsi="宋体" w:eastAsia="宋体" w:cs="宋体"/>
          <w:color w:val="auto"/>
          <w:sz w:val="24"/>
          <w:szCs w:val="24"/>
          <w:highlight w:val="none"/>
        </w:rPr>
        <w:t>体位置的文字或图片。投标人需要了解现场情况的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29077E9E">
      <w:pPr>
        <w:spacing w:before="153" w:line="280"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6.6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1B002D65">
      <w:pPr>
        <w:spacing w:before="153" w:line="220" w:lineRule="auto"/>
        <w:ind w:left="568"/>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 xml:space="preserve">6.7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p>
    <w:p w14:paraId="35DD5CF7">
      <w:pPr>
        <w:spacing w:before="78" w:line="220" w:lineRule="auto"/>
        <w:ind w:left="488"/>
        <w:outlineLvl w:val="2"/>
        <w:rPr>
          <w:rFonts w:hint="eastAsia" w:ascii="宋体" w:hAnsi="宋体" w:eastAsia="宋体" w:cs="宋体"/>
          <w:color w:val="auto"/>
          <w:sz w:val="24"/>
          <w:szCs w:val="24"/>
          <w:highlight w:val="none"/>
        </w:rPr>
      </w:pPr>
      <w:bookmarkStart w:id="31" w:name="bookmark81"/>
      <w:bookmarkEnd w:id="31"/>
      <w:bookmarkStart w:id="32" w:name="bookmark67"/>
      <w:bookmarkEnd w:id="32"/>
      <w:bookmarkStart w:id="33" w:name="bookmark69"/>
      <w:bookmarkEnd w:id="33"/>
      <w:bookmarkStart w:id="34" w:name="_Toc4600"/>
      <w:bookmarkStart w:id="35" w:name="_Toc15543"/>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4"/>
      <w:bookmarkEnd w:id="35"/>
    </w:p>
    <w:p w14:paraId="318A4AA7">
      <w:pPr>
        <w:spacing w:before="153" w:line="299" w:lineRule="auto"/>
        <w:ind w:left="9" w:right="16" w:firstLine="478"/>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0C4E75E3">
      <w:pPr>
        <w:spacing w:before="154" w:line="30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3207CA6F">
      <w:pPr>
        <w:spacing w:before="152" w:line="219" w:lineRule="auto"/>
        <w:ind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1728F14D">
      <w:pPr>
        <w:spacing w:before="79" w:line="219" w:lineRule="auto"/>
        <w:ind w:left="488"/>
        <w:outlineLvl w:val="2"/>
        <w:rPr>
          <w:rFonts w:hint="eastAsia" w:ascii="宋体" w:hAnsi="宋体" w:eastAsia="宋体" w:cs="宋体"/>
          <w:color w:val="auto"/>
          <w:sz w:val="24"/>
          <w:szCs w:val="24"/>
          <w:highlight w:val="none"/>
          <w:lang w:eastAsia="zh-CN"/>
        </w:rPr>
      </w:pPr>
      <w:bookmarkStart w:id="36" w:name="_Toc6897"/>
      <w:bookmarkStart w:id="37" w:name="_Toc23728"/>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r>
        <w:rPr>
          <w:rFonts w:hint="eastAsia" w:ascii="宋体" w:hAnsi="宋体" w:eastAsia="宋体" w:cs="宋体"/>
          <w:b/>
          <w:bCs/>
          <w:color w:val="auto"/>
          <w:spacing w:val="-1"/>
          <w:sz w:val="24"/>
          <w:szCs w:val="24"/>
          <w:highlight w:val="none"/>
        </w:rPr>
        <w:t>招标控制价及</w:t>
      </w:r>
      <w:bookmarkEnd w:id="36"/>
      <w:bookmarkEnd w:id="37"/>
      <w:r>
        <w:rPr>
          <w:rFonts w:hint="eastAsia" w:ascii="宋体" w:hAnsi="宋体" w:eastAsia="宋体" w:cs="宋体"/>
          <w:b/>
          <w:bCs/>
          <w:color w:val="auto"/>
          <w:spacing w:val="-1"/>
          <w:sz w:val="24"/>
          <w:szCs w:val="24"/>
          <w:highlight w:val="none"/>
          <w:lang w:eastAsia="zh-CN"/>
        </w:rPr>
        <w:t>招标控制价</w:t>
      </w:r>
    </w:p>
    <w:p w14:paraId="483B6E50">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rPr>
        <w:t>招标控制价</w:t>
      </w:r>
      <w:r>
        <w:rPr>
          <w:rFonts w:hint="eastAsia" w:ascii="宋体" w:hAnsi="宋体" w:eastAsia="宋体" w:cs="宋体"/>
          <w:color w:val="auto"/>
          <w:spacing w:val="-1"/>
          <w:sz w:val="24"/>
          <w:szCs w:val="24"/>
          <w:highlight w:val="none"/>
        </w:rPr>
        <w:t>：</w:t>
      </w:r>
    </w:p>
    <w:p w14:paraId="50AB2042">
      <w:pPr>
        <w:keepNext w:val="0"/>
        <w:keepLines w:val="0"/>
        <w:pageBreakBefore w:val="0"/>
        <w:widowControl/>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p>
    <w:p w14:paraId="55BAFE0B">
      <w:pPr>
        <w:keepNext w:val="0"/>
        <w:keepLines w:val="0"/>
        <w:pageBreakBefore w:val="0"/>
        <w:widowControl/>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广东省建设工程计价依据（2024）》。具体包括：执行《广东省房屋建筑与装饰工程综合定额（2018）》、《广东省市政工程综合定额（2018）》、《广东省通用安装工程综合定额（2018）》，不足部分参考相应工程定额</w:t>
      </w:r>
      <w:r>
        <w:rPr>
          <w:rFonts w:hint="eastAsia" w:ascii="宋体" w:hAnsi="宋体" w:eastAsia="宋体" w:cs="宋体"/>
          <w:color w:val="auto"/>
          <w:spacing w:val="-1"/>
          <w:sz w:val="24"/>
          <w:szCs w:val="24"/>
          <w:highlight w:val="none"/>
        </w:rPr>
        <w:t>；</w:t>
      </w:r>
    </w:p>
    <w:p w14:paraId="071273A5">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F87E4AE">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bookmarkStart w:id="38" w:name="bookmark119"/>
      <w:bookmarkEnd w:id="38"/>
      <w:r>
        <w:rPr>
          <w:rFonts w:hint="eastAsia" w:ascii="宋体" w:hAnsi="宋体" w:eastAsia="宋体" w:cs="宋体"/>
          <w:color w:val="auto"/>
          <w:spacing w:val="-2"/>
          <w:sz w:val="24"/>
          <w:szCs w:val="24"/>
          <w:highlight w:val="none"/>
        </w:rPr>
        <w:t>（4）招标文件及招标工程量清单；</w:t>
      </w:r>
    </w:p>
    <w:p w14:paraId="50D8453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7B3A9415">
      <w:pPr>
        <w:keepNext w:val="0"/>
        <w:keepLines w:val="0"/>
        <w:pageBreakBefore w:val="0"/>
        <w:widowControl/>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7F6D825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0CEDA7FE">
      <w:pPr>
        <w:spacing w:before="79" w:line="333" w:lineRule="auto"/>
        <w:ind w:firstLine="482" w:firstLineChars="200"/>
        <w:jc w:val="both"/>
        <w:rPr>
          <w:rFonts w:hint="eastAsia" w:asciiTheme="minorEastAsia" w:hAnsiTheme="minorEastAsia" w:eastAsiaTheme="minorEastAsia" w:cstheme="minorEastAsia"/>
          <w:b w:val="0"/>
          <w:bCs w:val="0"/>
          <w:snapToGrid w:val="0"/>
          <w:color w:val="auto"/>
          <w:kern w:val="0"/>
          <w:sz w:val="24"/>
          <w:szCs w:val="24"/>
          <w:highlight w:val="none"/>
          <w:lang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Theme="minorEastAsia" w:hAnsiTheme="minorEastAsia" w:eastAsiaTheme="minorEastAsia" w:cstheme="minorEastAsia"/>
          <w:b w:val="0"/>
          <w:bCs w:val="0"/>
          <w:snapToGrid w:val="0"/>
          <w:color w:val="auto"/>
          <w:kern w:val="0"/>
          <w:sz w:val="24"/>
          <w:szCs w:val="24"/>
          <w:highlight w:val="none"/>
          <w:lang w:eastAsia="zh-CN"/>
        </w:rPr>
        <w:t>本项目招标控制价、工程量清单、图纸最终以补充公告形式在开标前15天另行发布于相关网站，各投标人可在全国公共资源交易平台（广东省·韶关市）（https://ygp.gdzwfw.gov.cn/ggzy-portal/#/440200/index）自行下载。</w:t>
      </w:r>
    </w:p>
    <w:p w14:paraId="37A2572C">
      <w:pPr>
        <w:spacing w:before="79" w:line="333"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1F29C3EF">
      <w:pPr>
        <w:spacing w:before="36" w:line="278" w:lineRule="auto"/>
        <w:ind w:left="10" w:right="200"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12FE5072">
      <w:pPr>
        <w:spacing w:before="154" w:line="280" w:lineRule="auto"/>
        <w:ind w:left="12" w:right="200"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0DB4AC8D">
      <w:pPr>
        <w:spacing w:before="153" w:line="219" w:lineRule="auto"/>
        <w:ind w:left="-3" w:leftChars="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
          <w:bCs/>
          <w:color w:val="auto"/>
          <w:spacing w:val="21"/>
          <w:sz w:val="24"/>
          <w:szCs w:val="24"/>
          <w:highlight w:val="none"/>
          <w:u w:val="single"/>
        </w:rPr>
        <w:t xml:space="preserve"> </w:t>
      </w:r>
      <w:r>
        <w:rPr>
          <w:rFonts w:hint="eastAsia" w:ascii="宋体" w:hAnsi="宋体" w:eastAsia="宋体" w:cs="宋体"/>
          <w:bCs/>
          <w:color w:val="auto"/>
          <w:spacing w:val="-1"/>
          <w:sz w:val="24"/>
          <w:szCs w:val="24"/>
          <w:highlight w:val="none"/>
          <w:u w:val="single"/>
        </w:rPr>
        <w:t xml:space="preserve">中标人招标，招标人参与管理 </w:t>
      </w:r>
      <w:r>
        <w:rPr>
          <w:rFonts w:hint="eastAsia" w:ascii="宋体" w:hAnsi="宋体" w:eastAsia="宋体" w:cs="宋体"/>
          <w:bCs/>
          <w:color w:val="auto"/>
          <w:spacing w:val="-1"/>
          <w:sz w:val="24"/>
          <w:szCs w:val="24"/>
          <w:highlight w:val="none"/>
        </w:rPr>
        <w:t>，</w:t>
      </w:r>
      <w:r>
        <w:rPr>
          <w:rFonts w:hint="eastAsia" w:ascii="宋体" w:hAnsi="宋体" w:eastAsia="宋体" w:cs="宋体"/>
          <w:color w:val="auto"/>
          <w:spacing w:val="-1"/>
          <w:sz w:val="24"/>
          <w:szCs w:val="24"/>
          <w:highlight w:val="none"/>
        </w:rPr>
        <w:t>确定专业工程承包人（或材料、工程</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设备供应商）和合同价格。</w:t>
      </w:r>
    </w:p>
    <w:p w14:paraId="5F60C25D">
      <w:pPr>
        <w:spacing w:before="30"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14:paraId="02BF48BB">
      <w:pPr>
        <w:spacing w:before="154" w:line="30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文件相关条款执行。</w:t>
      </w:r>
    </w:p>
    <w:p w14:paraId="3698C443">
      <w:pPr>
        <w:spacing w:before="154"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475FBF4C">
      <w:pPr>
        <w:spacing w:before="155" w:line="279" w:lineRule="auto"/>
        <w:ind w:left="9" w:right="66"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34DBC168">
      <w:pPr>
        <w:spacing w:before="155" w:line="333" w:lineRule="auto"/>
        <w:ind w:left="10" w:right="65"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2AB78D5F">
      <w:pPr>
        <w:spacing w:before="79" w:line="219" w:lineRule="auto"/>
        <w:ind w:left="487"/>
        <w:outlineLvl w:val="2"/>
        <w:rPr>
          <w:rFonts w:hint="eastAsia" w:ascii="宋体" w:hAnsi="宋体" w:eastAsia="宋体" w:cs="宋体"/>
          <w:color w:val="auto"/>
          <w:sz w:val="24"/>
          <w:szCs w:val="24"/>
          <w:highlight w:val="none"/>
        </w:rPr>
      </w:pPr>
      <w:bookmarkStart w:id="39" w:name="_Toc22978"/>
      <w:bookmarkStart w:id="40" w:name="_Toc27885"/>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9"/>
      <w:bookmarkEnd w:id="40"/>
    </w:p>
    <w:p w14:paraId="0CB59245">
      <w:pPr>
        <w:spacing w:before="157" w:line="219"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324CCCE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1F123386">
      <w:pPr>
        <w:spacing w:before="153" w:line="309" w:lineRule="auto"/>
        <w:ind w:left="9" w:right="65"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广东省建设工程计价依据（2024）》。具体包括：《广东省建设工程计价依据（2024）》。具体包括：执行《广东省房屋建筑与装饰工程综合定额（2018）》、《广东省市政工程综合定额（2018）》、《广东省通用安装工程综合定额（2018）》，不足部分参考相应工程定额</w:t>
      </w:r>
      <w:r>
        <w:rPr>
          <w:rFonts w:hint="eastAsia" w:ascii="宋体" w:hAnsi="宋体" w:eastAsia="宋体" w:cs="宋体"/>
          <w:color w:val="auto"/>
          <w:spacing w:val="-1"/>
          <w:sz w:val="24"/>
          <w:szCs w:val="24"/>
          <w:highlight w:val="none"/>
        </w:rPr>
        <w:t>；</w:t>
      </w:r>
    </w:p>
    <w:p w14:paraId="4CCDAD2F">
      <w:pPr>
        <w:spacing w:before="78" w:line="220" w:lineRule="auto"/>
        <w:ind w:left="501"/>
        <w:rPr>
          <w:rFonts w:hint="eastAsia" w:ascii="宋体" w:hAnsi="宋体" w:eastAsia="宋体" w:cs="宋体"/>
          <w:color w:val="auto"/>
          <w:sz w:val="24"/>
          <w:szCs w:val="24"/>
          <w:highlight w:val="none"/>
        </w:rPr>
      </w:pPr>
      <w:bookmarkStart w:id="41" w:name="bookmark120"/>
      <w:bookmarkEnd w:id="41"/>
      <w:r>
        <w:rPr>
          <w:rFonts w:hint="eastAsia" w:ascii="宋体" w:hAnsi="宋体" w:eastAsia="宋体" w:cs="宋体"/>
          <w:color w:val="auto"/>
          <w:spacing w:val="-3"/>
          <w:sz w:val="24"/>
          <w:szCs w:val="24"/>
          <w:highlight w:val="none"/>
        </w:rPr>
        <w:t>（3）企业定额；</w:t>
      </w:r>
    </w:p>
    <w:p w14:paraId="44753B7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3CFD144F">
      <w:pPr>
        <w:spacing w:before="154"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3970D688">
      <w:pPr>
        <w:spacing w:before="15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248C998C">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7BBE6412">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884AFD7">
      <w:pPr>
        <w:spacing w:before="153" w:line="309" w:lineRule="auto"/>
        <w:ind w:left="8" w:right="15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6F48F6C5">
      <w:pPr>
        <w:spacing w:before="152" w:line="309"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17C6A9C4">
      <w:pPr>
        <w:spacing w:before="155" w:line="279"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58AFE0B2">
      <w:pPr>
        <w:spacing w:before="154" w:line="299"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7A5201E3">
      <w:pPr>
        <w:spacing w:before="158" w:line="314"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680D700B">
      <w:pPr>
        <w:spacing w:before="152" w:line="309" w:lineRule="auto"/>
        <w:ind w:left="7" w:right="120" w:firstLine="48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招标控制价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25ACD444">
      <w:pPr>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招标控制价）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ABB7F86">
      <w:pPr>
        <w:spacing w:before="146" w:line="325" w:lineRule="auto"/>
        <w:ind w:left="29" w:right="153" w:firstLine="458"/>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招标控制价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235C1669">
      <w:pPr>
        <w:spacing w:before="78" w:line="309" w:lineRule="auto"/>
        <w:ind w:right="99"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0DB0421A">
      <w:pPr>
        <w:pStyle w:val="5"/>
        <w:spacing w:line="253" w:lineRule="auto"/>
        <w:ind w:firstLine="422" w:firstLineChars="200"/>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b/>
          <w:bCs/>
          <w:color w:val="auto"/>
          <w:highlight w:val="none"/>
        </w:rPr>
        <w:t xml:space="preserve">9.10 </w:t>
      </w:r>
      <w:r>
        <w:rPr>
          <w:rFonts w:hint="eastAsia" w:ascii="宋体" w:hAnsi="宋体" w:eastAsia="宋体" w:cs="宋体"/>
          <w:snapToGrid w:val="0"/>
          <w:color w:val="auto"/>
          <w:sz w:val="24"/>
          <w:szCs w:val="24"/>
          <w:highlight w:val="none"/>
          <w:lang w:val="en-US" w:eastAsia="en-US" w:bidi="ar-SA"/>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05B0490">
      <w:pPr>
        <w:spacing w:before="78" w:line="220" w:lineRule="auto"/>
        <w:ind w:left="496"/>
        <w:outlineLvl w:val="2"/>
        <w:rPr>
          <w:rFonts w:hint="eastAsia" w:ascii="宋体" w:hAnsi="宋体" w:eastAsia="宋体" w:cs="宋体"/>
          <w:color w:val="auto"/>
          <w:sz w:val="24"/>
          <w:szCs w:val="24"/>
          <w:highlight w:val="none"/>
        </w:rPr>
      </w:pPr>
      <w:bookmarkStart w:id="42" w:name="_Toc26166"/>
      <w:bookmarkStart w:id="43" w:name="_Toc16322"/>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2"/>
      <w:bookmarkEnd w:id="43"/>
    </w:p>
    <w:p w14:paraId="717359E1">
      <w:pPr>
        <w:spacing w:before="152" w:line="222" w:lineRule="auto"/>
        <w:ind w:left="496"/>
        <w:outlineLvl w:val="3"/>
        <w:rPr>
          <w:rFonts w:hint="eastAsia" w:ascii="宋体" w:hAnsi="宋体" w:eastAsia="宋体" w:cs="宋体"/>
          <w:color w:val="auto"/>
          <w:sz w:val="24"/>
          <w:szCs w:val="24"/>
          <w:highlight w:val="none"/>
        </w:rPr>
      </w:pPr>
      <w:bookmarkStart w:id="44" w:name="_Toc22937"/>
      <w:bookmarkStart w:id="45" w:name="_Toc20590"/>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4"/>
      <w:bookmarkEnd w:id="45"/>
    </w:p>
    <w:p w14:paraId="4800233A">
      <w:pPr>
        <w:spacing w:before="118" w:line="295"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1E2CE420">
      <w:pPr>
        <w:spacing w:before="68" w:line="299"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5DF6C785">
      <w:pPr>
        <w:spacing w:before="123" w:line="29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10.1.2  </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·韶关市）</w:t>
      </w:r>
      <w:r>
        <w:rPr>
          <w:rFonts w:hint="eastAsia" w:ascii="宋体" w:hAnsi="宋体" w:eastAsia="宋体" w:cs="宋体"/>
          <w:color w:val="auto"/>
          <w:spacing w:val="-2"/>
          <w:sz w:val="24"/>
          <w:szCs w:val="24"/>
          <w:highlight w:val="none"/>
        </w:rPr>
        <w:t>交易指引。</w:t>
      </w:r>
    </w:p>
    <w:p w14:paraId="217CF466">
      <w:pPr>
        <w:spacing w:before="1" w:line="219"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4EB2C279">
      <w:pPr>
        <w:spacing w:before="111" w:line="279"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0B072D3C">
      <w:pPr>
        <w:spacing w:before="112" w:line="264"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投标文件封套、封面、组成内容中凡要求录入投标人名称且注明“盖单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”处盖单位法人公章（电子印章）。</w:t>
      </w:r>
    </w:p>
    <w:p w14:paraId="0CBE0BD0">
      <w:pPr>
        <w:spacing w:before="146" w:line="279"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35B67328">
      <w:pPr>
        <w:spacing w:before="155" w:line="219" w:lineRule="auto"/>
        <w:ind w:left="0" w:leftChars="0" w:firstLine="474" w:firstLineChars="200"/>
        <w:outlineLvl w:val="3"/>
        <w:rPr>
          <w:rFonts w:hint="eastAsia" w:ascii="宋体" w:hAnsi="宋体" w:eastAsia="宋体" w:cs="宋体"/>
          <w:b w:val="0"/>
          <w:bCs w:val="0"/>
          <w:color w:val="auto"/>
          <w:spacing w:val="-2"/>
          <w:sz w:val="24"/>
          <w:szCs w:val="24"/>
          <w:highlight w:val="none"/>
        </w:rPr>
      </w:pPr>
      <w:bookmarkStart w:id="46" w:name="_Toc20223"/>
      <w:bookmarkStart w:id="47" w:name="_Toc21271"/>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联合体投标的，除《联合体协议书》外，由联合体牵头人按以上要求签亲笔署名或签章（电子印章）即可。</w:t>
      </w:r>
    </w:p>
    <w:p w14:paraId="149EA5DD">
      <w:pPr>
        <w:spacing w:before="155" w:line="219" w:lineRule="auto"/>
        <w:ind w:left="500"/>
        <w:outlineLvl w:val="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10.2  </w:t>
      </w:r>
      <w:r>
        <w:rPr>
          <w:rFonts w:hint="eastAsia" w:ascii="宋体" w:hAnsi="宋体" w:eastAsia="宋体" w:cs="宋体"/>
          <w:color w:val="auto"/>
          <w:spacing w:val="-2"/>
          <w:sz w:val="24"/>
          <w:szCs w:val="24"/>
          <w:highlight w:val="none"/>
        </w:rPr>
        <w:t>商务标书的编制要求</w:t>
      </w:r>
      <w:bookmarkEnd w:id="46"/>
      <w:bookmarkEnd w:id="47"/>
    </w:p>
    <w:p w14:paraId="09D418EF">
      <w:pPr>
        <w:spacing w:before="157" w:line="219" w:lineRule="auto"/>
        <w:ind w:left="58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7A133846">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ADBEC65">
      <w:pPr>
        <w:spacing w:before="153" w:line="222"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796DB9CA">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5EEB9573">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2EEF341D">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7D3A1941">
      <w:pPr>
        <w:spacing w:before="156"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49C24569">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7065F65E">
      <w:pPr>
        <w:spacing w:before="153" w:line="309" w:lineRule="auto"/>
        <w:ind w:left="13" w:right="133"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196EDC9">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25E3C02">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43069717">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5600AAC3">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4A2E911F">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48" w:name="OLE_LINK7"/>
      <w:r>
        <w:rPr>
          <w:rFonts w:hint="eastAsia" w:ascii="宋体" w:hAnsi="宋体" w:eastAsia="宋体" w:cs="宋体"/>
          <w:color w:val="auto"/>
          <w:spacing w:val="-1"/>
          <w:sz w:val="24"/>
          <w:szCs w:val="24"/>
          <w:highlight w:val="none"/>
        </w:rPr>
        <w:t>目管理机构组成表》（格式十一）及</w:t>
      </w:r>
      <w:bookmarkEnd w:id="48"/>
      <w:r>
        <w:rPr>
          <w:rFonts w:hint="eastAsia" w:ascii="宋体" w:hAnsi="宋体" w:eastAsia="宋体" w:cs="宋体"/>
          <w:color w:val="auto"/>
          <w:spacing w:val="-1"/>
          <w:sz w:val="24"/>
          <w:szCs w:val="24"/>
          <w:highlight w:val="none"/>
        </w:rPr>
        <w:t>所附资料；</w:t>
      </w:r>
    </w:p>
    <w:p w14:paraId="58C0C275">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15.5.1</w:t>
      </w:r>
      <w:r>
        <w:rPr>
          <w:rFonts w:hint="eastAsia" w:ascii="宋体" w:hAnsi="宋体" w:eastAsia="宋体" w:cs="宋体"/>
          <w:b/>
          <w:bCs/>
          <w:color w:val="auto"/>
          <w:spacing w:val="55"/>
          <w:sz w:val="24"/>
          <w:szCs w:val="24"/>
          <w:highlight w:val="none"/>
        </w:rPr>
        <w:t xml:space="preserve"> </w:t>
      </w:r>
      <w:r>
        <w:rPr>
          <w:rFonts w:hint="eastAsia" w:ascii="宋体" w:hAnsi="宋体" w:eastAsia="宋体" w:cs="宋体"/>
          <w:color w:val="auto"/>
          <w:spacing w:val="-4"/>
          <w:sz w:val="24"/>
          <w:szCs w:val="24"/>
          <w:highlight w:val="none"/>
        </w:rPr>
        <w:t>目“评标方法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”要求提供的</w:t>
      </w:r>
      <w:r>
        <w:rPr>
          <w:rFonts w:hint="eastAsia" w:ascii="宋体" w:hAnsi="宋体" w:eastAsia="宋体" w:cs="宋体"/>
          <w:color w:val="auto"/>
          <w:spacing w:val="-5"/>
          <w:sz w:val="24"/>
          <w:szCs w:val="24"/>
          <w:highlight w:val="none"/>
        </w:rPr>
        <w:t>评审资料；</w:t>
      </w:r>
    </w:p>
    <w:p w14:paraId="47D20E97">
      <w:pPr>
        <w:spacing w:before="78" w:line="299" w:lineRule="auto"/>
        <w:ind w:left="8"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（15）投标人认为有必要补充的其他资料。（例如投标人已经工商变更，但其企</w:t>
      </w:r>
      <w:r>
        <w:rPr>
          <w:rFonts w:hint="eastAsia" w:ascii="宋体" w:hAnsi="宋体" w:eastAsia="宋体" w:cs="宋体"/>
          <w:color w:val="auto"/>
          <w:spacing w:val="-1"/>
          <w:sz w:val="24"/>
          <w:szCs w:val="24"/>
          <w:highlight w:val="none"/>
        </w:rPr>
        <w:t>业资质证书、安全生产许可证或其员工执业资格注册证书上的企</w:t>
      </w:r>
      <w:r>
        <w:rPr>
          <w:rFonts w:hint="eastAsia" w:ascii="宋体" w:hAnsi="宋体" w:eastAsia="宋体" w:cs="宋体"/>
          <w:color w:val="auto"/>
          <w:spacing w:val="-2"/>
          <w:sz w:val="24"/>
          <w:szCs w:val="24"/>
          <w:highlight w:val="none"/>
        </w:rPr>
        <w:t>业名称未能在投标期</w:t>
      </w:r>
      <w:r>
        <w:rPr>
          <w:rFonts w:hint="eastAsia" w:ascii="宋体" w:hAnsi="宋体" w:eastAsia="宋体" w:cs="宋体"/>
          <w:color w:val="auto"/>
          <w:spacing w:val="-1"/>
          <w:sz w:val="24"/>
          <w:szCs w:val="24"/>
          <w:highlight w:val="none"/>
        </w:rPr>
        <w:t>间完成变更的书面说明和佐证材料等）</w:t>
      </w:r>
    </w:p>
    <w:p w14:paraId="24149AB2">
      <w:pPr>
        <w:spacing w:before="155" w:line="262" w:lineRule="auto"/>
        <w:ind w:left="9" w:right="61" w:firstLine="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 xml:space="preserve">10.2.1  </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1）至第（13）项</w:t>
      </w:r>
      <w:r>
        <w:rPr>
          <w:rFonts w:hint="eastAsia" w:ascii="宋体" w:hAnsi="宋体" w:eastAsia="宋体" w:cs="宋体"/>
          <w:color w:val="auto"/>
          <w:sz w:val="24"/>
          <w:szCs w:val="24"/>
          <w:highlight w:val="none"/>
        </w:rPr>
        <w:t>所有投标人均应提供，</w:t>
      </w:r>
      <w:r>
        <w:rPr>
          <w:rFonts w:hint="eastAsia" w:ascii="宋体" w:hAnsi="宋体" w:eastAsia="宋体" w:cs="宋体"/>
          <w:b/>
          <w:bCs/>
          <w:color w:val="auto"/>
          <w:sz w:val="24"/>
          <w:szCs w:val="24"/>
          <w:highlight w:val="none"/>
        </w:rPr>
        <w:t>但非联合体投标的，</w:t>
      </w:r>
      <w:r>
        <w:rPr>
          <w:rFonts w:hint="eastAsia" w:ascii="宋体" w:hAnsi="宋体" w:eastAsia="宋体" w:cs="宋体"/>
          <w:b/>
          <w:bCs/>
          <w:color w:val="auto"/>
          <w:spacing w:val="-1"/>
          <w:sz w:val="24"/>
          <w:szCs w:val="24"/>
          <w:highlight w:val="none"/>
        </w:rPr>
        <w:t>无需提供第（7）项内容。</w:t>
      </w:r>
    </w:p>
    <w:p w14:paraId="189FCE5F">
      <w:pPr>
        <w:spacing w:before="199" w:line="279" w:lineRule="auto"/>
        <w:ind w:right="6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00D341F8">
      <w:pPr>
        <w:pStyle w:val="5"/>
        <w:spacing w:line="257" w:lineRule="auto"/>
        <w:rPr>
          <w:rFonts w:hint="eastAsia" w:ascii="宋体" w:hAnsi="宋体" w:eastAsia="宋体" w:cs="宋体"/>
          <w:color w:val="auto"/>
          <w:highlight w:val="none"/>
        </w:rPr>
      </w:pPr>
    </w:p>
    <w:p w14:paraId="05E2DA61">
      <w:pPr>
        <w:spacing w:before="78" w:line="219" w:lineRule="auto"/>
        <w:ind w:left="496"/>
        <w:outlineLvl w:val="3"/>
        <w:rPr>
          <w:rFonts w:hint="eastAsia" w:ascii="宋体" w:hAnsi="宋体" w:eastAsia="宋体" w:cs="宋体"/>
          <w:color w:val="auto"/>
          <w:sz w:val="24"/>
          <w:szCs w:val="24"/>
          <w:highlight w:val="none"/>
        </w:rPr>
      </w:pPr>
      <w:bookmarkStart w:id="49" w:name="_Toc10602"/>
      <w:bookmarkStart w:id="50" w:name="_Toc29370"/>
      <w:r>
        <w:rPr>
          <w:rFonts w:hint="eastAsia" w:ascii="宋体" w:hAnsi="宋体" w:eastAsia="宋体" w:cs="宋体"/>
          <w:b/>
          <w:bCs/>
          <w:color w:val="auto"/>
          <w:spacing w:val="-2"/>
          <w:sz w:val="24"/>
          <w:szCs w:val="24"/>
          <w:highlight w:val="none"/>
        </w:rPr>
        <w:t xml:space="preserve">10.3  </w:t>
      </w:r>
      <w:r>
        <w:rPr>
          <w:rFonts w:hint="eastAsia" w:ascii="宋体" w:hAnsi="宋体" w:eastAsia="宋体" w:cs="宋体"/>
          <w:color w:val="auto"/>
          <w:spacing w:val="-2"/>
          <w:sz w:val="24"/>
          <w:szCs w:val="24"/>
          <w:highlight w:val="none"/>
        </w:rPr>
        <w:t>经济标书的编制要求</w:t>
      </w:r>
      <w:bookmarkEnd w:id="49"/>
      <w:bookmarkEnd w:id="50"/>
    </w:p>
    <w:p w14:paraId="4D7F8054">
      <w:pPr>
        <w:spacing w:before="154"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047BAC7D">
      <w:pPr>
        <w:spacing w:before="156"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6558A67D">
      <w:pPr>
        <w:spacing w:before="153"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1ADD06E">
      <w:pPr>
        <w:spacing w:before="150"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w:t>
      </w:r>
    </w:p>
    <w:p w14:paraId="0D903CB7">
      <w:pPr>
        <w:spacing w:before="157" w:line="219" w:lineRule="auto"/>
        <w:ind w:left="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说明：《投标总价》的格式按照《建设工程工程量</w:t>
      </w:r>
      <w:r>
        <w:rPr>
          <w:rFonts w:hint="eastAsia" w:ascii="宋体" w:hAnsi="宋体" w:eastAsia="宋体" w:cs="宋体"/>
          <w:color w:val="auto"/>
          <w:spacing w:val="-1"/>
          <w:sz w:val="24"/>
          <w:szCs w:val="24"/>
          <w:highlight w:val="none"/>
        </w:rPr>
        <w:t>清单计价规范》（GB50500—</w:t>
      </w:r>
    </w:p>
    <w:p w14:paraId="19D1E9E0">
      <w:pPr>
        <w:spacing w:before="155" w:line="220" w:lineRule="auto"/>
        <w:ind w:left="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）执行，并应满足以下要求：</w:t>
      </w:r>
    </w:p>
    <w:p w14:paraId="578C4661">
      <w:pPr>
        <w:spacing w:before="150" w:line="309" w:lineRule="auto"/>
        <w:ind w:left="8"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a</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color w:val="auto"/>
          <w:spacing w:val="-2"/>
          <w:sz w:val="24"/>
          <w:szCs w:val="24"/>
          <w:highlight w:val="none"/>
        </w:rPr>
        <w:t>．《投标总价扉页》（即扉—3）后应附编制人的造价工程师注册证书彩色扫描件（须扫描至变更注册栏，</w:t>
      </w:r>
      <w:r>
        <w:rPr>
          <w:rFonts w:hint="eastAsia" w:ascii="宋体" w:hAnsi="宋体" w:eastAsia="宋体" w:cs="宋体"/>
          <w:b/>
          <w:bCs/>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）；投标人委托造价咨询单位编制《投标总价》的，在该扉页“投标人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并在该扉页后附造价咨询人的营业执照副本彩色扫描件。</w:t>
      </w:r>
    </w:p>
    <w:p w14:paraId="5A9B40CD">
      <w:pPr>
        <w:spacing w:before="119" w:line="314" w:lineRule="auto"/>
        <w:ind w:left="10" w:right="6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b.  </w:t>
      </w:r>
      <w:r>
        <w:rPr>
          <w:rFonts w:hint="eastAsia" w:ascii="宋体" w:hAnsi="宋体" w:eastAsia="宋体" w:cs="宋体"/>
          <w:color w:val="auto"/>
          <w:spacing w:val="2"/>
          <w:sz w:val="24"/>
          <w:szCs w:val="24"/>
          <w:highlight w:val="none"/>
        </w:rPr>
        <w:t>投标人认为有必要补充的其他资料（例如关于投标总价下浮率超过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
          <w:sz w:val="24"/>
          <w:szCs w:val="24"/>
          <w:highlight w:val="none"/>
        </w:rPr>
        <w:t>15%的书</w:t>
      </w:r>
      <w:r>
        <w:rPr>
          <w:rFonts w:hint="eastAsia" w:ascii="宋体" w:hAnsi="宋体" w:eastAsia="宋体" w:cs="宋体"/>
          <w:color w:val="auto"/>
          <w:spacing w:val="-2"/>
          <w:sz w:val="24"/>
          <w:szCs w:val="24"/>
          <w:highlight w:val="none"/>
        </w:rPr>
        <w:t>面说明和佐证材料）。</w:t>
      </w:r>
    </w:p>
    <w:p w14:paraId="2F5BB681">
      <w:pPr>
        <w:spacing w:before="99" w:line="280" w:lineRule="auto"/>
        <w:ind w:left="10" w:right="63"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 xml:space="preserve">10.3.1  </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755A525F">
      <w:pPr>
        <w:spacing w:before="155" w:line="279" w:lineRule="auto"/>
        <w:ind w:left="8" w:right="61"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6BCCAAB">
      <w:pPr>
        <w:spacing w:before="82" w:line="213" w:lineRule="auto"/>
        <w:ind w:left="496"/>
        <w:outlineLvl w:val="3"/>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10.4  </w:t>
      </w:r>
      <w:r>
        <w:rPr>
          <w:rFonts w:hint="eastAsia" w:ascii="宋体" w:hAnsi="宋体" w:eastAsia="宋体" w:cs="宋体"/>
          <w:color w:val="auto"/>
          <w:spacing w:val="-3"/>
          <w:sz w:val="24"/>
          <w:szCs w:val="24"/>
          <w:highlight w:val="none"/>
        </w:rPr>
        <w:t>施工组织设计的编制要求</w:t>
      </w:r>
    </w:p>
    <w:p w14:paraId="768CF899">
      <w:pPr>
        <w:spacing w:before="151"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1E40B774">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4975F0E4">
      <w:pPr>
        <w:spacing w:before="155"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6E3E7330">
      <w:pPr>
        <w:spacing w:before="152"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1323D629">
      <w:pPr>
        <w:spacing w:before="78"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14:paraId="546827BB">
      <w:pPr>
        <w:spacing w:before="153" w:line="299" w:lineRule="auto"/>
        <w:ind w:left="10" w:right="21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7973C375">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43414437">
      <w:pPr>
        <w:spacing w:before="15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4448288D">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3BC2A7E8">
      <w:pPr>
        <w:spacing w:before="156"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D46DDF6">
      <w:pPr>
        <w:spacing w:before="150"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23C15B5F">
      <w:pPr>
        <w:spacing w:before="154" w:line="299" w:lineRule="auto"/>
        <w:ind w:left="9" w:right="21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3C1EC3">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63DC62FA">
      <w:pPr>
        <w:spacing w:before="156" w:line="279" w:lineRule="auto"/>
        <w:ind w:left="11" w:right="21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7BB5E824">
      <w:pPr>
        <w:spacing w:before="118" w:line="297" w:lineRule="auto"/>
        <w:ind w:left="11" w:right="31"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rPr>
        <w:t>；</w:t>
      </w:r>
    </w:p>
    <w:p w14:paraId="02E9B450">
      <w:pPr>
        <w:spacing w:before="118" w:line="297" w:lineRule="auto"/>
        <w:ind w:left="11" w:right="3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1"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1"/>
      <w:r>
        <w:rPr>
          <w:rFonts w:hint="eastAsia" w:ascii="宋体" w:hAnsi="宋体" w:eastAsia="宋体" w:cs="宋体"/>
          <w:color w:val="auto"/>
          <w:spacing w:val="9"/>
          <w:sz w:val="24"/>
          <w:szCs w:val="24"/>
          <w:highlight w:val="none"/>
        </w:rPr>
        <w:t>）；</w:t>
      </w:r>
    </w:p>
    <w:p w14:paraId="5E69FD0B">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10315D49">
      <w:pPr>
        <w:spacing w:before="154" w:line="280" w:lineRule="auto"/>
        <w:ind w:right="211"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33E7EB44">
      <w:pPr>
        <w:spacing w:before="152" w:line="279" w:lineRule="auto"/>
        <w:ind w:right="196"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 xml:space="preserve">10.4.2  </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56491334">
      <w:pPr>
        <w:spacing w:before="157" w:line="279" w:lineRule="auto"/>
        <w:ind w:right="211"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 目规定的顺序整理、编排后，逐</w:t>
      </w:r>
      <w:r>
        <w:rPr>
          <w:rFonts w:hint="eastAsia" w:ascii="宋体" w:hAnsi="宋体" w:eastAsia="宋体" w:cs="宋体"/>
          <w:color w:val="auto"/>
          <w:spacing w:val="-1"/>
          <w:sz w:val="24"/>
          <w:szCs w:val="24"/>
          <w:highlight w:val="none"/>
        </w:rPr>
        <w:t>页（页码起始从封面开始）连续标记页码。</w:t>
      </w:r>
    </w:p>
    <w:p w14:paraId="702A1AEA">
      <w:pPr>
        <w:outlineLvl w:val="9"/>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lang w:eastAsia="zh-CN"/>
        </w:rPr>
        <w:t xml:space="preserve">    </w:t>
      </w:r>
      <w:r>
        <w:rPr>
          <w:rFonts w:hint="eastAsia" w:ascii="宋体" w:hAnsi="宋体" w:eastAsia="宋体" w:cs="宋体"/>
          <w:b/>
          <w:bCs/>
          <w:color w:val="auto"/>
          <w:spacing w:val="-1"/>
          <w:sz w:val="24"/>
          <w:szCs w:val="24"/>
          <w:highlight w:val="none"/>
        </w:rPr>
        <w:t>10.4.5</w:t>
      </w:r>
      <w:bookmarkStart w:id="52"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150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2"/>
      <w:bookmarkStart w:id="53" w:name="bookmark121"/>
      <w:bookmarkEnd w:id="53"/>
    </w:p>
    <w:p w14:paraId="02DC3960">
      <w:pPr>
        <w:spacing w:before="78" w:line="221" w:lineRule="auto"/>
        <w:ind w:left="496"/>
        <w:outlineLvl w:val="2"/>
        <w:rPr>
          <w:rFonts w:hint="eastAsia" w:ascii="宋体" w:hAnsi="宋体" w:eastAsia="宋体" w:cs="宋体"/>
          <w:color w:val="auto"/>
          <w:sz w:val="24"/>
          <w:szCs w:val="24"/>
          <w:highlight w:val="none"/>
        </w:rPr>
      </w:pPr>
      <w:bookmarkStart w:id="54" w:name="_Toc21936"/>
      <w:bookmarkStart w:id="55" w:name="_Toc19146"/>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4"/>
      <w:bookmarkEnd w:id="55"/>
    </w:p>
    <w:p w14:paraId="3D405C38">
      <w:pPr>
        <w:spacing w:before="112" w:line="295" w:lineRule="auto"/>
        <w:ind w:left="1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书对投标文件进行文件加密，形成加密的投标文件并提交标书。</w:t>
      </w:r>
    </w:p>
    <w:p w14:paraId="6868FCA9">
      <w:pPr>
        <w:spacing w:before="115" w:line="286" w:lineRule="auto"/>
        <w:ind w:left="10" w:right="81"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1F5F4AB1">
      <w:pPr>
        <w:numPr>
          <w:ilvl w:val="0"/>
          <w:numId w:val="0"/>
        </w:numPr>
        <w:spacing w:before="78" w:line="220" w:lineRule="auto"/>
        <w:ind w:firstLine="446" w:firstLineChars="200"/>
        <w:outlineLvl w:val="2"/>
        <w:rPr>
          <w:rFonts w:hint="eastAsia" w:ascii="宋体" w:hAnsi="宋体" w:eastAsia="宋体" w:cs="宋体"/>
          <w:b/>
          <w:bCs/>
          <w:color w:val="auto"/>
          <w:spacing w:val="-4"/>
          <w:sz w:val="24"/>
          <w:szCs w:val="24"/>
          <w:highlight w:val="none"/>
        </w:rPr>
      </w:pPr>
      <w:bookmarkStart w:id="56" w:name="_Toc118"/>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7" w:name="_Toc29834"/>
      <w:r>
        <w:rPr>
          <w:rFonts w:hint="eastAsia" w:ascii="宋体" w:hAnsi="宋体" w:eastAsia="宋体" w:cs="宋体"/>
          <w:b/>
          <w:bCs/>
          <w:color w:val="auto"/>
          <w:spacing w:val="-4"/>
          <w:sz w:val="24"/>
          <w:szCs w:val="24"/>
          <w:highlight w:val="none"/>
        </w:rPr>
        <w:t>电子投标及投标解密失败及突发情况的补救方案</w:t>
      </w:r>
      <w:bookmarkEnd w:id="56"/>
      <w:bookmarkEnd w:id="57"/>
    </w:p>
    <w:p w14:paraId="6462F20A">
      <w:pPr>
        <w:spacing w:before="78" w:line="220" w:lineRule="auto"/>
        <w:ind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5443024B">
      <w:pPr>
        <w:spacing w:before="11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67019C1A">
      <w:pPr>
        <w:spacing w:before="115"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1EDCE6E7">
      <w:pPr>
        <w:spacing w:before="115" w:line="298"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8" w:name="bookmark122"/>
      <w:bookmarkEnd w:id="58"/>
      <w:r>
        <w:rPr>
          <w:rFonts w:hint="eastAsia" w:ascii="宋体" w:hAnsi="宋体" w:eastAsia="宋体" w:cs="宋体"/>
          <w:color w:val="auto"/>
          <w:spacing w:val="-1"/>
          <w:sz w:val="24"/>
          <w:szCs w:val="24"/>
          <w:highlight w:val="none"/>
        </w:rPr>
        <w:t>重新提交投标文件继续开标程序。</w:t>
      </w:r>
    </w:p>
    <w:p w14:paraId="6A128606">
      <w:pPr>
        <w:spacing w:before="114"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389EEFFD">
      <w:pPr>
        <w:spacing w:before="114" w:line="303"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露与评标有关的任何信息与情况。</w:t>
      </w:r>
    </w:p>
    <w:p w14:paraId="432398B9">
      <w:pPr>
        <w:spacing w:before="69" w:line="324"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4746E39E">
      <w:pPr>
        <w:spacing w:before="78" w:line="220" w:lineRule="auto"/>
        <w:ind w:left="496"/>
        <w:outlineLvl w:val="2"/>
        <w:rPr>
          <w:rFonts w:hint="eastAsia" w:ascii="宋体" w:hAnsi="宋体" w:eastAsia="宋体" w:cs="宋体"/>
          <w:color w:val="auto"/>
          <w:sz w:val="24"/>
          <w:szCs w:val="24"/>
          <w:highlight w:val="none"/>
        </w:rPr>
      </w:pPr>
      <w:bookmarkStart w:id="59" w:name="_Toc27195"/>
      <w:bookmarkStart w:id="60" w:name="_Toc30506"/>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59"/>
      <w:bookmarkEnd w:id="60"/>
    </w:p>
    <w:p w14:paraId="63ACB3FA">
      <w:pPr>
        <w:spacing w:before="123" w:line="278" w:lineRule="auto"/>
        <w:ind w:left="13" w:right="81"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6051D660">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00486459">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3B37374D">
      <w:pPr>
        <w:spacing w:before="112" w:line="219" w:lineRule="auto"/>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4AB75F24">
      <w:pPr>
        <w:spacing w:before="116"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7078EE47">
      <w:pPr>
        <w:spacing w:before="115" w:line="219"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82F51BA">
      <w:pPr>
        <w:spacing w:before="114"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42D26110">
      <w:pPr>
        <w:spacing w:before="115"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375241E2">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3A0B8A8C">
      <w:pPr>
        <w:spacing w:before="113" w:line="279" w:lineRule="auto"/>
        <w:ind w:left="9" w:right="24"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E2CDC3E">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2A2F821B">
      <w:pPr>
        <w:spacing w:before="145" w:line="221" w:lineRule="auto"/>
        <w:ind w:left="496"/>
        <w:outlineLvl w:val="2"/>
        <w:rPr>
          <w:rFonts w:hint="eastAsia" w:ascii="宋体" w:hAnsi="宋体" w:eastAsia="宋体" w:cs="宋体"/>
          <w:color w:val="auto"/>
          <w:sz w:val="24"/>
          <w:szCs w:val="24"/>
          <w:highlight w:val="none"/>
        </w:rPr>
      </w:pPr>
      <w:bookmarkStart w:id="61" w:name="_Toc22047"/>
      <w:bookmarkStart w:id="62" w:name="_Toc17939"/>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1"/>
      <w:bookmarkEnd w:id="62"/>
    </w:p>
    <w:p w14:paraId="792BE085">
      <w:pPr>
        <w:spacing w:before="155" w:line="329" w:lineRule="auto"/>
        <w:ind w:left="10" w:right="81"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3" w:name="bookmark123"/>
      <w:bookmarkEnd w:id="63"/>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DC2018F">
      <w:pPr>
        <w:spacing w:before="156"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652A2E38">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30562814">
      <w:pPr>
        <w:spacing w:before="159" w:line="319" w:lineRule="auto"/>
        <w:ind w:left="10" w:right="8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形导致投标无效的，由投标人自行负责。</w:t>
      </w:r>
    </w:p>
    <w:p w14:paraId="16B5CEF9">
      <w:pPr>
        <w:spacing w:before="152" w:line="221"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497CFDD0">
      <w:pPr>
        <w:spacing w:before="42" w:line="219" w:lineRule="auto"/>
        <w:ind w:left="501"/>
        <w:outlineLvl w:val="9"/>
        <w:rPr>
          <w:rFonts w:hint="eastAsia" w:ascii="宋体" w:hAnsi="宋体" w:eastAsia="宋体" w:cs="宋体"/>
          <w:color w:val="auto"/>
          <w:sz w:val="24"/>
          <w:szCs w:val="24"/>
          <w:highlight w:val="none"/>
        </w:rPr>
      </w:pPr>
      <w:bookmarkStart w:id="64" w:name="_Toc15587"/>
      <w:bookmarkStart w:id="65" w:name="_Toc10685"/>
      <w:bookmarkStart w:id="66" w:name="_Toc8314"/>
      <w:bookmarkStart w:id="67" w:name="_Toc10291"/>
      <w:r>
        <w:rPr>
          <w:rFonts w:hint="eastAsia" w:ascii="宋体" w:hAnsi="宋体" w:eastAsia="宋体" w:cs="宋体"/>
          <w:color w:val="auto"/>
          <w:spacing w:val="-1"/>
          <w:sz w:val="24"/>
          <w:szCs w:val="24"/>
          <w:highlight w:val="none"/>
        </w:rPr>
        <w:t>（1）主持人（招标人代表或招标人授权的招标代理机构人员）宣读开标纪律。</w:t>
      </w:r>
      <w:bookmarkEnd w:id="64"/>
      <w:bookmarkEnd w:id="65"/>
      <w:bookmarkEnd w:id="66"/>
      <w:bookmarkEnd w:id="67"/>
    </w:p>
    <w:p w14:paraId="5EAC246A">
      <w:pPr>
        <w:spacing w:before="181" w:line="219" w:lineRule="auto"/>
        <w:ind w:left="501"/>
        <w:outlineLvl w:val="9"/>
        <w:rPr>
          <w:rFonts w:hint="eastAsia" w:ascii="宋体" w:hAnsi="宋体" w:eastAsia="宋体" w:cs="宋体"/>
          <w:color w:val="auto"/>
          <w:sz w:val="24"/>
          <w:szCs w:val="24"/>
          <w:highlight w:val="none"/>
        </w:rPr>
      </w:pPr>
      <w:bookmarkStart w:id="68" w:name="_Toc30853"/>
      <w:bookmarkStart w:id="69" w:name="_Toc16292"/>
      <w:bookmarkStart w:id="70" w:name="_Toc20238"/>
      <w:bookmarkStart w:id="71" w:name="_Toc2011"/>
      <w:r>
        <w:rPr>
          <w:rFonts w:hint="eastAsia" w:ascii="宋体" w:hAnsi="宋体" w:eastAsia="宋体" w:cs="宋体"/>
          <w:color w:val="auto"/>
          <w:spacing w:val="-1"/>
          <w:sz w:val="24"/>
          <w:szCs w:val="24"/>
          <w:highlight w:val="none"/>
        </w:rPr>
        <w:t>（2）主持人宣布唱标人、记录人、见证人、监督人等有关人员姓名。</w:t>
      </w:r>
      <w:bookmarkEnd w:id="68"/>
      <w:bookmarkEnd w:id="69"/>
      <w:bookmarkEnd w:id="70"/>
      <w:bookmarkEnd w:id="71"/>
    </w:p>
    <w:p w14:paraId="7443DF73">
      <w:pPr>
        <w:spacing w:before="183" w:line="219" w:lineRule="auto"/>
        <w:ind w:left="501"/>
        <w:outlineLvl w:val="9"/>
        <w:rPr>
          <w:rFonts w:hint="eastAsia" w:ascii="宋体" w:hAnsi="宋体" w:eastAsia="宋体" w:cs="宋体"/>
          <w:color w:val="auto"/>
          <w:sz w:val="24"/>
          <w:szCs w:val="24"/>
          <w:highlight w:val="none"/>
        </w:rPr>
      </w:pPr>
      <w:bookmarkStart w:id="72" w:name="_Toc26494"/>
      <w:bookmarkStart w:id="73" w:name="_Toc17462"/>
      <w:bookmarkStart w:id="74" w:name="_Toc1974"/>
      <w:bookmarkStart w:id="75" w:name="_Toc31716"/>
      <w:r>
        <w:rPr>
          <w:rFonts w:hint="eastAsia" w:ascii="宋体" w:hAnsi="宋体" w:eastAsia="宋体" w:cs="宋体"/>
          <w:color w:val="auto"/>
          <w:spacing w:val="-1"/>
          <w:sz w:val="24"/>
          <w:szCs w:val="24"/>
          <w:highlight w:val="none"/>
        </w:rPr>
        <w:t>（3）唱标人公布在投标截止时间前进行投标文件的投标人数量和名称</w:t>
      </w:r>
      <w:bookmarkEnd w:id="72"/>
      <w:bookmarkEnd w:id="73"/>
      <w:bookmarkEnd w:id="74"/>
      <w:bookmarkEnd w:id="75"/>
    </w:p>
    <w:p w14:paraId="3324CC32">
      <w:pPr>
        <w:spacing w:before="181" w:line="219" w:lineRule="auto"/>
        <w:ind w:left="501"/>
        <w:outlineLvl w:val="9"/>
        <w:rPr>
          <w:rFonts w:hint="eastAsia" w:ascii="宋体" w:hAnsi="宋体" w:eastAsia="宋体" w:cs="宋体"/>
          <w:color w:val="auto"/>
          <w:sz w:val="24"/>
          <w:szCs w:val="24"/>
          <w:highlight w:val="none"/>
        </w:rPr>
      </w:pPr>
      <w:bookmarkStart w:id="76" w:name="_Toc8179"/>
      <w:bookmarkStart w:id="77" w:name="_Toc20559"/>
      <w:bookmarkStart w:id="78" w:name="_Toc27967"/>
      <w:bookmarkStart w:id="79" w:name="_Toc15860"/>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76"/>
      <w:bookmarkEnd w:id="77"/>
      <w:bookmarkEnd w:id="78"/>
      <w:bookmarkEnd w:id="79"/>
    </w:p>
    <w:p w14:paraId="2BAFEA97">
      <w:pPr>
        <w:spacing w:before="183" w:line="220" w:lineRule="auto"/>
        <w:ind w:left="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建设工程交易系统自动生成《投标保证缴纳情况表》和《开标一览表》。</w:t>
      </w:r>
    </w:p>
    <w:p w14:paraId="03A06962">
      <w:pPr>
        <w:spacing w:before="182" w:line="360" w:lineRule="auto"/>
        <w:ind w:firstLine="466" w:firstLineChars="200"/>
        <w:outlineLvl w:val="9"/>
        <w:rPr>
          <w:rFonts w:hint="eastAsia" w:ascii="宋体" w:hAnsi="宋体" w:eastAsia="宋体" w:cs="宋体"/>
          <w:color w:val="auto"/>
          <w:sz w:val="24"/>
          <w:szCs w:val="24"/>
          <w:highlight w:val="none"/>
        </w:rPr>
      </w:pPr>
      <w:bookmarkStart w:id="80" w:name="_Toc28812"/>
      <w:bookmarkStart w:id="81" w:name="_Toc28266"/>
      <w:bookmarkStart w:id="82" w:name="_Toc2199"/>
      <w:bookmarkStart w:id="83"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0"/>
      <w:bookmarkEnd w:id="81"/>
      <w:bookmarkEnd w:id="82"/>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3"/>
    </w:p>
    <w:p w14:paraId="40440713">
      <w:pPr>
        <w:spacing w:before="143" w:line="299"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203FF0F7">
      <w:pPr>
        <w:spacing w:before="155" w:line="279"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47BF78F2">
      <w:pPr>
        <w:spacing w:before="78" w:line="221" w:lineRule="auto"/>
        <w:ind w:left="496"/>
        <w:outlineLvl w:val="2"/>
        <w:rPr>
          <w:rFonts w:hint="eastAsia" w:ascii="宋体" w:hAnsi="宋体" w:eastAsia="宋体" w:cs="宋体"/>
          <w:color w:val="auto"/>
          <w:highlight w:val="none"/>
        </w:rPr>
      </w:pPr>
      <w:bookmarkStart w:id="84" w:name="_Toc4537"/>
      <w:bookmarkStart w:id="85" w:name="_Toc961"/>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4"/>
      <w:bookmarkEnd w:id="85"/>
    </w:p>
    <w:p w14:paraId="62E96C15">
      <w:pPr>
        <w:spacing w:before="78" w:line="331" w:lineRule="auto"/>
        <w:ind w:left="8" w:right="65" w:firstLine="480"/>
        <w:rPr>
          <w:rFonts w:hint="eastAsia" w:ascii="宋体" w:hAnsi="宋体" w:eastAsia="宋体" w:cs="宋体"/>
          <w:color w:val="auto"/>
          <w:sz w:val="24"/>
          <w:szCs w:val="24"/>
          <w:highlight w:val="none"/>
        </w:rPr>
      </w:pPr>
      <w:bookmarkStart w:id="86" w:name="bookmark124"/>
      <w:bookmarkEnd w:id="86"/>
      <w:r>
        <w:rPr>
          <w:rFonts w:hint="eastAsia" w:ascii="宋体" w:hAnsi="宋体" w:eastAsia="宋体" w:cs="宋体"/>
          <w:color w:val="auto"/>
          <w:spacing w:val="-1"/>
          <w:sz w:val="24"/>
          <w:szCs w:val="24"/>
          <w:highlight w:val="none"/>
        </w:rPr>
        <w:t>评标分为初步评审和详细评审两个阶段，由评标委员会</w:t>
      </w:r>
      <w:r>
        <w:rPr>
          <w:rFonts w:hint="eastAsia" w:ascii="宋体" w:hAnsi="宋体" w:eastAsia="宋体" w:cs="宋体"/>
          <w:color w:val="auto"/>
          <w:spacing w:val="-2"/>
          <w:sz w:val="24"/>
          <w:szCs w:val="24"/>
          <w:highlight w:val="none"/>
        </w:rPr>
        <w:t>在有关部门的监督下，严</w:t>
      </w:r>
      <w:r>
        <w:rPr>
          <w:rFonts w:hint="eastAsia" w:ascii="宋体" w:hAnsi="宋体" w:eastAsia="宋体" w:cs="宋体"/>
          <w:color w:val="auto"/>
          <w:spacing w:val="-1"/>
          <w:sz w:val="24"/>
          <w:szCs w:val="24"/>
          <w:highlight w:val="none"/>
        </w:rPr>
        <w:t>格按照本招标文件指定的评标方法，对投标人的投标文件进行审</w:t>
      </w:r>
      <w:r>
        <w:rPr>
          <w:rFonts w:hint="eastAsia" w:ascii="宋体" w:hAnsi="宋体" w:eastAsia="宋体" w:cs="宋体"/>
          <w:color w:val="auto"/>
          <w:spacing w:val="-2"/>
          <w:sz w:val="24"/>
          <w:szCs w:val="24"/>
          <w:highlight w:val="none"/>
        </w:rPr>
        <w:t>查、评审。评标委员</w:t>
      </w:r>
      <w:r>
        <w:rPr>
          <w:rFonts w:hint="eastAsia" w:ascii="宋体" w:hAnsi="宋体" w:eastAsia="宋体" w:cs="宋体"/>
          <w:color w:val="auto"/>
          <w:spacing w:val="2"/>
          <w:sz w:val="24"/>
          <w:szCs w:val="24"/>
          <w:highlight w:val="none"/>
        </w:rPr>
        <w:t>会完成评标后，向招标人推荐</w:t>
      </w:r>
      <w:r>
        <w:rPr>
          <w:rFonts w:hint="eastAsia" w:ascii="宋体" w:hAnsi="宋体" w:eastAsia="宋体" w:cs="宋体"/>
          <w:color w:val="auto"/>
          <w:spacing w:val="2"/>
          <w:sz w:val="24"/>
          <w:szCs w:val="24"/>
          <w:highlight w:val="none"/>
          <w:u w:val="single"/>
        </w:rPr>
        <w:t xml:space="preserve">  3  </w:t>
      </w:r>
      <w:r>
        <w:rPr>
          <w:rFonts w:hint="eastAsia" w:ascii="宋体" w:hAnsi="宋体" w:eastAsia="宋体" w:cs="宋体"/>
          <w:color w:val="auto"/>
          <w:spacing w:val="2"/>
          <w:sz w:val="24"/>
          <w:szCs w:val="24"/>
          <w:highlight w:val="none"/>
        </w:rPr>
        <w:t>个中标候选人，并向招标人提交由全</w:t>
      </w:r>
      <w:r>
        <w:rPr>
          <w:rFonts w:hint="eastAsia" w:ascii="宋体" w:hAnsi="宋体" w:eastAsia="宋体" w:cs="宋体"/>
          <w:color w:val="auto"/>
          <w:spacing w:val="1"/>
          <w:sz w:val="24"/>
          <w:szCs w:val="24"/>
          <w:highlight w:val="none"/>
        </w:rPr>
        <w:t>体评标委员会</w:t>
      </w:r>
      <w:r>
        <w:rPr>
          <w:rFonts w:hint="eastAsia" w:ascii="宋体" w:hAnsi="宋体" w:eastAsia="宋体" w:cs="宋体"/>
          <w:color w:val="auto"/>
          <w:spacing w:val="-1"/>
          <w:sz w:val="24"/>
          <w:szCs w:val="24"/>
          <w:highlight w:val="none"/>
        </w:rPr>
        <w:t>成员签字的评标报告。</w:t>
      </w:r>
    </w:p>
    <w:p w14:paraId="74FE6A41">
      <w:pPr>
        <w:spacing w:before="38"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7E586CA1">
      <w:pPr>
        <w:spacing w:before="155" w:line="324" w:lineRule="auto"/>
        <w:ind w:left="10" w:right="65"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0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韶关区域</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6E04259D">
      <w:pPr>
        <w:spacing w:before="32" w:line="280" w:lineRule="auto"/>
        <w:ind w:left="13" w:right="7" w:firstLine="561"/>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15.1.2  </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5B6D30EB">
      <w:pPr>
        <w:spacing w:before="154"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311A3C6A">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5160DFA2">
      <w:pPr>
        <w:spacing w:before="155" w:line="221"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2119D0A">
      <w:pPr>
        <w:spacing w:before="153" w:line="279" w:lineRule="auto"/>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029A4248">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评标委员会成员有以上情形之一的，应主动提出回避。</w:t>
      </w:r>
    </w:p>
    <w:p w14:paraId="4433A9EB">
      <w:pPr>
        <w:spacing w:before="154" w:line="279" w:lineRule="auto"/>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15.1.3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03791E4">
      <w:pPr>
        <w:spacing w:before="157" w:line="298" w:lineRule="auto"/>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15.1.4  </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4EE9F1E7">
      <w:pPr>
        <w:spacing w:before="156" w:line="309" w:lineRule="auto"/>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15.1.5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43D102BA">
      <w:pPr>
        <w:spacing w:before="79" w:line="221"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15.2  </w:t>
      </w:r>
      <w:r>
        <w:rPr>
          <w:rFonts w:hint="eastAsia" w:ascii="宋体" w:hAnsi="宋体" w:eastAsia="宋体" w:cs="宋体"/>
          <w:color w:val="auto"/>
          <w:spacing w:val="-2"/>
          <w:sz w:val="24"/>
          <w:szCs w:val="24"/>
          <w:highlight w:val="none"/>
        </w:rPr>
        <w:t>评标方法</w:t>
      </w:r>
    </w:p>
    <w:p w14:paraId="6D924BEF">
      <w:pPr>
        <w:spacing w:before="78" w:line="326" w:lineRule="auto"/>
        <w:ind w:left="231" w:right="181" w:firstLine="560"/>
        <w:rPr>
          <w:rFonts w:hint="eastAsia" w:ascii="宋体" w:hAnsi="宋体" w:eastAsia="宋体" w:cs="宋体"/>
          <w:color w:val="auto"/>
          <w:highlight w:val="none"/>
        </w:rPr>
      </w:pPr>
      <w:bookmarkStart w:id="87" w:name="bookmark125"/>
      <w:bookmarkEnd w:id="87"/>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rPr>
        <w:t xml:space="preserve"> 综合评估法 </w:t>
      </w:r>
      <w:r>
        <w:rPr>
          <w:rFonts w:hint="eastAsia" w:ascii="宋体" w:hAnsi="宋体" w:eastAsia="宋体" w:cs="宋体"/>
          <w:color w:val="auto"/>
          <w:spacing w:val="-4"/>
          <w:sz w:val="24"/>
          <w:szCs w:val="24"/>
          <w:highlight w:val="none"/>
          <w:u w:val="single"/>
        </w:rPr>
        <w:t>（</w:t>
      </w:r>
      <w:r>
        <w:rPr>
          <w:rFonts w:hint="eastAsia" w:ascii="宋体" w:hAnsi="宋体" w:eastAsia="宋体" w:cs="宋体"/>
          <w:color w:val="auto"/>
          <w:spacing w:val="-1"/>
          <w:sz w:val="24"/>
          <w:szCs w:val="24"/>
          <w:highlight w:val="none"/>
        </w:rPr>
        <w:t>评标方法名称）进行评标。</w:t>
      </w:r>
    </w:p>
    <w:p w14:paraId="083CCE6C">
      <w:pPr>
        <w:spacing w:before="154" w:line="269"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15.3  </w:t>
      </w:r>
      <w:r>
        <w:rPr>
          <w:rFonts w:hint="eastAsia" w:ascii="宋体" w:hAnsi="宋体" w:eastAsia="宋体" w:cs="宋体"/>
          <w:color w:val="auto"/>
          <w:spacing w:val="-3"/>
          <w:sz w:val="24"/>
          <w:szCs w:val="24"/>
          <w:highlight w:val="none"/>
        </w:rPr>
        <w:t>评审范围：评标委员会应对所有投标人的投标文件进行评审。</w:t>
      </w:r>
    </w:p>
    <w:p w14:paraId="49E70C10">
      <w:pPr>
        <w:spacing w:before="153" w:line="22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15.4  </w:t>
      </w:r>
      <w:r>
        <w:rPr>
          <w:rFonts w:hint="eastAsia" w:ascii="宋体" w:hAnsi="宋体" w:eastAsia="宋体" w:cs="宋体"/>
          <w:color w:val="auto"/>
          <w:spacing w:val="-2"/>
          <w:sz w:val="24"/>
          <w:szCs w:val="24"/>
          <w:highlight w:val="none"/>
        </w:rPr>
        <w:t>初步评审阶段</w:t>
      </w:r>
    </w:p>
    <w:p w14:paraId="5B763A9F">
      <w:pPr>
        <w:spacing w:before="153" w:line="22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12AA72C0">
      <w:pPr>
        <w:spacing w:before="155" w:line="279" w:lineRule="auto"/>
        <w:ind w:left="719" w:right="6303" w:hanging="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15.4.1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资格评审环</w:t>
      </w:r>
      <w:r>
        <w:rPr>
          <w:rFonts w:hint="eastAsia" w:ascii="宋体" w:hAnsi="宋体" w:eastAsia="宋体" w:cs="宋体"/>
          <w:color w:val="auto"/>
          <w:spacing w:val="-3"/>
          <w:sz w:val="24"/>
          <w:szCs w:val="24"/>
          <w:highlight w:val="none"/>
        </w:rPr>
        <w:t>节</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3"/>
          <w:sz w:val="24"/>
          <w:szCs w:val="24"/>
          <w:highlight w:val="none"/>
        </w:rPr>
        <w:t>资格评审事项包括：</w:t>
      </w:r>
    </w:p>
    <w:p w14:paraId="3C2A7C1E">
      <w:pPr>
        <w:keepNext w:val="0"/>
        <w:keepLines w:val="0"/>
        <w:pageBreakBefore w:val="0"/>
        <w:widowControl/>
        <w:kinsoku w:val="0"/>
        <w:wordWrap/>
        <w:overflowPunct/>
        <w:topLinePunct w:val="0"/>
        <w:autoSpaceDE w:val="0"/>
        <w:autoSpaceDN w:val="0"/>
        <w:bidi w:val="0"/>
        <w:adjustRightInd w:val="0"/>
        <w:snapToGrid w:val="0"/>
        <w:spacing w:line="360" w:lineRule="auto"/>
        <w:ind w:left="232" w:firstLine="488"/>
        <w:textAlignment w:val="baseline"/>
        <w:rPr>
          <w:rFonts w:hint="eastAsia" w:asciiTheme="minorEastAsia" w:hAnsiTheme="minorEastAsia" w:eastAsiaTheme="minorEastAsia" w:cstheme="minorEastAsia"/>
          <w:color w:val="auto"/>
          <w:spacing w:val="-4"/>
          <w:sz w:val="24"/>
          <w:szCs w:val="24"/>
          <w:highlight w:val="none"/>
        </w:rPr>
      </w:pPr>
      <w:bookmarkStart w:id="88" w:name="_Toc22778"/>
      <w:r>
        <w:rPr>
          <w:rFonts w:hint="eastAsia" w:asciiTheme="minorEastAsia" w:hAnsiTheme="minorEastAsia" w:eastAsiaTheme="minorEastAsia" w:cstheme="minorEastAsia"/>
          <w:color w:val="auto"/>
          <w:spacing w:val="-4"/>
          <w:sz w:val="24"/>
          <w:szCs w:val="24"/>
          <w:highlight w:val="none"/>
        </w:rPr>
        <w:t>（1）投标人是否符合本章第三节第2.4条“禁止投标条款”规定。如果“禁止投标条款”包括严重失信主体名单的，投标人信用信息的获取采用现场实时查询的方式实施。由招标代理机构工作人员在评标委员会成员、交易场所工作人员共同见证下，登录信用中国网站（https://www.creditchina.gov.cn），在企业查询界面下载和打印《法人和非法人组织公共信用信息报告》，作为评审依据移交评标委员会。</w:t>
      </w:r>
    </w:p>
    <w:p w14:paraId="0BE4BA4B">
      <w:pPr>
        <w:keepNext w:val="0"/>
        <w:keepLines w:val="0"/>
        <w:pageBreakBefore w:val="0"/>
        <w:widowControl/>
        <w:kinsoku w:val="0"/>
        <w:overflowPunct/>
        <w:topLinePunct w:val="0"/>
        <w:autoSpaceDE w:val="0"/>
        <w:autoSpaceDN w:val="0"/>
        <w:bidi w:val="0"/>
        <w:adjustRightInd w:val="0"/>
        <w:snapToGrid w:val="0"/>
        <w:spacing w:line="360" w:lineRule="auto"/>
        <w:ind w:left="72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（2）投标人名称是否与营业执照、资质证书、安全生产许可证一致。</w:t>
      </w:r>
    </w:p>
    <w:p w14:paraId="5C81E7D4">
      <w:pPr>
        <w:keepNext w:val="0"/>
        <w:keepLines w:val="0"/>
        <w:pageBreakBefore w:val="0"/>
        <w:widowControl/>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（3）投标人的资质是否符合招标文件规定；其营业执照、资质证书、安全生产许可证（含实时网页查询页，可参考网址 https://zlaq.mohurd.gov.cn/fwmh/bjxcjgl/fwm</w:t>
      </w:r>
      <w:bookmarkStart w:id="89" w:name="bookmark126"/>
      <w:bookmarkEnd w:id="89"/>
      <w:r>
        <w:rPr>
          <w:rFonts w:hint="eastAsia" w:asciiTheme="minorEastAsia" w:hAnsiTheme="minorEastAsia" w:eastAsiaTheme="minorEastAsia" w:cstheme="minorEastAsia"/>
          <w:color w:val="auto"/>
          <w:spacing w:val="2"/>
          <w:sz w:val="24"/>
          <w:szCs w:val="24"/>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4"/>
          <w:szCs w:val="24"/>
          <w:highlight w:val="none"/>
        </w:rPr>
        <w:t>。</w:t>
      </w:r>
    </w:p>
    <w:p w14:paraId="46BDDC87">
      <w:pPr>
        <w:keepNext w:val="0"/>
        <w:keepLines w:val="0"/>
        <w:pageBreakBefore w:val="0"/>
        <w:widowControl/>
        <w:kinsoku w:val="0"/>
        <w:overflowPunct/>
        <w:topLinePunct w:val="0"/>
        <w:autoSpaceDE w:val="0"/>
        <w:autoSpaceDN w:val="0"/>
        <w:bidi w:val="0"/>
        <w:adjustRightInd w:val="0"/>
        <w:snapToGrid w:val="0"/>
        <w:spacing w:line="360" w:lineRule="auto"/>
        <w:ind w:left="50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（4）《项目经理简历表》中拟派项目经理是否与《开标一览表》一致。</w:t>
      </w:r>
    </w:p>
    <w:p w14:paraId="3040E94A">
      <w:pPr>
        <w:keepNext w:val="0"/>
        <w:keepLines w:val="0"/>
        <w:pageBreakBefore w:val="0"/>
        <w:widowControl/>
        <w:kinsoku w:val="0"/>
        <w:overflowPunct/>
        <w:topLinePunct w:val="0"/>
        <w:autoSpaceDE w:val="0"/>
        <w:autoSpaceDN w:val="0"/>
        <w:bidi w:val="0"/>
        <w:adjustRightInd w:val="0"/>
        <w:snapToGrid w:val="0"/>
        <w:spacing w:line="360" w:lineRule="auto"/>
        <w:ind w:left="11" w:firstLine="489"/>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2"/>
          <w:sz w:val="24"/>
          <w:szCs w:val="24"/>
          <w:highlight w:val="none"/>
        </w:rPr>
        <w:t>（5）拟派项目经理、项目技术负责人、专职安全员的条件</w:t>
      </w:r>
      <w:r>
        <w:rPr>
          <w:rFonts w:hint="eastAsia" w:asciiTheme="minorEastAsia" w:hAnsiTheme="minorEastAsia" w:eastAsiaTheme="minorEastAsia" w:cstheme="minorEastAsia"/>
          <w:color w:val="auto"/>
          <w:spacing w:val="1"/>
          <w:sz w:val="24"/>
          <w:szCs w:val="24"/>
          <w:highlight w:val="none"/>
        </w:rPr>
        <w:t>是否符合招标文件规</w:t>
      </w:r>
      <w:r>
        <w:rPr>
          <w:rFonts w:hint="eastAsia" w:asciiTheme="minorEastAsia" w:hAnsiTheme="minorEastAsia" w:eastAsiaTheme="minorEastAsia" w:cstheme="minorEastAsia"/>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7910BA3">
      <w:pPr>
        <w:keepNext w:val="0"/>
        <w:keepLines w:val="0"/>
        <w:pageBreakBefore w:val="0"/>
        <w:widowControl/>
        <w:kinsoku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6</w:t>
      </w:r>
      <w:r>
        <w:rPr>
          <w:rFonts w:hint="eastAsia" w:asciiTheme="minorEastAsia" w:hAnsiTheme="minorEastAsia" w:eastAsiaTheme="minorEastAsia" w:cstheme="minorEastAsia"/>
          <w:color w:val="auto"/>
          <w:spacing w:val="2"/>
          <w:sz w:val="24"/>
          <w:szCs w:val="24"/>
          <w:highlight w:val="none"/>
        </w:rPr>
        <w:t>）投标人为外省建筑企业的，是否按规定在“进粤</w:t>
      </w:r>
      <w:r>
        <w:rPr>
          <w:rFonts w:hint="eastAsia" w:asciiTheme="minorEastAsia" w:hAnsiTheme="minorEastAsia" w:eastAsiaTheme="minorEastAsia" w:cstheme="minorEastAsia"/>
          <w:color w:val="auto"/>
          <w:spacing w:val="1"/>
          <w:sz w:val="24"/>
          <w:szCs w:val="24"/>
          <w:highlight w:val="none"/>
        </w:rPr>
        <w:t>企业和人员诚信信息登记</w:t>
      </w:r>
      <w:r>
        <w:rPr>
          <w:rFonts w:hint="eastAsia" w:asciiTheme="minorEastAsia" w:hAnsiTheme="minorEastAsia" w:eastAsiaTheme="minorEastAsia" w:cstheme="minorEastAsia"/>
          <w:color w:val="auto"/>
          <w:spacing w:val="-2"/>
          <w:sz w:val="24"/>
          <w:szCs w:val="24"/>
          <w:highlight w:val="none"/>
        </w:rPr>
        <w:t>平台</w:t>
      </w:r>
      <w:r>
        <w:rPr>
          <w:rFonts w:hint="eastAsia" w:asciiTheme="minorEastAsia" w:hAnsiTheme="minorEastAsia" w:eastAsiaTheme="minorEastAsia" w:cstheme="minorEastAsia"/>
          <w:color w:val="auto"/>
          <w:spacing w:val="-7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”录入企业及其拟派人员有关信息并通过数据规范检查。</w:t>
      </w:r>
    </w:p>
    <w:p w14:paraId="5E3A3AD8">
      <w:pPr>
        <w:spacing w:before="15" w:line="360" w:lineRule="auto"/>
        <w:ind w:right="2"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 xml:space="preserve">15.4.2 </w:t>
      </w:r>
      <w:r>
        <w:rPr>
          <w:rFonts w:hint="eastAsia" w:ascii="宋体" w:hAnsi="宋体" w:eastAsia="宋体" w:cs="宋体"/>
          <w:color w:val="auto"/>
          <w:spacing w:val="1"/>
          <w:sz w:val="24"/>
          <w:szCs w:val="24"/>
          <w:highlight w:val="none"/>
        </w:rPr>
        <w:t xml:space="preserve"> 形式评审环节</w:t>
      </w:r>
    </w:p>
    <w:p w14:paraId="720A176D">
      <w:pPr>
        <w:spacing w:before="15" w:line="360" w:lineRule="auto"/>
        <w:ind w:right="2"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8"/>
    </w:p>
    <w:p w14:paraId="540DEAA8">
      <w:pPr>
        <w:spacing w:before="40" w:line="360" w:lineRule="auto"/>
        <w:ind w:left="501"/>
        <w:outlineLvl w:val="9"/>
        <w:rPr>
          <w:rFonts w:hint="eastAsia" w:ascii="宋体" w:hAnsi="宋体" w:eastAsia="宋体" w:cs="宋体"/>
          <w:color w:val="auto"/>
          <w:sz w:val="24"/>
          <w:szCs w:val="24"/>
          <w:highlight w:val="none"/>
        </w:rPr>
      </w:pPr>
      <w:bookmarkStart w:id="90" w:name="_Toc4914"/>
      <w:bookmarkStart w:id="91" w:name="_Toc23632"/>
      <w:bookmarkStart w:id="92" w:name="_Toc13304"/>
      <w:bookmarkStart w:id="93" w:name="_Toc20481"/>
      <w:r>
        <w:rPr>
          <w:rFonts w:hint="eastAsia" w:ascii="宋体" w:hAnsi="宋体" w:eastAsia="宋体" w:cs="宋体"/>
          <w:color w:val="auto"/>
          <w:spacing w:val="-1"/>
          <w:sz w:val="24"/>
          <w:szCs w:val="24"/>
          <w:highlight w:val="none"/>
        </w:rPr>
        <w:t>（1）各分册是否按招标文件规定加盖电子印章。</w:t>
      </w:r>
      <w:bookmarkEnd w:id="90"/>
      <w:bookmarkEnd w:id="91"/>
      <w:bookmarkEnd w:id="92"/>
      <w:bookmarkEnd w:id="93"/>
    </w:p>
    <w:p w14:paraId="64C926F3">
      <w:pPr>
        <w:spacing w:before="15" w:line="360" w:lineRule="auto"/>
        <w:ind w:firstLine="464" w:firstLineChars="200"/>
        <w:outlineLvl w:val="9"/>
        <w:rPr>
          <w:rFonts w:hint="eastAsia" w:ascii="宋体" w:hAnsi="宋体" w:eastAsia="宋体" w:cs="宋体"/>
          <w:color w:val="auto"/>
          <w:spacing w:val="-1"/>
          <w:sz w:val="24"/>
          <w:szCs w:val="24"/>
          <w:highlight w:val="none"/>
        </w:rPr>
      </w:pPr>
      <w:bookmarkStart w:id="94" w:name="_Toc27432"/>
      <w:bookmarkStart w:id="95" w:name="_Toc28409"/>
      <w:bookmarkStart w:id="96" w:name="_Toc10806"/>
      <w:bookmarkStart w:id="97"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 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 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10.4.3 目中规定</w:t>
      </w:r>
      <w:r>
        <w:rPr>
          <w:rFonts w:hint="eastAsia" w:ascii="宋体" w:hAnsi="宋体" w:eastAsia="宋体" w:cs="宋体"/>
          <w:color w:val="auto"/>
          <w:spacing w:val="-5"/>
          <w:sz w:val="24"/>
          <w:szCs w:val="24"/>
          <w:highlight w:val="none"/>
        </w:rPr>
        <w:t>的“所有投标人均应提</w:t>
      </w:r>
      <w:bookmarkEnd w:id="94"/>
      <w:bookmarkEnd w:id="95"/>
      <w:bookmarkEnd w:id="96"/>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7"/>
    </w:p>
    <w:p w14:paraId="127DFB0D">
      <w:pPr>
        <w:spacing w:before="15" w:line="360" w:lineRule="auto"/>
        <w:ind w:right="2" w:firstLine="474" w:firstLineChars="200"/>
        <w:jc w:val="both"/>
        <w:outlineLvl w:val="9"/>
        <w:rPr>
          <w:rFonts w:hint="eastAsia" w:ascii="宋体" w:hAnsi="宋体" w:eastAsia="宋体" w:cs="宋体"/>
          <w:color w:val="auto"/>
          <w:spacing w:val="2"/>
          <w:sz w:val="24"/>
          <w:szCs w:val="24"/>
          <w:highlight w:val="none"/>
        </w:rPr>
      </w:pPr>
      <w:bookmarkStart w:id="98" w:name="_Toc14202"/>
      <w:bookmarkStart w:id="99" w:name="_Toc22562"/>
      <w:bookmarkStart w:id="100" w:name="_Toc22642"/>
      <w:bookmarkStart w:id="101" w:name="_Toc16645"/>
      <w:r>
        <w:rPr>
          <w:rFonts w:hint="eastAsia" w:ascii="宋体" w:hAnsi="宋体" w:eastAsia="宋体" w:cs="宋体"/>
          <w:b/>
          <w:bCs/>
          <w:color w:val="auto"/>
          <w:spacing w:val="-2"/>
          <w:sz w:val="24"/>
          <w:szCs w:val="24"/>
          <w:highlight w:val="none"/>
        </w:rPr>
        <w:t xml:space="preserve">15.4.3  </w:t>
      </w:r>
      <w:r>
        <w:rPr>
          <w:rFonts w:hint="eastAsia" w:ascii="宋体" w:hAnsi="宋体" w:eastAsia="宋体" w:cs="宋体"/>
          <w:color w:val="auto"/>
          <w:spacing w:val="2"/>
          <w:sz w:val="24"/>
          <w:szCs w:val="24"/>
          <w:highlight w:val="none"/>
        </w:rPr>
        <w:t xml:space="preserve">响应性评审环节 </w:t>
      </w:r>
    </w:p>
    <w:p w14:paraId="746226A2">
      <w:pPr>
        <w:spacing w:before="15" w:line="360" w:lineRule="auto"/>
        <w:ind w:right="2"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8"/>
      <w:bookmarkEnd w:id="99"/>
      <w:bookmarkEnd w:id="100"/>
      <w:bookmarkEnd w:id="101"/>
    </w:p>
    <w:p w14:paraId="7C2C97F5">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FC3EBE0">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7272F12D">
      <w:pPr>
        <w:keepNext w:val="0"/>
        <w:keepLines w:val="0"/>
        <w:pageBreakBefore w:val="0"/>
        <w:widowControl/>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（3）投标人委托造价咨询单位编制《投标总价》的，是否在《投标总价扉页》（即扉—3）“投标人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p>
    <w:p w14:paraId="1684033F">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招标控制</w:t>
      </w:r>
      <w:r>
        <w:rPr>
          <w:rFonts w:hint="eastAsia" w:ascii="宋体" w:hAnsi="宋体" w:eastAsia="宋体" w:cs="宋体"/>
          <w:b/>
          <w:bCs/>
          <w:color w:val="auto"/>
          <w:spacing w:val="1"/>
          <w:sz w:val="24"/>
          <w:szCs w:val="24"/>
          <w:highlight w:val="none"/>
        </w:rPr>
        <w:t>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07EB7BBE">
      <w:pPr>
        <w:spacing w:before="38" w:line="360" w:lineRule="auto"/>
        <w:ind w:right="2" w:firstLine="474" w:firstLineChars="200"/>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2" w:name="bookmark127"/>
      <w:bookmarkEnd w:id="102"/>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 应在评标报告中说明判断理由。投标总价下浮率＝（1－投标总价÷招标控制价）×100% 。</w:t>
      </w:r>
    </w:p>
    <w:p w14:paraId="1B4A1888">
      <w:pPr>
        <w:spacing w:before="157" w:line="360" w:lineRule="auto"/>
        <w:ind w:left="11" w:right="114" w:firstLine="505" w:firstLineChars="20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123D5255">
      <w:pPr>
        <w:spacing w:before="82" w:line="211" w:lineRule="auto"/>
        <w:ind w:left="580"/>
        <w:outlineLvl w:val="9"/>
        <w:rPr>
          <w:rFonts w:hint="eastAsia" w:ascii="宋体" w:hAnsi="宋体" w:eastAsia="宋体" w:cs="宋体"/>
          <w:color w:val="auto"/>
          <w:sz w:val="25"/>
          <w:szCs w:val="25"/>
          <w:highlight w:val="none"/>
        </w:rPr>
      </w:pPr>
      <w:bookmarkStart w:id="103" w:name="_Toc32114"/>
      <w:bookmarkStart w:id="104" w:name="_Toc19814"/>
      <w:bookmarkStart w:id="105" w:name="_Toc15367"/>
      <w:bookmarkStart w:id="106" w:name="_Toc18204"/>
      <w:r>
        <w:rPr>
          <w:rFonts w:hint="eastAsia" w:ascii="宋体" w:hAnsi="宋体" w:eastAsia="宋体" w:cs="宋体"/>
          <w:b/>
          <w:bCs/>
          <w:color w:val="auto"/>
          <w:spacing w:val="-3"/>
          <w:sz w:val="24"/>
          <w:szCs w:val="24"/>
          <w:highlight w:val="none"/>
        </w:rPr>
        <w:t xml:space="preserve">15.4.4  </w:t>
      </w:r>
      <w:r>
        <w:rPr>
          <w:rFonts w:hint="eastAsia" w:ascii="宋体" w:hAnsi="宋体" w:eastAsia="宋体" w:cs="宋体"/>
          <w:color w:val="auto"/>
          <w:spacing w:val="-3"/>
          <w:sz w:val="24"/>
          <w:szCs w:val="24"/>
          <w:highlight w:val="none"/>
        </w:rPr>
        <w:t>否决投标说明</w:t>
      </w:r>
      <w:bookmarkEnd w:id="103"/>
      <w:bookmarkEnd w:id="104"/>
      <w:bookmarkEnd w:id="105"/>
      <w:bookmarkEnd w:id="106"/>
    </w:p>
    <w:p w14:paraId="0A7D0F98">
      <w:pPr>
        <w:spacing w:before="152" w:line="333" w:lineRule="auto"/>
        <w:ind w:left="11" w:right="175"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 xml:space="preserve">1 </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 xml:space="preserve">4 </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4AB68C11">
      <w:pPr>
        <w:spacing w:before="78" w:line="221" w:lineRule="auto"/>
        <w:ind w:left="577"/>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9"/>
                    <a:stretch>
                      <a:fillRect/>
                    </a:stretch>
                  </pic:blipFill>
                  <pic:spPr>
                    <a:xfrm>
                      <a:off x="0" y="0"/>
                      <a:ext cx="6350" cy="279400"/>
                    </a:xfrm>
                    <a:prstGeom prst="rect">
                      <a:avLst/>
                    </a:prstGeom>
                    <a:noFill/>
                    <a:ln>
                      <a:noFill/>
                    </a:ln>
                  </pic:spPr>
                </pic:pic>
              </a:graphicData>
            </a:graphic>
          </wp:anchor>
        </w:drawing>
      </w:r>
      <w:bookmarkStart w:id="107" w:name="bookmark128"/>
      <w:bookmarkEnd w:id="107"/>
      <w:r>
        <w:rPr>
          <w:rFonts w:hint="eastAsia" w:ascii="宋体" w:hAnsi="宋体" w:eastAsia="宋体" w:cs="宋体"/>
          <w:b/>
          <w:bCs/>
          <w:color w:val="auto"/>
          <w:spacing w:val="-2"/>
          <w:sz w:val="24"/>
          <w:szCs w:val="24"/>
          <w:highlight w:val="none"/>
        </w:rPr>
        <w:t xml:space="preserve">15.5  </w:t>
      </w:r>
      <w:r>
        <w:rPr>
          <w:rFonts w:hint="eastAsia" w:ascii="宋体" w:hAnsi="宋体" w:eastAsia="宋体" w:cs="宋体"/>
          <w:color w:val="auto"/>
          <w:spacing w:val="-2"/>
          <w:sz w:val="24"/>
          <w:szCs w:val="24"/>
          <w:highlight w:val="none"/>
        </w:rPr>
        <w:t>详细评审阶段</w:t>
      </w:r>
    </w:p>
    <w:p w14:paraId="21AA4981">
      <w:pPr>
        <w:spacing w:before="81" w:line="211" w:lineRule="auto"/>
        <w:ind w:left="498"/>
        <w:outlineLvl w:val="9"/>
        <w:rPr>
          <w:rFonts w:hint="eastAsia" w:ascii="宋体" w:hAnsi="宋体" w:eastAsia="宋体" w:cs="宋体"/>
          <w:color w:val="auto"/>
          <w:sz w:val="25"/>
          <w:szCs w:val="25"/>
          <w:highlight w:val="none"/>
        </w:rPr>
      </w:pPr>
      <w:bookmarkStart w:id="108" w:name="_Toc10503"/>
      <w:bookmarkStart w:id="109" w:name="_Toc28572"/>
      <w:bookmarkStart w:id="110" w:name="_Toc4119"/>
      <w:bookmarkStart w:id="111" w:name="_Toc14991"/>
      <w:r>
        <w:rPr>
          <w:rFonts w:hint="eastAsia" w:ascii="宋体" w:hAnsi="宋体" w:eastAsia="宋体" w:cs="宋体"/>
          <w:b/>
          <w:bCs/>
          <w:color w:val="auto"/>
          <w:spacing w:val="-3"/>
          <w:sz w:val="24"/>
          <w:szCs w:val="24"/>
          <w:highlight w:val="none"/>
        </w:rPr>
        <w:t xml:space="preserve">15.5.1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8"/>
      <w:bookmarkEnd w:id="109"/>
      <w:bookmarkEnd w:id="110"/>
      <w:bookmarkEnd w:id="111"/>
    </w:p>
    <w:p w14:paraId="5801B40B">
      <w:pPr>
        <w:spacing w:before="152" w:line="329" w:lineRule="auto"/>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7F93F86E">
      <w:pPr>
        <w:spacing w:before="153" w:line="324"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1F4AF271">
      <w:pPr>
        <w:spacing w:before="38" w:line="220" w:lineRule="auto"/>
        <w:ind w:left="503"/>
        <w:outlineLvl w:val="9"/>
        <w:rPr>
          <w:rFonts w:hint="eastAsia" w:ascii="宋体" w:hAnsi="宋体" w:eastAsia="宋体" w:cs="宋体"/>
          <w:color w:val="auto"/>
          <w:sz w:val="24"/>
          <w:szCs w:val="24"/>
          <w:highlight w:val="none"/>
        </w:rPr>
      </w:pPr>
      <w:bookmarkStart w:id="112" w:name="_Toc22949"/>
      <w:bookmarkStart w:id="113" w:name="_Toc17510"/>
      <w:bookmarkStart w:id="114" w:name="_Toc10398"/>
      <w:bookmarkStart w:id="115" w:name="_Toc18029"/>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2"/>
      <w:bookmarkEnd w:id="113"/>
      <w:bookmarkEnd w:id="114"/>
      <w:bookmarkEnd w:id="115"/>
    </w:p>
    <w:p w14:paraId="392026E4">
      <w:pPr>
        <w:spacing w:before="153" w:line="279"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881815B">
      <w:pPr>
        <w:spacing w:before="154" w:line="299"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 xml:space="preserve"> 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16A785CF">
      <w:pPr>
        <w:spacing w:before="155" w:line="231" w:lineRule="auto"/>
        <w:ind w:left="491"/>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0A2F9F5C">
      <w:pPr>
        <w:spacing w:before="139"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2"/>
          <w:w w:val="101"/>
          <w:position w:val="-1"/>
          <w:sz w:val="15"/>
          <w:szCs w:val="15"/>
          <w:highlight w:val="none"/>
        </w:rPr>
        <w:t xml:space="preserve"> </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48783CD0">
      <w:pPr>
        <w:spacing w:before="153" w:line="219" w:lineRule="auto"/>
        <w:ind w:left="503"/>
        <w:outlineLvl w:val="9"/>
        <w:rPr>
          <w:rFonts w:hint="eastAsia" w:ascii="宋体" w:hAnsi="宋体" w:eastAsia="宋体" w:cs="宋体"/>
          <w:color w:val="auto"/>
          <w:sz w:val="24"/>
          <w:szCs w:val="24"/>
          <w:highlight w:val="none"/>
        </w:rPr>
      </w:pPr>
      <w:bookmarkStart w:id="116" w:name="_Toc27609"/>
      <w:bookmarkStart w:id="117" w:name="_Toc3958"/>
      <w:bookmarkStart w:id="118" w:name="_Toc14059"/>
      <w:bookmarkStart w:id="119" w:name="_Toc16136"/>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6"/>
      <w:bookmarkEnd w:id="117"/>
      <w:bookmarkEnd w:id="118"/>
      <w:bookmarkEnd w:id="119"/>
    </w:p>
    <w:p w14:paraId="32CC3A83">
      <w:pPr>
        <w:spacing w:before="157" w:line="219" w:lineRule="auto"/>
        <w:ind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44C81B9">
      <w:pPr>
        <w:spacing w:before="155" w:line="299"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
          <w:sz w:val="24"/>
          <w:szCs w:val="24"/>
          <w:highlight w:val="none"/>
        </w:rPr>
        <w:t>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 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7BBB0CF5">
      <w:pPr>
        <w:spacing w:before="118" w:line="333"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2D2C5A9B">
      <w:pPr>
        <w:spacing w:before="106" w:line="316"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22"/>
          <w:w w:val="101"/>
          <w:sz w:val="24"/>
          <w:szCs w:val="24"/>
          <w:highlight w:val="none"/>
        </w:rPr>
        <w:t xml:space="preserve"> </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E</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＝0.5。</w:t>
      </w:r>
    </w:p>
    <w:p w14:paraId="25245EA0">
      <w:pPr>
        <w:spacing w:before="95" w:line="220" w:lineRule="auto"/>
        <w:ind w:left="503"/>
        <w:outlineLvl w:val="9"/>
        <w:rPr>
          <w:rFonts w:hint="eastAsia" w:ascii="宋体" w:hAnsi="宋体" w:eastAsia="宋体" w:cs="宋体"/>
          <w:color w:val="auto"/>
          <w:sz w:val="24"/>
          <w:szCs w:val="24"/>
          <w:highlight w:val="none"/>
        </w:rPr>
      </w:pPr>
      <w:bookmarkStart w:id="120" w:name="_Toc3861"/>
      <w:bookmarkStart w:id="121" w:name="_Toc4990"/>
      <w:bookmarkStart w:id="122" w:name="_Toc7915"/>
      <w:bookmarkStart w:id="123" w:name="_Toc576"/>
      <w:r>
        <w:rPr>
          <w:rFonts w:hint="eastAsia" w:ascii="宋体" w:hAnsi="宋体" w:eastAsia="宋体" w:cs="宋体"/>
          <w:color w:val="auto"/>
          <w:spacing w:val="-3"/>
          <w:sz w:val="24"/>
          <w:szCs w:val="24"/>
          <w:highlight w:val="none"/>
        </w:rPr>
        <w:t>（3）综合得分</w:t>
      </w:r>
      <w:bookmarkEnd w:id="120"/>
      <w:bookmarkEnd w:id="121"/>
      <w:bookmarkEnd w:id="122"/>
      <w:bookmarkEnd w:id="123"/>
    </w:p>
    <w:p w14:paraId="0F362937">
      <w:pPr>
        <w:spacing w:before="153"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0C5D7075">
      <w:pPr>
        <w:spacing w:before="155" w:line="324" w:lineRule="auto"/>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22FAA7C0">
      <w:pPr>
        <w:spacing w:before="155" w:line="324"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 为商务技术得分，N 为投标报价得分。</w:t>
      </w:r>
    </w:p>
    <w:p w14:paraId="7115A16B">
      <w:pPr>
        <w:spacing w:before="37" w:line="219" w:lineRule="auto"/>
        <w:ind w:left="503"/>
        <w:outlineLvl w:val="9"/>
        <w:rPr>
          <w:rFonts w:hint="eastAsia" w:ascii="宋体" w:hAnsi="宋体" w:eastAsia="宋体" w:cs="宋体"/>
          <w:color w:val="auto"/>
          <w:highlight w:val="none"/>
        </w:rPr>
      </w:pPr>
      <w:bookmarkStart w:id="124" w:name="_Toc32384"/>
      <w:bookmarkStart w:id="125" w:name="_Toc30671"/>
      <w:bookmarkStart w:id="126" w:name="_Toc25214"/>
      <w:bookmarkStart w:id="127" w:name="_Toc2885"/>
      <w:r>
        <w:rPr>
          <w:rFonts w:hint="eastAsia" w:ascii="宋体" w:hAnsi="宋体" w:eastAsia="宋体" w:cs="宋体"/>
          <w:color w:val="auto"/>
          <w:spacing w:val="2"/>
          <w:sz w:val="24"/>
          <w:szCs w:val="24"/>
          <w:highlight w:val="none"/>
        </w:rPr>
        <w:t>（4）评标委员会汇总、比较所有投标人的综合得分后，取</w:t>
      </w:r>
      <w:r>
        <w:rPr>
          <w:rFonts w:hint="eastAsia" w:ascii="宋体" w:hAnsi="宋体" w:eastAsia="宋体" w:cs="宋体"/>
          <w:color w:val="auto"/>
          <w:spacing w:val="1"/>
          <w:sz w:val="24"/>
          <w:szCs w:val="24"/>
          <w:highlight w:val="none"/>
        </w:rPr>
        <w:t>综合得分最高的投标</w:t>
      </w:r>
      <w:bookmarkEnd w:id="124"/>
      <w:bookmarkEnd w:id="125"/>
      <w:bookmarkEnd w:id="126"/>
      <w:bookmarkEnd w:id="127"/>
    </w:p>
    <w:p w14:paraId="70C32CE3">
      <w:pPr>
        <w:spacing w:before="78" w:line="329" w:lineRule="auto"/>
        <w:ind w:left="276" w:right="263" w:hanging="1"/>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人为第一中标候选人，取综合得分第二、第三高的投标人</w:t>
      </w:r>
      <w:r>
        <w:rPr>
          <w:rFonts w:hint="eastAsia" w:ascii="宋体" w:hAnsi="宋体" w:eastAsia="宋体" w:cs="宋体"/>
          <w:color w:val="auto"/>
          <w:spacing w:val="-2"/>
          <w:sz w:val="24"/>
          <w:szCs w:val="24"/>
          <w:highlight w:val="none"/>
        </w:rPr>
        <w:t>为第二、第三中标候选人。</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如果最高综合得分相同，取投标总价低者为第一中标</w:t>
      </w:r>
      <w:r>
        <w:rPr>
          <w:rFonts w:hint="eastAsia" w:ascii="宋体" w:hAnsi="宋体" w:eastAsia="宋体" w:cs="宋体"/>
          <w:color w:val="auto"/>
          <w:spacing w:val="-2"/>
          <w:sz w:val="24"/>
          <w:szCs w:val="24"/>
          <w:highlight w:val="none"/>
        </w:rPr>
        <w:t>候选人，并依此确定第二、第三</w:t>
      </w:r>
      <w:r>
        <w:rPr>
          <w:rFonts w:hint="eastAsia" w:ascii="宋体" w:hAnsi="宋体" w:eastAsia="宋体" w:cs="宋体"/>
          <w:color w:val="auto"/>
          <w:sz w:val="24"/>
          <w:szCs w:val="24"/>
          <w:highlight w:val="none"/>
        </w:rPr>
        <w:t xml:space="preserve"> 中标候选人。如果最高综合得分相同，投标总价</w:t>
      </w:r>
      <w:r>
        <w:rPr>
          <w:rFonts w:hint="eastAsia" w:ascii="宋体" w:hAnsi="宋体" w:eastAsia="宋体" w:cs="宋体"/>
          <w:color w:val="auto"/>
          <w:spacing w:val="-1"/>
          <w:sz w:val="24"/>
          <w:szCs w:val="24"/>
          <w:highlight w:val="none"/>
        </w:rPr>
        <w:t>也相同，由评标委员会投票确定。</w:t>
      </w:r>
    </w:p>
    <w:p w14:paraId="018D3E19">
      <w:pPr>
        <w:pStyle w:val="5"/>
        <w:spacing w:line="304" w:lineRule="auto"/>
        <w:rPr>
          <w:rFonts w:hint="eastAsia" w:ascii="宋体" w:hAnsi="宋体" w:eastAsia="宋体" w:cs="宋体"/>
          <w:color w:val="auto"/>
          <w:highlight w:val="none"/>
        </w:rPr>
      </w:pPr>
    </w:p>
    <w:p w14:paraId="2C7B650C">
      <w:pPr>
        <w:rPr>
          <w:rFonts w:hint="eastAsia"/>
          <w:color w:val="auto"/>
          <w:highlight w:val="none"/>
        </w:rPr>
      </w:pPr>
    </w:p>
    <w:p w14:paraId="6FA1A880">
      <w:pPr>
        <w:pStyle w:val="5"/>
        <w:spacing w:line="304" w:lineRule="auto"/>
        <w:rPr>
          <w:rFonts w:hint="eastAsia" w:ascii="宋体" w:hAnsi="宋体" w:eastAsia="宋体" w:cs="宋体"/>
          <w:color w:val="auto"/>
          <w:highlight w:val="none"/>
        </w:rPr>
      </w:pPr>
    </w:p>
    <w:p w14:paraId="1DAED1C9">
      <w:pPr>
        <w:rPr>
          <w:rFonts w:hint="eastAsia" w:ascii="宋体" w:hAnsi="宋体" w:eastAsia="宋体" w:cs="宋体"/>
          <w:b/>
          <w:bCs/>
          <w:color w:val="auto"/>
          <w:spacing w:val="-6"/>
          <w:sz w:val="30"/>
          <w:szCs w:val="30"/>
          <w:highlight w:val="none"/>
        </w:rPr>
      </w:pPr>
      <w:bookmarkStart w:id="128" w:name="_Toc3020"/>
      <w:bookmarkStart w:id="129" w:name="_Toc17375"/>
      <w:bookmarkStart w:id="130" w:name="_Toc16801"/>
      <w:r>
        <w:rPr>
          <w:rFonts w:hint="eastAsia" w:ascii="宋体" w:hAnsi="宋体" w:eastAsia="宋体" w:cs="宋体"/>
          <w:b/>
          <w:bCs/>
          <w:color w:val="auto"/>
          <w:spacing w:val="-6"/>
          <w:sz w:val="30"/>
          <w:szCs w:val="30"/>
          <w:highlight w:val="none"/>
        </w:rPr>
        <w:br w:type="page"/>
      </w:r>
    </w:p>
    <w:p w14:paraId="40D4E59D">
      <w:pPr>
        <w:spacing w:before="98" w:line="221" w:lineRule="auto"/>
        <w:ind w:left="4248"/>
        <w:outlineLvl w:val="9"/>
        <w:rPr>
          <w:rFonts w:hint="eastAsia" w:ascii="宋体" w:hAnsi="宋体" w:eastAsia="宋体" w:cs="宋体"/>
          <w:b/>
          <w:bCs/>
          <w:color w:val="auto"/>
          <w:spacing w:val="-6"/>
          <w:sz w:val="30"/>
          <w:szCs w:val="30"/>
          <w:highlight w:val="none"/>
        </w:rPr>
      </w:pPr>
      <w:r>
        <w:rPr>
          <w:rFonts w:hint="eastAsia" w:ascii="宋体" w:hAnsi="宋体" w:eastAsia="宋体" w:cs="宋体"/>
          <w:b/>
          <w:bCs/>
          <w:color w:val="auto"/>
          <w:spacing w:val="-6"/>
          <w:sz w:val="30"/>
          <w:szCs w:val="30"/>
          <w:highlight w:val="none"/>
        </w:rPr>
        <w:t>综合评分表</w:t>
      </w:r>
      <w:bookmarkEnd w:id="128"/>
      <w:bookmarkEnd w:id="129"/>
      <w:bookmarkEnd w:id="130"/>
    </w:p>
    <w:tbl>
      <w:tblPr>
        <w:tblStyle w:val="14"/>
        <w:tblW w:w="103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91"/>
        <w:gridCol w:w="168"/>
        <w:gridCol w:w="3700"/>
        <w:gridCol w:w="4968"/>
      </w:tblGrid>
      <w:tr w14:paraId="5FB65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0327"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248FBA9C">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both"/>
              <w:textAlignment w:val="auto"/>
              <w:rPr>
                <w:rFonts w:hint="eastAsia" w:ascii="宋体" w:hAnsi="宋体" w:eastAsia="宋体" w:cs="宋体"/>
                <w:b/>
                <w:bCs/>
                <w:caps w:val="0"/>
                <w:smallCaps w:val="0"/>
                <w:snapToGrid w:val="0"/>
                <w:color w:val="auto"/>
                <w:spacing w:val="0"/>
                <w:kern w:val="0"/>
                <w:sz w:val="24"/>
                <w:szCs w:val="24"/>
                <w:highlight w:val="none"/>
                <w:lang w:eastAsia="zh-CN"/>
              </w:rPr>
            </w:pPr>
            <w:bookmarkStart w:id="131" w:name="_Toc31744"/>
            <w:bookmarkStart w:id="132" w:name="_Toc5769"/>
            <w:bookmarkStart w:id="133" w:name="_Toc17436"/>
            <w:bookmarkStart w:id="134" w:name="_Toc9725"/>
            <w:r>
              <w:rPr>
                <w:rFonts w:hint="eastAsia" w:ascii="宋体" w:hAnsi="宋体" w:eastAsia="宋体" w:cs="宋体"/>
                <w:b/>
                <w:bCs/>
                <w:caps w:val="0"/>
                <w:smallCaps w:val="0"/>
                <w:snapToGrid w:val="0"/>
                <w:color w:val="auto"/>
                <w:spacing w:val="0"/>
                <w:kern w:val="0"/>
                <w:sz w:val="24"/>
                <w:szCs w:val="24"/>
                <w:highlight w:val="none"/>
                <w:lang w:eastAsia="zh-CN"/>
              </w:rPr>
              <w:t>商务部分，满分：</w:t>
            </w:r>
            <w:r>
              <w:rPr>
                <w:rFonts w:hint="eastAsia" w:ascii="宋体" w:hAnsi="宋体" w:eastAsia="宋体" w:cs="宋体"/>
                <w:b/>
                <w:bCs/>
                <w:caps w:val="0"/>
                <w:smallCaps w:val="0"/>
                <w:snapToGrid w:val="0"/>
                <w:color w:val="auto"/>
                <w:spacing w:val="0"/>
                <w:kern w:val="0"/>
                <w:sz w:val="24"/>
                <w:szCs w:val="24"/>
                <w:highlight w:val="none"/>
                <w:u w:val="single"/>
                <w:lang w:val="en-US" w:eastAsia="zh-CN"/>
              </w:rPr>
              <w:t xml:space="preserve"> 80 </w:t>
            </w:r>
            <w:r>
              <w:rPr>
                <w:rFonts w:hint="eastAsia" w:ascii="宋体" w:hAnsi="宋体" w:eastAsia="宋体" w:cs="宋体"/>
                <w:b/>
                <w:bCs/>
                <w:caps w:val="0"/>
                <w:smallCaps w:val="0"/>
                <w:snapToGrid w:val="0"/>
                <w:color w:val="auto"/>
                <w:spacing w:val="0"/>
                <w:kern w:val="0"/>
                <w:sz w:val="24"/>
                <w:szCs w:val="24"/>
                <w:highlight w:val="none"/>
                <w:lang w:val="en-US" w:eastAsia="zh-CN"/>
              </w:rPr>
              <w:t>分。</w:t>
            </w:r>
          </w:p>
        </w:tc>
      </w:tr>
      <w:tr w14:paraId="33626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835041F">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eastAsia="zh-CN"/>
              </w:rPr>
              <w:t>评分因素</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109D750">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eastAsia="zh-CN"/>
              </w:rPr>
              <w:t>评分标准</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72014B04">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val="en-US"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备注</w:t>
            </w:r>
          </w:p>
        </w:tc>
      </w:tr>
      <w:tr w14:paraId="5BE33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819ADA1">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企业奖项</w:t>
            </w:r>
          </w:p>
          <w:p w14:paraId="796CA053">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（1</w:t>
            </w:r>
            <w:r>
              <w:rPr>
                <w:rFonts w:hint="eastAsia" w:hAnsi="宋体" w:cs="宋体"/>
                <w:snapToGrid w:val="0"/>
                <w:color w:val="auto"/>
                <w:kern w:val="0"/>
                <w:sz w:val="22"/>
                <w:szCs w:val="22"/>
                <w:highlight w:val="none"/>
                <w:lang w:val="en-US" w:eastAsia="zh-CN"/>
              </w:rPr>
              <w:t>0</w:t>
            </w:r>
            <w:r>
              <w:rPr>
                <w:rFonts w:hint="eastAsia" w:ascii="宋体" w:hAnsi="宋体" w:eastAsia="宋体" w:cs="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054041C4">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企业近 5 年来（2021年1月1日至今）获奖情况（含参建奖）：</w:t>
            </w:r>
          </w:p>
          <w:p w14:paraId="7CF97986">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1．获得国家级奖项的，每个得</w:t>
            </w:r>
            <w:r>
              <w:rPr>
                <w:rFonts w:hint="eastAsia" w:asciiTheme="minorEastAsia" w:hAnsiTheme="minorEastAsia" w:eastAsiaTheme="minorEastAsia" w:cstheme="minorEastAsia"/>
                <w:snapToGrid w:val="0"/>
                <w:color w:val="auto"/>
                <w:kern w:val="0"/>
                <w:sz w:val="22"/>
                <w:szCs w:val="22"/>
                <w:highlight w:val="none"/>
                <w:u w:val="single"/>
                <w:lang w:val="en-US" w:eastAsia="zh-CN"/>
              </w:rPr>
              <w:t>10</w:t>
            </w:r>
            <w:r>
              <w:rPr>
                <w:rFonts w:hint="eastAsia" w:asciiTheme="minorEastAsia" w:hAnsiTheme="minorEastAsia" w:eastAsiaTheme="minorEastAsia" w:cstheme="minorEastAsia"/>
                <w:snapToGrid w:val="0"/>
                <w:color w:val="auto"/>
                <w:kern w:val="0"/>
                <w:sz w:val="22"/>
                <w:szCs w:val="22"/>
                <w:highlight w:val="none"/>
                <w:lang w:val="en-US" w:eastAsia="zh-CN"/>
              </w:rPr>
              <w:t>分。</w:t>
            </w:r>
          </w:p>
          <w:p w14:paraId="2B14D4D1">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2．获得省级奖项的，每个得</w:t>
            </w:r>
            <w:r>
              <w:rPr>
                <w:rFonts w:hint="eastAsia" w:asciiTheme="minorEastAsia" w:hAnsiTheme="minorEastAsia" w:eastAsiaTheme="minorEastAsia" w:cstheme="minorEastAsia"/>
                <w:snapToGrid w:val="0"/>
                <w:color w:val="auto"/>
                <w:kern w:val="0"/>
                <w:sz w:val="22"/>
                <w:szCs w:val="22"/>
                <w:highlight w:val="none"/>
                <w:u w:val="single"/>
                <w:lang w:val="en-US" w:eastAsia="zh-CN"/>
              </w:rPr>
              <w:t xml:space="preserve"> 7 </w:t>
            </w:r>
            <w:r>
              <w:rPr>
                <w:rFonts w:hint="eastAsia" w:asciiTheme="minorEastAsia" w:hAnsiTheme="minorEastAsia" w:eastAsiaTheme="minorEastAsia" w:cstheme="minorEastAsia"/>
                <w:snapToGrid w:val="0"/>
                <w:color w:val="auto"/>
                <w:kern w:val="0"/>
                <w:sz w:val="22"/>
                <w:szCs w:val="22"/>
                <w:highlight w:val="none"/>
                <w:lang w:val="en-US" w:eastAsia="zh-CN"/>
              </w:rPr>
              <w:t>分。</w:t>
            </w:r>
          </w:p>
          <w:p w14:paraId="3DA87DE8">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3．获得地市级奖项的，每个得</w:t>
            </w:r>
            <w:r>
              <w:rPr>
                <w:rFonts w:hint="eastAsia" w:asciiTheme="minorEastAsia" w:hAnsiTheme="minorEastAsia" w:eastAsiaTheme="minorEastAsia" w:cstheme="minorEastAsia"/>
                <w:snapToGrid w:val="0"/>
                <w:color w:val="auto"/>
                <w:kern w:val="0"/>
                <w:sz w:val="22"/>
                <w:szCs w:val="22"/>
                <w:highlight w:val="none"/>
                <w:u w:val="single"/>
                <w:lang w:val="en-US" w:eastAsia="zh-CN"/>
              </w:rPr>
              <w:t xml:space="preserve">5 </w:t>
            </w:r>
            <w:r>
              <w:rPr>
                <w:rFonts w:hint="eastAsia" w:asciiTheme="minorEastAsia" w:hAnsiTheme="minorEastAsia" w:eastAsiaTheme="minorEastAsia" w:cstheme="minorEastAsia"/>
                <w:snapToGrid w:val="0"/>
                <w:color w:val="auto"/>
                <w:kern w:val="0"/>
                <w:sz w:val="22"/>
                <w:szCs w:val="22"/>
                <w:highlight w:val="none"/>
                <w:lang w:val="en-US" w:eastAsia="zh-CN"/>
              </w:rPr>
              <w:t>分。</w:t>
            </w:r>
          </w:p>
          <w:p w14:paraId="19CDF7C2">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4．以上奖项均未获得的，不予计分。</w:t>
            </w:r>
          </w:p>
          <w:p w14:paraId="4FC641A1">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lang w:val="en-US" w:eastAsia="zh-CN" w:bidi="ar-SA"/>
              </w:rPr>
            </w:pPr>
            <w:r>
              <w:rPr>
                <w:rFonts w:hint="eastAsia" w:asciiTheme="minorEastAsia" w:hAnsiTheme="minorEastAsia" w:eastAsiaTheme="minorEastAsia" w:cstheme="minorEastAsia"/>
                <w:snapToGrid w:val="0"/>
                <w:color w:val="auto"/>
                <w:kern w:val="0"/>
                <w:sz w:val="22"/>
                <w:szCs w:val="22"/>
                <w:highlight w:val="none"/>
                <w:lang w:val="en-US" w:eastAsia="zh-CN"/>
              </w:rPr>
              <w:t>5．本项最高得</w:t>
            </w:r>
            <w:r>
              <w:rPr>
                <w:rFonts w:hint="eastAsia" w:asciiTheme="minorEastAsia" w:hAnsiTheme="minorEastAsia" w:eastAsiaTheme="minorEastAsia" w:cstheme="minorEastAsia"/>
                <w:snapToGrid w:val="0"/>
                <w:color w:val="auto"/>
                <w:kern w:val="0"/>
                <w:sz w:val="22"/>
                <w:szCs w:val="22"/>
                <w:highlight w:val="none"/>
                <w:u w:val="single"/>
                <w:lang w:val="en-US" w:eastAsia="zh-CN"/>
              </w:rPr>
              <w:t xml:space="preserve"> 10 </w:t>
            </w:r>
            <w:r>
              <w:rPr>
                <w:rFonts w:hint="eastAsia" w:asciiTheme="minorEastAsia" w:hAnsiTheme="minorEastAsia" w:eastAsiaTheme="minorEastAsia" w:cstheme="minorEastAsia"/>
                <w:snapToGrid w:val="0"/>
                <w:color w:val="auto"/>
                <w:kern w:val="0"/>
                <w:sz w:val="22"/>
                <w:szCs w:val="22"/>
                <w:highlight w:val="none"/>
                <w:lang w:val="en-US" w:eastAsia="zh-CN"/>
              </w:rPr>
              <w:t>分。</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6E96961D">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1.允许投标人提交多个业绩，但同一业绩只按最高级别奖项计分一次。</w:t>
            </w:r>
          </w:p>
          <w:p w14:paraId="2138D191">
            <w:pPr>
              <w:pStyle w:val="5"/>
              <w:wordWrap w:val="0"/>
              <w:adjustRightInd w:val="0"/>
              <w:snapToGrid w:val="0"/>
              <w:spacing w:after="0" w:line="400" w:lineRule="exact"/>
              <w:rPr>
                <w:rFonts w:hint="eastAsia" w:asciiTheme="minorEastAsia" w:hAnsiTheme="minorEastAsia" w:eastAsiaTheme="minorEastAsia" w:cstheme="minorEastAsia"/>
                <w:b/>
                <w:bCs/>
                <w:snapToGrid w:val="0"/>
                <w:color w:val="auto"/>
                <w:kern w:val="0"/>
                <w:sz w:val="22"/>
                <w:szCs w:val="22"/>
                <w:highlight w:val="none"/>
                <w:lang w:val="en-US" w:eastAsia="zh-CN"/>
              </w:rPr>
            </w:pPr>
            <w:r>
              <w:rPr>
                <w:rFonts w:hint="eastAsia" w:asciiTheme="minorEastAsia" w:hAnsiTheme="minorEastAsia" w:eastAsiaTheme="minorEastAsia" w:cstheme="minorEastAsia"/>
                <w:b/>
                <w:bCs/>
                <w:snapToGrid w:val="0"/>
                <w:color w:val="auto"/>
                <w:kern w:val="0"/>
                <w:sz w:val="22"/>
                <w:szCs w:val="22"/>
                <w:highlight w:val="none"/>
                <w:lang w:val="en-US" w:eastAsia="zh-CN"/>
              </w:rPr>
              <w:t>2.需附有关奖项证书和发文材料彩色扫描件，同时提供原件供核对。</w:t>
            </w:r>
          </w:p>
          <w:p w14:paraId="3BE36F88">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3.颁发机构限定以下范围：</w:t>
            </w:r>
          </w:p>
          <w:p w14:paraId="43990672">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①国家级奖项：国务院、住建部、中国建筑业协会、中国市政行业协会；（相关协会需经民政部门备案）；</w:t>
            </w:r>
          </w:p>
          <w:p w14:paraId="4CFEB107">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②省级奖项：省级建设行政主管部门、省级建筑行业协会、省级建筑安全协会、省市政行业协会；（相关协会需经民政部门备案）；</w:t>
            </w:r>
          </w:p>
          <w:p w14:paraId="7DFEE7A9">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③地市级奖项：市级建设行政主管部门、市级建筑行业协会、地市级市政行业协会。（相关协会需经民政部门备案）。</w:t>
            </w:r>
          </w:p>
          <w:p w14:paraId="2A574403">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4.获奖时间以奖项证明的落款日期为准。</w:t>
            </w:r>
          </w:p>
          <w:p w14:paraId="0EA7EE55">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5．任一奖项有以下情形之一的，该奖项视为无效，不予计分：</w:t>
            </w:r>
          </w:p>
          <w:p w14:paraId="7C16BBC9">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①未提供奖项原件的；</w:t>
            </w:r>
          </w:p>
          <w:p w14:paraId="05ABD85A">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②奖项不属于指定类别的；</w:t>
            </w:r>
          </w:p>
          <w:p w14:paraId="0E8FA8BD">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③颁发机构不符合要求的；</w:t>
            </w:r>
          </w:p>
          <w:p w14:paraId="71E7BF92">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④获奖时间不符合要求的。</w:t>
            </w:r>
          </w:p>
          <w:p w14:paraId="51B0488C">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color w:val="auto"/>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说明：以上所称“要求 ”均指本表评分标准及备注的要求，下同。</w:t>
            </w:r>
          </w:p>
        </w:tc>
      </w:tr>
      <w:tr w14:paraId="48A4B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570DD20">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项目经理</w:t>
            </w:r>
          </w:p>
          <w:p w14:paraId="3981C759">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综合素质</w:t>
            </w:r>
          </w:p>
          <w:p w14:paraId="59BC31CC">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（10分）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6E79CB2">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项目经理具备工程类技术职称情况：</w:t>
            </w:r>
          </w:p>
          <w:p w14:paraId="2C80F617">
            <w:pPr>
              <w:widowControl w:val="0"/>
              <w:numPr>
                <w:ilvl w:val="0"/>
                <w:numId w:val="0"/>
              </w:numPr>
              <w:wordWrap w:val="0"/>
              <w:adjustRightInd w:val="0"/>
              <w:snapToGrid w:val="0"/>
              <w:spacing w:after="0" w:afterLines="0" w:afterAutospacing="0" w:line="400" w:lineRule="exact"/>
              <w:jc w:val="both"/>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1.具备中级工程师或以上职称的，得</w:t>
            </w:r>
            <w:r>
              <w:rPr>
                <w:rFonts w:hint="eastAsia" w:ascii="宋体" w:hAnsi="宋体" w:eastAsia="宋体" w:cs="宋体"/>
                <w:snapToGrid w:val="0"/>
                <w:color w:val="auto"/>
                <w:kern w:val="0"/>
                <w:sz w:val="22"/>
                <w:szCs w:val="22"/>
                <w:highlight w:val="none"/>
                <w:u w:val="single"/>
                <w:lang w:val="en-US" w:eastAsia="zh-CN" w:bidi="ar-SA"/>
              </w:rPr>
              <w:t>10</w:t>
            </w:r>
            <w:r>
              <w:rPr>
                <w:rFonts w:hint="eastAsia" w:ascii="宋体" w:hAnsi="宋体" w:eastAsia="宋体" w:cs="宋体"/>
                <w:snapToGrid w:val="0"/>
                <w:color w:val="auto"/>
                <w:kern w:val="0"/>
                <w:sz w:val="22"/>
                <w:szCs w:val="22"/>
                <w:highlight w:val="none"/>
                <w:lang w:val="en-US" w:eastAsia="zh-CN" w:bidi="ar-SA"/>
              </w:rPr>
              <w:t>分。</w:t>
            </w:r>
          </w:p>
          <w:p w14:paraId="6E74D567">
            <w:pPr>
              <w:widowControl w:val="0"/>
              <w:numPr>
                <w:ilvl w:val="0"/>
                <w:numId w:val="0"/>
              </w:numPr>
              <w:wordWrap w:val="0"/>
              <w:adjustRightInd w:val="0"/>
              <w:snapToGrid w:val="0"/>
              <w:spacing w:after="0" w:afterLines="0" w:afterAutospacing="0" w:line="400" w:lineRule="exact"/>
              <w:jc w:val="both"/>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 xml:space="preserve">2.具备助理工程师职称的，得 </w:t>
            </w:r>
            <w:r>
              <w:rPr>
                <w:rFonts w:hint="eastAsia" w:ascii="宋体" w:hAnsi="宋体" w:eastAsia="宋体" w:cs="宋体"/>
                <w:snapToGrid w:val="0"/>
                <w:color w:val="auto"/>
                <w:kern w:val="0"/>
                <w:sz w:val="22"/>
                <w:szCs w:val="22"/>
                <w:highlight w:val="none"/>
                <w:u w:val="single"/>
                <w:lang w:val="en-US" w:eastAsia="zh-CN" w:bidi="ar-SA"/>
              </w:rPr>
              <w:t>5</w:t>
            </w:r>
            <w:r>
              <w:rPr>
                <w:rFonts w:hint="eastAsia" w:ascii="宋体" w:hAnsi="宋体" w:eastAsia="宋体" w:cs="宋体"/>
                <w:snapToGrid w:val="0"/>
                <w:color w:val="auto"/>
                <w:kern w:val="0"/>
                <w:sz w:val="22"/>
                <w:szCs w:val="22"/>
                <w:highlight w:val="none"/>
                <w:lang w:val="en-US" w:eastAsia="zh-CN" w:bidi="ar-SA"/>
              </w:rPr>
              <w:t>分。</w:t>
            </w:r>
          </w:p>
          <w:p w14:paraId="6029FC63">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
              </w:rPr>
              <w:t>3.</w:t>
            </w:r>
            <w:r>
              <w:rPr>
                <w:rFonts w:hint="eastAsia" w:ascii="宋体" w:hAnsi="宋体" w:eastAsia="宋体" w:cs="宋体"/>
                <w:snapToGrid w:val="0"/>
                <w:color w:val="auto"/>
                <w:kern w:val="0"/>
                <w:sz w:val="22"/>
                <w:szCs w:val="22"/>
                <w:highlight w:val="none"/>
                <w:lang w:val="en-US" w:eastAsia="zh-CN" w:bidi="ar-SA"/>
              </w:rPr>
              <w:t>不具备以上职称的，或未提供职称证原件的（电子证书除外），不予计分。</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054270A2">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Theme="minorEastAsia" w:hAnsiTheme="minorEastAsia" w:eastAsiaTheme="minorEastAsia" w:cstheme="minorEastAsia"/>
                <w:b w:val="0"/>
                <w:bCs w:val="0"/>
                <w:snapToGrid w:val="0"/>
                <w:color w:val="auto"/>
                <w:kern w:val="0"/>
                <w:sz w:val="22"/>
                <w:szCs w:val="22"/>
                <w:highlight w:val="none"/>
                <w:lang w:val="en-US" w:eastAsia="zh-CN"/>
              </w:rPr>
              <w:t>1.需附职称证彩色扫描件（或打印件）。</w:t>
            </w:r>
          </w:p>
        </w:tc>
      </w:tr>
      <w:tr w14:paraId="6DE89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78E2C2C">
            <w:pPr>
              <w:pStyle w:val="40"/>
              <w:keepNext w:val="0"/>
              <w:keepLines w:val="0"/>
              <w:pageBreakBefore w:val="0"/>
              <w:widowControl w:val="0"/>
              <w:kinsoku/>
              <w:wordWrap w:val="0"/>
              <w:overflowPunct/>
              <w:topLinePunct w:val="0"/>
              <w:autoSpaceDE/>
              <w:autoSpaceDN/>
              <w:bidi w:val="0"/>
              <w:adjustRightInd w:val="0"/>
              <w:snapToGrid w:val="0"/>
              <w:spacing w:after="0" w:line="360"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企业业绩</w:t>
            </w:r>
          </w:p>
          <w:p w14:paraId="4A686DF9">
            <w:pPr>
              <w:pStyle w:val="40"/>
              <w:keepNext w:val="0"/>
              <w:keepLines w:val="0"/>
              <w:pageBreakBefore w:val="0"/>
              <w:widowControl w:val="0"/>
              <w:kinsoku/>
              <w:wordWrap w:val="0"/>
              <w:overflowPunct/>
              <w:topLinePunct w:val="0"/>
              <w:autoSpaceDE/>
              <w:autoSpaceDN/>
              <w:bidi w:val="0"/>
              <w:adjustRightInd w:val="0"/>
              <w:snapToGrid w:val="0"/>
              <w:spacing w:after="0" w:line="360" w:lineRule="auto"/>
              <w:jc w:val="center"/>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w:t>
            </w:r>
            <w:r>
              <w:rPr>
                <w:rFonts w:hint="eastAsia" w:hAnsi="宋体" w:cs="宋体"/>
                <w:snapToGrid w:val="0"/>
                <w:color w:val="auto"/>
                <w:kern w:val="0"/>
                <w:sz w:val="22"/>
                <w:szCs w:val="22"/>
                <w:highlight w:val="none"/>
                <w:lang w:val="en-US" w:eastAsia="zh-CN"/>
              </w:rPr>
              <w:t>10</w:t>
            </w:r>
            <w:r>
              <w:rPr>
                <w:rFonts w:hint="eastAsia" w:ascii="宋体" w:hAnsi="宋体" w:eastAsia="宋体" w:cs="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7B42C647">
            <w:pPr>
              <w:wordWrap w:val="0"/>
              <w:adjustRightInd w:val="0"/>
              <w:snapToGrid w:val="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企业近</w:t>
            </w:r>
            <w:r>
              <w:rPr>
                <w:rFonts w:hint="eastAsia" w:asciiTheme="minorEastAsia" w:hAnsiTheme="minorEastAsia" w:eastAsiaTheme="minorEastAsia" w:cstheme="minorEastAsia"/>
                <w:sz w:val="22"/>
                <w:szCs w:val="22"/>
                <w:highlight w:val="none"/>
                <w:u w:val="single"/>
                <w:lang w:val="en-US" w:eastAsia="zh-CN"/>
              </w:rPr>
              <w:t>5</w:t>
            </w:r>
            <w:r>
              <w:rPr>
                <w:rFonts w:hint="eastAsia" w:asciiTheme="minorEastAsia" w:hAnsiTheme="minorEastAsia" w:eastAsiaTheme="minorEastAsia" w:cstheme="minorEastAsia"/>
                <w:sz w:val="22"/>
                <w:szCs w:val="22"/>
                <w:highlight w:val="none"/>
              </w:rPr>
              <w:t>年来（202</w:t>
            </w:r>
            <w:r>
              <w:rPr>
                <w:rFonts w:hint="eastAsia" w:asciiTheme="minorEastAsia" w:hAnsiTheme="minorEastAsia" w:eastAsiaTheme="minorEastAsia" w:cstheme="minorEastAsia"/>
                <w:sz w:val="22"/>
                <w:szCs w:val="22"/>
                <w:highlight w:val="none"/>
                <w:lang w:val="en-US" w:eastAsia="zh-CN"/>
              </w:rPr>
              <w:t>1</w:t>
            </w:r>
            <w:r>
              <w:rPr>
                <w:rFonts w:hint="eastAsia" w:asciiTheme="minorEastAsia" w:hAnsiTheme="minorEastAsia" w:eastAsiaTheme="minorEastAsia" w:cstheme="minorEastAsia"/>
                <w:sz w:val="22"/>
                <w:szCs w:val="22"/>
                <w:highlight w:val="none"/>
              </w:rPr>
              <w:t>年1月1日至今）业绩情况：</w:t>
            </w:r>
          </w:p>
          <w:p w14:paraId="704E9790">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1.承接过类似工程的，每个得</w:t>
            </w:r>
            <w:r>
              <w:rPr>
                <w:rFonts w:hint="eastAsia" w:asciiTheme="minorEastAsia" w:hAnsiTheme="minorEastAsia" w:eastAsiaTheme="minorEastAsia" w:cstheme="minorEastAsia"/>
                <w:sz w:val="22"/>
                <w:szCs w:val="22"/>
                <w:highlight w:val="none"/>
                <w:u w:val="single"/>
              </w:rPr>
              <w:t>5</w:t>
            </w:r>
            <w:r>
              <w:rPr>
                <w:rFonts w:hint="eastAsia" w:asciiTheme="minorEastAsia" w:hAnsiTheme="minorEastAsia" w:eastAsiaTheme="minorEastAsia" w:cstheme="minorEastAsia"/>
                <w:sz w:val="22"/>
                <w:szCs w:val="22"/>
                <w:highlight w:val="none"/>
              </w:rPr>
              <w:t>分。</w:t>
            </w:r>
          </w:p>
          <w:p w14:paraId="01F4900E">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2.未承接过类似工程的，不予计分。</w:t>
            </w:r>
          </w:p>
          <w:p w14:paraId="66CCF905">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2"/>
                <w:szCs w:val="22"/>
                <w:highlight w:val="none"/>
                <w:lang w:val="en-US" w:eastAsia="zh-CN" w:bidi="ar-SA"/>
              </w:rPr>
            </w:pPr>
            <w:r>
              <w:rPr>
                <w:rFonts w:hint="eastAsia" w:asciiTheme="minorEastAsia" w:hAnsiTheme="minorEastAsia" w:eastAsiaTheme="minorEastAsia" w:cstheme="minorEastAsia"/>
                <w:sz w:val="22"/>
                <w:szCs w:val="22"/>
                <w:highlight w:val="none"/>
              </w:rPr>
              <w:t>3.本项最高得</w:t>
            </w:r>
            <w:r>
              <w:rPr>
                <w:rFonts w:hint="eastAsia" w:asciiTheme="minorEastAsia" w:hAnsiTheme="minorEastAsia" w:eastAsiaTheme="minorEastAsia" w:cstheme="minorEastAsia"/>
                <w:sz w:val="22"/>
                <w:szCs w:val="22"/>
                <w:highlight w:val="none"/>
                <w:u w:val="single"/>
                <w:lang w:val="en-US" w:eastAsia="zh-CN"/>
              </w:rPr>
              <w:t>10</w:t>
            </w:r>
            <w:r>
              <w:rPr>
                <w:rFonts w:hint="eastAsia" w:asciiTheme="minorEastAsia" w:hAnsiTheme="minorEastAsia" w:eastAsiaTheme="minorEastAsia" w:cstheme="minorEastAsia"/>
                <w:sz w:val="22"/>
                <w:szCs w:val="22"/>
                <w:highlight w:val="none"/>
              </w:rPr>
              <w:t>分。</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556A109B">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1.类似工程指</w:t>
            </w:r>
            <w:r>
              <w:rPr>
                <w:rFonts w:hint="eastAsia" w:asciiTheme="minorEastAsia" w:hAnsiTheme="minorEastAsia" w:eastAsiaTheme="minorEastAsia" w:cstheme="minorEastAsia"/>
                <w:snapToGrid w:val="0"/>
                <w:color w:val="auto"/>
                <w:kern w:val="0"/>
                <w:sz w:val="22"/>
                <w:szCs w:val="22"/>
                <w:highlight w:val="none"/>
                <w:u w:val="single"/>
                <w:lang w:val="en-US" w:eastAsia="zh-CN"/>
              </w:rPr>
              <w:t>：市政或房屋建筑类工程</w:t>
            </w:r>
            <w:r>
              <w:rPr>
                <w:rFonts w:hint="eastAsia" w:asciiTheme="minorEastAsia" w:hAnsiTheme="minorEastAsia" w:eastAsiaTheme="minorEastAsia" w:cstheme="minorEastAsia"/>
                <w:snapToGrid w:val="0"/>
                <w:color w:val="auto"/>
                <w:kern w:val="0"/>
                <w:sz w:val="22"/>
                <w:szCs w:val="22"/>
                <w:highlight w:val="none"/>
                <w:lang w:val="en-US" w:eastAsia="zh-CN"/>
              </w:rPr>
              <w:t>；</w:t>
            </w:r>
          </w:p>
          <w:p w14:paraId="286A463A">
            <w:pPr>
              <w:pStyle w:val="5"/>
              <w:wordWrap w:val="0"/>
              <w:adjustRightInd w:val="0"/>
              <w:snapToGrid w:val="0"/>
              <w:spacing w:after="0" w:line="400" w:lineRule="exact"/>
              <w:rPr>
                <w:rFonts w:hint="eastAsia" w:asciiTheme="minorEastAsia" w:hAnsiTheme="minorEastAsia" w:eastAsiaTheme="minorEastAsia" w:cstheme="minorEastAsia"/>
                <w:b w:val="0"/>
                <w:bCs w:val="0"/>
                <w:snapToGrid w:val="0"/>
                <w:color w:val="auto"/>
                <w:kern w:val="0"/>
                <w:sz w:val="22"/>
                <w:szCs w:val="22"/>
                <w:highlight w:val="none"/>
                <w:lang w:val="en-US" w:eastAsia="zh-CN"/>
              </w:rPr>
            </w:pPr>
            <w:r>
              <w:rPr>
                <w:rFonts w:hint="eastAsia" w:asciiTheme="minorEastAsia" w:hAnsiTheme="minorEastAsia" w:eastAsiaTheme="minorEastAsia" w:cstheme="minorEastAsia"/>
                <w:b w:val="0"/>
                <w:bCs w:val="0"/>
                <w:snapToGrid w:val="0"/>
                <w:color w:val="auto"/>
                <w:kern w:val="0"/>
                <w:sz w:val="22"/>
                <w:szCs w:val="22"/>
                <w:highlight w:val="none"/>
                <w:lang w:val="en-US" w:eastAsia="zh-CN"/>
              </w:rPr>
              <w:t>2.须提供中标通知书或合同协议书关键页彩色扫描件（或打印件）。</w:t>
            </w:r>
          </w:p>
          <w:p w14:paraId="1B657F2B">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3.业绩时间以中标通知书或合同协议书日期为准。</w:t>
            </w:r>
          </w:p>
          <w:p w14:paraId="66D4279B">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4.任一业绩有以下情形之一的，该业绩视为无效，不予计分：</w:t>
            </w:r>
          </w:p>
          <w:p w14:paraId="33F00FC0">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①业绩不属于类似工程的；</w:t>
            </w:r>
          </w:p>
          <w:p w14:paraId="0B55175F">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②不是以指定身份参建的；</w:t>
            </w:r>
          </w:p>
          <w:p w14:paraId="6DDD0045">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③业绩时间不符合要求的；</w:t>
            </w:r>
          </w:p>
        </w:tc>
      </w:tr>
      <w:tr w14:paraId="2BFAC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2"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17244E3">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企业银行</w:t>
            </w:r>
          </w:p>
          <w:p w14:paraId="43D7AE70">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资信评级</w:t>
            </w:r>
          </w:p>
          <w:p w14:paraId="76B9E02E">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w:t>
            </w:r>
            <w:r>
              <w:rPr>
                <w:rFonts w:hint="eastAsia" w:hAnsi="宋体" w:cs="宋体"/>
                <w:snapToGrid w:val="0"/>
                <w:color w:val="auto"/>
                <w:kern w:val="0"/>
                <w:sz w:val="22"/>
                <w:szCs w:val="22"/>
                <w:highlight w:val="none"/>
                <w:lang w:val="en-US" w:eastAsia="zh-CN"/>
              </w:rPr>
              <w:t>5</w:t>
            </w:r>
            <w:r>
              <w:rPr>
                <w:rFonts w:hint="eastAsia" w:ascii="宋体" w:hAnsi="宋体" w:eastAsia="宋体" w:cs="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AF26E91">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1.银行资信（信用）评级（等级）AA（含AA+、AA-）或以上的，得</w:t>
            </w:r>
            <w:r>
              <w:rPr>
                <w:rFonts w:hint="eastAsia" w:asciiTheme="minorEastAsia" w:hAnsiTheme="minorEastAsia" w:eastAsiaTheme="minorEastAsia" w:cstheme="minorEastAsia"/>
                <w:snapToGrid w:val="0"/>
                <w:color w:val="auto"/>
                <w:kern w:val="0"/>
                <w:sz w:val="22"/>
                <w:szCs w:val="22"/>
                <w:highlight w:val="none"/>
                <w:u w:val="single"/>
                <w:lang w:val="en-US" w:eastAsia="zh-CN"/>
              </w:rPr>
              <w:t xml:space="preserve"> 5 </w:t>
            </w:r>
            <w:r>
              <w:rPr>
                <w:rFonts w:hint="eastAsia" w:asciiTheme="minorEastAsia" w:hAnsiTheme="minorEastAsia" w:eastAsiaTheme="minorEastAsia" w:cstheme="minorEastAsia"/>
                <w:snapToGrid w:val="0"/>
                <w:color w:val="auto"/>
                <w:kern w:val="0"/>
                <w:sz w:val="22"/>
                <w:szCs w:val="22"/>
                <w:highlight w:val="none"/>
                <w:lang w:val="en-US" w:eastAsia="zh-CN"/>
              </w:rPr>
              <w:t>分。</w:t>
            </w:r>
          </w:p>
          <w:p w14:paraId="378738B2">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2.银行资信（信用）评级（等级）A（含A+、A-）的，得</w:t>
            </w:r>
            <w:r>
              <w:rPr>
                <w:rFonts w:hint="eastAsia" w:asciiTheme="minorEastAsia" w:hAnsiTheme="minorEastAsia" w:eastAsiaTheme="minorEastAsia" w:cstheme="minorEastAsia"/>
                <w:snapToGrid w:val="0"/>
                <w:color w:val="auto"/>
                <w:kern w:val="0"/>
                <w:sz w:val="22"/>
                <w:szCs w:val="22"/>
                <w:highlight w:val="none"/>
                <w:u w:val="single"/>
                <w:lang w:val="en-US" w:eastAsia="zh-CN"/>
              </w:rPr>
              <w:t xml:space="preserve"> 2 </w:t>
            </w:r>
            <w:r>
              <w:rPr>
                <w:rFonts w:hint="eastAsia" w:asciiTheme="minorEastAsia" w:hAnsiTheme="minorEastAsia" w:eastAsiaTheme="minorEastAsia" w:cstheme="minorEastAsia"/>
                <w:snapToGrid w:val="0"/>
                <w:color w:val="auto"/>
                <w:kern w:val="0"/>
                <w:sz w:val="22"/>
                <w:szCs w:val="22"/>
                <w:highlight w:val="none"/>
                <w:lang w:val="en-US" w:eastAsia="zh-CN"/>
              </w:rPr>
              <w:t>分。</w:t>
            </w:r>
          </w:p>
          <w:p w14:paraId="0B7048D5">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lang w:val="en-US" w:eastAsia="zh-CN" w:bidi="ar-SA"/>
              </w:rPr>
            </w:pPr>
            <w:r>
              <w:rPr>
                <w:rFonts w:hint="eastAsia" w:asciiTheme="minorEastAsia" w:hAnsiTheme="minorEastAsia" w:eastAsiaTheme="minorEastAsia" w:cstheme="minorEastAsia"/>
                <w:snapToGrid w:val="0"/>
                <w:color w:val="auto"/>
                <w:kern w:val="0"/>
                <w:sz w:val="22"/>
                <w:szCs w:val="22"/>
                <w:highlight w:val="none"/>
                <w:lang w:val="en-US" w:eastAsia="zh-CN"/>
              </w:rPr>
              <w:t>3.未获得过以上评级（等级）的，或评级（等级）证书无效的，不予计分。</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14FBD188">
            <w:pPr>
              <w:pStyle w:val="5"/>
              <w:wordWrap w:val="0"/>
              <w:adjustRightInd w:val="0"/>
              <w:snapToGrid w:val="0"/>
              <w:spacing w:after="0" w:line="400" w:lineRule="exact"/>
              <w:rPr>
                <w:rFonts w:hint="eastAsia" w:asciiTheme="minorEastAsia" w:hAnsiTheme="minorEastAsia" w:eastAsiaTheme="minorEastAsia" w:cstheme="minorEastAsia"/>
                <w:b w:val="0"/>
                <w:bCs w:val="0"/>
                <w:snapToGrid w:val="0"/>
                <w:color w:val="auto"/>
                <w:kern w:val="0"/>
                <w:sz w:val="22"/>
                <w:szCs w:val="22"/>
                <w:highlight w:val="none"/>
                <w:lang w:val="en-US" w:eastAsia="zh-CN"/>
              </w:rPr>
            </w:pPr>
            <w:r>
              <w:rPr>
                <w:rFonts w:hint="eastAsia" w:asciiTheme="minorEastAsia" w:hAnsiTheme="minorEastAsia" w:eastAsiaTheme="minorEastAsia" w:cstheme="minorEastAsia"/>
                <w:b w:val="0"/>
                <w:bCs w:val="0"/>
                <w:snapToGrid w:val="0"/>
                <w:color w:val="auto"/>
                <w:kern w:val="0"/>
                <w:sz w:val="22"/>
                <w:szCs w:val="22"/>
                <w:highlight w:val="none"/>
                <w:lang w:val="en-US" w:eastAsia="zh-CN"/>
              </w:rPr>
              <w:t>1.需附在有效期内的资信（信用）评级（等级）证书（证明）扫描件。</w:t>
            </w:r>
          </w:p>
          <w:p w14:paraId="18182839">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2.评级（等级）证书须由</w:t>
            </w:r>
            <w:r>
              <w:rPr>
                <w:rFonts w:hint="eastAsia" w:asciiTheme="minorEastAsia" w:hAnsiTheme="minorEastAsia" w:eastAsiaTheme="minorEastAsia" w:cstheme="minorEastAsia"/>
                <w:snapToGrid w:val="0"/>
                <w:color w:val="auto"/>
                <w:kern w:val="0"/>
                <w:sz w:val="22"/>
                <w:szCs w:val="22"/>
                <w:highlight w:val="none"/>
                <w:u w:val="single"/>
                <w:lang w:val="en-US" w:eastAsia="zh-CN"/>
              </w:rPr>
              <w:t xml:space="preserve">  企业基本账户开户银行或中国人民银行备案的机构  </w:t>
            </w:r>
            <w:r>
              <w:rPr>
                <w:rFonts w:hint="eastAsia" w:asciiTheme="minorEastAsia" w:hAnsiTheme="minorEastAsia" w:eastAsiaTheme="minorEastAsia" w:cstheme="minorEastAsia"/>
                <w:snapToGrid w:val="0"/>
                <w:color w:val="auto"/>
                <w:kern w:val="0"/>
                <w:sz w:val="22"/>
                <w:szCs w:val="22"/>
                <w:highlight w:val="none"/>
                <w:lang w:val="en-US" w:eastAsia="zh-CN"/>
              </w:rPr>
              <w:t>出具。</w:t>
            </w:r>
          </w:p>
          <w:p w14:paraId="0B049664">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3.评级（等级）证书（证明）有以下情形之一的，视为无效：</w:t>
            </w:r>
          </w:p>
          <w:p w14:paraId="4ED4FD0A">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①未提供评级（等级）证书（证明）扫描件的；</w:t>
            </w:r>
          </w:p>
          <w:p w14:paraId="05969430">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②评级（等级）证书（证明）不在有效期内的；</w:t>
            </w:r>
          </w:p>
          <w:p w14:paraId="713ECB07">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cs="宋体"/>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③出具机构不符合要求的；</w:t>
            </w:r>
          </w:p>
        </w:tc>
      </w:tr>
      <w:tr w14:paraId="7B3EB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4"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166D692A">
            <w:pPr>
              <w:pStyle w:val="5"/>
              <w:wordWrap w:val="0"/>
              <w:adjustRightInd w:val="0"/>
              <w:snapToGrid w:val="0"/>
              <w:spacing w:after="0" w:line="400" w:lineRule="exact"/>
              <w:jc w:val="both"/>
              <w:rPr>
                <w:rFonts w:hint="default"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shd w:val="clear" w:color="auto" w:fill="auto"/>
                <w:lang w:bidi="ar"/>
              </w:rPr>
              <w:t>企业管理体系认证 （</w:t>
            </w:r>
            <w:r>
              <w:rPr>
                <w:rFonts w:hint="eastAsia" w:ascii="宋体" w:hAnsi="宋体" w:eastAsia="宋体" w:cs="宋体"/>
                <w:snapToGrid w:val="0"/>
                <w:color w:val="auto"/>
                <w:kern w:val="0"/>
                <w:sz w:val="22"/>
                <w:szCs w:val="22"/>
                <w:highlight w:val="none"/>
                <w:shd w:val="clear" w:color="auto" w:fill="auto"/>
                <w:lang w:val="en-US" w:eastAsia="zh-CN" w:bidi="ar"/>
              </w:rPr>
              <w:t>8</w:t>
            </w:r>
            <w:r>
              <w:rPr>
                <w:rFonts w:hint="eastAsia" w:ascii="宋体" w:hAnsi="宋体" w:eastAsia="宋体" w:cs="宋体"/>
                <w:snapToGrid w:val="0"/>
                <w:color w:val="auto"/>
                <w:kern w:val="0"/>
                <w:sz w:val="22"/>
                <w:szCs w:val="22"/>
                <w:highlight w:val="none"/>
                <w:shd w:val="clear" w:color="auto" w:fill="auto"/>
                <w:lang w:bidi="ar"/>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DDF8883">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1．质量管理体系认证、职业健康安全管理体系认证、环境管理体系认证、</w:t>
            </w:r>
            <w:r>
              <w:rPr>
                <w:rFonts w:ascii="Helvetica" w:hAnsi="Helvetica" w:eastAsia="Helvetica" w:cs="Helvetica"/>
                <w:i w:val="0"/>
                <w:iCs w:val="0"/>
                <w:caps w:val="0"/>
                <w:color w:val="000000"/>
                <w:spacing w:val="0"/>
                <w:sz w:val="21"/>
                <w:szCs w:val="21"/>
                <w:shd w:val="clear" w:fill="FFFFFF"/>
              </w:rPr>
              <w:t>工程绿色施工企业评价体系认证</w:t>
            </w:r>
            <w:r>
              <w:rPr>
                <w:rFonts w:hint="eastAsia" w:asciiTheme="minorEastAsia" w:hAnsiTheme="minorEastAsia" w:eastAsiaTheme="minorEastAsia" w:cstheme="minorEastAsia"/>
                <w:snapToGrid w:val="0"/>
                <w:color w:val="auto"/>
                <w:kern w:val="0"/>
                <w:sz w:val="22"/>
                <w:szCs w:val="22"/>
                <w:highlight w:val="none"/>
                <w:lang w:val="en-US" w:eastAsia="zh-CN"/>
              </w:rPr>
              <w:t>中，每获得1项认证得</w:t>
            </w:r>
            <w:r>
              <w:rPr>
                <w:rFonts w:hint="eastAsia" w:asciiTheme="minorEastAsia" w:hAnsiTheme="minorEastAsia" w:eastAsiaTheme="minorEastAsia" w:cstheme="minorEastAsia"/>
                <w:snapToGrid w:val="0"/>
                <w:color w:val="auto"/>
                <w:kern w:val="0"/>
                <w:sz w:val="22"/>
                <w:szCs w:val="22"/>
                <w:highlight w:val="none"/>
                <w:u w:val="single"/>
                <w:lang w:val="en-US" w:eastAsia="zh-CN"/>
              </w:rPr>
              <w:t xml:space="preserve"> 2 </w:t>
            </w:r>
            <w:r>
              <w:rPr>
                <w:rFonts w:hint="eastAsia" w:asciiTheme="minorEastAsia" w:hAnsiTheme="minorEastAsia" w:eastAsiaTheme="minorEastAsia" w:cstheme="minorEastAsia"/>
                <w:snapToGrid w:val="0"/>
                <w:color w:val="auto"/>
                <w:kern w:val="0"/>
                <w:sz w:val="22"/>
                <w:szCs w:val="22"/>
                <w:highlight w:val="none"/>
                <w:lang w:val="en-US" w:eastAsia="zh-CN"/>
              </w:rPr>
              <w:t>分，最高得</w:t>
            </w:r>
            <w:r>
              <w:rPr>
                <w:rFonts w:hint="eastAsia" w:asciiTheme="minorEastAsia" w:hAnsiTheme="minorEastAsia" w:eastAsiaTheme="minorEastAsia" w:cstheme="minorEastAsia"/>
                <w:snapToGrid w:val="0"/>
                <w:color w:val="auto"/>
                <w:kern w:val="0"/>
                <w:sz w:val="22"/>
                <w:szCs w:val="22"/>
                <w:highlight w:val="none"/>
                <w:u w:val="single"/>
                <w:lang w:val="en-US" w:eastAsia="zh-CN"/>
              </w:rPr>
              <w:t xml:space="preserve"> 8</w:t>
            </w:r>
            <w:r>
              <w:rPr>
                <w:rFonts w:hint="eastAsia" w:asciiTheme="minorEastAsia" w:hAnsiTheme="minorEastAsia" w:eastAsiaTheme="minorEastAsia" w:cstheme="minorEastAsia"/>
                <w:snapToGrid w:val="0"/>
                <w:color w:val="auto"/>
                <w:kern w:val="0"/>
                <w:sz w:val="22"/>
                <w:szCs w:val="22"/>
                <w:highlight w:val="none"/>
                <w:lang w:val="en-US" w:eastAsia="zh-CN"/>
              </w:rPr>
              <w:t>分。</w:t>
            </w:r>
          </w:p>
          <w:p w14:paraId="228E63CC">
            <w:pPr>
              <w:pStyle w:val="5"/>
              <w:wordWrap w:val="0"/>
              <w:adjustRightInd w:val="0"/>
              <w:snapToGrid w:val="0"/>
              <w:spacing w:after="0" w:line="400" w:lineRule="exact"/>
              <w:rPr>
                <w:rFonts w:hint="eastAsia" w:ascii="宋体" w:hAnsi="宋体" w:cs="宋体" w:eastAsiaTheme="minorEastAsia"/>
                <w:snapToGrid w:val="0"/>
                <w:color w:val="auto"/>
                <w:kern w:val="0"/>
                <w:sz w:val="22"/>
                <w:szCs w:val="22"/>
                <w:highlight w:val="none"/>
                <w:lang w:val="en-US" w:eastAsia="zh-CN" w:bidi="ar-SA"/>
              </w:rPr>
            </w:pPr>
            <w:r>
              <w:rPr>
                <w:rFonts w:hint="eastAsia" w:asciiTheme="minorEastAsia" w:hAnsiTheme="minorEastAsia" w:eastAsiaTheme="minorEastAsia" w:cstheme="minorEastAsia"/>
                <w:snapToGrid w:val="0"/>
                <w:color w:val="auto"/>
                <w:kern w:val="0"/>
                <w:sz w:val="22"/>
                <w:szCs w:val="22"/>
                <w:highlight w:val="none"/>
                <w:lang w:val="en-US" w:eastAsia="zh-CN"/>
              </w:rPr>
              <w:t>2．未获得以上认证的，不予计分。</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6383B857">
            <w:pPr>
              <w:pStyle w:val="5"/>
              <w:wordWrap w:val="0"/>
              <w:adjustRightInd w:val="0"/>
              <w:snapToGrid w:val="0"/>
              <w:spacing w:after="0" w:line="400" w:lineRule="exact"/>
              <w:rPr>
                <w:rFonts w:hint="eastAsia" w:asciiTheme="minorEastAsia" w:hAnsiTheme="minorEastAsia" w:eastAsiaTheme="minorEastAsia" w:cstheme="minorEastAsia"/>
                <w:b/>
                <w:bCs/>
                <w:snapToGrid w:val="0"/>
                <w:color w:val="auto"/>
                <w:kern w:val="0"/>
                <w:sz w:val="22"/>
                <w:szCs w:val="22"/>
                <w:highlight w:val="none"/>
                <w:lang w:val="en-US" w:eastAsia="zh-CN"/>
              </w:rPr>
            </w:pPr>
            <w:r>
              <w:rPr>
                <w:rFonts w:hint="eastAsia" w:ascii="宋体" w:hAnsi="宋体" w:eastAsia="宋体" w:cs="宋体"/>
                <w:b w:val="0"/>
                <w:bCs w:val="0"/>
                <w:snapToGrid w:val="0"/>
                <w:color w:val="auto"/>
                <w:sz w:val="21"/>
                <w:szCs w:val="21"/>
                <w:highlight w:val="none"/>
                <w:lang w:val="en-US" w:eastAsia="zh-CN"/>
              </w:rPr>
              <w:t>1．需附在有效期内的认证证书彩色扫描件</w:t>
            </w:r>
            <w:r>
              <w:rPr>
                <w:rFonts w:hint="eastAsia" w:ascii="宋体" w:hAnsi="宋体" w:eastAsia="宋体" w:cs="宋体"/>
                <w:b w:val="0"/>
                <w:bCs w:val="0"/>
                <w:snapToGrid w:val="0"/>
                <w:color w:val="auto"/>
                <w:sz w:val="21"/>
                <w:szCs w:val="21"/>
                <w:highlight w:val="none"/>
              </w:rPr>
              <w:t>及“全国认证认可信息公共服务平台”（网址：http://cx.cnca.cn/）网页查询截图或打印件</w:t>
            </w:r>
            <w:r>
              <w:rPr>
                <w:rFonts w:hint="eastAsia" w:ascii="宋体" w:hAnsi="宋体" w:eastAsia="宋体" w:cs="宋体"/>
                <w:b w:val="0"/>
                <w:bCs w:val="0"/>
                <w:snapToGrid w:val="0"/>
                <w:color w:val="auto"/>
                <w:sz w:val="21"/>
                <w:szCs w:val="21"/>
                <w:highlight w:val="none"/>
                <w:lang w:eastAsia="zh-CN"/>
              </w:rPr>
              <w:t>。</w:t>
            </w:r>
          </w:p>
          <w:p w14:paraId="38B44A98">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2．任一认证证书有以下情形之一的，该认证证书视为无效，不予计分：</w:t>
            </w:r>
          </w:p>
          <w:p w14:paraId="42D8999C">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①未提供认证证书扫描件的；</w:t>
            </w:r>
          </w:p>
          <w:p w14:paraId="555BE518">
            <w:pPr>
              <w:pStyle w:val="5"/>
              <w:wordWrap w:val="0"/>
              <w:adjustRightInd w:val="0"/>
              <w:snapToGrid w:val="0"/>
              <w:spacing w:after="0" w:line="400" w:lineRule="exact"/>
              <w:rPr>
                <w:rFonts w:hint="eastAsia"/>
                <w:color w:val="auto"/>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②认证证书不在有效期内的。</w:t>
            </w:r>
          </w:p>
        </w:tc>
      </w:tr>
      <w:tr w14:paraId="5DE56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6" w:hRule="atLeast"/>
          <w:jc w:val="center"/>
        </w:trPr>
        <w:tc>
          <w:tcPr>
            <w:tcW w:w="1491" w:type="dxa"/>
            <w:tcBorders>
              <w:top w:val="single" w:color="auto" w:sz="4" w:space="0"/>
              <w:left w:val="single" w:color="auto" w:sz="4" w:space="0"/>
              <w:right w:val="single" w:color="auto" w:sz="4" w:space="0"/>
            </w:tcBorders>
            <w:noWrap w:val="0"/>
            <w:vAlign w:val="center"/>
          </w:tcPr>
          <w:p w14:paraId="754E5DC2">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lang w:bidi="ar"/>
              </w:rPr>
            </w:pPr>
            <w:r>
              <w:rPr>
                <w:rFonts w:hint="eastAsia" w:ascii="宋体" w:hAnsi="宋体" w:eastAsia="宋体" w:cs="宋体"/>
                <w:snapToGrid w:val="0"/>
                <w:color w:val="auto"/>
                <w:kern w:val="0"/>
                <w:sz w:val="22"/>
                <w:szCs w:val="22"/>
                <w:highlight w:val="none"/>
                <w:lang w:bidi="ar"/>
              </w:rPr>
              <w:t>企业</w:t>
            </w:r>
          </w:p>
          <w:p w14:paraId="3CFDD6B6">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trike/>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bidi="ar"/>
              </w:rPr>
              <w:t>财务状况</w:t>
            </w:r>
          </w:p>
          <w:p w14:paraId="64BFF5AB">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default"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bidi="ar"/>
              </w:rPr>
              <w:t>（</w:t>
            </w:r>
            <w:r>
              <w:rPr>
                <w:rFonts w:hint="eastAsia" w:ascii="宋体" w:hAnsi="宋体" w:eastAsia="宋体" w:cs="宋体"/>
                <w:b w:val="0"/>
                <w:bCs w:val="0"/>
                <w:snapToGrid w:val="0"/>
                <w:color w:val="auto"/>
                <w:kern w:val="0"/>
                <w:sz w:val="22"/>
                <w:szCs w:val="22"/>
                <w:highlight w:val="none"/>
                <w:lang w:val="en-US" w:eastAsia="zh-CN" w:bidi="ar"/>
              </w:rPr>
              <w:t>7</w:t>
            </w:r>
            <w:r>
              <w:rPr>
                <w:rFonts w:hint="eastAsia" w:ascii="宋体" w:hAnsi="宋体" w:eastAsia="宋体" w:cs="宋体"/>
                <w:snapToGrid w:val="0"/>
                <w:color w:val="auto"/>
                <w:kern w:val="0"/>
                <w:sz w:val="22"/>
                <w:szCs w:val="22"/>
                <w:highlight w:val="none"/>
                <w:lang w:bidi="ar"/>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C8EF131">
            <w:pPr>
              <w:pStyle w:val="37"/>
              <w:keepNext w:val="0"/>
              <w:keepLines w:val="0"/>
              <w:pageBreakBefore w:val="0"/>
              <w:widowControl w:val="0"/>
              <w:numPr>
                <w:ilvl w:val="0"/>
                <w:numId w:val="0"/>
              </w:numPr>
              <w:kinsoku/>
              <w:wordWrap w:val="0"/>
              <w:overflowPunct/>
              <w:topLinePunct w:val="0"/>
              <w:autoSpaceDE/>
              <w:autoSpaceDN/>
              <w:bidi w:val="0"/>
              <w:adjustRightInd w:val="0"/>
              <w:snapToGrid w:val="0"/>
              <w:spacing w:line="288" w:lineRule="auto"/>
              <w:ind w:left="0" w:leftChars="0" w:firstLine="0" w:firstLineChars="0"/>
              <w:jc w:val="left"/>
              <w:textAlignment w:val="auto"/>
              <w:rPr>
                <w:rFonts w:hint="eastAsia" w:asciiTheme="minorEastAsia" w:hAnsiTheme="minorEastAsia" w:eastAsiaTheme="minorEastAsia" w:cstheme="minorEastAsia"/>
                <w:color w:val="000000"/>
                <w:sz w:val="22"/>
                <w:szCs w:val="22"/>
                <w:highlight w:val="none"/>
              </w:rPr>
            </w:pPr>
            <w:r>
              <w:rPr>
                <w:rFonts w:hint="eastAsia" w:asciiTheme="minorEastAsia" w:hAnsiTheme="minorEastAsia" w:eastAsiaTheme="minorEastAsia" w:cstheme="minorEastAsia"/>
                <w:color w:val="000000"/>
                <w:sz w:val="22"/>
                <w:szCs w:val="22"/>
                <w:highlight w:val="none"/>
              </w:rPr>
              <w:t>1.提供不少于</w:t>
            </w:r>
            <w:r>
              <w:rPr>
                <w:rFonts w:hint="eastAsia" w:asciiTheme="minorEastAsia" w:hAnsiTheme="minorEastAsia" w:eastAsiaTheme="minorEastAsia" w:cstheme="minorEastAsia"/>
                <w:color w:val="000000"/>
                <w:sz w:val="22"/>
                <w:szCs w:val="22"/>
                <w:highlight w:val="none"/>
                <w:u w:val="single"/>
                <w:lang w:val="en-US" w:eastAsia="zh-CN"/>
              </w:rPr>
              <w:t>200</w:t>
            </w:r>
            <w:r>
              <w:rPr>
                <w:rFonts w:hint="eastAsia" w:asciiTheme="minorEastAsia" w:hAnsiTheme="minorEastAsia" w:eastAsiaTheme="minorEastAsia" w:cstheme="minorEastAsia"/>
                <w:color w:val="000000"/>
                <w:sz w:val="22"/>
                <w:szCs w:val="22"/>
                <w:highlight w:val="none"/>
              </w:rPr>
              <w:t xml:space="preserve">万元银行授信证明的，得 </w:t>
            </w:r>
            <w:r>
              <w:rPr>
                <w:rFonts w:hint="eastAsia" w:asciiTheme="minorEastAsia" w:hAnsiTheme="minorEastAsia" w:eastAsiaTheme="minorEastAsia" w:cstheme="minorEastAsia"/>
                <w:color w:val="000000"/>
                <w:sz w:val="22"/>
                <w:szCs w:val="22"/>
                <w:highlight w:val="none"/>
                <w:u w:val="single"/>
                <w:lang w:val="en-US" w:eastAsia="zh-CN"/>
              </w:rPr>
              <w:t>3</w:t>
            </w:r>
            <w:r>
              <w:rPr>
                <w:rFonts w:hint="eastAsia" w:asciiTheme="minorEastAsia" w:hAnsiTheme="minorEastAsia" w:eastAsiaTheme="minorEastAsia" w:cstheme="minorEastAsia"/>
                <w:color w:val="000000"/>
                <w:sz w:val="22"/>
                <w:szCs w:val="22"/>
                <w:highlight w:val="none"/>
                <w:u w:val="single"/>
              </w:rPr>
              <w:t xml:space="preserve"> </w:t>
            </w:r>
            <w:r>
              <w:rPr>
                <w:rFonts w:hint="eastAsia" w:asciiTheme="minorEastAsia" w:hAnsiTheme="minorEastAsia" w:eastAsiaTheme="minorEastAsia" w:cstheme="minorEastAsia"/>
                <w:color w:val="000000"/>
                <w:sz w:val="22"/>
                <w:szCs w:val="22"/>
                <w:highlight w:val="none"/>
              </w:rPr>
              <w:t>分。</w:t>
            </w:r>
          </w:p>
          <w:p w14:paraId="1BF6D4D8">
            <w:pPr>
              <w:pStyle w:val="37"/>
              <w:keepNext w:val="0"/>
              <w:keepLines w:val="0"/>
              <w:pageBreakBefore w:val="0"/>
              <w:widowControl w:val="0"/>
              <w:numPr>
                <w:ilvl w:val="0"/>
                <w:numId w:val="0"/>
              </w:numPr>
              <w:kinsoku/>
              <w:wordWrap w:val="0"/>
              <w:overflowPunct/>
              <w:topLinePunct w:val="0"/>
              <w:autoSpaceDE/>
              <w:autoSpaceDN/>
              <w:bidi w:val="0"/>
              <w:adjustRightInd w:val="0"/>
              <w:snapToGrid w:val="0"/>
              <w:spacing w:line="288" w:lineRule="auto"/>
              <w:ind w:left="0" w:leftChars="0" w:firstLine="0" w:firstLineChars="0"/>
              <w:jc w:val="left"/>
              <w:textAlignment w:val="auto"/>
              <w:rPr>
                <w:rFonts w:hint="eastAsia" w:asciiTheme="minorEastAsia" w:hAnsiTheme="minorEastAsia" w:eastAsiaTheme="minorEastAsia" w:cstheme="minorEastAsia"/>
                <w:color w:val="000000"/>
                <w:sz w:val="22"/>
                <w:szCs w:val="22"/>
                <w:highlight w:val="none"/>
              </w:rPr>
            </w:pPr>
            <w:r>
              <w:rPr>
                <w:rFonts w:hint="eastAsia" w:asciiTheme="minorEastAsia" w:hAnsiTheme="minorEastAsia" w:eastAsiaTheme="minorEastAsia" w:cstheme="minorEastAsia"/>
                <w:color w:val="000000"/>
                <w:sz w:val="22"/>
                <w:szCs w:val="22"/>
                <w:highlight w:val="none"/>
              </w:rPr>
              <w:t>2.提供投标人基本账户在本项目招标公告发布之日起至投标截止时间期间出现过至少连续3日不少于</w:t>
            </w:r>
            <w:r>
              <w:rPr>
                <w:rFonts w:hint="eastAsia" w:asciiTheme="minorEastAsia" w:hAnsiTheme="minorEastAsia" w:eastAsiaTheme="minorEastAsia" w:cstheme="minorEastAsia"/>
                <w:color w:val="000000"/>
                <w:sz w:val="22"/>
                <w:szCs w:val="22"/>
                <w:highlight w:val="none"/>
                <w:u w:val="single"/>
                <w:lang w:val="en-US" w:eastAsia="zh-CN"/>
              </w:rPr>
              <w:t>200</w:t>
            </w:r>
            <w:r>
              <w:rPr>
                <w:rFonts w:hint="eastAsia" w:asciiTheme="minorEastAsia" w:hAnsiTheme="minorEastAsia" w:eastAsiaTheme="minorEastAsia" w:cstheme="minorEastAsia"/>
                <w:color w:val="000000"/>
                <w:sz w:val="22"/>
                <w:szCs w:val="22"/>
                <w:highlight w:val="none"/>
              </w:rPr>
              <w:t xml:space="preserve">万元存款余额资金流水证明的，得 </w:t>
            </w:r>
            <w:r>
              <w:rPr>
                <w:rFonts w:hint="eastAsia" w:asciiTheme="minorEastAsia" w:hAnsiTheme="minorEastAsia" w:eastAsiaTheme="minorEastAsia" w:cstheme="minorEastAsia"/>
                <w:color w:val="000000"/>
                <w:sz w:val="22"/>
                <w:szCs w:val="22"/>
                <w:highlight w:val="none"/>
                <w:u w:val="single"/>
                <w:lang w:val="en-US" w:eastAsia="zh-CN"/>
              </w:rPr>
              <w:t>4</w:t>
            </w:r>
            <w:r>
              <w:rPr>
                <w:rFonts w:hint="eastAsia" w:asciiTheme="minorEastAsia" w:hAnsiTheme="minorEastAsia" w:eastAsiaTheme="minorEastAsia" w:cstheme="minorEastAsia"/>
                <w:color w:val="000000"/>
                <w:sz w:val="22"/>
                <w:szCs w:val="22"/>
                <w:highlight w:val="none"/>
              </w:rPr>
              <w:t>分。</w:t>
            </w:r>
          </w:p>
          <w:p w14:paraId="74069834">
            <w:pPr>
              <w:pStyle w:val="37"/>
              <w:keepNext w:val="0"/>
              <w:keepLines w:val="0"/>
              <w:pageBreakBefore w:val="0"/>
              <w:widowControl w:val="0"/>
              <w:numPr>
                <w:ilvl w:val="0"/>
                <w:numId w:val="0"/>
              </w:numPr>
              <w:kinsoku/>
              <w:wordWrap w:val="0"/>
              <w:overflowPunct/>
              <w:topLinePunct w:val="0"/>
              <w:autoSpaceDE/>
              <w:autoSpaceDN/>
              <w:bidi w:val="0"/>
              <w:adjustRightInd w:val="0"/>
              <w:snapToGrid w:val="0"/>
              <w:spacing w:line="288" w:lineRule="auto"/>
              <w:ind w:left="0" w:leftChars="0" w:firstLine="0" w:firstLineChars="0"/>
              <w:jc w:val="left"/>
              <w:textAlignment w:val="auto"/>
              <w:rPr>
                <w:rFonts w:hint="eastAsia" w:ascii="宋体" w:hAnsi="宋体" w:cs="宋体" w:eastAsiaTheme="minorEastAsia"/>
                <w:snapToGrid w:val="0"/>
                <w:color w:val="auto"/>
                <w:kern w:val="0"/>
                <w:sz w:val="22"/>
                <w:szCs w:val="22"/>
                <w:highlight w:val="none"/>
                <w:lang w:val="en-US" w:eastAsia="zh-CN" w:bidi="ar-SA"/>
              </w:rPr>
            </w:pPr>
            <w:r>
              <w:rPr>
                <w:rFonts w:hint="eastAsia" w:asciiTheme="minorEastAsia" w:hAnsiTheme="minorEastAsia" w:eastAsiaTheme="minorEastAsia" w:cstheme="minorEastAsia"/>
                <w:color w:val="000000"/>
                <w:sz w:val="22"/>
                <w:szCs w:val="22"/>
                <w:highlight w:val="none"/>
              </w:rPr>
              <w:t>3.未提供以上两项证明的，不予计分</w:t>
            </w:r>
            <w:r>
              <w:rPr>
                <w:rFonts w:hint="eastAsia" w:asciiTheme="minorEastAsia" w:hAnsiTheme="minorEastAsia" w:eastAsiaTheme="minorEastAsia" w:cstheme="minorEastAsia"/>
                <w:color w:val="000000"/>
                <w:sz w:val="22"/>
                <w:szCs w:val="22"/>
                <w:highlight w:val="none"/>
                <w:lang w:eastAsia="zh-CN"/>
              </w:rPr>
              <w:t>。</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39CE294D">
            <w:pPr>
              <w:pStyle w:val="5"/>
              <w:wordWrap w:val="0"/>
              <w:adjustRightInd w:val="0"/>
              <w:snapToGrid w:val="0"/>
              <w:spacing w:after="0" w:line="400" w:lineRule="exact"/>
              <w:rPr>
                <w:rFonts w:hint="eastAsia" w:asciiTheme="minorEastAsia" w:hAnsiTheme="minorEastAsia" w:eastAsiaTheme="minorEastAsia" w:cstheme="minorEastAsia"/>
                <w:b w:val="0"/>
                <w:bCs w:val="0"/>
                <w:snapToGrid w:val="0"/>
                <w:color w:val="auto"/>
                <w:kern w:val="0"/>
                <w:sz w:val="22"/>
                <w:szCs w:val="22"/>
                <w:highlight w:val="none"/>
                <w:lang w:val="en-US" w:eastAsia="zh-CN"/>
              </w:rPr>
            </w:pPr>
            <w:r>
              <w:rPr>
                <w:rFonts w:hint="eastAsia" w:asciiTheme="minorEastAsia" w:hAnsiTheme="minorEastAsia" w:eastAsiaTheme="minorEastAsia" w:cstheme="minorEastAsia"/>
                <w:b w:val="0"/>
                <w:bCs w:val="0"/>
                <w:snapToGrid w:val="0"/>
                <w:color w:val="auto"/>
                <w:kern w:val="0"/>
                <w:sz w:val="22"/>
                <w:szCs w:val="22"/>
                <w:highlight w:val="none"/>
                <w:lang w:val="en-US" w:eastAsia="zh-CN"/>
              </w:rPr>
              <w:t>1．需附在有效期内的有关证明扫描件（或打印件）。</w:t>
            </w:r>
          </w:p>
          <w:p w14:paraId="0BA4C1D9">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2．银行授信证明有以下情形之一的，视为无效，不予计分：</w:t>
            </w:r>
          </w:p>
          <w:p w14:paraId="5E1B3F8F">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①未授信证明不在有效期内的；</w:t>
            </w:r>
          </w:p>
          <w:p w14:paraId="4C3D2D51">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②授信额度不符合要求的；</w:t>
            </w:r>
          </w:p>
          <w:p w14:paraId="22FFEE7D">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3.存款余额资金流水证明有以下情形之一的，视为无效，不予计分。</w:t>
            </w:r>
          </w:p>
          <w:p w14:paraId="119EB329">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①存款账户不是基本账户的；</w:t>
            </w:r>
          </w:p>
          <w:p w14:paraId="56EF60BA">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②存款时间不符合要求的；</w:t>
            </w:r>
          </w:p>
          <w:p w14:paraId="30C876B8">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③存款额度不符合要求的。</w:t>
            </w:r>
          </w:p>
        </w:tc>
      </w:tr>
      <w:tr w14:paraId="083F5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8" w:hRule="atLeast"/>
          <w:jc w:val="center"/>
        </w:trPr>
        <w:tc>
          <w:tcPr>
            <w:tcW w:w="1491" w:type="dxa"/>
            <w:vMerge w:val="restart"/>
            <w:tcBorders>
              <w:top w:val="single" w:color="auto" w:sz="4" w:space="0"/>
              <w:left w:val="single" w:color="auto" w:sz="4" w:space="0"/>
              <w:right w:val="single" w:color="auto" w:sz="4" w:space="0"/>
            </w:tcBorders>
            <w:noWrap w:val="0"/>
            <w:vAlign w:val="center"/>
          </w:tcPr>
          <w:p w14:paraId="019BA896">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trike w:val="0"/>
                <w:dstrike w:val="0"/>
                <w:color w:val="auto"/>
                <w:sz w:val="22"/>
                <w:szCs w:val="22"/>
                <w:highlight w:val="none"/>
              </w:rPr>
            </w:pPr>
            <w:r>
              <w:rPr>
                <w:rFonts w:hint="eastAsia" w:ascii="宋体" w:hAnsi="宋体" w:eastAsia="宋体" w:cs="宋体"/>
                <w:strike w:val="0"/>
                <w:dstrike w:val="0"/>
                <w:color w:val="auto"/>
                <w:sz w:val="22"/>
                <w:szCs w:val="22"/>
                <w:highlight w:val="none"/>
              </w:rPr>
              <w:t>招标人</w:t>
            </w:r>
          </w:p>
          <w:p w14:paraId="7C6AD12A">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trike w:val="0"/>
                <w:dstrike w:val="0"/>
                <w:color w:val="auto"/>
                <w:sz w:val="22"/>
                <w:szCs w:val="22"/>
                <w:highlight w:val="none"/>
              </w:rPr>
            </w:pPr>
            <w:r>
              <w:rPr>
                <w:rFonts w:hint="eastAsia" w:ascii="宋体" w:hAnsi="宋体" w:eastAsia="宋体" w:cs="宋体"/>
                <w:strike w:val="0"/>
                <w:dstrike w:val="0"/>
                <w:color w:val="auto"/>
                <w:sz w:val="22"/>
                <w:szCs w:val="22"/>
                <w:highlight w:val="none"/>
              </w:rPr>
              <w:t>自选项</w:t>
            </w:r>
          </w:p>
          <w:p w14:paraId="1892ED3A">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trike w:val="0"/>
                <w:dstrike w:val="0"/>
                <w:color w:val="auto"/>
                <w:sz w:val="22"/>
                <w:szCs w:val="22"/>
                <w:highlight w:val="none"/>
              </w:rPr>
              <w:t>（</w:t>
            </w:r>
            <w:r>
              <w:rPr>
                <w:rFonts w:hint="eastAsia" w:ascii="宋体" w:hAnsi="宋体" w:eastAsia="宋体" w:cs="宋体"/>
                <w:strike w:val="0"/>
                <w:dstrike w:val="0"/>
                <w:color w:val="auto"/>
                <w:sz w:val="22"/>
                <w:szCs w:val="22"/>
                <w:highlight w:val="none"/>
                <w:lang w:val="en-US" w:eastAsia="zh-CN"/>
              </w:rPr>
              <w:t>30</w:t>
            </w:r>
            <w:r>
              <w:rPr>
                <w:rFonts w:hint="eastAsia" w:ascii="宋体" w:hAnsi="宋体" w:eastAsia="宋体" w:cs="宋体"/>
                <w:strike w:val="0"/>
                <w:dstrike w:val="0"/>
                <w:color w:val="auto"/>
                <w:sz w:val="22"/>
                <w:szCs w:val="22"/>
                <w:highlight w:val="none"/>
              </w:rPr>
              <w:t>分</w:t>
            </w:r>
            <w:r>
              <w:rPr>
                <w:rFonts w:hint="eastAsia" w:ascii="宋体" w:hAnsi="宋体" w:eastAsia="宋体" w:cs="宋体"/>
                <w:strike w:val="0"/>
                <w:dstrike w:val="0"/>
                <w:color w:val="auto"/>
                <w:sz w:val="22"/>
                <w:szCs w:val="22"/>
                <w:highlight w:val="none"/>
                <w:lang w:eastAsia="zh-CN"/>
              </w:rPr>
              <w:t>）</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622452E">
            <w:pPr>
              <w:wordWrap w:val="0"/>
              <w:adjustRightInd w:val="0"/>
              <w:snapToGrid w:val="0"/>
              <w:spacing w:line="240" w:lineRule="auto"/>
              <w:rPr>
                <w:rFonts w:hint="eastAsia" w:ascii="宋体" w:hAnsi="宋体" w:eastAsia="宋体" w:cs="宋体"/>
                <w:snapToGrid w:val="0"/>
                <w:color w:val="auto"/>
                <w:kern w:val="0"/>
                <w:sz w:val="22"/>
                <w:szCs w:val="22"/>
                <w:highlight w:val="none"/>
                <w:lang w:val="en-US" w:eastAsia="zh-CN" w:bidi="ar-SA"/>
              </w:rPr>
            </w:pPr>
            <w:r>
              <w:rPr>
                <w:rFonts w:hint="eastAsia" w:asciiTheme="minorEastAsia" w:hAnsiTheme="minorEastAsia" w:eastAsiaTheme="minorEastAsia" w:cstheme="minorEastAsia"/>
                <w:snapToGrid w:val="0"/>
                <w:color w:val="auto"/>
                <w:kern w:val="0"/>
                <w:sz w:val="22"/>
                <w:szCs w:val="22"/>
                <w:highlight w:val="none"/>
                <w:lang w:val="en-US" w:eastAsia="zh-CN"/>
              </w:rPr>
              <w:t xml:space="preserve">企业从2021年1月1日至今获得过国家级“AAA级信用企业”称号的,得 </w:t>
            </w:r>
            <w:r>
              <w:rPr>
                <w:rFonts w:hint="eastAsia" w:asciiTheme="minorEastAsia" w:hAnsiTheme="minorEastAsia" w:eastAsiaTheme="minorEastAsia" w:cstheme="minorEastAsia"/>
                <w:snapToGrid w:val="0"/>
                <w:color w:val="auto"/>
                <w:kern w:val="0"/>
                <w:sz w:val="22"/>
                <w:szCs w:val="22"/>
                <w:highlight w:val="none"/>
                <w:u w:val="single"/>
                <w:lang w:val="en-US" w:eastAsia="zh-CN"/>
              </w:rPr>
              <w:t xml:space="preserve"> 5 </w:t>
            </w:r>
            <w:r>
              <w:rPr>
                <w:rFonts w:hint="eastAsia" w:asciiTheme="minorEastAsia" w:hAnsiTheme="minorEastAsia" w:eastAsiaTheme="minorEastAsia" w:cstheme="minorEastAsia"/>
                <w:snapToGrid w:val="0"/>
                <w:color w:val="auto"/>
                <w:kern w:val="0"/>
                <w:sz w:val="22"/>
                <w:szCs w:val="22"/>
                <w:highlight w:val="none"/>
                <w:lang w:val="en-US" w:eastAsia="zh-CN"/>
              </w:rPr>
              <w:t>分。</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61228A5D">
            <w:pPr>
              <w:pStyle w:val="5"/>
              <w:wordWrap w:val="0"/>
              <w:adjustRightInd w:val="0"/>
              <w:snapToGrid w:val="0"/>
              <w:spacing w:after="0" w:line="400" w:lineRule="exact"/>
              <w:rPr>
                <w:rFonts w:hint="eastAsia" w:asciiTheme="minorEastAsia" w:hAnsiTheme="minorEastAsia" w:eastAsiaTheme="minorEastAsia" w:cstheme="minorEastAsia"/>
                <w:b w:val="0"/>
                <w:bCs w:val="0"/>
                <w:snapToGrid w:val="0"/>
                <w:color w:val="auto"/>
                <w:kern w:val="0"/>
                <w:sz w:val="22"/>
                <w:szCs w:val="22"/>
                <w:highlight w:val="none"/>
                <w:lang w:val="en-US" w:eastAsia="zh-CN"/>
              </w:rPr>
            </w:pPr>
            <w:r>
              <w:rPr>
                <w:rFonts w:hint="eastAsia" w:asciiTheme="minorEastAsia" w:hAnsiTheme="minorEastAsia" w:eastAsiaTheme="minorEastAsia" w:cstheme="minorEastAsia"/>
                <w:b w:val="0"/>
                <w:bCs w:val="0"/>
                <w:snapToGrid w:val="0"/>
                <w:color w:val="auto"/>
                <w:kern w:val="0"/>
                <w:sz w:val="22"/>
                <w:szCs w:val="22"/>
                <w:highlight w:val="none"/>
                <w:lang w:val="en-US" w:eastAsia="zh-CN"/>
              </w:rPr>
              <w:t>1．需附相关证书彩色扫描件。</w:t>
            </w:r>
          </w:p>
          <w:p w14:paraId="17D553AD">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2．证书须由国家级企业联合会和企业家协会同时颁发。</w:t>
            </w:r>
          </w:p>
          <w:p w14:paraId="6913C7AB">
            <w:pPr>
              <w:wordWrap w:val="0"/>
              <w:adjustRightInd w:val="0"/>
              <w:snapToGrid w:val="0"/>
              <w:spacing w:line="240" w:lineRule="auto"/>
              <w:rPr>
                <w:rFonts w:hint="eastAsia" w:ascii="宋体" w:hAnsi="宋体" w:eastAsia="宋体" w:cs="宋体"/>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3．颁发机构、获奖时间不符合评分标准和备注规定的，不予得分。</w:t>
            </w:r>
          </w:p>
        </w:tc>
      </w:tr>
      <w:tr w14:paraId="239B4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jc w:val="center"/>
        </w:trPr>
        <w:tc>
          <w:tcPr>
            <w:tcW w:w="1491" w:type="dxa"/>
            <w:vMerge w:val="continue"/>
            <w:tcBorders>
              <w:left w:val="single" w:color="auto" w:sz="4" w:space="0"/>
              <w:right w:val="single" w:color="auto" w:sz="4" w:space="0"/>
            </w:tcBorders>
            <w:noWrap w:val="0"/>
            <w:vAlign w:val="center"/>
          </w:tcPr>
          <w:p w14:paraId="7DF9C02D">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lang w:val="en-US" w:eastAsia="zh-CN" w:bidi="ar"/>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7DF0DF33">
            <w:pPr>
              <w:pStyle w:val="5"/>
              <w:keepNext w:val="0"/>
              <w:keepLines w:val="0"/>
              <w:pageBreakBefore w:val="0"/>
              <w:widowControl/>
              <w:kinsoku w:val="0"/>
              <w:wordWrap w:val="0"/>
              <w:overflowPunct/>
              <w:topLinePunct w:val="0"/>
              <w:autoSpaceDE w:val="0"/>
              <w:autoSpaceDN w:val="0"/>
              <w:bidi w:val="0"/>
              <w:adjustRightInd w:val="0"/>
              <w:snapToGrid w:val="0"/>
              <w:spacing w:after="0" w:line="240" w:lineRule="auto"/>
              <w:textAlignment w:val="baseline"/>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1.企业近5年度（2021年度至今）连续二年或以上获得过省级或以上商业联合会颁发的诚信兴商证书的得</w:t>
            </w:r>
            <w:r>
              <w:rPr>
                <w:rFonts w:hint="eastAsia" w:asciiTheme="minorEastAsia" w:hAnsiTheme="minorEastAsia" w:eastAsiaTheme="minorEastAsia" w:cstheme="minorEastAsia"/>
                <w:snapToGrid w:val="0"/>
                <w:color w:val="auto"/>
                <w:kern w:val="0"/>
                <w:sz w:val="22"/>
                <w:szCs w:val="22"/>
                <w:highlight w:val="none"/>
                <w:u w:val="single"/>
                <w:lang w:val="en-US" w:eastAsia="zh-CN"/>
              </w:rPr>
              <w:t xml:space="preserve"> 5 </w:t>
            </w:r>
            <w:r>
              <w:rPr>
                <w:rFonts w:hint="eastAsia" w:asciiTheme="minorEastAsia" w:hAnsiTheme="minorEastAsia" w:eastAsiaTheme="minorEastAsia" w:cstheme="minorEastAsia"/>
                <w:snapToGrid w:val="0"/>
                <w:color w:val="auto"/>
                <w:kern w:val="0"/>
                <w:sz w:val="22"/>
                <w:szCs w:val="22"/>
                <w:highlight w:val="none"/>
                <w:lang w:val="en-US" w:eastAsia="zh-CN"/>
              </w:rPr>
              <w:t>分；</w:t>
            </w:r>
          </w:p>
          <w:p w14:paraId="10D5966D">
            <w:pPr>
              <w:keepNext w:val="0"/>
              <w:keepLines w:val="0"/>
              <w:pageBreakBefore w:val="0"/>
              <w:widowControl/>
              <w:kinsoku w:val="0"/>
              <w:wordWrap w:val="0"/>
              <w:overflowPunct/>
              <w:topLinePunct w:val="0"/>
              <w:autoSpaceDE w:val="0"/>
              <w:autoSpaceDN w:val="0"/>
              <w:bidi w:val="0"/>
              <w:adjustRightInd w:val="0"/>
              <w:snapToGrid w:val="0"/>
              <w:spacing w:line="240" w:lineRule="auto"/>
              <w:textAlignment w:val="baseline"/>
              <w:rPr>
                <w:rFonts w:hint="eastAsia" w:hAnsi="宋体" w:cs="宋体"/>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lang w:val="en-US" w:eastAsia="zh-CN"/>
              </w:rPr>
              <w:t>2.其他情形的，不予计分。</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32D118C2">
            <w:pPr>
              <w:pStyle w:val="5"/>
              <w:keepNext w:val="0"/>
              <w:keepLines w:val="0"/>
              <w:pageBreakBefore w:val="0"/>
              <w:widowControl/>
              <w:kinsoku w:val="0"/>
              <w:wordWrap w:val="0"/>
              <w:overflowPunct/>
              <w:topLinePunct w:val="0"/>
              <w:autoSpaceDE w:val="0"/>
              <w:autoSpaceDN w:val="0"/>
              <w:bidi w:val="0"/>
              <w:adjustRightInd w:val="0"/>
              <w:snapToGrid w:val="0"/>
              <w:spacing w:after="0" w:line="240" w:lineRule="auto"/>
              <w:textAlignment w:val="baseline"/>
              <w:rPr>
                <w:rFonts w:hint="eastAsia" w:asciiTheme="minorEastAsia" w:hAnsiTheme="minorEastAsia" w:eastAsiaTheme="minorEastAsia" w:cstheme="minorEastAsia"/>
                <w:b w:val="0"/>
                <w:bCs w:val="0"/>
                <w:snapToGrid w:val="0"/>
                <w:color w:val="auto"/>
                <w:kern w:val="0"/>
                <w:sz w:val="22"/>
                <w:szCs w:val="22"/>
                <w:highlight w:val="none"/>
                <w:lang w:val="en-US" w:eastAsia="zh-CN"/>
              </w:rPr>
            </w:pPr>
            <w:r>
              <w:rPr>
                <w:rFonts w:hint="eastAsia" w:asciiTheme="minorEastAsia" w:hAnsiTheme="minorEastAsia" w:eastAsiaTheme="minorEastAsia" w:cstheme="minorEastAsia"/>
                <w:b w:val="0"/>
                <w:bCs w:val="0"/>
                <w:snapToGrid w:val="0"/>
                <w:color w:val="auto"/>
                <w:kern w:val="0"/>
                <w:sz w:val="22"/>
                <w:szCs w:val="22"/>
                <w:highlight w:val="none"/>
                <w:lang w:val="en-US" w:eastAsia="zh-CN"/>
              </w:rPr>
              <w:t xml:space="preserve">1.证书由省级或以上商业联合会颁发，须提供 </w:t>
            </w:r>
          </w:p>
          <w:p w14:paraId="7BBA6DDD">
            <w:pPr>
              <w:pStyle w:val="5"/>
              <w:keepNext w:val="0"/>
              <w:keepLines w:val="0"/>
              <w:pageBreakBefore w:val="0"/>
              <w:widowControl/>
              <w:kinsoku w:val="0"/>
              <w:wordWrap w:val="0"/>
              <w:overflowPunct/>
              <w:topLinePunct w:val="0"/>
              <w:autoSpaceDE w:val="0"/>
              <w:autoSpaceDN w:val="0"/>
              <w:bidi w:val="0"/>
              <w:adjustRightInd w:val="0"/>
              <w:snapToGrid w:val="0"/>
              <w:spacing w:after="0" w:line="240" w:lineRule="auto"/>
              <w:textAlignment w:val="baseline"/>
              <w:rPr>
                <w:rFonts w:hint="eastAsia" w:asciiTheme="minorEastAsia" w:hAnsiTheme="minorEastAsia" w:eastAsiaTheme="minorEastAsia" w:cstheme="minorEastAsia"/>
                <w:b w:val="0"/>
                <w:bCs w:val="0"/>
                <w:snapToGrid w:val="0"/>
                <w:color w:val="auto"/>
                <w:kern w:val="0"/>
                <w:sz w:val="22"/>
                <w:szCs w:val="22"/>
                <w:highlight w:val="none"/>
                <w:lang w:val="en-US" w:eastAsia="zh-CN"/>
              </w:rPr>
            </w:pPr>
            <w:r>
              <w:rPr>
                <w:rFonts w:hint="eastAsia" w:asciiTheme="minorEastAsia" w:hAnsiTheme="minorEastAsia" w:eastAsiaTheme="minorEastAsia" w:cstheme="minorEastAsia"/>
                <w:b w:val="0"/>
                <w:bCs w:val="0"/>
                <w:snapToGrid w:val="0"/>
                <w:color w:val="auto"/>
                <w:kern w:val="0"/>
                <w:sz w:val="22"/>
                <w:szCs w:val="22"/>
                <w:highlight w:val="none"/>
                <w:lang w:val="en-US" w:eastAsia="zh-CN"/>
              </w:rPr>
              <w:t xml:space="preserve">有关证书彩色扫描件和发文材料彩色扫描件。 </w:t>
            </w:r>
          </w:p>
          <w:p w14:paraId="0836A5A0">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hAnsi="宋体" w:cs="宋体"/>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lang w:val="en-US" w:eastAsia="zh-CN"/>
              </w:rPr>
              <w:t>2.颁发机构不符合要求和备注规定的，不予得分。</w:t>
            </w:r>
          </w:p>
        </w:tc>
      </w:tr>
      <w:tr w14:paraId="2DE5A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1491" w:type="dxa"/>
            <w:vMerge w:val="continue"/>
            <w:tcBorders>
              <w:left w:val="single" w:color="auto" w:sz="4" w:space="0"/>
              <w:right w:val="single" w:color="auto" w:sz="4" w:space="0"/>
            </w:tcBorders>
            <w:noWrap w:val="0"/>
            <w:vAlign w:val="center"/>
          </w:tcPr>
          <w:p w14:paraId="15A2A450">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2"/>
                <w:szCs w:val="22"/>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BA7077D">
            <w:pPr>
              <w:wordWrap w:val="0"/>
              <w:adjustRightInd w:val="0"/>
              <w:snapToGrid w:val="0"/>
              <w:spacing w:line="240" w:lineRule="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1"/>
                <w:szCs w:val="21"/>
                <w:highlight w:val="none"/>
                <w:lang w:val="en-US" w:eastAsia="zh-CN"/>
              </w:rPr>
              <w:t>投标人具有</w:t>
            </w:r>
            <w:r>
              <w:rPr>
                <w:rFonts w:hint="eastAsia" w:ascii="宋体" w:hAnsi="宋体" w:eastAsia="宋体" w:cs="宋体"/>
                <w:snapToGrid w:val="0"/>
                <w:color w:val="auto"/>
                <w:kern w:val="0"/>
                <w:sz w:val="21"/>
                <w:szCs w:val="21"/>
                <w:highlight w:val="none"/>
                <w:lang w:eastAsia="zh-CN"/>
              </w:rPr>
              <w:t>工程质量控制规范认证证书得</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u w:val="single"/>
                <w:lang w:val="en-US" w:eastAsia="zh-CN" w:bidi="ar-SA"/>
              </w:rPr>
              <w:t xml:space="preserve">5 </w:t>
            </w:r>
            <w:r>
              <w:rPr>
                <w:rFonts w:hint="eastAsia" w:ascii="宋体" w:hAnsi="宋体" w:eastAsia="宋体" w:cs="宋体"/>
                <w:snapToGrid w:val="0"/>
                <w:color w:val="auto"/>
                <w:kern w:val="0"/>
                <w:sz w:val="21"/>
                <w:szCs w:val="21"/>
                <w:highlight w:val="none"/>
                <w:lang w:val="en-US" w:eastAsia="zh-CN" w:bidi="ar-SA"/>
              </w:rPr>
              <w:t>分。</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68B62E48">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0" w:beforeAutospacing="0" w:after="0" w:afterAutospacing="0" w:line="360" w:lineRule="auto"/>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投标人工程质量控制较规范，达到GB 55032-2022及ZSGP CTS0001-2023 的要求，并获得相对应的“工程质量控制规范认证证书”。</w:t>
            </w:r>
          </w:p>
          <w:p w14:paraId="3BF83085">
            <w:pPr>
              <w:wordWrap w:val="0"/>
              <w:adjustRightInd w:val="0"/>
              <w:snapToGrid w:val="0"/>
              <w:spacing w:line="240" w:lineRule="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b w:val="0"/>
                <w:bCs w:val="0"/>
                <w:color w:val="auto"/>
                <w:sz w:val="21"/>
                <w:szCs w:val="21"/>
                <w:highlight w:val="none"/>
              </w:rPr>
              <w:t>备注：证书有效性在国家认证认可监督管理委员会官网(http://www.cnca.gov.cn/)可查。</w:t>
            </w:r>
          </w:p>
        </w:tc>
      </w:tr>
      <w:tr w14:paraId="50778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1491" w:type="dxa"/>
            <w:vMerge w:val="continue"/>
            <w:tcBorders>
              <w:left w:val="single" w:color="auto" w:sz="4" w:space="0"/>
              <w:right w:val="single" w:color="auto" w:sz="4" w:space="0"/>
            </w:tcBorders>
            <w:noWrap w:val="0"/>
            <w:vAlign w:val="center"/>
          </w:tcPr>
          <w:p w14:paraId="619368FF">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2"/>
                <w:szCs w:val="22"/>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79DDB89">
            <w:pPr>
              <w:wordWrap w:val="0"/>
              <w:adjustRightInd w:val="0"/>
              <w:snapToGrid w:val="0"/>
              <w:spacing w:line="240" w:lineRule="auto"/>
              <w:rPr>
                <w:rFonts w:hint="eastAsia" w:ascii="宋体" w:hAnsi="宋体" w:eastAsia="宋体" w:cs="宋体"/>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近5年来 (2021年1月1日至今)获得过“地级市或以上建筑协会”颁发的“优秀典型施工企业” 证书的得</w:t>
            </w:r>
            <w:r>
              <w:rPr>
                <w:rFonts w:hint="eastAsia" w:asciiTheme="minorEastAsia" w:hAnsiTheme="minorEastAsia" w:eastAsiaTheme="minorEastAsia" w:cstheme="minorEastAsia"/>
                <w:snapToGrid w:val="0"/>
                <w:color w:val="auto"/>
                <w:kern w:val="0"/>
                <w:sz w:val="22"/>
                <w:szCs w:val="22"/>
                <w:highlight w:val="none"/>
                <w:u w:val="single"/>
                <w:lang w:val="en-US" w:eastAsia="zh-CN"/>
              </w:rPr>
              <w:t>5</w:t>
            </w:r>
            <w:r>
              <w:rPr>
                <w:rFonts w:hint="eastAsia" w:asciiTheme="minorEastAsia" w:hAnsiTheme="minorEastAsia" w:eastAsiaTheme="minorEastAsia" w:cstheme="minorEastAsia"/>
                <w:snapToGrid w:val="0"/>
                <w:color w:val="auto"/>
                <w:kern w:val="0"/>
                <w:sz w:val="22"/>
                <w:szCs w:val="22"/>
                <w:highlight w:val="none"/>
                <w:lang w:val="en-US" w:eastAsia="zh-CN"/>
              </w:rPr>
              <w:t>分。</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6F9A1B3B">
            <w:pPr>
              <w:wordWrap w:val="0"/>
              <w:adjustRightInd w:val="0"/>
              <w:snapToGrid w:val="0"/>
              <w:spacing w:line="240" w:lineRule="auto"/>
              <w:rPr>
                <w:rFonts w:hint="eastAsia" w:ascii="宋体" w:hAnsi="宋体" w:eastAsia="宋体" w:cs="宋体"/>
                <w:b w:val="0"/>
                <w:bCs w:val="0"/>
                <w:color w:val="auto"/>
                <w:sz w:val="21"/>
                <w:szCs w:val="21"/>
                <w:highlight w:val="none"/>
              </w:rPr>
            </w:pPr>
            <w:r>
              <w:rPr>
                <w:rFonts w:hint="eastAsia" w:asciiTheme="minorEastAsia" w:hAnsiTheme="minorEastAsia" w:eastAsiaTheme="minorEastAsia" w:cstheme="minorEastAsia"/>
                <w:snapToGrid w:val="0"/>
                <w:color w:val="auto"/>
                <w:kern w:val="0"/>
                <w:sz w:val="22"/>
                <w:szCs w:val="22"/>
                <w:highlight w:val="none"/>
                <w:lang w:val="en-US" w:eastAsia="zh-CN"/>
              </w:rPr>
              <w:t>需提供证书彩色扫描件，否则不得分（相关协会需经民政部门备案）。</w:t>
            </w:r>
          </w:p>
        </w:tc>
      </w:tr>
      <w:tr w14:paraId="33100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1491" w:type="dxa"/>
            <w:vMerge w:val="continue"/>
            <w:tcBorders>
              <w:left w:val="single" w:color="auto" w:sz="4" w:space="0"/>
              <w:right w:val="single" w:color="auto" w:sz="4" w:space="0"/>
            </w:tcBorders>
            <w:noWrap w:val="0"/>
            <w:vAlign w:val="center"/>
          </w:tcPr>
          <w:p w14:paraId="14220BC9">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2"/>
                <w:szCs w:val="22"/>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0C1B39E">
            <w:pPr>
              <w:wordWrap w:val="0"/>
              <w:adjustRightInd w:val="0"/>
              <w:snapToGrid w:val="0"/>
              <w:spacing w:line="240" w:lineRule="auto"/>
              <w:rPr>
                <w:rFonts w:hint="eastAsia" w:asciiTheme="minorEastAsia" w:hAnsiTheme="minorEastAsia" w:eastAsiaTheme="minorEastAsia" w:cstheme="minorEastAsia"/>
                <w:snapToGrid w:val="0"/>
                <w:color w:val="auto"/>
                <w:kern w:val="0"/>
                <w:sz w:val="22"/>
                <w:szCs w:val="22"/>
                <w:highlight w:val="none"/>
                <w:lang w:val="en-US" w:eastAsia="zh-CN"/>
              </w:rPr>
            </w:pPr>
            <w:r>
              <w:rPr>
                <w:rFonts w:hint="default" w:asciiTheme="minorEastAsia" w:hAnsiTheme="minorEastAsia" w:eastAsiaTheme="minorEastAsia" w:cstheme="minorEastAsia"/>
                <w:snapToGrid w:val="0"/>
                <w:color w:val="auto"/>
                <w:kern w:val="0"/>
                <w:sz w:val="22"/>
                <w:szCs w:val="22"/>
                <w:highlight w:val="none"/>
                <w:lang w:val="en-US" w:eastAsia="zh-CN"/>
              </w:rPr>
              <w:t>企业</w:t>
            </w:r>
            <w:r>
              <w:rPr>
                <w:rFonts w:hint="eastAsia" w:asciiTheme="minorEastAsia" w:hAnsiTheme="minorEastAsia" w:eastAsiaTheme="minorEastAsia" w:cstheme="minorEastAsia"/>
                <w:snapToGrid w:val="0"/>
                <w:color w:val="auto"/>
                <w:kern w:val="0"/>
                <w:sz w:val="22"/>
                <w:szCs w:val="22"/>
                <w:highlight w:val="none"/>
                <w:lang w:val="en-US" w:eastAsia="zh-CN"/>
              </w:rPr>
              <w:t>2021</w:t>
            </w:r>
            <w:r>
              <w:rPr>
                <w:rFonts w:hint="default" w:asciiTheme="minorEastAsia" w:hAnsiTheme="minorEastAsia" w:eastAsiaTheme="minorEastAsia" w:cstheme="minorEastAsia"/>
                <w:snapToGrid w:val="0"/>
                <w:color w:val="auto"/>
                <w:kern w:val="0"/>
                <w:sz w:val="22"/>
                <w:szCs w:val="22"/>
                <w:highlight w:val="none"/>
                <w:lang w:val="en-US" w:eastAsia="zh-CN"/>
              </w:rPr>
              <w:t>年</w:t>
            </w:r>
            <w:r>
              <w:rPr>
                <w:rFonts w:hint="eastAsia" w:asciiTheme="minorEastAsia" w:hAnsiTheme="minorEastAsia" w:eastAsiaTheme="minorEastAsia" w:cstheme="minorEastAsia"/>
                <w:snapToGrid w:val="0"/>
                <w:color w:val="auto"/>
                <w:kern w:val="0"/>
                <w:sz w:val="22"/>
                <w:szCs w:val="22"/>
                <w:highlight w:val="none"/>
                <w:lang w:val="en-US" w:eastAsia="zh-CN"/>
              </w:rPr>
              <w:t>度至今</w:t>
            </w:r>
            <w:r>
              <w:rPr>
                <w:rFonts w:hint="default" w:asciiTheme="minorEastAsia" w:hAnsiTheme="minorEastAsia" w:eastAsiaTheme="minorEastAsia" w:cstheme="minorEastAsia"/>
                <w:snapToGrid w:val="0"/>
                <w:color w:val="auto"/>
                <w:kern w:val="0"/>
                <w:sz w:val="22"/>
                <w:szCs w:val="22"/>
                <w:highlight w:val="none"/>
                <w:lang w:val="en-US" w:eastAsia="zh-CN"/>
              </w:rPr>
              <w:t>获得</w:t>
            </w:r>
            <w:r>
              <w:rPr>
                <w:rFonts w:hint="eastAsia" w:asciiTheme="minorEastAsia" w:hAnsiTheme="minorEastAsia" w:eastAsiaTheme="minorEastAsia" w:cstheme="minorEastAsia"/>
                <w:snapToGrid w:val="0"/>
                <w:color w:val="auto"/>
                <w:kern w:val="0"/>
                <w:sz w:val="22"/>
                <w:szCs w:val="22"/>
                <w:highlight w:val="none"/>
                <w:lang w:val="en-US" w:eastAsia="zh-CN"/>
              </w:rPr>
              <w:t>过</w:t>
            </w:r>
            <w:r>
              <w:rPr>
                <w:rFonts w:hint="default" w:asciiTheme="minorEastAsia" w:hAnsiTheme="minorEastAsia" w:eastAsiaTheme="minorEastAsia" w:cstheme="minorEastAsia"/>
                <w:snapToGrid w:val="0"/>
                <w:color w:val="auto"/>
                <w:kern w:val="0"/>
                <w:sz w:val="22"/>
                <w:szCs w:val="22"/>
                <w:highlight w:val="none"/>
                <w:lang w:val="en-US" w:eastAsia="zh-CN"/>
              </w:rPr>
              <w:t>纳税信用A级纳税人的，得</w:t>
            </w:r>
            <w:r>
              <w:rPr>
                <w:rFonts w:hint="eastAsia" w:asciiTheme="minorEastAsia" w:hAnsiTheme="minorEastAsia" w:eastAsiaTheme="minorEastAsia" w:cstheme="minorEastAsia"/>
                <w:snapToGrid w:val="0"/>
                <w:color w:val="auto"/>
                <w:kern w:val="0"/>
                <w:sz w:val="22"/>
                <w:szCs w:val="22"/>
                <w:highlight w:val="none"/>
                <w:u w:val="single"/>
                <w:lang w:val="en-US" w:eastAsia="zh-CN"/>
              </w:rPr>
              <w:t xml:space="preserve"> 5 </w:t>
            </w:r>
            <w:r>
              <w:rPr>
                <w:rFonts w:hint="default" w:asciiTheme="minorEastAsia" w:hAnsiTheme="minorEastAsia" w:eastAsiaTheme="minorEastAsia" w:cstheme="minorEastAsia"/>
                <w:snapToGrid w:val="0"/>
                <w:color w:val="auto"/>
                <w:kern w:val="0"/>
                <w:sz w:val="22"/>
                <w:szCs w:val="22"/>
                <w:highlight w:val="none"/>
                <w:lang w:val="en-US" w:eastAsia="zh-CN"/>
              </w:rPr>
              <w:t>分</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5FB283D3">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1.必须提供企业纳税信用A级纳税人证明材料(或证书)彩色扫描件及国家税务总局(或省级电子税务局)网上查询截图打印件，否则不得分。</w:t>
            </w:r>
          </w:p>
          <w:p w14:paraId="5D233D32">
            <w:pPr>
              <w:wordWrap w:val="0"/>
              <w:adjustRightInd w:val="0"/>
              <w:snapToGrid w:val="0"/>
              <w:spacing w:line="240" w:lineRule="auto"/>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2.只计算投标人自身(不计算投标人的分公司、子公司及分支机构)。</w:t>
            </w:r>
          </w:p>
        </w:tc>
      </w:tr>
      <w:tr w14:paraId="15AD8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1491" w:type="dxa"/>
            <w:vMerge w:val="continue"/>
            <w:tcBorders>
              <w:left w:val="single" w:color="auto" w:sz="4" w:space="0"/>
              <w:right w:val="single" w:color="auto" w:sz="4" w:space="0"/>
            </w:tcBorders>
            <w:noWrap w:val="0"/>
            <w:vAlign w:val="center"/>
          </w:tcPr>
          <w:p w14:paraId="06117356">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2"/>
                <w:szCs w:val="22"/>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7719ADA3">
            <w:pPr>
              <w:wordWrap w:val="0"/>
              <w:adjustRightInd w:val="0"/>
              <w:snapToGrid w:val="0"/>
              <w:spacing w:line="240" w:lineRule="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1.近 5 年来（</w:t>
            </w:r>
            <w:r>
              <w:rPr>
                <w:rFonts w:hint="eastAsia" w:ascii="宋体" w:hAnsi="宋体" w:eastAsia="宋体" w:cs="宋体"/>
                <w:snapToGrid w:val="0"/>
                <w:color w:val="auto"/>
                <w:kern w:val="0"/>
                <w:sz w:val="22"/>
                <w:szCs w:val="22"/>
                <w:highlight w:val="none"/>
                <w:u w:val="single"/>
                <w:lang w:val="en-US" w:eastAsia="zh-CN" w:bidi="ar-SA"/>
              </w:rPr>
              <w:t>2021</w:t>
            </w:r>
            <w:r>
              <w:rPr>
                <w:rFonts w:hint="eastAsia" w:ascii="宋体" w:hAnsi="宋体" w:eastAsia="宋体" w:cs="宋体"/>
                <w:snapToGrid w:val="0"/>
                <w:color w:val="auto"/>
                <w:kern w:val="0"/>
                <w:sz w:val="22"/>
                <w:szCs w:val="22"/>
                <w:highlight w:val="none"/>
                <w:lang w:val="en-US" w:eastAsia="zh-CN" w:bidi="ar-SA"/>
              </w:rPr>
              <w:t xml:space="preserve"> 年</w:t>
            </w:r>
            <w:r>
              <w:rPr>
                <w:rFonts w:hint="eastAsia" w:ascii="宋体" w:hAnsi="宋体" w:eastAsia="宋体" w:cs="宋体"/>
                <w:snapToGrid w:val="0"/>
                <w:color w:val="auto"/>
                <w:kern w:val="0"/>
                <w:sz w:val="22"/>
                <w:szCs w:val="22"/>
                <w:highlight w:val="none"/>
                <w:u w:val="single"/>
                <w:lang w:val="en-US" w:eastAsia="zh-CN" w:bidi="ar-SA"/>
              </w:rPr>
              <w:t xml:space="preserve"> 1 </w:t>
            </w:r>
            <w:r>
              <w:rPr>
                <w:rFonts w:hint="eastAsia" w:ascii="宋体" w:hAnsi="宋体" w:eastAsia="宋体" w:cs="宋体"/>
                <w:snapToGrid w:val="0"/>
                <w:color w:val="auto"/>
                <w:kern w:val="0"/>
                <w:sz w:val="22"/>
                <w:szCs w:val="22"/>
                <w:highlight w:val="none"/>
                <w:lang w:val="en-US" w:eastAsia="zh-CN" w:bidi="ar-SA"/>
              </w:rPr>
              <w:t>月</w:t>
            </w:r>
            <w:r>
              <w:rPr>
                <w:rFonts w:hint="eastAsia" w:ascii="宋体" w:hAnsi="宋体" w:eastAsia="宋体" w:cs="宋体"/>
                <w:snapToGrid w:val="0"/>
                <w:color w:val="auto"/>
                <w:kern w:val="0"/>
                <w:sz w:val="22"/>
                <w:szCs w:val="22"/>
                <w:highlight w:val="none"/>
                <w:u w:val="single"/>
                <w:lang w:val="en-US" w:eastAsia="zh-CN" w:bidi="ar-SA"/>
              </w:rPr>
              <w:t xml:space="preserve"> 1</w:t>
            </w:r>
            <w:r>
              <w:rPr>
                <w:rFonts w:hint="eastAsia" w:ascii="宋体" w:hAnsi="宋体" w:eastAsia="宋体" w:cs="宋体"/>
                <w:snapToGrid w:val="0"/>
                <w:color w:val="auto"/>
                <w:kern w:val="0"/>
                <w:sz w:val="22"/>
                <w:szCs w:val="22"/>
                <w:highlight w:val="none"/>
                <w:lang w:val="en-US" w:eastAsia="zh-CN" w:bidi="ar-SA"/>
              </w:rPr>
              <w:t xml:space="preserve"> 日至今）投标人未发生事故等级为一般事故及以上的生产安全事故、一般质量事故及以上的工程质量事故的，得 </w:t>
            </w:r>
            <w:r>
              <w:rPr>
                <w:rFonts w:hint="eastAsia" w:ascii="宋体" w:hAnsi="宋体" w:eastAsia="宋体" w:cs="宋体"/>
                <w:snapToGrid w:val="0"/>
                <w:color w:val="auto"/>
                <w:kern w:val="0"/>
                <w:sz w:val="22"/>
                <w:szCs w:val="22"/>
                <w:highlight w:val="none"/>
                <w:u w:val="single"/>
                <w:lang w:val="en-US" w:eastAsia="zh-CN" w:bidi="ar-SA"/>
              </w:rPr>
              <w:t xml:space="preserve">5 </w:t>
            </w:r>
            <w:r>
              <w:rPr>
                <w:rFonts w:hint="eastAsia" w:ascii="宋体" w:hAnsi="宋体" w:eastAsia="宋体" w:cs="宋体"/>
                <w:snapToGrid w:val="0"/>
                <w:color w:val="auto"/>
                <w:kern w:val="0"/>
                <w:sz w:val="22"/>
                <w:szCs w:val="22"/>
                <w:highlight w:val="none"/>
                <w:lang w:val="en-US" w:eastAsia="zh-CN" w:bidi="ar-SA"/>
              </w:rPr>
              <w:t xml:space="preserve">分； </w:t>
            </w:r>
          </w:p>
          <w:p w14:paraId="771DC12C">
            <w:pPr>
              <w:wordWrap w:val="0"/>
              <w:adjustRightInd w:val="0"/>
              <w:snapToGrid w:val="0"/>
              <w:spacing w:line="240" w:lineRule="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2.其他情形的，不予计分。</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0060C7C0">
            <w:pPr>
              <w:wordWrap w:val="0"/>
              <w:adjustRightInd w:val="0"/>
              <w:snapToGrid w:val="0"/>
              <w:spacing w:line="240" w:lineRule="auto"/>
              <w:rPr>
                <w:rFonts w:hint="eastAsia"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lang w:val="en-US" w:eastAsia="zh-CN"/>
              </w:rPr>
              <w:t>需提供本单位承诺书（格式自定）并加盖本单位 公章。</w:t>
            </w:r>
          </w:p>
          <w:p w14:paraId="5CA11176">
            <w:pPr>
              <w:wordWrap w:val="0"/>
              <w:adjustRightInd w:val="0"/>
              <w:snapToGrid w:val="0"/>
              <w:spacing w:line="240" w:lineRule="auto"/>
              <w:rPr>
                <w:rFonts w:hint="eastAsia"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lang w:val="en-US" w:eastAsia="zh-CN"/>
              </w:rPr>
              <w:t>未提供本单位承诺书并加盖本单位公章的，按第</w:t>
            </w:r>
          </w:p>
          <w:p w14:paraId="16CD3546">
            <w:pPr>
              <w:wordWrap w:val="0"/>
              <w:adjustRightInd w:val="0"/>
              <w:snapToGrid w:val="0"/>
              <w:spacing w:line="240" w:lineRule="auto"/>
              <w:rPr>
                <w:rFonts w:hint="eastAsia"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lang w:val="en-US" w:eastAsia="zh-CN"/>
              </w:rPr>
              <w:t>2 项标准处理。</w:t>
            </w:r>
          </w:p>
        </w:tc>
      </w:tr>
      <w:tr w14:paraId="47C95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0327"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11D6A432">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left"/>
              <w:textAlignment w:val="auto"/>
              <w:outlineLvl w:val="9"/>
              <w:rPr>
                <w:rFonts w:hint="eastAsia" w:ascii="宋体" w:hAnsi="宋体" w:eastAsia="宋体" w:cs="宋体"/>
                <w:b/>
                <w:bCs/>
                <w:caps w:val="0"/>
                <w:smallCaps w:val="0"/>
                <w:snapToGrid w:val="0"/>
                <w:color w:val="auto"/>
                <w:spacing w:val="0"/>
                <w:kern w:val="0"/>
                <w:sz w:val="22"/>
                <w:szCs w:val="22"/>
                <w:highlight w:val="none"/>
              </w:rPr>
            </w:pPr>
            <w:r>
              <w:rPr>
                <w:rFonts w:hint="eastAsia" w:ascii="宋体" w:hAnsi="宋体" w:eastAsia="宋体" w:cs="宋体"/>
                <w:b/>
                <w:bCs/>
                <w:caps w:val="0"/>
                <w:smallCaps w:val="0"/>
                <w:snapToGrid w:val="0"/>
                <w:color w:val="auto"/>
                <w:spacing w:val="0"/>
                <w:kern w:val="0"/>
                <w:sz w:val="22"/>
                <w:szCs w:val="22"/>
                <w:highlight w:val="none"/>
                <w:lang w:eastAsia="zh-CN"/>
              </w:rPr>
              <w:t>技术部分（施工组织设计），满分：</w:t>
            </w:r>
            <w:r>
              <w:rPr>
                <w:rFonts w:hint="eastAsia" w:ascii="宋体" w:hAnsi="宋体" w:eastAsia="宋体" w:cs="宋体"/>
                <w:b/>
                <w:bCs/>
                <w:caps w:val="0"/>
                <w:smallCaps w:val="0"/>
                <w:snapToGrid w:val="0"/>
                <w:color w:val="auto"/>
                <w:spacing w:val="0"/>
                <w:kern w:val="0"/>
                <w:sz w:val="22"/>
                <w:szCs w:val="22"/>
                <w:highlight w:val="none"/>
                <w:u w:val="single"/>
                <w:lang w:val="en-US" w:eastAsia="zh-CN"/>
              </w:rPr>
              <w:t xml:space="preserve">  20  </w:t>
            </w:r>
            <w:r>
              <w:rPr>
                <w:rFonts w:hint="eastAsia" w:ascii="宋体" w:hAnsi="宋体" w:eastAsia="宋体" w:cs="宋体"/>
                <w:b/>
                <w:bCs/>
                <w:caps w:val="0"/>
                <w:smallCaps w:val="0"/>
                <w:snapToGrid w:val="0"/>
                <w:color w:val="auto"/>
                <w:spacing w:val="0"/>
                <w:kern w:val="0"/>
                <w:sz w:val="22"/>
                <w:szCs w:val="22"/>
                <w:highlight w:val="none"/>
                <w:lang w:val="en-US" w:eastAsia="zh-CN"/>
              </w:rPr>
              <w:t>分。</w:t>
            </w:r>
          </w:p>
        </w:tc>
      </w:tr>
      <w:tr w14:paraId="6C61E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9F6191F">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2"/>
                <w:szCs w:val="22"/>
                <w:highlight w:val="none"/>
              </w:rPr>
            </w:pPr>
            <w:r>
              <w:rPr>
                <w:rFonts w:hint="eastAsia" w:ascii="宋体" w:hAnsi="宋体" w:eastAsia="宋体" w:cs="宋体"/>
                <w:b/>
                <w:bCs/>
                <w:caps w:val="0"/>
                <w:smallCaps w:val="0"/>
                <w:snapToGrid w:val="0"/>
                <w:color w:val="auto"/>
                <w:spacing w:val="0"/>
                <w:kern w:val="0"/>
                <w:sz w:val="22"/>
                <w:szCs w:val="22"/>
                <w:highlight w:val="none"/>
              </w:rPr>
              <w:t>评分因素</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34FD14D">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2"/>
                <w:szCs w:val="22"/>
                <w:highlight w:val="none"/>
              </w:rPr>
            </w:pPr>
            <w:r>
              <w:rPr>
                <w:rFonts w:hint="eastAsia" w:ascii="宋体" w:hAnsi="宋体" w:eastAsia="宋体" w:cs="宋体"/>
                <w:b/>
                <w:bCs/>
                <w:caps w:val="0"/>
                <w:smallCaps w:val="0"/>
                <w:snapToGrid w:val="0"/>
                <w:color w:val="auto"/>
                <w:spacing w:val="0"/>
                <w:kern w:val="0"/>
                <w:sz w:val="22"/>
                <w:szCs w:val="22"/>
                <w:highlight w:val="none"/>
              </w:rPr>
              <w:t>评分标准</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1DE5B26F">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2"/>
                <w:szCs w:val="22"/>
                <w:highlight w:val="none"/>
                <w:lang w:eastAsia="zh-CN"/>
              </w:rPr>
            </w:pPr>
            <w:r>
              <w:rPr>
                <w:rFonts w:hint="eastAsia" w:ascii="宋体" w:hAnsi="宋体" w:eastAsia="宋体" w:cs="宋体"/>
                <w:b/>
                <w:bCs/>
                <w:caps w:val="0"/>
                <w:smallCaps w:val="0"/>
                <w:snapToGrid w:val="0"/>
                <w:color w:val="auto"/>
                <w:spacing w:val="0"/>
                <w:kern w:val="0"/>
                <w:sz w:val="22"/>
                <w:szCs w:val="22"/>
                <w:highlight w:val="none"/>
                <w:lang w:eastAsia="zh-CN"/>
              </w:rPr>
              <w:t>备注</w:t>
            </w:r>
          </w:p>
        </w:tc>
      </w:tr>
      <w:tr w14:paraId="25B26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7"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4EC4B3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 xml:space="preserve"> 总体概述</w:t>
            </w:r>
          </w:p>
          <w:p w14:paraId="7333D43A">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center"/>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6F62EC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43B3257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56D845F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3FD70982">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23D54074">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【优】对项目总体有深刻认识，表述清晰、完整、严谨、合理，措施先进、具体、有效、成熟，采用了新技术、新工艺、新材料、新设备；施工段划分呼应总体表述，划分清晰、合理，符合规范要求。</w:t>
            </w:r>
          </w:p>
          <w:p w14:paraId="12153FF5">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【良】对项目总体有一定认识，表述清晰、完整，措施具体有效；施工段划分呼应总体表述，划分清晰，符合规范要求。</w:t>
            </w:r>
          </w:p>
          <w:p w14:paraId="5EBA7D58">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【中】对项目总体有认识，有一定的措施但部分不具体；施工段划分较合理，符合规范要求。</w:t>
            </w:r>
          </w:p>
          <w:p w14:paraId="5C73A9B2">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【差】对项目认识不足，表述不清晰，措施不具体；施工段划分不合理。</w:t>
            </w:r>
          </w:p>
        </w:tc>
      </w:tr>
      <w:tr w14:paraId="037BB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426F8C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施工总进</w:t>
            </w:r>
          </w:p>
          <w:p w14:paraId="3DAB3C6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度计划及</w:t>
            </w:r>
          </w:p>
          <w:p w14:paraId="6FB92D0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保证措施</w:t>
            </w:r>
          </w:p>
          <w:p w14:paraId="6780E20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5E9097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2BB77EA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6971F76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058DCEF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08EE883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caps w:val="0"/>
                <w:smallCaps w:val="0"/>
                <w:strike w:val="0"/>
                <w:dstrike w:val="0"/>
                <w:snapToGrid w:val="0"/>
                <w:color w:val="auto"/>
                <w:spacing w:val="0"/>
                <w:kern w:val="0"/>
                <w:sz w:val="22"/>
                <w:szCs w:val="22"/>
                <w:highlight w:val="none"/>
                <w:lang w:val="en-US" w:eastAsia="zh-CN" w:bidi="ar-SA"/>
              </w:rPr>
              <w:t>经济赔偿合理。</w:t>
            </w:r>
          </w:p>
          <w:p w14:paraId="2EA5956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caps w:val="0"/>
                <w:smallCaps w:val="0"/>
                <w:strike w:val="0"/>
                <w:dstrike w:val="0"/>
                <w:snapToGrid w:val="0"/>
                <w:color w:val="auto"/>
                <w:spacing w:val="0"/>
                <w:kern w:val="0"/>
                <w:sz w:val="22"/>
                <w:szCs w:val="22"/>
                <w:highlight w:val="none"/>
                <w:lang w:val="en-US" w:eastAsia="zh-CN" w:bidi="ar-SA"/>
              </w:rPr>
              <w:t>经济赔偿较合理。</w:t>
            </w:r>
          </w:p>
          <w:p w14:paraId="6207766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【中】关键线路基本准确，计划编制基本合理。关键节点的控制措施基本可行。人、材、机需求和进场计划与进度计划相呼应，基本满足施工需要，调配投入计划基本合理。进度违约责任承诺具体。</w:t>
            </w:r>
          </w:p>
          <w:p w14:paraId="6FD8C0F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【差】关键线路不准确，计划编制不合理。关键节点的控制不可行。人、材、机需求和进场计划与进度计划不相呼应，不能满足施工需要。没有违约责任承诺。</w:t>
            </w:r>
          </w:p>
        </w:tc>
      </w:tr>
      <w:tr w14:paraId="0D76A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871ECF0">
            <w:pPr>
              <w:pStyle w:val="26"/>
              <w:wordWrap w:val="0"/>
              <w:spacing w:line="400" w:lineRule="exact"/>
              <w:jc w:val="center"/>
              <w:rPr>
                <w:rFonts w:eastAsia="宋体"/>
                <w:snapToGrid w:val="0"/>
                <w:color w:val="auto"/>
                <w:kern w:val="0"/>
                <w:sz w:val="22"/>
                <w:szCs w:val="22"/>
                <w:highlight w:val="none"/>
              </w:rPr>
            </w:pPr>
            <w:r>
              <w:rPr>
                <w:rFonts w:hint="eastAsia" w:eastAsia="宋体"/>
                <w:snapToGrid w:val="0"/>
                <w:color w:val="auto"/>
                <w:kern w:val="0"/>
                <w:sz w:val="22"/>
                <w:szCs w:val="22"/>
                <w:highlight w:val="none"/>
              </w:rPr>
              <w:t>质量</w:t>
            </w:r>
          </w:p>
          <w:p w14:paraId="1FBF3AEC">
            <w:pPr>
              <w:pStyle w:val="26"/>
              <w:wordWrap w:val="0"/>
              <w:spacing w:line="400" w:lineRule="exact"/>
              <w:jc w:val="center"/>
              <w:rPr>
                <w:rFonts w:eastAsia="宋体"/>
                <w:snapToGrid w:val="0"/>
                <w:color w:val="auto"/>
                <w:kern w:val="0"/>
                <w:sz w:val="22"/>
                <w:szCs w:val="22"/>
                <w:highlight w:val="none"/>
              </w:rPr>
            </w:pPr>
            <w:r>
              <w:rPr>
                <w:rFonts w:hint="eastAsia" w:eastAsia="宋体"/>
                <w:snapToGrid w:val="0"/>
                <w:color w:val="auto"/>
                <w:kern w:val="0"/>
                <w:sz w:val="22"/>
                <w:szCs w:val="22"/>
                <w:highlight w:val="none"/>
              </w:rPr>
              <w:t>保证措施</w:t>
            </w:r>
          </w:p>
          <w:p w14:paraId="1277B614">
            <w:pPr>
              <w:pStyle w:val="26"/>
              <w:wordWrap w:val="0"/>
              <w:spacing w:line="400" w:lineRule="exact"/>
              <w:jc w:val="center"/>
              <w:rPr>
                <w:rFonts w:hint="eastAsia" w:ascii="宋体" w:hAnsi="宋体" w:eastAsia="宋体" w:cs="宋体"/>
                <w:caps w:val="0"/>
                <w:smallCaps w:val="0"/>
                <w:snapToGrid w:val="0"/>
                <w:color w:val="auto"/>
                <w:spacing w:val="0"/>
                <w:kern w:val="0"/>
                <w:sz w:val="22"/>
                <w:szCs w:val="22"/>
                <w:highlight w:val="none"/>
                <w:lang w:eastAsia="zh-CN"/>
              </w:rPr>
            </w:pPr>
            <w:r>
              <w:rPr>
                <w:rFonts w:hint="eastAsia" w:eastAsia="宋体"/>
                <w:snapToGrid w:val="0"/>
                <w:color w:val="auto"/>
                <w:kern w:val="0"/>
                <w:sz w:val="22"/>
                <w:szCs w:val="22"/>
                <w:highlight w:val="none"/>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4 </w:t>
            </w:r>
            <w:r>
              <w:rPr>
                <w:rFonts w:hint="eastAsia" w:eastAsia="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007839E">
            <w:pPr>
              <w:pStyle w:val="25"/>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【优】得该项评分因素分值的90%～100%（含90%）。</w:t>
            </w:r>
          </w:p>
          <w:p w14:paraId="0DDE4CE8">
            <w:pPr>
              <w:pStyle w:val="25"/>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【良】得该项评分因素分值的80%～90%（含80%）。</w:t>
            </w:r>
          </w:p>
          <w:p w14:paraId="226B370B">
            <w:pPr>
              <w:pStyle w:val="25"/>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【中】得该项评分因素分值的70%～80%（含70%）。</w:t>
            </w:r>
          </w:p>
          <w:p w14:paraId="0860C7AB">
            <w:pPr>
              <w:pStyle w:val="27"/>
              <w:wordWrap w:val="0"/>
              <w:spacing w:line="400" w:lineRule="exact"/>
              <w:rPr>
                <w:rFonts w:hint="eastAsia" w:ascii="宋体" w:hAnsi="宋体" w:eastAsia="宋体" w:cs="宋体"/>
                <w:caps w:val="0"/>
                <w:smallCaps w:val="0"/>
                <w:snapToGrid w:val="0"/>
                <w:color w:val="auto"/>
                <w:spacing w:val="0"/>
                <w:kern w:val="0"/>
                <w:sz w:val="22"/>
                <w:szCs w:val="22"/>
                <w:highlight w:val="none"/>
              </w:rPr>
            </w:pPr>
            <w:r>
              <w:rPr>
                <w:rFonts w:hint="eastAsia" w:eastAsia="宋体"/>
                <w:snapToGrid w:val="0"/>
                <w:color w:val="auto"/>
                <w:kern w:val="0"/>
                <w:sz w:val="22"/>
                <w:szCs w:val="22"/>
                <w:highlight w:val="none"/>
              </w:rPr>
              <w:t>【差】得该项评分因素分值的60～70%（含60%）。</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3FF594C8">
            <w:pPr>
              <w:pStyle w:val="5"/>
              <w:wordWrap w:val="0"/>
              <w:spacing w:after="0" w:line="400" w:lineRule="exact"/>
              <w:rPr>
                <w:rFonts w:ascii="Times New Roman"/>
                <w:snapToGrid w:val="0"/>
                <w:color w:val="auto"/>
                <w:kern w:val="0"/>
                <w:sz w:val="22"/>
                <w:szCs w:val="22"/>
                <w:highlight w:val="none"/>
              </w:rPr>
            </w:pPr>
            <w:r>
              <w:rPr>
                <w:rFonts w:ascii="Times New Roman"/>
                <w:snapToGrid w:val="0"/>
                <w:color w:val="auto"/>
                <w:kern w:val="0"/>
                <w:sz w:val="22"/>
                <w:szCs w:val="22"/>
                <w:highlight w:val="none"/>
              </w:rPr>
              <w:t>【优】应用新技术、新工艺、新材料、新设备，针对项目实际提出先进、可行、具体的保证措施。超过招标文件的质量要求。</w:t>
            </w:r>
          </w:p>
          <w:p w14:paraId="5D7DABA4">
            <w:pPr>
              <w:pStyle w:val="5"/>
              <w:wordWrap w:val="0"/>
              <w:spacing w:after="0" w:line="400" w:lineRule="exact"/>
              <w:rPr>
                <w:rFonts w:hint="default" w:ascii="Times New Roman"/>
                <w:b/>
                <w:bCs/>
                <w:snapToGrid w:val="0"/>
                <w:color w:val="auto"/>
                <w:kern w:val="0"/>
                <w:sz w:val="22"/>
                <w:szCs w:val="22"/>
                <w:highlight w:val="none"/>
              </w:rPr>
            </w:pPr>
            <w:r>
              <w:rPr>
                <w:rFonts w:ascii="Times New Roman"/>
                <w:snapToGrid w:val="0"/>
                <w:color w:val="auto"/>
                <w:kern w:val="0"/>
                <w:sz w:val="22"/>
                <w:szCs w:val="22"/>
                <w:highlight w:val="none"/>
              </w:rPr>
              <w:t>【良】针对项目实际提出先进、可行、具体的保证措施。满足招标文件的质量要求。</w:t>
            </w:r>
          </w:p>
          <w:p w14:paraId="47C950B5">
            <w:pPr>
              <w:pStyle w:val="5"/>
              <w:wordWrap w:val="0"/>
              <w:spacing w:after="0" w:line="400" w:lineRule="exact"/>
              <w:rPr>
                <w:rFonts w:hint="eastAsia" w:ascii="Times New Roman" w:eastAsia="宋体"/>
                <w:snapToGrid w:val="0"/>
                <w:color w:val="auto"/>
                <w:kern w:val="0"/>
                <w:sz w:val="22"/>
                <w:szCs w:val="22"/>
                <w:highlight w:val="none"/>
                <w:lang w:eastAsia="zh-CN"/>
              </w:rPr>
            </w:pPr>
            <w:r>
              <w:rPr>
                <w:rFonts w:ascii="Times New Roman"/>
                <w:snapToGrid w:val="0"/>
                <w:color w:val="auto"/>
                <w:kern w:val="0"/>
                <w:sz w:val="22"/>
                <w:szCs w:val="22"/>
                <w:highlight w:val="none"/>
              </w:rPr>
              <w:t>【中】具体措施可行。满足招标文件的质量要求</w:t>
            </w:r>
            <w:r>
              <w:rPr>
                <w:rFonts w:hint="eastAsia" w:ascii="Times New Roman" w:eastAsia="宋体"/>
                <w:snapToGrid w:val="0"/>
                <w:color w:val="auto"/>
                <w:kern w:val="0"/>
                <w:sz w:val="22"/>
                <w:szCs w:val="22"/>
                <w:highlight w:val="none"/>
                <w:lang w:eastAsia="zh-CN"/>
              </w:rPr>
              <w:t>。</w:t>
            </w:r>
          </w:p>
          <w:p w14:paraId="59C3D929">
            <w:pPr>
              <w:pStyle w:val="27"/>
              <w:wordWrap w:val="0"/>
              <w:spacing w:line="400" w:lineRule="exact"/>
              <w:rPr>
                <w:rFonts w:hint="eastAsia" w:ascii="宋体" w:hAnsi="宋体" w:eastAsia="宋体" w:cs="宋体"/>
                <w:caps w:val="0"/>
                <w:smallCaps w:val="0"/>
                <w:snapToGrid w:val="0"/>
                <w:color w:val="auto"/>
                <w:spacing w:val="0"/>
                <w:kern w:val="0"/>
                <w:sz w:val="22"/>
                <w:szCs w:val="22"/>
                <w:highlight w:val="none"/>
              </w:rPr>
            </w:pPr>
            <w:r>
              <w:rPr>
                <w:rFonts w:hint="eastAsia" w:eastAsia="宋体"/>
                <w:snapToGrid w:val="0"/>
                <w:color w:val="auto"/>
                <w:kern w:val="0"/>
                <w:sz w:val="22"/>
                <w:szCs w:val="22"/>
                <w:highlight w:val="none"/>
              </w:rPr>
              <w:t>【差】措施不可行，没有质量违约责任承诺。</w:t>
            </w:r>
          </w:p>
        </w:tc>
      </w:tr>
      <w:tr w14:paraId="7D45C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8"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4309F9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施工</w:t>
            </w:r>
          </w:p>
          <w:p w14:paraId="10E0DBE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技术措施</w:t>
            </w:r>
          </w:p>
          <w:p w14:paraId="7A2152B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2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D6A5A9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46B998B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7813884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45B4BB1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303F18B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caps w:val="0"/>
                <w:smallCaps w:val="0"/>
                <w:strike w:val="0"/>
                <w:dstrike w:val="0"/>
                <w:snapToGrid w:val="0"/>
                <w:color w:val="auto"/>
                <w:spacing w:val="0"/>
                <w:kern w:val="0"/>
                <w:sz w:val="22"/>
                <w:szCs w:val="22"/>
                <w:highlight w:val="none"/>
                <w:lang w:val="en-US" w:eastAsia="zh-CN" w:bidi="ar-SA"/>
              </w:rPr>
              <w:t>经济赔偿合理。</w:t>
            </w:r>
          </w:p>
          <w:p w14:paraId="417C0F7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caps w:val="0"/>
                <w:smallCaps w:val="0"/>
                <w:strike w:val="0"/>
                <w:dstrike w:val="0"/>
                <w:snapToGrid w:val="0"/>
                <w:color w:val="auto"/>
                <w:spacing w:val="0"/>
                <w:kern w:val="0"/>
                <w:sz w:val="22"/>
                <w:szCs w:val="22"/>
                <w:highlight w:val="none"/>
                <w:lang w:val="en-US" w:eastAsia="zh-CN" w:bidi="ar-SA"/>
              </w:rPr>
              <w:t>经济赔偿较合理。</w:t>
            </w:r>
          </w:p>
          <w:p w14:paraId="44507D0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1AB9CBE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bidi="ar-SA"/>
              </w:rPr>
              <w:t>【差】对项目关键技术有表述，对重点、难点有建议，解决方案不可行。采用的新技术针对性不强或验证材料不可靠，对节约投资、工期没有具体收益。无违约责任承诺。</w:t>
            </w:r>
          </w:p>
        </w:tc>
      </w:tr>
      <w:tr w14:paraId="77615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3"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644BF9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绿色施工、</w:t>
            </w:r>
          </w:p>
          <w:p w14:paraId="6C81D19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安全防护、</w:t>
            </w:r>
          </w:p>
          <w:p w14:paraId="638C625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文明施工</w:t>
            </w:r>
          </w:p>
          <w:p w14:paraId="78E2CFA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措施计划</w:t>
            </w:r>
          </w:p>
          <w:p w14:paraId="0AEC977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ADD8CA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5EE1FBD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0DFD8EA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1B36B2C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2687ED9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【优】针对项目实际情况，有先进、具体、完整、可行的措施，采用规范准确、清晰。</w:t>
            </w:r>
          </w:p>
          <w:p w14:paraId="14A6ED7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【良】针对项目实际情况，有合理的措施且具体、完整，采用规范准确。</w:t>
            </w:r>
          </w:p>
          <w:p w14:paraId="72D94C8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【中】有基本合理的措施，采用规范准确。</w:t>
            </w:r>
          </w:p>
          <w:p w14:paraId="06B16B6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【差】措施不力，采用规范不正确。</w:t>
            </w:r>
          </w:p>
        </w:tc>
      </w:tr>
      <w:tr w14:paraId="6CB4F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8"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2956FD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施工平面</w:t>
            </w:r>
          </w:p>
          <w:p w14:paraId="25BBEE0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布置和临时设施布置</w:t>
            </w:r>
          </w:p>
          <w:p w14:paraId="1D6C6A0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2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9AAB17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24A2C3A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23E105B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3A880DA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3B0E8C0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【优】总体布置有针对性、合理，较好满足施工需要，符合绿色施工、安全防护、文明施工要求。</w:t>
            </w:r>
          </w:p>
          <w:p w14:paraId="652713E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【良】总体布置合理，能满足施工需要，基本符合绿色施工、安全防护、文明施工要求。</w:t>
            </w:r>
          </w:p>
          <w:p w14:paraId="657291C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【中】总体布置基本合理，基本满足施工需要。</w:t>
            </w:r>
          </w:p>
          <w:p w14:paraId="63EE77B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【差】总体布置不合理，不符合绿色施工、安全防护、文明施工要求。</w:t>
            </w:r>
          </w:p>
        </w:tc>
      </w:tr>
      <w:tr w14:paraId="53AF7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7"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B6196E3">
            <w:pPr>
              <w:pStyle w:val="26"/>
              <w:wordWrap w:val="0"/>
              <w:spacing w:line="400" w:lineRule="exact"/>
              <w:jc w:val="center"/>
              <w:rPr>
                <w:rFonts w:eastAsia="宋体"/>
                <w:snapToGrid w:val="0"/>
                <w:color w:val="auto"/>
                <w:kern w:val="0"/>
                <w:sz w:val="22"/>
                <w:szCs w:val="22"/>
                <w:highlight w:val="none"/>
              </w:rPr>
            </w:pPr>
            <w:r>
              <w:rPr>
                <w:rFonts w:hint="eastAsia" w:eastAsia="宋体"/>
                <w:snapToGrid w:val="0"/>
                <w:color w:val="auto"/>
                <w:kern w:val="0"/>
                <w:sz w:val="22"/>
                <w:szCs w:val="22"/>
                <w:highlight w:val="none"/>
              </w:rPr>
              <w:t>项目</w:t>
            </w:r>
          </w:p>
          <w:p w14:paraId="1931B2B7">
            <w:pPr>
              <w:pStyle w:val="26"/>
              <w:wordWrap w:val="0"/>
              <w:spacing w:line="400" w:lineRule="exact"/>
              <w:jc w:val="center"/>
              <w:rPr>
                <w:rFonts w:eastAsia="宋体"/>
                <w:snapToGrid w:val="0"/>
                <w:color w:val="auto"/>
                <w:kern w:val="0"/>
                <w:sz w:val="22"/>
                <w:szCs w:val="22"/>
                <w:highlight w:val="none"/>
              </w:rPr>
            </w:pPr>
            <w:r>
              <w:rPr>
                <w:rFonts w:hint="eastAsia" w:eastAsia="宋体"/>
                <w:snapToGrid w:val="0"/>
                <w:color w:val="auto"/>
                <w:kern w:val="0"/>
                <w:sz w:val="22"/>
                <w:szCs w:val="22"/>
                <w:highlight w:val="none"/>
              </w:rPr>
              <w:t>管理机构</w:t>
            </w:r>
          </w:p>
          <w:p w14:paraId="0EC815FA">
            <w:pPr>
              <w:pStyle w:val="26"/>
              <w:wordWrap w:val="0"/>
              <w:spacing w:line="400" w:lineRule="exact"/>
              <w:jc w:val="center"/>
              <w:rPr>
                <w:rFonts w:hint="eastAsia" w:ascii="宋体" w:hAnsi="宋体" w:eastAsia="宋体" w:cs="宋体"/>
                <w:caps w:val="0"/>
                <w:smallCaps w:val="0"/>
                <w:snapToGrid w:val="0"/>
                <w:color w:val="auto"/>
                <w:spacing w:val="0"/>
                <w:kern w:val="0"/>
                <w:sz w:val="22"/>
                <w:szCs w:val="22"/>
                <w:highlight w:val="none"/>
              </w:rPr>
            </w:pPr>
            <w:r>
              <w:rPr>
                <w:rFonts w:hint="eastAsia" w:eastAsia="宋体"/>
                <w:snapToGrid w:val="0"/>
                <w:color w:val="auto"/>
                <w:kern w:val="0"/>
                <w:sz w:val="22"/>
                <w:szCs w:val="22"/>
                <w:highlight w:val="none"/>
              </w:rPr>
              <w:t>（</w:t>
            </w:r>
            <w:r>
              <w:rPr>
                <w:rFonts w:hint="eastAsia" w:eastAsia="宋体"/>
                <w:snapToGrid w:val="0"/>
                <w:color w:val="auto"/>
                <w:kern w:val="0"/>
                <w:sz w:val="22"/>
                <w:szCs w:val="22"/>
                <w:highlight w:val="none"/>
                <w:u w:val="single"/>
              </w:rPr>
              <w:t xml:space="preserve"> 3 </w:t>
            </w:r>
            <w:r>
              <w:rPr>
                <w:rFonts w:hint="eastAsia" w:eastAsia="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4F47295">
            <w:pPr>
              <w:pStyle w:val="25"/>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【优】得该项评分因素分值的90%～100%（含90%）。</w:t>
            </w:r>
          </w:p>
          <w:p w14:paraId="21C01A3F">
            <w:pPr>
              <w:pStyle w:val="25"/>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【良】得该项评分因素分值的80%～90%（含80%）。</w:t>
            </w:r>
          </w:p>
          <w:p w14:paraId="0CE6CB42">
            <w:pPr>
              <w:pStyle w:val="25"/>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【中】得该项评分因素分值的70%～80%（含70%）。</w:t>
            </w:r>
          </w:p>
          <w:p w14:paraId="6255D4DE">
            <w:pPr>
              <w:pStyle w:val="27"/>
              <w:wordWrap w:val="0"/>
              <w:spacing w:line="400" w:lineRule="exact"/>
              <w:rPr>
                <w:rFonts w:hint="eastAsia" w:ascii="宋体" w:hAnsi="宋体" w:eastAsia="宋体" w:cs="宋体"/>
                <w:caps w:val="0"/>
                <w:smallCaps w:val="0"/>
                <w:snapToGrid w:val="0"/>
                <w:color w:val="auto"/>
                <w:spacing w:val="0"/>
                <w:kern w:val="0"/>
                <w:sz w:val="22"/>
                <w:szCs w:val="22"/>
                <w:highlight w:val="none"/>
              </w:rPr>
            </w:pPr>
            <w:r>
              <w:rPr>
                <w:rFonts w:hint="eastAsia" w:eastAsia="宋体"/>
                <w:snapToGrid w:val="0"/>
                <w:color w:val="auto"/>
                <w:kern w:val="0"/>
                <w:sz w:val="22"/>
                <w:szCs w:val="22"/>
                <w:highlight w:val="none"/>
              </w:rPr>
              <w:t>【差】得该项评分因素分值的60～70%（含60%）。</w:t>
            </w:r>
          </w:p>
        </w:tc>
        <w:tc>
          <w:tcPr>
            <w:tcW w:w="4968" w:type="dxa"/>
            <w:tcBorders>
              <w:top w:val="single" w:color="auto" w:sz="4" w:space="0"/>
              <w:left w:val="single" w:color="auto" w:sz="4" w:space="0"/>
              <w:bottom w:val="single" w:color="auto" w:sz="4" w:space="0"/>
              <w:right w:val="single" w:color="auto" w:sz="4" w:space="0"/>
            </w:tcBorders>
            <w:noWrap w:val="0"/>
            <w:vAlign w:val="center"/>
          </w:tcPr>
          <w:p w14:paraId="107FF9CF">
            <w:pPr>
              <w:pStyle w:val="27"/>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【优】组织机构形式合理，有完善的指挥系统，生产及质量、绿色施工、安全、文明施工、创优达标监控系统、联络协调系统，项目管理人员内高级职称人员20%（含20%）以上、中级职称人员</w:t>
            </w:r>
            <w:r>
              <w:rPr>
                <w:rFonts w:hint="eastAsia" w:eastAsia="宋体"/>
                <w:b/>
                <w:bCs/>
                <w:snapToGrid w:val="0"/>
                <w:color w:val="auto"/>
                <w:kern w:val="0"/>
                <w:sz w:val="22"/>
                <w:szCs w:val="22"/>
                <w:highlight w:val="none"/>
              </w:rPr>
              <w:t>及以上职称</w:t>
            </w:r>
            <w:r>
              <w:rPr>
                <w:rFonts w:hint="eastAsia" w:eastAsia="宋体"/>
                <w:snapToGrid w:val="0"/>
                <w:color w:val="auto"/>
                <w:kern w:val="0"/>
                <w:sz w:val="22"/>
                <w:szCs w:val="22"/>
                <w:highlight w:val="none"/>
              </w:rPr>
              <w:t>60%（含60%）以上。</w:t>
            </w:r>
          </w:p>
          <w:p w14:paraId="22B3AF54">
            <w:pPr>
              <w:pStyle w:val="27"/>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【良】组织机构形式合理，指挥系统，生产及质量、绿色施工、安全、文明施工、创优达标监控系统、联络协调系统齐全，项目管理人员内高级职称人员15%～20%（含15%）、中级职称</w:t>
            </w:r>
            <w:r>
              <w:rPr>
                <w:rFonts w:hint="eastAsia" w:eastAsia="宋体"/>
                <w:b/>
                <w:bCs/>
                <w:snapToGrid w:val="0"/>
                <w:color w:val="auto"/>
                <w:kern w:val="0"/>
                <w:sz w:val="22"/>
                <w:szCs w:val="22"/>
                <w:highlight w:val="none"/>
              </w:rPr>
              <w:t>及以上职称</w:t>
            </w:r>
            <w:r>
              <w:rPr>
                <w:rFonts w:hint="eastAsia" w:eastAsia="宋体"/>
                <w:snapToGrid w:val="0"/>
                <w:color w:val="auto"/>
                <w:kern w:val="0"/>
                <w:sz w:val="22"/>
                <w:szCs w:val="22"/>
                <w:highlight w:val="none"/>
              </w:rPr>
              <w:t>人员50%～60%（含50%）。</w:t>
            </w:r>
          </w:p>
          <w:p w14:paraId="71B3578F">
            <w:pPr>
              <w:pStyle w:val="27"/>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【中】组织机构形式基本合理，有指挥系统，生产及质量、绿色施工、安全、文明施工、创优达标监控系统、联络协调系统，项目管理人员内高级职称人员10%～15%（含10%）、中级职称人员</w:t>
            </w:r>
            <w:r>
              <w:rPr>
                <w:rFonts w:hint="eastAsia" w:eastAsia="宋体"/>
                <w:b/>
                <w:bCs/>
                <w:snapToGrid w:val="0"/>
                <w:color w:val="auto"/>
                <w:kern w:val="0"/>
                <w:sz w:val="22"/>
                <w:szCs w:val="22"/>
                <w:highlight w:val="none"/>
              </w:rPr>
              <w:t>及以上职称</w:t>
            </w:r>
            <w:r>
              <w:rPr>
                <w:rFonts w:hint="eastAsia" w:eastAsia="宋体"/>
                <w:snapToGrid w:val="0"/>
                <w:color w:val="auto"/>
                <w:kern w:val="0"/>
                <w:sz w:val="22"/>
                <w:szCs w:val="22"/>
                <w:highlight w:val="none"/>
              </w:rPr>
              <w:t>40%～50%（含40%）。</w:t>
            </w:r>
          </w:p>
          <w:p w14:paraId="36C01698">
            <w:pPr>
              <w:pStyle w:val="27"/>
              <w:wordWrap w:val="0"/>
              <w:spacing w:line="400" w:lineRule="exact"/>
              <w:rPr>
                <w:rFonts w:hint="eastAsia" w:ascii="宋体" w:hAnsi="宋体" w:eastAsia="宋体" w:cs="宋体"/>
                <w:caps w:val="0"/>
                <w:smallCaps w:val="0"/>
                <w:snapToGrid w:val="0"/>
                <w:color w:val="auto"/>
                <w:spacing w:val="0"/>
                <w:kern w:val="0"/>
                <w:sz w:val="22"/>
                <w:szCs w:val="22"/>
                <w:highlight w:val="none"/>
              </w:rPr>
            </w:pPr>
            <w:r>
              <w:rPr>
                <w:rFonts w:hint="eastAsia" w:eastAsia="宋体"/>
                <w:snapToGrid w:val="0"/>
                <w:color w:val="auto"/>
                <w:kern w:val="0"/>
                <w:sz w:val="22"/>
                <w:szCs w:val="22"/>
                <w:highlight w:val="none"/>
              </w:rPr>
              <w:t>【差】组织机构形式合理，指挥系统，生产及质量、绿色施工、安全、文明施工、创优达标监控系统、联络协调系统不齐全，项目管理人员内高级职称人员10%以下、中级职称人员</w:t>
            </w:r>
            <w:r>
              <w:rPr>
                <w:rFonts w:hint="eastAsia" w:eastAsia="宋体"/>
                <w:b/>
                <w:bCs/>
                <w:snapToGrid w:val="0"/>
                <w:color w:val="auto"/>
                <w:kern w:val="0"/>
                <w:sz w:val="22"/>
                <w:szCs w:val="22"/>
                <w:highlight w:val="none"/>
              </w:rPr>
              <w:t>及以上职称</w:t>
            </w:r>
            <w:r>
              <w:rPr>
                <w:rFonts w:hint="eastAsia" w:eastAsia="宋体"/>
                <w:snapToGrid w:val="0"/>
                <w:color w:val="auto"/>
                <w:kern w:val="0"/>
                <w:sz w:val="22"/>
                <w:szCs w:val="22"/>
                <w:highlight w:val="none"/>
              </w:rPr>
              <w:t>40%以下。</w:t>
            </w:r>
          </w:p>
        </w:tc>
      </w:tr>
      <w:tr w14:paraId="196A1D2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8" w:hRule="exact"/>
          <w:jc w:val="center"/>
        </w:trPr>
        <w:tc>
          <w:tcPr>
            <w:tcW w:w="10327"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4EE34843">
            <w:pPr>
              <w:wordWrap w:val="0"/>
              <w:adjustRightInd w:val="0"/>
              <w:snapToGrid w:val="0"/>
              <w:spacing w:line="400" w:lineRule="exact"/>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投标报价部分，满分：100分。</w:t>
            </w:r>
          </w:p>
        </w:tc>
      </w:tr>
      <w:tr w14:paraId="29320A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4" w:hRule="exac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7151DCBB">
            <w:pPr>
              <w:wordWrap w:val="0"/>
              <w:adjustRightInd w:val="0"/>
              <w:snapToGrid w:val="0"/>
              <w:spacing w:line="44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评分事项</w:t>
            </w:r>
          </w:p>
        </w:tc>
        <w:tc>
          <w:tcPr>
            <w:tcW w:w="8668" w:type="dxa"/>
            <w:gridSpan w:val="2"/>
            <w:tcBorders>
              <w:top w:val="single" w:color="auto" w:sz="4" w:space="0"/>
              <w:left w:val="single" w:color="auto" w:sz="4" w:space="0"/>
              <w:bottom w:val="single" w:color="auto" w:sz="4" w:space="0"/>
              <w:right w:val="single" w:color="auto" w:sz="4" w:space="0"/>
            </w:tcBorders>
            <w:noWrap w:val="0"/>
            <w:vAlign w:val="center"/>
          </w:tcPr>
          <w:p w14:paraId="05294EC3">
            <w:pPr>
              <w:wordWrap w:val="0"/>
              <w:adjustRightInd w:val="0"/>
              <w:snapToGrid w:val="0"/>
              <w:spacing w:line="44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评分方法</w:t>
            </w:r>
          </w:p>
        </w:tc>
      </w:tr>
      <w:tr w14:paraId="663D5B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77"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07019414">
            <w:pPr>
              <w:jc w:val="center"/>
              <w:rPr>
                <w:rFonts w:hint="eastAsia" w:ascii="宋体" w:hAnsi="宋体" w:eastAsia="宋体" w:cs="宋体"/>
                <w:snapToGrid w:val="0"/>
                <w:color w:val="auto"/>
                <w:kern w:val="0"/>
                <w:sz w:val="22"/>
                <w:szCs w:val="22"/>
                <w:highlight w:val="none"/>
              </w:rPr>
            </w:pPr>
            <w:r>
              <w:rPr>
                <w:rFonts w:hint="eastAsia" w:ascii="宋体" w:hAnsi="宋体" w:eastAsia="宋体" w:cs="宋体"/>
                <w:color w:val="auto"/>
                <w:sz w:val="22"/>
                <w:szCs w:val="22"/>
                <w:highlight w:val="none"/>
              </w:rPr>
              <w:t>评标基准价D</w:t>
            </w:r>
          </w:p>
        </w:tc>
        <w:tc>
          <w:tcPr>
            <w:tcW w:w="8668" w:type="dxa"/>
            <w:gridSpan w:val="2"/>
            <w:tcBorders>
              <w:top w:val="single" w:color="auto" w:sz="4" w:space="0"/>
              <w:left w:val="single" w:color="auto" w:sz="4" w:space="0"/>
              <w:bottom w:val="single" w:color="auto" w:sz="4" w:space="0"/>
              <w:right w:val="single" w:color="auto" w:sz="4" w:space="0"/>
            </w:tcBorders>
            <w:noWrap w:val="0"/>
            <w:vAlign w:val="center"/>
          </w:tcPr>
          <w:p w14:paraId="789BE193">
            <w:pPr>
              <w:numPr>
                <w:ilvl w:val="0"/>
                <w:numId w:val="1"/>
              </w:numPr>
              <w:wordWrap w:val="0"/>
              <w:adjustRightInd w:val="0"/>
              <w:snapToGrid w:val="0"/>
              <w:spacing w:line="400" w:lineRule="exact"/>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snapToGrid w:val="0"/>
                <w:color w:val="auto"/>
                <w:kern w:val="0"/>
                <w:sz w:val="22"/>
                <w:szCs w:val="22"/>
                <w:highlight w:val="none"/>
              </w:rPr>
              <w:t>确定最高投标限价下浮系数n：用1～21号球分别代表一个下浮系数，由评委代表从这21个号码中随机抽取</w:t>
            </w:r>
            <w:r>
              <w:rPr>
                <w:rFonts w:hint="eastAsia" w:ascii="宋体" w:hAnsi="宋体" w:eastAsia="宋体" w:cs="宋体"/>
                <w:snapToGrid w:val="0"/>
                <w:color w:val="auto"/>
                <w:kern w:val="0"/>
                <w:sz w:val="22"/>
                <w:szCs w:val="22"/>
                <w:highlight w:val="none"/>
                <w:u w:val="single"/>
              </w:rPr>
              <w:t xml:space="preserve"> </w:t>
            </w:r>
            <w:r>
              <w:rPr>
                <w:rFonts w:hint="eastAsia" w:hAnsi="宋体" w:cs="宋体"/>
                <w:snapToGrid w:val="0"/>
                <w:color w:val="auto"/>
                <w:kern w:val="0"/>
                <w:sz w:val="22"/>
                <w:szCs w:val="22"/>
                <w:highlight w:val="none"/>
                <w:u w:val="single"/>
                <w:lang w:val="en-US" w:eastAsia="zh-CN"/>
              </w:rPr>
              <w:t>3</w:t>
            </w:r>
            <w:r>
              <w:rPr>
                <w:rFonts w:hint="eastAsia" w:ascii="宋体" w:hAnsi="宋体" w:eastAsia="宋体" w:cs="宋体"/>
                <w:snapToGrid w:val="0"/>
                <w:color w:val="auto"/>
                <w:kern w:val="0"/>
                <w:sz w:val="22"/>
                <w:szCs w:val="22"/>
                <w:highlight w:val="none"/>
                <w:u w:val="single"/>
              </w:rPr>
              <w:t xml:space="preserve"> </w:t>
            </w:r>
            <w:r>
              <w:rPr>
                <w:rFonts w:hint="eastAsia" w:ascii="宋体" w:hAnsi="宋体" w:eastAsia="宋体" w:cs="宋体"/>
                <w:snapToGrid w:val="0"/>
                <w:color w:val="auto"/>
                <w:kern w:val="0"/>
                <w:sz w:val="22"/>
                <w:szCs w:val="22"/>
                <w:highlight w:val="none"/>
              </w:rPr>
              <w:t>次，每次抽取1个号码，抽出的号球不参与下次抽取。所抽取的</w:t>
            </w:r>
            <w:r>
              <w:rPr>
                <w:rFonts w:hint="eastAsia" w:hAnsi="宋体" w:cs="宋体"/>
                <w:snapToGrid w:val="0"/>
                <w:color w:val="auto"/>
                <w:kern w:val="0"/>
                <w:sz w:val="22"/>
                <w:szCs w:val="22"/>
                <w:highlight w:val="none"/>
                <w:lang w:val="en-US" w:eastAsia="zh-CN"/>
              </w:rPr>
              <w:t>3</w:t>
            </w:r>
            <w:r>
              <w:rPr>
                <w:rFonts w:hint="eastAsia" w:ascii="宋体" w:hAnsi="宋体" w:eastAsia="宋体" w:cs="宋体"/>
                <w:snapToGrid w:val="0"/>
                <w:color w:val="auto"/>
                <w:kern w:val="0"/>
                <w:sz w:val="22"/>
                <w:szCs w:val="22"/>
                <w:highlight w:val="none"/>
              </w:rPr>
              <w:t>个号码对应下浮系数的算术平均值作为最高投标限价下浮系数n。具体号码对应的下浮系数详见下表：</w:t>
            </w:r>
          </w:p>
          <w:tbl>
            <w:tblPr>
              <w:tblStyle w:val="14"/>
              <w:tblW w:w="0" w:type="auto"/>
              <w:jc w:val="center"/>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14:paraId="4BFF4480">
              <w:tblPrEx>
                <w:tblCellMar>
                  <w:top w:w="0" w:type="dxa"/>
                  <w:left w:w="108" w:type="dxa"/>
                  <w:bottom w:w="0" w:type="dxa"/>
                  <w:right w:w="108" w:type="dxa"/>
                </w:tblCellMar>
              </w:tblPrEx>
              <w:trPr>
                <w:trHeight w:val="248"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09D16B1E">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7D566F6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4E1BBB25">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F89D5AE">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AA7FF55">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6D0A8C41">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0A78A6DC">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7E28F5AC">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7</w:t>
                  </w:r>
                </w:p>
              </w:tc>
            </w:tr>
            <w:tr w14:paraId="305AAC0D">
              <w:tblPrEx>
                <w:tblCellMar>
                  <w:top w:w="0" w:type="dxa"/>
                  <w:left w:w="108" w:type="dxa"/>
                  <w:bottom w:w="0" w:type="dxa"/>
                  <w:right w:w="108" w:type="dxa"/>
                </w:tblCellMar>
              </w:tblPrEx>
              <w:trPr>
                <w:trHeight w:val="475"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24CC9318">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5A512ABA">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350A15C9">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A0F514D">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1FC5EF59">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29ACDBC1">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68178637">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3EF62A9B">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1.6</w:t>
                  </w:r>
                </w:p>
              </w:tc>
            </w:tr>
            <w:tr w14:paraId="4C97E2E6">
              <w:tblPrEx>
                <w:tblCellMar>
                  <w:top w:w="0" w:type="dxa"/>
                  <w:left w:w="108" w:type="dxa"/>
                  <w:bottom w:w="0" w:type="dxa"/>
                  <w:right w:w="108" w:type="dxa"/>
                </w:tblCellMar>
              </w:tblPrEx>
              <w:trPr>
                <w:trHeight w:val="515"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4F8CA7AF">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18636AF9">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70914681">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4923A9D">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7911D2B">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6AF21244">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CAD09C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C3DD023">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14</w:t>
                  </w:r>
                </w:p>
              </w:tc>
            </w:tr>
            <w:tr w14:paraId="33CDB21A">
              <w:tblPrEx>
                <w:tblCellMar>
                  <w:top w:w="0" w:type="dxa"/>
                  <w:left w:w="108" w:type="dxa"/>
                  <w:bottom w:w="0" w:type="dxa"/>
                  <w:right w:w="108" w:type="dxa"/>
                </w:tblCellMar>
              </w:tblPrEx>
              <w:trPr>
                <w:trHeight w:val="43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48D405D7">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23940D3">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425B0BDE">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2C35451">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D9C0F3D">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7F7E6007">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6084DD71">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05EDAA6">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2.3</w:t>
                  </w:r>
                </w:p>
              </w:tc>
            </w:tr>
            <w:tr w14:paraId="08886A4B">
              <w:tblPrEx>
                <w:tblCellMar>
                  <w:top w:w="0" w:type="dxa"/>
                  <w:left w:w="108" w:type="dxa"/>
                  <w:bottom w:w="0" w:type="dxa"/>
                  <w:right w:w="108" w:type="dxa"/>
                </w:tblCellMar>
              </w:tblPrEx>
              <w:trPr>
                <w:trHeight w:val="47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6C938F2B">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5C7DA5D5">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AADC8E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C46356E">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FE6FD2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776A584E">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2CB98248">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2A60AE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21</w:t>
                  </w:r>
                </w:p>
              </w:tc>
            </w:tr>
            <w:tr w14:paraId="1D1D8002">
              <w:tblPrEx>
                <w:tblCellMar>
                  <w:top w:w="0" w:type="dxa"/>
                  <w:left w:w="108" w:type="dxa"/>
                  <w:bottom w:w="0" w:type="dxa"/>
                  <w:right w:w="108" w:type="dxa"/>
                </w:tblCellMar>
              </w:tblPrEx>
              <w:trPr>
                <w:trHeight w:val="51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18765233">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05995ADB">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D436B7D">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B83B293">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7413FF59">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33DA7520">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9EE272D">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64D9440">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3.0</w:t>
                  </w:r>
                </w:p>
              </w:tc>
            </w:tr>
          </w:tbl>
          <w:p w14:paraId="382953F3">
            <w:pPr>
              <w:wordWrap w:val="0"/>
              <w:adjustRightInd w:val="0"/>
              <w:snapToGrid w:val="0"/>
              <w:spacing w:line="400" w:lineRule="exact"/>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（2）评标基准价D＝最高投标限价×（1－n）</w:t>
            </w:r>
          </w:p>
        </w:tc>
      </w:tr>
      <w:tr w14:paraId="5BAB61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386"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4D26BCA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投标报价</w:t>
            </w:r>
          </w:p>
          <w:p w14:paraId="194373B5">
            <w:pPr>
              <w:jc w:val="center"/>
              <w:rPr>
                <w:rFonts w:hint="eastAsia" w:ascii="宋体" w:hAnsi="宋体" w:eastAsia="宋体" w:cs="宋体"/>
                <w:snapToGrid w:val="0"/>
                <w:color w:val="auto"/>
                <w:kern w:val="0"/>
                <w:sz w:val="22"/>
                <w:szCs w:val="22"/>
                <w:highlight w:val="none"/>
              </w:rPr>
            </w:pPr>
            <w:r>
              <w:rPr>
                <w:rFonts w:hint="eastAsia" w:ascii="宋体" w:hAnsi="宋体" w:eastAsia="宋体" w:cs="宋体"/>
                <w:color w:val="auto"/>
                <w:sz w:val="22"/>
                <w:szCs w:val="22"/>
                <w:highlight w:val="none"/>
              </w:rPr>
              <w:t>得分N</w:t>
            </w:r>
          </w:p>
        </w:tc>
        <w:tc>
          <w:tcPr>
            <w:tcW w:w="8668" w:type="dxa"/>
            <w:gridSpan w:val="2"/>
            <w:tcBorders>
              <w:top w:val="single" w:color="auto" w:sz="4" w:space="0"/>
              <w:left w:val="single" w:color="auto" w:sz="4" w:space="0"/>
              <w:bottom w:val="single" w:color="auto" w:sz="4" w:space="0"/>
              <w:right w:val="single" w:color="auto" w:sz="4" w:space="0"/>
            </w:tcBorders>
            <w:noWrap w:val="0"/>
            <w:vAlign w:val="center"/>
          </w:tcPr>
          <w:p w14:paraId="0B5C54CE">
            <w:pPr>
              <w:wordWrap w:val="0"/>
              <w:adjustRightInd w:val="0"/>
              <w:snapToGrid w:val="0"/>
              <w:spacing w:line="400" w:lineRule="exact"/>
              <w:ind w:firstLine="440" w:firstLineChars="2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采用内插法计算某投标人的投标报价得分N，即当投标人的投标总价等于评标基准价时得100分，每高于评标基准价一个百分点扣1 分，每低于评标基准价一个百分点扣0.5分，扣完为止。公式如下：</w:t>
            </w:r>
          </w:p>
          <w:p w14:paraId="40D8946D">
            <w:pPr>
              <w:wordWrap w:val="0"/>
              <w:adjustRightInd w:val="0"/>
              <w:snapToGrid w:val="0"/>
              <w:spacing w:line="400" w:lineRule="exact"/>
              <w:ind w:firstLine="440" w:firstLineChars="2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N＝100－（| Di－D | ÷D）×100×E</w:t>
            </w:r>
          </w:p>
          <w:p w14:paraId="2F9ECC02">
            <w:pP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式中：D为评标基准价；Di为某投标人的投标总价；E为扣分因子，当Di＞D时，E＝1 ；当Di＜D时，E＝0.5。</w:t>
            </w:r>
          </w:p>
        </w:tc>
      </w:tr>
    </w:tbl>
    <w:p w14:paraId="7E31FDC6">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2B39D5BE">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37B21C64">
      <w:pPr>
        <w:spacing w:before="155" w:line="211" w:lineRule="auto"/>
        <w:ind w:firstLine="470" w:firstLineChars="200"/>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15.5.2  </w:t>
      </w:r>
      <w:r>
        <w:rPr>
          <w:rFonts w:hint="eastAsia" w:ascii="宋体" w:hAnsi="宋体" w:eastAsia="宋体" w:cs="宋体"/>
          <w:color w:val="auto"/>
          <w:spacing w:val="-3"/>
          <w:sz w:val="24"/>
          <w:szCs w:val="24"/>
          <w:highlight w:val="none"/>
        </w:rPr>
        <w:t>否决投标说明</w:t>
      </w:r>
      <w:bookmarkEnd w:id="131"/>
      <w:bookmarkEnd w:id="132"/>
      <w:bookmarkEnd w:id="133"/>
      <w:bookmarkEnd w:id="134"/>
    </w:p>
    <w:p w14:paraId="3A277E6B">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spacing w:before="59" w:line="33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670ADD53">
      <w:pPr>
        <w:spacing w:before="78" w:line="220" w:lineRule="auto"/>
        <w:ind w:left="496"/>
        <w:outlineLvl w:val="2"/>
        <w:rPr>
          <w:rFonts w:hint="eastAsia" w:ascii="宋体" w:hAnsi="宋体" w:eastAsia="宋体" w:cs="宋体"/>
          <w:color w:val="auto"/>
          <w:sz w:val="24"/>
          <w:szCs w:val="24"/>
          <w:highlight w:val="none"/>
        </w:rPr>
      </w:pPr>
      <w:bookmarkStart w:id="135" w:name="bookmark137"/>
      <w:bookmarkEnd w:id="135"/>
      <w:bookmarkStart w:id="136" w:name="_Toc16384"/>
      <w:bookmarkStart w:id="137" w:name="_Toc20825"/>
      <w:r>
        <w:rPr>
          <w:rFonts w:hint="eastAsia" w:ascii="宋体" w:hAnsi="宋体" w:eastAsia="宋体" w:cs="宋体"/>
          <w:b/>
          <w:bCs/>
          <w:color w:val="auto"/>
          <w:spacing w:val="-7"/>
          <w:sz w:val="24"/>
          <w:szCs w:val="24"/>
          <w:highlight w:val="none"/>
        </w:rPr>
        <w:t>16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7"/>
          <w:sz w:val="24"/>
          <w:szCs w:val="24"/>
          <w:highlight w:val="none"/>
        </w:rPr>
        <w:t>．中标候选人公示</w:t>
      </w:r>
      <w:bookmarkEnd w:id="136"/>
      <w:bookmarkEnd w:id="137"/>
    </w:p>
    <w:p w14:paraId="223AFD79">
      <w:pPr>
        <w:spacing w:before="135" w:line="316" w:lineRule="auto"/>
        <w:ind w:left="2" w:right="105" w:firstLine="494"/>
        <w:jc w:val="both"/>
        <w:rPr>
          <w:rFonts w:hint="eastAsia" w:ascii="宋体" w:hAnsi="宋体" w:eastAsia="宋体" w:cs="宋体"/>
          <w:color w:val="auto"/>
          <w:spacing w:val="-5"/>
          <w:sz w:val="24"/>
          <w:szCs w:val="24"/>
          <w:highlight w:val="none"/>
        </w:rPr>
      </w:pPr>
      <w:r>
        <w:rPr>
          <w:rFonts w:hint="eastAsia" w:ascii="宋体" w:hAnsi="宋体" w:eastAsia="宋体" w:cs="宋体"/>
          <w:b/>
          <w:bCs/>
          <w:color w:val="auto"/>
          <w:spacing w:val="1"/>
          <w:sz w:val="24"/>
          <w:szCs w:val="24"/>
          <w:highlight w:val="none"/>
        </w:rPr>
        <w:t xml:space="preserve">16.1  </w:t>
      </w:r>
      <w:r>
        <w:rPr>
          <w:rFonts w:hint="eastAsia" w:ascii="宋体" w:hAnsi="宋体" w:eastAsia="宋体" w:cs="宋体"/>
          <w:color w:val="auto"/>
          <w:spacing w:val="-5"/>
          <w:sz w:val="24"/>
          <w:szCs w:val="24"/>
          <w:highlight w:val="none"/>
        </w:rPr>
        <w:t>招标人自收到评标委员会提交的书面评标报告和中标候选人名单之日起 3  日 内，将评标结果（即中标候选人名单）、中标候选人投标文件（指商务标书分册）、评标过程（评标专家姓名用代码标记）一并在广东省招标投标监管网（http://zbtb.gd.gov.c n）、全国公共资源交易平台（广东省 ·韶关市）（https://ygp.gdzwfw.gov.cn/ggzy-porta l/#/440200/index）进行公示，公示期不得少于 3 天。</w:t>
      </w:r>
    </w:p>
    <w:p w14:paraId="02AC4D6D">
      <w:pPr>
        <w:keepNext w:val="0"/>
        <w:keepLines w:val="0"/>
        <w:pageBreakBefore w:val="0"/>
        <w:widowControl/>
        <w:kinsoku w:val="0"/>
        <w:wordWrap/>
        <w:overflowPunct/>
        <w:topLinePunct w:val="0"/>
        <w:autoSpaceDE w:val="0"/>
        <w:autoSpaceDN w:val="0"/>
        <w:bidi w:val="0"/>
        <w:adjustRightInd w:val="0"/>
        <w:snapToGrid w:val="0"/>
        <w:spacing w:before="78" w:line="288" w:lineRule="auto"/>
        <w:ind w:left="11" w:firstLine="488"/>
        <w:textAlignment w:val="baseline"/>
        <w:rPr>
          <w:rFonts w:hint="eastAsia" w:ascii="宋体" w:hAnsi="宋体" w:eastAsia="宋体" w:cs="宋体"/>
          <w:color w:val="auto"/>
          <w:spacing w:val="-5"/>
          <w:sz w:val="24"/>
          <w:szCs w:val="24"/>
          <w:highlight w:val="none"/>
        </w:rPr>
      </w:pPr>
      <w:r>
        <w:rPr>
          <w:rFonts w:hint="eastAsia" w:ascii="宋体" w:hAnsi="宋体" w:eastAsia="宋体" w:cs="宋体"/>
          <w:b/>
          <w:bCs/>
          <w:color w:val="auto"/>
          <w:spacing w:val="-2"/>
          <w:sz w:val="24"/>
          <w:szCs w:val="24"/>
          <w:highlight w:val="none"/>
        </w:rPr>
        <w:t xml:space="preserve">16.2 </w:t>
      </w:r>
      <w:r>
        <w:rPr>
          <w:rFonts w:hint="eastAsia" w:ascii="宋体" w:hAnsi="宋体" w:eastAsia="宋体" w:cs="宋体"/>
          <w:color w:val="auto"/>
          <w:spacing w:val="-5"/>
          <w:sz w:val="24"/>
          <w:szCs w:val="24"/>
          <w:highlight w:val="none"/>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3ADD5D5F">
      <w:pPr>
        <w:spacing w:before="79" w:line="309" w:lineRule="auto"/>
        <w:ind w:left="12" w:right="42"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16.3</w:t>
      </w:r>
      <w:r>
        <w:rPr>
          <w:rFonts w:hint="eastAsia" w:ascii="宋体" w:hAnsi="宋体" w:eastAsia="宋体" w:cs="宋体"/>
          <w:b/>
          <w:bCs/>
          <w:color w:val="auto"/>
          <w:spacing w:val="24"/>
          <w:w w:val="101"/>
          <w:sz w:val="24"/>
          <w:szCs w:val="24"/>
          <w:highlight w:val="none"/>
        </w:rPr>
        <w:t xml:space="preserve"> </w:t>
      </w:r>
      <w:r>
        <w:rPr>
          <w:rFonts w:hint="eastAsia" w:ascii="宋体" w:hAnsi="宋体" w:eastAsia="宋体" w:cs="宋体"/>
          <w:color w:val="auto"/>
          <w:spacing w:val="-5"/>
          <w:sz w:val="24"/>
          <w:szCs w:val="24"/>
          <w:highlight w:val="none"/>
        </w:rPr>
        <w:t>中标候选人公示期满无异议（投诉）后，招标人确定第一中标候选人为中标人，并在中标人确定之日起 7日内向中标人发出中标通知书。在中标通知书发出后5个工作日内，韶关市公共资源交易中心将投标保证金（或银行保函）退还给中标候选人以外的投标人。</w:t>
      </w:r>
    </w:p>
    <w:p w14:paraId="2C8F5333">
      <w:pPr>
        <w:spacing w:line="309" w:lineRule="auto"/>
        <w:rPr>
          <w:rFonts w:hint="eastAsia" w:ascii="宋体" w:hAnsi="宋体" w:eastAsia="宋体" w:cs="宋体"/>
          <w:color w:val="auto"/>
          <w:sz w:val="24"/>
          <w:szCs w:val="24"/>
          <w:highlight w:val="none"/>
        </w:rPr>
        <w:sectPr>
          <w:headerReference r:id="rId8" w:type="default"/>
          <w:footerReference r:id="rId9" w:type="default"/>
          <w:pgSz w:w="11906" w:h="16839"/>
          <w:pgMar w:top="1440" w:right="1253" w:bottom="1440" w:left="1253" w:header="0" w:footer="1020" w:gutter="0"/>
          <w:pgBorders>
            <w:top w:val="none" w:sz="0" w:space="0"/>
            <w:left w:val="none" w:sz="0" w:space="0"/>
            <w:bottom w:val="none" w:sz="0" w:space="0"/>
            <w:right w:val="none" w:sz="0" w:space="0"/>
          </w:pgBorders>
          <w:cols w:space="720" w:num="1"/>
          <w:rtlGutter w:val="0"/>
          <w:docGrid w:linePitch="0" w:charSpace="0"/>
        </w:sectPr>
      </w:pPr>
    </w:p>
    <w:p w14:paraId="5C1476C7">
      <w:pPr>
        <w:spacing w:before="78" w:line="220" w:lineRule="auto"/>
        <w:ind w:left="9"/>
        <w:jc w:val="center"/>
        <w:outlineLvl w:val="1"/>
        <w:rPr>
          <w:rFonts w:hint="eastAsia" w:ascii="宋体" w:hAnsi="宋体" w:eastAsia="宋体" w:cs="宋体"/>
          <w:color w:val="auto"/>
          <w:sz w:val="24"/>
          <w:szCs w:val="24"/>
          <w:highlight w:val="none"/>
        </w:rPr>
      </w:pPr>
      <w:bookmarkStart w:id="138" w:name="bookmark138"/>
      <w:bookmarkEnd w:id="138"/>
      <w:bookmarkStart w:id="139" w:name="_Toc1969"/>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39"/>
    </w:p>
    <w:p w14:paraId="2637533F">
      <w:pPr>
        <w:pStyle w:val="5"/>
        <w:spacing w:line="256" w:lineRule="auto"/>
        <w:rPr>
          <w:rFonts w:hint="eastAsia" w:ascii="宋体" w:hAnsi="宋体" w:eastAsia="宋体" w:cs="宋体"/>
          <w:color w:val="auto"/>
          <w:highlight w:val="none"/>
        </w:rPr>
      </w:pPr>
    </w:p>
    <w:p w14:paraId="16FA277C">
      <w:pPr>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3B6FE9A6">
      <w:pPr>
        <w:spacing w:before="34" w:line="220" w:lineRule="auto"/>
        <w:ind w:left="495"/>
        <w:outlineLvl w:val="2"/>
        <w:rPr>
          <w:rFonts w:hint="eastAsia" w:ascii="宋体" w:hAnsi="宋体" w:eastAsia="宋体" w:cs="宋体"/>
          <w:color w:val="auto"/>
          <w:sz w:val="24"/>
          <w:szCs w:val="24"/>
          <w:highlight w:val="none"/>
        </w:rPr>
      </w:pPr>
      <w:bookmarkStart w:id="140" w:name="_Toc11822"/>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0"/>
    </w:p>
    <w:p w14:paraId="51ABE522">
      <w:pPr>
        <w:spacing w:before="150" w:line="280" w:lineRule="auto"/>
        <w:ind w:right="200" w:firstLine="492"/>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A5D99B5">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 2.4 条“禁止投标条款 ”规定的任何一种情形；</w:t>
      </w:r>
    </w:p>
    <w:p w14:paraId="128D62E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19664B7F">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28A1098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60246F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67723322">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温馨提示：建造师打印电子证书后，应在个人签名处手写本人签名，未手写签名或与签名图像笔迹不一致的，该电子证书无效。</w:t>
      </w:r>
    </w:p>
    <w:p w14:paraId="4935AD7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D58D1E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注：投标人已经工商变更，但其员工执业资格注册证书的注册单位名称未完成变更的，不得否决其投标。</w:t>
      </w:r>
    </w:p>
    <w:p w14:paraId="6CDD950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4B23118B">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（6）招标文件规定不接受联合体投标，但以联合体投标的；</w:t>
      </w:r>
    </w:p>
    <w:p w14:paraId="1E3DF65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）投标人为外省建筑企业，但未提供“进粤企业和人员诚信信息登记平台 ”企业和拟派人员信息情况打印页或网页截图的。</w:t>
      </w:r>
    </w:p>
    <w:p w14:paraId="62EEE4F7">
      <w:pPr>
        <w:spacing w:before="154" w:line="221" w:lineRule="auto"/>
        <w:ind w:left="477"/>
        <w:outlineLvl w:val="2"/>
        <w:rPr>
          <w:rFonts w:hint="eastAsia" w:ascii="宋体" w:hAnsi="宋体" w:eastAsia="宋体" w:cs="宋体"/>
          <w:color w:val="auto"/>
          <w:sz w:val="24"/>
          <w:szCs w:val="24"/>
          <w:highlight w:val="none"/>
        </w:rPr>
      </w:pPr>
      <w:bookmarkStart w:id="141" w:name="_Toc8853"/>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1"/>
    </w:p>
    <w:p w14:paraId="053CEC5E">
      <w:pPr>
        <w:keepNext w:val="0"/>
        <w:keepLines w:val="0"/>
        <w:pageBreakBefore w:val="0"/>
        <w:widowControl/>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18B6E674">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74AD0720">
      <w:pPr>
        <w:keepNext w:val="0"/>
        <w:keepLines w:val="0"/>
        <w:pageBreakBefore w:val="0"/>
        <w:widowControl/>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5933D0A3">
      <w:pPr>
        <w:keepNext w:val="0"/>
        <w:keepLines w:val="0"/>
        <w:pageBreakBefore w:val="0"/>
        <w:widowControl/>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54158009">
      <w:pPr>
        <w:keepNext w:val="0"/>
        <w:keepLines w:val="0"/>
        <w:pageBreakBefore w:val="0"/>
        <w:widowControl/>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9AD0DAE">
      <w:pPr>
        <w:spacing w:before="227" w:line="221" w:lineRule="auto"/>
        <w:ind w:left="475"/>
        <w:outlineLvl w:val="2"/>
        <w:rPr>
          <w:rFonts w:hint="eastAsia" w:ascii="宋体" w:hAnsi="宋体" w:eastAsia="宋体" w:cs="宋体"/>
          <w:color w:val="auto"/>
          <w:sz w:val="24"/>
          <w:szCs w:val="24"/>
          <w:highlight w:val="none"/>
        </w:rPr>
      </w:pPr>
      <w:bookmarkStart w:id="142" w:name="_Toc121"/>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2"/>
    </w:p>
    <w:p w14:paraId="4686AB01">
      <w:pPr>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A367586">
      <w:pPr>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7740EF66">
      <w:pPr>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5077F36E">
      <w:pPr>
        <w:spacing w:before="156" w:line="329" w:lineRule="auto"/>
        <w:ind w:right="200" w:firstLine="480"/>
        <w:jc w:val="both"/>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2A683A42">
      <w:pPr>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（3）投标人委托造价咨询单位编制《投标总价》，但未在《投标总价扉页》（即扉—3）“投标人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 xml:space="preserve">供造价咨询人的营业执照副本彩 </w:t>
      </w:r>
      <w:r>
        <w:rPr>
          <w:rFonts w:hint="eastAsia" w:ascii="宋体" w:hAnsi="宋体" w:eastAsia="宋体" w:cs="宋体"/>
          <w:color w:val="auto"/>
          <w:spacing w:val="-3"/>
          <w:sz w:val="24"/>
          <w:szCs w:val="24"/>
          <w:highlight w:val="none"/>
        </w:rPr>
        <w:t>色扫描件；</w:t>
      </w:r>
    </w:p>
    <w:p w14:paraId="3D7914BD">
      <w:pPr>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eastAsia="zh-CN"/>
        </w:rPr>
        <w:t>招标控制价</w:t>
      </w:r>
      <w:r>
        <w:rPr>
          <w:rFonts w:hint="eastAsia" w:ascii="宋体" w:hAnsi="宋体" w:eastAsia="宋体" w:cs="宋体"/>
          <w:color w:val="auto"/>
          <w:spacing w:val="-2"/>
          <w:sz w:val="24"/>
          <w:szCs w:val="24"/>
          <w:highlight w:val="none"/>
        </w:rPr>
        <w:t>的；</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少于规定的；暂列金额、暂估</w:t>
      </w:r>
      <w:r>
        <w:rPr>
          <w:rFonts w:hint="eastAsia" w:ascii="宋体" w:hAnsi="宋体" w:eastAsia="宋体" w:cs="宋体"/>
          <w:color w:val="auto"/>
          <w:spacing w:val="-3"/>
          <w:sz w:val="24"/>
          <w:szCs w:val="24"/>
          <w:highlight w:val="none"/>
        </w:rPr>
        <w:t>价未按照招标工程量清单统一报价的；投标总价下浮率超过</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15%，又未提供相应书面说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7BE05ED8">
      <w:pPr>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1F2CAFD7">
      <w:pPr>
        <w:spacing w:before="151" w:line="221" w:lineRule="auto"/>
        <w:ind w:left="476"/>
        <w:outlineLvl w:val="2"/>
        <w:rPr>
          <w:rFonts w:hint="eastAsia" w:ascii="宋体" w:hAnsi="宋体" w:eastAsia="宋体" w:cs="宋体"/>
          <w:color w:val="auto"/>
          <w:sz w:val="24"/>
          <w:szCs w:val="24"/>
          <w:highlight w:val="none"/>
        </w:rPr>
      </w:pPr>
      <w:bookmarkStart w:id="143" w:name="_Toc7538"/>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3"/>
    </w:p>
    <w:p w14:paraId="4300F4C0">
      <w:pPr>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780DC4D6">
      <w:pPr>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1BD88C6E">
      <w:pPr>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1240E21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00F333AB">
      <w:pPr>
        <w:keepNext w:val="0"/>
        <w:keepLines w:val="0"/>
        <w:pageBreakBefore w:val="0"/>
        <w:widowControl/>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3F875C4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46E9D77B">
      <w:pPr>
        <w:keepNext w:val="0"/>
        <w:keepLines w:val="0"/>
        <w:pageBreakBefore w:val="0"/>
        <w:widowControl/>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09D8E95C">
      <w:pPr>
        <w:keepNext w:val="0"/>
        <w:keepLines w:val="0"/>
        <w:pageBreakBefore w:val="0"/>
        <w:widowControl/>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510230E6">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5A36E25E">
      <w:pPr>
        <w:keepNext w:val="0"/>
        <w:keepLines w:val="0"/>
        <w:pageBreakBefore w:val="0"/>
        <w:widowControl/>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5239CFAB">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p>
    <w:p w14:paraId="49CBF401">
      <w:pPr>
        <w:keepNext w:val="0"/>
        <w:keepLines w:val="0"/>
        <w:pageBreakBefore w:val="0"/>
        <w:widowControl/>
        <w:kinsoku w:val="0"/>
        <w:wordWrap/>
        <w:overflowPunct/>
        <w:topLinePunct w:val="0"/>
        <w:autoSpaceDE w:val="0"/>
        <w:autoSpaceDN w:val="0"/>
        <w:bidi w:val="0"/>
        <w:adjustRightInd w:val="0"/>
        <w:snapToGrid w:val="0"/>
        <w:spacing w:line="299" w:lineRule="auto"/>
        <w:textAlignment w:val="baseline"/>
        <w:rPr>
          <w:rFonts w:hint="eastAsia" w:ascii="宋体" w:hAnsi="宋体" w:eastAsia="宋体" w:cs="宋体"/>
          <w:color w:val="auto"/>
          <w:sz w:val="24"/>
          <w:szCs w:val="24"/>
          <w:highlight w:val="none"/>
        </w:rPr>
        <w:sectPr>
          <w:footerReference r:id="rId10"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p>
    <w:p w14:paraId="477FF410">
      <w:pPr>
        <w:spacing w:before="78" w:line="219" w:lineRule="auto"/>
        <w:ind w:left="3525"/>
        <w:outlineLvl w:val="0"/>
        <w:rPr>
          <w:rFonts w:hint="eastAsia" w:ascii="宋体" w:hAnsi="宋体" w:eastAsia="宋体" w:cs="宋体"/>
          <w:color w:val="auto"/>
          <w:sz w:val="24"/>
          <w:szCs w:val="24"/>
          <w:highlight w:val="none"/>
        </w:rPr>
      </w:pPr>
      <w:bookmarkStart w:id="144" w:name="bookmark57"/>
      <w:bookmarkEnd w:id="144"/>
      <w:bookmarkStart w:id="145" w:name="_Toc10955"/>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45"/>
    </w:p>
    <w:p w14:paraId="0D76B119">
      <w:pPr>
        <w:spacing w:before="78" w:line="219" w:lineRule="auto"/>
        <w:ind w:left="582"/>
        <w:outlineLvl w:val="2"/>
        <w:rPr>
          <w:rFonts w:hint="eastAsia" w:ascii="宋体" w:hAnsi="宋体" w:eastAsia="宋体" w:cs="宋体"/>
          <w:color w:val="auto"/>
          <w:sz w:val="24"/>
          <w:szCs w:val="24"/>
          <w:highlight w:val="none"/>
        </w:rPr>
      </w:pPr>
      <w:bookmarkStart w:id="146" w:name="_Toc32102"/>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46"/>
    </w:p>
    <w:p w14:paraId="32F31BA3">
      <w:pPr>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13B0F34">
      <w:pPr>
        <w:pStyle w:val="5"/>
        <w:spacing w:line="394" w:lineRule="auto"/>
        <w:rPr>
          <w:rFonts w:hint="eastAsia" w:ascii="宋体" w:hAnsi="宋体" w:eastAsia="宋体" w:cs="宋体"/>
          <w:color w:val="auto"/>
          <w:highlight w:val="none"/>
        </w:rPr>
      </w:pPr>
    </w:p>
    <w:p w14:paraId="05CE895D">
      <w:pPr>
        <w:spacing w:before="78" w:line="221" w:lineRule="auto"/>
        <w:ind w:left="572"/>
        <w:outlineLvl w:val="2"/>
        <w:rPr>
          <w:rFonts w:hint="eastAsia" w:ascii="宋体" w:hAnsi="宋体" w:eastAsia="宋体" w:cs="宋体"/>
          <w:color w:val="auto"/>
          <w:sz w:val="24"/>
          <w:szCs w:val="24"/>
          <w:highlight w:val="none"/>
        </w:rPr>
      </w:pPr>
      <w:bookmarkStart w:id="147" w:name="_Toc24401"/>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47"/>
    </w:p>
    <w:p w14:paraId="3A691EA9">
      <w:pPr>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w:t>
      </w:r>
      <w:r>
        <w:rPr>
          <w:rFonts w:hint="eastAsia" w:ascii="宋体" w:hAnsi="宋体" w:eastAsia="宋体" w:cs="宋体"/>
          <w:color w:val="auto"/>
          <w:spacing w:val="50"/>
          <w:w w:val="101"/>
          <w:sz w:val="24"/>
          <w:szCs w:val="24"/>
          <w:highlight w:val="none"/>
        </w:rPr>
        <w:t xml:space="preserve"> </w:t>
      </w:r>
      <w:r>
        <w:rPr>
          <w:rFonts w:hint="eastAsia" w:ascii="宋体" w:hAnsi="宋体" w:eastAsia="宋体" w:cs="宋体"/>
          <w:color w:val="auto"/>
          <w:spacing w:val="-2"/>
          <w:sz w:val="24"/>
          <w:szCs w:val="24"/>
          <w:highlight w:val="none"/>
        </w:rPr>
        <w:t>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48284D2A">
      <w:pPr>
        <w:pStyle w:val="5"/>
        <w:spacing w:line="475" w:lineRule="auto"/>
        <w:rPr>
          <w:rFonts w:hint="eastAsia" w:ascii="宋体" w:hAnsi="宋体" w:eastAsia="宋体" w:cs="宋体"/>
          <w:color w:val="auto"/>
          <w:highlight w:val="none"/>
        </w:rPr>
      </w:pPr>
    </w:p>
    <w:p w14:paraId="7F9996BC">
      <w:pPr>
        <w:spacing w:before="79" w:line="221" w:lineRule="auto"/>
        <w:ind w:left="570"/>
        <w:outlineLvl w:val="2"/>
        <w:rPr>
          <w:rFonts w:hint="eastAsia" w:ascii="宋体" w:hAnsi="宋体" w:eastAsia="宋体" w:cs="宋体"/>
          <w:color w:val="auto"/>
          <w:sz w:val="24"/>
          <w:szCs w:val="24"/>
          <w:highlight w:val="none"/>
        </w:rPr>
      </w:pPr>
      <w:bookmarkStart w:id="148" w:name="_Toc3915"/>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48"/>
    </w:p>
    <w:p w14:paraId="2A654F72">
      <w:pPr>
        <w:keepNext w:val="0"/>
        <w:keepLines w:val="0"/>
        <w:pageBreakBefore w:val="0"/>
        <w:widowControl/>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 联合体中标的，由联合体牵头人提交。</w:t>
      </w:r>
    </w:p>
    <w:p w14:paraId="63F343AD">
      <w:pPr>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78DED6D5">
      <w:pPr>
        <w:wordWrap w:val="0"/>
        <w:spacing w:line="440" w:lineRule="exact"/>
        <w:ind w:firstLine="562"/>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5680480B">
      <w:pPr>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1772FFBF">
      <w:pPr>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10E237DB">
      <w:pPr>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432F8D77">
      <w:pPr>
        <w:pStyle w:val="5"/>
        <w:spacing w:line="256" w:lineRule="auto"/>
        <w:rPr>
          <w:rFonts w:hint="eastAsia" w:ascii="宋体" w:hAnsi="宋体" w:eastAsia="宋体" w:cs="宋体"/>
          <w:color w:val="auto"/>
          <w:highlight w:val="none"/>
        </w:rPr>
      </w:pPr>
    </w:p>
    <w:p w14:paraId="53274F32">
      <w:pPr>
        <w:pStyle w:val="5"/>
        <w:spacing w:line="257" w:lineRule="auto"/>
        <w:rPr>
          <w:rFonts w:hint="eastAsia" w:ascii="宋体" w:hAnsi="宋体" w:eastAsia="宋体" w:cs="宋体"/>
          <w:color w:val="auto"/>
          <w:highlight w:val="none"/>
        </w:rPr>
      </w:pPr>
    </w:p>
    <w:p w14:paraId="1374047A">
      <w:pPr>
        <w:spacing w:before="78" w:line="222" w:lineRule="auto"/>
        <w:ind w:left="488"/>
        <w:outlineLvl w:val="2"/>
        <w:rPr>
          <w:rFonts w:hint="eastAsia" w:ascii="宋体" w:hAnsi="宋体" w:eastAsia="宋体" w:cs="宋体"/>
          <w:color w:val="auto"/>
          <w:sz w:val="24"/>
          <w:szCs w:val="24"/>
          <w:highlight w:val="none"/>
        </w:rPr>
      </w:pPr>
      <w:bookmarkStart w:id="149" w:name="_Toc5465"/>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49"/>
    </w:p>
    <w:p w14:paraId="1A200521">
      <w:pPr>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2679C49D">
      <w:pPr>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4BC8F1D0">
      <w:pPr>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权编制本项目招标控制价的造价咨询单位实施。</w:t>
      </w:r>
    </w:p>
    <w:p w14:paraId="4CE5699A">
      <w:pPr>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11DE13F3">
      <w:pPr>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59E7D3F9">
      <w:pPr>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 xml:space="preserve">对于投标报价中综合单价相对招标控制价《分部分项工程和单价措施项目清单与计价表》中对应综合单价的偏差大于±15%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4DB1B0CA">
      <w:pPr>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57725225">
      <w:pPr>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6AFE27E5">
      <w:pPr>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505FDF3C">
      <w:pPr>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5126E8F2">
      <w:pPr>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1A98BEF7">
      <w:pPr>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4"/>
          <w:sz w:val="24"/>
          <w:szCs w:val="24"/>
          <w:highlight w:val="none"/>
        </w:rPr>
        <w:t>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 天内仍未签订，视其放弃中标。</w:t>
      </w:r>
    </w:p>
    <w:p w14:paraId="2096A616">
      <w:pPr>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个工作日内，将投标保证金（或银行保函）退还给中标人和其他中标候选人。</w:t>
      </w:r>
    </w:p>
    <w:p w14:paraId="736E5DE8">
      <w:pPr>
        <w:spacing w:before="78" w:line="220" w:lineRule="auto"/>
        <w:ind w:left="489"/>
        <w:outlineLvl w:val="2"/>
        <w:rPr>
          <w:rFonts w:hint="eastAsia" w:ascii="宋体" w:hAnsi="宋体" w:eastAsia="宋体" w:cs="宋体"/>
          <w:color w:val="auto"/>
          <w:sz w:val="24"/>
          <w:szCs w:val="24"/>
          <w:highlight w:val="none"/>
        </w:rPr>
      </w:pPr>
      <w:bookmarkStart w:id="150" w:name="_Toc15277"/>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50"/>
    </w:p>
    <w:p w14:paraId="148812D5">
      <w:pPr>
        <w:spacing w:before="150" w:line="319" w:lineRule="auto"/>
        <w:ind w:left="12" w:right="91" w:firstLine="47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1025F123">
      <w:pPr>
        <w:spacing w:before="79" w:line="298" w:lineRule="auto"/>
        <w:ind w:left="10" w:right="91" w:firstLine="479"/>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p>
    <w:p w14:paraId="7BD56114">
      <w:pPr>
        <w:spacing w:before="79" w:line="298" w:lineRule="auto"/>
        <w:ind w:right="91"/>
        <w:rPr>
          <w:rFonts w:hint="eastAsia" w:ascii="宋体" w:hAnsi="宋体" w:eastAsia="宋体" w:cs="宋体"/>
          <w:color w:val="auto"/>
          <w:sz w:val="24"/>
          <w:szCs w:val="24"/>
          <w:highlight w:val="none"/>
        </w:rPr>
      </w:pPr>
      <w:bookmarkStart w:id="151" w:name="bookmark84"/>
      <w:bookmarkEnd w:id="151"/>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0983202">
      <w:pPr>
        <w:pStyle w:val="13"/>
        <w:rPr>
          <w:rFonts w:hint="eastAsia" w:ascii="宋体" w:hAnsi="宋体" w:eastAsia="宋体" w:cs="宋体"/>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0B3EAE0">
      <w:pPr>
        <w:spacing w:before="78" w:line="219" w:lineRule="auto"/>
        <w:ind w:left="2923"/>
        <w:outlineLvl w:val="0"/>
        <w:rPr>
          <w:rFonts w:hint="eastAsia" w:ascii="宋体" w:hAnsi="宋体" w:eastAsia="宋体" w:cs="宋体"/>
          <w:color w:val="auto"/>
          <w:sz w:val="24"/>
          <w:szCs w:val="24"/>
          <w:highlight w:val="none"/>
        </w:rPr>
      </w:pPr>
      <w:bookmarkStart w:id="152" w:name="bookmark86"/>
      <w:bookmarkEnd w:id="152"/>
      <w:bookmarkStart w:id="153" w:name="_Toc28650"/>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53"/>
    </w:p>
    <w:p w14:paraId="5C534CD3">
      <w:pPr>
        <w:pStyle w:val="5"/>
        <w:spacing w:line="257" w:lineRule="auto"/>
        <w:rPr>
          <w:rFonts w:hint="eastAsia" w:ascii="宋体" w:hAnsi="宋体" w:eastAsia="宋体" w:cs="宋体"/>
          <w:color w:val="auto"/>
          <w:highlight w:val="none"/>
        </w:rPr>
      </w:pPr>
    </w:p>
    <w:p w14:paraId="69498346">
      <w:pPr>
        <w:pStyle w:val="5"/>
        <w:spacing w:line="257" w:lineRule="auto"/>
        <w:rPr>
          <w:rFonts w:hint="eastAsia" w:ascii="宋体" w:hAnsi="宋体" w:eastAsia="宋体" w:cs="宋体"/>
          <w:color w:val="auto"/>
          <w:highlight w:val="none"/>
        </w:rPr>
      </w:pPr>
    </w:p>
    <w:p w14:paraId="50F7B5FC">
      <w:pPr>
        <w:spacing w:before="78" w:line="220" w:lineRule="auto"/>
        <w:ind w:left="498"/>
        <w:outlineLvl w:val="2"/>
        <w:rPr>
          <w:rFonts w:hint="eastAsia" w:ascii="宋体" w:hAnsi="宋体" w:eastAsia="宋体" w:cs="宋体"/>
          <w:color w:val="auto"/>
          <w:sz w:val="24"/>
          <w:szCs w:val="24"/>
          <w:highlight w:val="none"/>
        </w:rPr>
      </w:pPr>
      <w:bookmarkStart w:id="154" w:name="_Toc11124"/>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54"/>
    </w:p>
    <w:p w14:paraId="15E51171">
      <w:pPr>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2B524C76">
      <w:pPr>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2C8F6059">
      <w:pPr>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0FB12A34">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3398DD31">
      <w:pPr>
        <w:spacing w:before="154"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1E6FD563">
      <w:pPr>
        <w:pStyle w:val="5"/>
        <w:spacing w:line="257" w:lineRule="auto"/>
        <w:rPr>
          <w:rFonts w:hint="eastAsia" w:ascii="宋体" w:hAnsi="宋体" w:eastAsia="宋体" w:cs="宋体"/>
          <w:color w:val="auto"/>
          <w:highlight w:val="none"/>
        </w:rPr>
      </w:pPr>
    </w:p>
    <w:p w14:paraId="0E04F086">
      <w:pPr>
        <w:pStyle w:val="5"/>
        <w:spacing w:line="257" w:lineRule="auto"/>
        <w:rPr>
          <w:rFonts w:hint="eastAsia" w:ascii="宋体" w:hAnsi="宋体" w:eastAsia="宋体" w:cs="宋体"/>
          <w:color w:val="auto"/>
          <w:highlight w:val="none"/>
        </w:rPr>
      </w:pPr>
    </w:p>
    <w:p w14:paraId="53182D61">
      <w:pPr>
        <w:spacing w:before="78" w:line="220" w:lineRule="auto"/>
        <w:ind w:left="488"/>
        <w:outlineLvl w:val="2"/>
        <w:rPr>
          <w:rFonts w:hint="eastAsia" w:ascii="宋体" w:hAnsi="宋体" w:eastAsia="宋体" w:cs="宋体"/>
          <w:color w:val="auto"/>
          <w:sz w:val="24"/>
          <w:szCs w:val="24"/>
          <w:highlight w:val="none"/>
        </w:rPr>
      </w:pPr>
      <w:bookmarkStart w:id="155" w:name="bookmark88"/>
      <w:bookmarkEnd w:id="155"/>
      <w:bookmarkStart w:id="156" w:name="_Toc17990"/>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56"/>
    </w:p>
    <w:p w14:paraId="684618CF">
      <w:pPr>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50873142">
      <w:pPr>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57" w:name="OLE_LINK28"/>
      <w:r>
        <w:rPr>
          <w:rFonts w:hint="eastAsia" w:ascii="宋体" w:hAnsi="宋体" w:eastAsia="宋体" w:cs="宋体"/>
          <w:color w:val="auto"/>
          <w:spacing w:val="-5"/>
          <w:sz w:val="24"/>
          <w:szCs w:val="24"/>
          <w:highlight w:val="none"/>
        </w:rPr>
        <w:t>《建设工程工程量清单计价规范》（GB50500—</w:t>
      </w:r>
      <w:r>
        <w:rPr>
          <w:rFonts w:hint="eastAsia" w:ascii="宋体" w:hAnsi="宋体" w:eastAsia="宋体" w:cs="宋体"/>
          <w:color w:val="auto"/>
          <w:spacing w:val="-5"/>
          <w:sz w:val="24"/>
          <w:szCs w:val="24"/>
          <w:highlight w:val="none"/>
          <w:lang w:val="en-US" w:eastAsia="zh-CN"/>
        </w:rPr>
        <w:t>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57"/>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w:t>
      </w:r>
    </w:p>
    <w:p w14:paraId="52C2BD5C">
      <w:pPr>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123F83B6">
      <w:pPr>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4F8CA025">
      <w:pPr>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1DD96964">
      <w:pPr>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 天。</w:t>
      </w:r>
    </w:p>
    <w:p w14:paraId="5D934C11">
      <w:pPr>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0FEEE35F">
      <w:pPr>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692AAD08">
      <w:pPr>
        <w:spacing w:before="158" w:line="309"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rPr>
        <w:t>15%以</w:t>
      </w:r>
      <w:r>
        <w:rPr>
          <w:rFonts w:hint="eastAsia" w:ascii="宋体" w:hAnsi="宋体" w:eastAsia="宋体" w:cs="宋体"/>
          <w:color w:val="auto"/>
          <w:spacing w:val="-4"/>
          <w:sz w:val="24"/>
          <w:szCs w:val="24"/>
          <w:highlight w:val="none"/>
        </w:rPr>
        <w:t>内（含</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15%）的，其综合单价不予调整；工程量偏差或变化超过</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15%的，按照以下规定</w:t>
      </w:r>
      <w:r>
        <w:rPr>
          <w:rFonts w:hint="eastAsia" w:ascii="宋体" w:hAnsi="宋体" w:eastAsia="宋体" w:cs="宋体"/>
          <w:color w:val="auto"/>
          <w:spacing w:val="-3"/>
          <w:sz w:val="24"/>
          <w:szCs w:val="24"/>
          <w:highlight w:val="none"/>
        </w:rPr>
        <w:t>调整：</w:t>
      </w:r>
    </w:p>
    <w:p w14:paraId="5440C71D">
      <w:pPr>
        <w:spacing w:before="78" w:line="327" w:lineRule="auto"/>
        <w:ind w:left="12" w:firstLine="478"/>
        <w:jc w:val="both"/>
        <w:rPr>
          <w:rFonts w:hint="eastAsia" w:ascii="宋体" w:hAnsi="宋体" w:eastAsia="宋体" w:cs="宋体"/>
          <w:color w:val="auto"/>
          <w:sz w:val="24"/>
          <w:szCs w:val="24"/>
          <w:highlight w:val="none"/>
        </w:rPr>
      </w:pPr>
      <w:bookmarkStart w:id="158" w:name="bookmark142"/>
      <w:bookmarkEnd w:id="158"/>
      <w:r>
        <w:rPr>
          <w:rFonts w:hint="eastAsia" w:ascii="宋体" w:hAnsi="宋体" w:eastAsia="宋体" w:cs="宋体"/>
          <w:color w:val="auto"/>
          <w:spacing w:val="-3"/>
          <w:sz w:val="24"/>
          <w:szCs w:val="24"/>
          <w:highlight w:val="none"/>
        </w:rPr>
        <w:t>对于合理报价的清单项目，当工程量增加超过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auto"/>
          <w:spacing w:val="-1"/>
          <w:sz w:val="24"/>
          <w:szCs w:val="24"/>
          <w:highlight w:val="none"/>
        </w:rPr>
        <w:t>。</w:t>
      </w:r>
    </w:p>
    <w:p w14:paraId="2282BBC8">
      <w:pPr>
        <w:spacing w:before="97" w:line="324"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36DE154B">
      <w:pPr>
        <w:spacing w:before="97" w:line="324" w:lineRule="auto"/>
        <w:ind w:left="13" w:right="179" w:firstLine="477"/>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以招标控制价中《分部分项工程和单价措施项目清单与计价表》子目相对应综合单价×（1-中标下浮率）。</w:t>
      </w:r>
    </w:p>
    <w:p w14:paraId="55E5B01A">
      <w:pPr>
        <w:spacing w:before="97" w:line="324" w:lineRule="auto"/>
        <w:ind w:left="13" w:right="179" w:firstLine="477"/>
        <w:rPr>
          <w:rFonts w:hint="eastAsia" w:ascii="宋体" w:hAnsi="宋体" w:eastAsia="宋体" w:cs="宋体"/>
          <w:b/>
          <w:bCs/>
          <w:color w:val="auto"/>
          <w:spacing w:val="-4"/>
          <w:sz w:val="24"/>
          <w:szCs w:val="24"/>
          <w:highlight w:val="none"/>
        </w:rPr>
      </w:pPr>
      <w:bookmarkStart w:id="159" w:name="_Toc18478"/>
      <w:bookmarkStart w:id="160" w:name="_Toc12035"/>
      <w:bookmarkStart w:id="161" w:name="_Toc30068"/>
      <w:r>
        <w:rPr>
          <w:rFonts w:hint="eastAsia" w:ascii="宋体" w:hAnsi="宋体" w:eastAsia="宋体" w:cs="宋体"/>
          <w:b/>
          <w:bCs/>
          <w:color w:val="auto"/>
          <w:spacing w:val="-4"/>
          <w:sz w:val="24"/>
          <w:szCs w:val="24"/>
          <w:highlight w:val="none"/>
        </w:rPr>
        <w:t>中标下浮率=[1-（中标价-</w:t>
      </w:r>
      <w:r>
        <w:rPr>
          <w:rFonts w:hint="eastAsia" w:ascii="宋体" w:hAnsi="宋体" w:eastAsia="宋体" w:cs="宋体"/>
          <w:b/>
          <w:bCs/>
          <w:color w:val="auto"/>
          <w:spacing w:val="-4"/>
          <w:sz w:val="24"/>
          <w:szCs w:val="24"/>
          <w:highlight w:val="none"/>
          <w:lang w:val="en-US" w:eastAsia="zh-CN"/>
        </w:rPr>
        <w:t>中标安全生产措施费</w:t>
      </w:r>
      <w:r>
        <w:rPr>
          <w:rFonts w:hint="eastAsia" w:ascii="宋体" w:hAnsi="宋体" w:eastAsia="宋体" w:cs="宋体"/>
          <w:b/>
          <w:bCs/>
          <w:color w:val="auto"/>
          <w:spacing w:val="-4"/>
          <w:sz w:val="24"/>
          <w:szCs w:val="24"/>
          <w:highlight w:val="none"/>
        </w:rPr>
        <w:t>-暂列金额-暂估价）/（</w:t>
      </w:r>
      <w:bookmarkEnd w:id="159"/>
      <w:bookmarkEnd w:id="160"/>
      <w:bookmarkStart w:id="162" w:name="_Toc15512"/>
      <w:bookmarkStart w:id="163" w:name="_Toc13602"/>
      <w:r>
        <w:rPr>
          <w:rFonts w:hint="eastAsia" w:ascii="宋体" w:hAnsi="宋体" w:eastAsia="宋体" w:cs="宋体"/>
          <w:b/>
          <w:bCs/>
          <w:color w:val="auto"/>
          <w:spacing w:val="-4"/>
          <w:sz w:val="24"/>
          <w:szCs w:val="24"/>
          <w:highlight w:val="none"/>
        </w:rPr>
        <w:t>招标控制价-控制价</w:t>
      </w:r>
      <w:r>
        <w:rPr>
          <w:rFonts w:hint="eastAsia" w:ascii="宋体" w:hAnsi="宋体" w:eastAsia="宋体" w:cs="宋体"/>
          <w:b/>
          <w:bCs/>
          <w:color w:val="auto"/>
          <w:spacing w:val="-4"/>
          <w:sz w:val="24"/>
          <w:szCs w:val="24"/>
          <w:highlight w:val="none"/>
          <w:lang w:val="en-US" w:eastAsia="zh-CN"/>
        </w:rPr>
        <w:t>安全生产措施费</w:t>
      </w:r>
      <w:r>
        <w:rPr>
          <w:rFonts w:hint="eastAsia" w:ascii="宋体" w:hAnsi="宋体" w:eastAsia="宋体" w:cs="宋体"/>
          <w:b/>
          <w:bCs/>
          <w:color w:val="auto"/>
          <w:spacing w:val="-4"/>
          <w:sz w:val="24"/>
          <w:szCs w:val="24"/>
          <w:highlight w:val="none"/>
        </w:rPr>
        <w:t>-暂列金额-暂估价）] ×100%</w:t>
      </w:r>
      <w:bookmarkEnd w:id="161"/>
      <w:bookmarkEnd w:id="162"/>
      <w:bookmarkEnd w:id="163"/>
    </w:p>
    <w:p w14:paraId="6ABFAD1C">
      <w:pPr>
        <w:spacing w:before="123" w:line="301"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2BD2CB57">
      <w:pPr>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06C738C3">
      <w:pPr>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46C43F19">
      <w:pPr>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02B699CB">
      <w:pPr>
        <w:numPr>
          <w:ilvl w:val="0"/>
          <w:numId w:val="2"/>
        </w:numPr>
        <w:spacing w:before="78" w:line="360" w:lineRule="auto"/>
        <w:ind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64" w:name="bookmark143"/>
      <w:bookmarkEnd w:id="164"/>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 条被认定为不平衡报价的清单项目，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 2.3.2.1 的</w:t>
      </w:r>
      <w:r>
        <w:rPr>
          <w:rFonts w:hint="eastAsia" w:ascii="宋体" w:hAnsi="宋体" w:eastAsia="宋体" w:cs="宋体"/>
          <w:b/>
          <w:bCs/>
          <w:color w:val="auto"/>
          <w:spacing w:val="-2"/>
          <w:sz w:val="24"/>
          <w:szCs w:val="24"/>
          <w:highlight w:val="none"/>
        </w:rPr>
        <w:t>方法调整。】</w:t>
      </w:r>
    </w:p>
    <w:p w14:paraId="607212D6">
      <w:pPr>
        <w:numPr>
          <w:ilvl w:val="0"/>
          <w:numId w:val="0"/>
        </w:numPr>
        <w:spacing w:before="78" w:line="360" w:lineRule="auto"/>
        <w:ind w:firstLine="237"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 的方法调整。</w:t>
      </w:r>
    </w:p>
    <w:p w14:paraId="614A34F7">
      <w:pPr>
        <w:numPr>
          <w:ilvl w:val="0"/>
          <w:numId w:val="0"/>
        </w:numPr>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5948F271">
      <w:pPr>
        <w:spacing w:before="126" w:line="314" w:lineRule="auto"/>
        <w:ind w:left="29" w:right="21" w:firstLine="50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金额-暂估价）/（招标控制价-控制价</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3"/>
          <w:sz w:val="24"/>
          <w:szCs w:val="24"/>
          <w:highlight w:val="none"/>
        </w:rPr>
        <w:t>-暂列金额-暂估价）]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3F324216">
      <w:pPr>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B2F5D0A">
      <w:pPr>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2F8C611A">
      <w:pPr>
        <w:spacing w:before="152" w:line="220" w:lineRule="auto"/>
        <w:ind w:left="499"/>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b/>
          <w:bCs/>
          <w:color w:val="auto"/>
          <w:spacing w:val="-1"/>
          <w:sz w:val="24"/>
          <w:szCs w:val="24"/>
          <w:highlight w:val="none"/>
        </w:rPr>
        <w:t>）</w:t>
      </w:r>
      <w:r>
        <w:rPr>
          <w:rFonts w:hint="eastAsia" w:ascii="宋体" w:hAnsi="宋体" w:eastAsia="宋体" w:cs="宋体"/>
          <w:b w:val="0"/>
          <w:bCs w:val="0"/>
          <w:color w:val="auto"/>
          <w:spacing w:val="-1"/>
          <w:sz w:val="24"/>
          <w:szCs w:val="24"/>
          <w:highlight w:val="none"/>
        </w:rPr>
        <w:t>安全生产措施费应按照实际发生变化的措施项目计算。</w:t>
      </w:r>
    </w:p>
    <w:p w14:paraId="333CD790">
      <w:pPr>
        <w:spacing w:before="156" w:line="309" w:lineRule="auto"/>
        <w:ind w:left="7" w:right="81" w:firstLine="477"/>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 2.3.3.1 子目的规定确定单价。</w:t>
      </w:r>
    </w:p>
    <w:p w14:paraId="088DAF00">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 1-中标下浮率）。</w:t>
      </w:r>
    </w:p>
    <w:p w14:paraId="515109DD">
      <w:pPr>
        <w:spacing w:before="157" w:line="324"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0D1EB54E">
      <w:pPr>
        <w:spacing w:before="35" w:line="309"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047FB0FC">
      <w:pPr>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6D62B6B4">
      <w:pPr>
        <w:spacing w:before="78" w:line="331" w:lineRule="auto"/>
        <w:ind w:left="8" w:right="108" w:firstLine="480"/>
        <w:jc w:val="both"/>
        <w:rPr>
          <w:rFonts w:hint="eastAsia" w:ascii="宋体" w:hAnsi="宋体" w:eastAsia="宋体" w:cs="宋体"/>
          <w:color w:val="auto"/>
          <w:sz w:val="24"/>
          <w:szCs w:val="24"/>
          <w:highlight w:val="none"/>
        </w:rPr>
      </w:pPr>
      <w:bookmarkStart w:id="165" w:name="bookmark144"/>
      <w:bookmarkEnd w:id="165"/>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5EC40401">
      <w:pPr>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0C2F665E">
      <w:pPr>
        <w:spacing w:before="152" w:line="278"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子目的规定确定单价，并调整合同价款。</w:t>
      </w:r>
    </w:p>
    <w:p w14:paraId="44C1D396">
      <w:pPr>
        <w:spacing w:before="157" w:line="219"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068505DF">
      <w:pPr>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13F65CBF">
      <w:pPr>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2033D4F9">
      <w:pPr>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29AB0F6A">
      <w:pPr>
        <w:spacing w:before="153" w:line="220" w:lineRule="auto"/>
        <w:ind w:left="494"/>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27F82D1B">
      <w:pPr>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6301761F">
      <w:pPr>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 为</w:t>
      </w:r>
      <w:r>
        <w:rPr>
          <w:rFonts w:hint="eastAsia" w:ascii="宋体" w:hAnsi="宋体" w:eastAsia="宋体" w:cs="宋体"/>
          <w:color w:val="auto"/>
          <w:spacing w:val="-2"/>
          <w:sz w:val="24"/>
          <w:szCs w:val="24"/>
          <w:highlight w:val="none"/>
          <w:u w:val="single"/>
        </w:rPr>
        <w:t xml:space="preserve">  5%   </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 值时，该材料、工程设备单价不予调整；超过</w:t>
      </w:r>
      <w:r>
        <w:rPr>
          <w:rFonts w:hint="eastAsia" w:ascii="宋体" w:hAnsi="宋体" w:eastAsia="宋体" w:cs="宋体"/>
          <w:color w:val="auto"/>
          <w:sz w:val="24"/>
          <w:szCs w:val="24"/>
          <w:highlight w:val="none"/>
        </w:rPr>
        <w:t>A 值时，其超过部分可以调整。相关费用按有关规定进行相</w:t>
      </w:r>
      <w:r>
        <w:rPr>
          <w:rFonts w:hint="eastAsia" w:ascii="宋体" w:hAnsi="宋体" w:eastAsia="宋体" w:cs="宋体"/>
          <w:color w:val="auto"/>
          <w:spacing w:val="-1"/>
          <w:sz w:val="24"/>
          <w:szCs w:val="24"/>
          <w:highlight w:val="none"/>
        </w:rPr>
        <w:t>应调整。</w:t>
      </w:r>
    </w:p>
    <w:p w14:paraId="266AED0D">
      <w:pPr>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17CE028D">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o:preferrelative="t" stroked="f" coordsize="21600,21600">
            <v:path/>
            <v:fill on="f" focussize="0,0"/>
            <v:stroke on="f"/>
            <v:imagedata r:id="rId31" embosscolor="#FFFFFF" o:title=""/>
            <o:lock v:ext="edit" grouping="f" rotation="f" text="f" aspectratio="t"/>
            <w10:wrap type="none"/>
            <w10:anchorlock/>
          </v:shape>
          <o:OLEObject Type="Embed" ProgID="Equation.KSEE3" ShapeID="_x0000_i1025" DrawAspect="Content" ObjectID="_1468075725" r:id="rId30">
            <o:LockedField>false</o:LockedField>
          </o:OLEObject>
        </w:object>
      </w:r>
    </w:p>
    <w:p w14:paraId="1DAEC11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o:preferrelative="t" stroked="f" coordsize="21600,21600">
            <v:path/>
            <v:fill on="f" focussize="0,0"/>
            <v:stroke on="f"/>
            <v:imagedata r:id="rId33" embosscolor="#FFFFFF" o:title=""/>
            <o:lock v:ext="edit" grouping="f" rotation="f" text="f" aspectratio="t"/>
            <w10:wrap type="none"/>
            <w10:anchorlock/>
          </v:shape>
          <o:OLEObject Type="Embed" ProgID="Equation.KSEE3" ShapeID="_x0000_i1026" DrawAspect="Content" ObjectID="_1468075726" r:id="rId32">
            <o:LockedField>false</o:LockedField>
          </o:OLEObject>
        </w:object>
      </w:r>
    </w:p>
    <w:p w14:paraId="0F78345B">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o:preferrelative="t" stroked="f" coordsize="21600,21600">
            <v:path/>
            <v:fill on="f" focussize="0,0"/>
            <v:stroke on="f"/>
            <v:imagedata r:id="rId35" embosscolor="#FFFFFF" o:title=""/>
            <o:lock v:ext="edit" grouping="f" rotation="f" text="f" aspectratio="t"/>
            <w10:wrap type="none"/>
            <w10:anchorlock/>
          </v:shape>
          <o:OLEObject Type="Embed" ProgID="Equation.KSEE3" ShapeID="_x0000_i1027" DrawAspect="Content" ObjectID="_1468075727" r:id="rId34">
            <o:LockedField>false</o:LockedField>
          </o:OLEObject>
        </w:object>
      </w:r>
    </w:p>
    <w:p w14:paraId="27B2B57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o:preferrelative="t" stroked="f" coordsize="21600,21600">
            <v:path/>
            <v:fill on="f" focussize="0,0"/>
            <v:stroke on="f"/>
            <v:imagedata r:id="rId37" embosscolor="#FFFFFF" o:title=""/>
            <o:lock v:ext="edit" grouping="f" rotation="f" text="f" aspectratio="t"/>
            <w10:wrap type="none"/>
            <w10:anchorlock/>
          </v:shape>
          <o:OLEObject Type="Embed" ProgID="Equation.KSEE3" ShapeID="_x0000_i1028" DrawAspect="Content" ObjectID="_1468075728" r:id="rId36">
            <o:LockedField>false</o:LockedField>
          </o:OLEObject>
        </w:object>
      </w:r>
    </w:p>
    <w:p w14:paraId="14309D9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c．涨价时，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o:preferrelative="t" stroked="f" coordsize="21600,21600">
            <v:path/>
            <v:fill on="f" focussize="0,0"/>
            <v:stroke on="f"/>
            <v:imagedata r:id="rId39" embosscolor="#FFFFFF" o:title=""/>
            <o:lock v:ext="edit" grouping="f" rotation="f" text="f" aspectratio="t"/>
            <w10:wrap type="none"/>
            <w10:anchorlock/>
          </v:shape>
          <o:OLEObject Type="Embed" ProgID="Equation.KSEE3" ShapeID="_x0000_i1029" DrawAspect="Content" ObjectID="_1468075729" r:id="rId38">
            <o:LockedField>false</o:LockedField>
          </o:OLEObject>
        </w:object>
      </w:r>
    </w:p>
    <w:p w14:paraId="55761B5C">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41" embosscolor="#FFFFFF" o:title=""/>
            <o:lock v:ext="edit" grouping="f" rotation="f" text="f" aspectratio="t"/>
            <w10:wrap type="none"/>
            <w10:anchorlock/>
          </v:shape>
          <o:OLEObject Type="Embed" ProgID="Equation.KSEE3" ShapeID="_x0000_i1030" DrawAspect="Content" ObjectID="_1468075730" r:id="rId40">
            <o:LockedField>false</o:LockedField>
          </o:OLEObject>
        </w:object>
      </w:r>
    </w:p>
    <w:p w14:paraId="4364D528">
      <w:pPr>
        <w:spacing w:before="78"/>
        <w:ind w:left="330"/>
        <w:rPr>
          <w:rFonts w:hint="eastAsia" w:ascii="宋体" w:hAnsi="宋体" w:eastAsia="宋体" w:cs="宋体"/>
          <w:color w:val="auto"/>
          <w:sz w:val="24"/>
          <w:szCs w:val="24"/>
          <w:highlight w:val="none"/>
        </w:rPr>
      </w:pPr>
    </w:p>
    <w:p w14:paraId="57864BBF">
      <w:pPr>
        <w:spacing w:before="140" w:line="196" w:lineRule="auto"/>
        <w:ind w:left="3758"/>
        <w:rPr>
          <w:rFonts w:hint="eastAsia" w:ascii="宋体" w:hAnsi="宋体" w:eastAsia="宋体" w:cs="宋体"/>
          <w:color w:val="auto"/>
          <w:sz w:val="13"/>
          <w:szCs w:val="13"/>
          <w:highlight w:val="none"/>
        </w:rPr>
      </w:pPr>
      <w:r>
        <w:rPr>
          <w:rFonts w:hint="eastAsia" w:ascii="宋体" w:hAnsi="宋体" w:eastAsia="宋体" w:cs="宋体"/>
          <w:color w:val="auto"/>
          <w:spacing w:val="-2"/>
          <w:position w:val="1"/>
          <w:sz w:val="24"/>
          <w:szCs w:val="24"/>
          <w:highlight w:val="none"/>
        </w:rPr>
        <w:t>F</w:t>
      </w:r>
      <w:r>
        <w:rPr>
          <w:rFonts w:hint="eastAsia" w:ascii="宋体" w:hAnsi="宋体" w:eastAsia="宋体" w:cs="宋体"/>
          <w:color w:val="auto"/>
          <w:spacing w:val="-2"/>
          <w:position w:val="-4"/>
          <w:sz w:val="13"/>
          <w:szCs w:val="13"/>
          <w:highlight w:val="none"/>
        </w:rPr>
        <w:t>0</w:t>
      </w:r>
    </w:p>
    <w:p w14:paraId="07ED61AB">
      <w:pPr>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 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30753A35">
      <w:pPr>
        <w:spacing w:before="33" w:line="299" w:lineRule="auto"/>
        <w:ind w:right="5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0E854E2A">
      <w:pPr>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56D691D2">
      <w:pPr>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2EFEBCF0">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3" embosscolor="#FFFFFF" o:title=""/>
            <o:lock v:ext="edit" grouping="f" rotation="f" text="f" aspectratio="t"/>
            <w10:wrap type="none"/>
            <w10:anchorlock/>
          </v:shape>
          <o:OLEObject Type="Embed" ProgID="Equation.KSEE3" ShapeID="_x0000_i1031" DrawAspect="Content" ObjectID="_1468075731" r:id="rId42">
            <o:LockedField>false</o:LockedField>
          </o:OLEObject>
        </w:object>
      </w:r>
    </w:p>
    <w:p w14:paraId="0597769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5" embosscolor="#FFFFFF" o:title=""/>
            <o:lock v:ext="edit" grouping="f" rotation="f" text="f" aspectratio="t"/>
            <w10:wrap type="none"/>
            <w10:anchorlock/>
          </v:shape>
          <o:OLEObject Type="Embed" ProgID="Equation.KSEE3" ShapeID="_x0000_i1032" DrawAspect="Content" ObjectID="_1468075732" r:id="rId44">
            <o:LockedField>false</o:LockedField>
          </o:OLEObject>
        </w:object>
      </w:r>
    </w:p>
    <w:p w14:paraId="60ECB2AB">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1397C7BC">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7" embosscolor="#FFFFFF" o:title=""/>
            <o:lock v:ext="edit" grouping="f" rotation="f" text="f" aspectratio="t"/>
            <w10:wrap type="none"/>
            <w10:anchorlock/>
          </v:shape>
          <o:OLEObject Type="Embed" ProgID="Equation.KSEE3" ShapeID="_x0000_i1033" DrawAspect="Content" ObjectID="_1468075733" r:id="rId46">
            <o:LockedField>false</o:LockedField>
          </o:OLEObject>
        </w:object>
      </w:r>
    </w:p>
    <w:p w14:paraId="7EAE322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9" embosscolor="#FFFFFF" o:title=""/>
            <o:lock v:ext="edit" grouping="f" rotation="f" text="f" aspectratio="t"/>
            <w10:wrap type="none"/>
            <w10:anchorlock/>
          </v:shape>
          <o:OLEObject Type="Embed" ProgID="Equation.KSEE3" ShapeID="_x0000_i1034" DrawAspect="Content" ObjectID="_1468075734" r:id="rId48">
            <o:LockedField>false</o:LockedField>
          </o:OLEObject>
        </w:object>
      </w:r>
    </w:p>
    <w:p w14:paraId="601355E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78ED18B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51" embosscolor="#FFFFFF" o:title=""/>
            <o:lock v:ext="edit" grouping="f" rotation="f" text="f" aspectratio="t"/>
            <w10:wrap type="none"/>
            <w10:anchorlock/>
          </v:shape>
          <o:OLEObject Type="Embed" ProgID="Equation.KSEE3" ShapeID="_x0000_i1035" DrawAspect="Content" ObjectID="_1468075735" r:id="rId50">
            <o:LockedField>false</o:LockedField>
          </o:OLEObject>
        </w:object>
      </w:r>
    </w:p>
    <w:p w14:paraId="11B28D87">
      <w:pPr>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3" embosscolor="#FFFFFF" o:title=""/>
            <o:lock v:ext="edit" grouping="f" rotation="f" text="f" aspectratio="t"/>
            <w10:wrap type="none"/>
            <w10:anchorlock/>
          </v:shape>
          <o:OLEObject Type="Embed" ProgID="Equation.KSEE3" ShapeID="_x0000_i1036" DrawAspect="Content" ObjectID="_1468075736" r:id="rId52">
            <o:LockedField>false</o:LockedField>
          </o:OLEObject>
        </w:object>
      </w:r>
    </w:p>
    <w:p w14:paraId="419E4FE0">
      <w:pPr>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2203A1B8">
      <w:pPr>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07450170">
      <w:pPr>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73FF33E6">
      <w:pPr>
        <w:spacing w:before="153" w:line="315" w:lineRule="auto"/>
        <w:ind w:left="8" w:right="2"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3313F8DF">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A14D812">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其余事项（如不可抗力、索赔、现场签证等）的调整原则按照《建设工程工程量清单计价规范》（GB50500—20</w:t>
      </w:r>
      <w:r>
        <w:rPr>
          <w:rFonts w:hint="eastAsia" w:ascii="宋体" w:hAnsi="宋体" w:eastAsia="宋体" w:cs="宋体"/>
          <w:color w:val="auto"/>
          <w:spacing w:val="-8"/>
          <w:sz w:val="24"/>
          <w:szCs w:val="24"/>
          <w:highlight w:val="none"/>
          <w:lang w:val="en-US" w:eastAsia="zh-CN"/>
        </w:rPr>
        <w:t>24</w:t>
      </w:r>
      <w:r>
        <w:rPr>
          <w:rFonts w:hint="eastAsia" w:ascii="宋体" w:hAnsi="宋体" w:eastAsia="宋体" w:cs="宋体"/>
          <w:color w:val="auto"/>
          <w:spacing w:val="-8"/>
          <w:sz w:val="24"/>
          <w:szCs w:val="24"/>
          <w:highlight w:val="none"/>
        </w:rPr>
        <w:t>）有关规定执行。</w:t>
      </w:r>
    </w:p>
    <w:p w14:paraId="13236EE1">
      <w:pPr>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z w:val="24"/>
          <w:szCs w:val="24"/>
          <w:highlight w:val="none"/>
        </w:rPr>
        <w:t>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6D92B8A8">
      <w:pPr>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1C6774BB">
      <w:pPr>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761E818F">
      <w:pPr>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按照《建设工程工程量清单计价规范》（GB50500—20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6404574C">
      <w:pPr>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加的费用和（或）工期延误由承包人承担。</w:t>
      </w:r>
    </w:p>
    <w:p w14:paraId="623BFEFE">
      <w:pPr>
        <w:spacing w:before="152" w:line="319"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 的，则采用厂商报价或市场询价等方式取得有合法依据的市场价格，报发包人确认。</w:t>
      </w:r>
    </w:p>
    <w:p w14:paraId="5DDA4611">
      <w:pPr>
        <w:pStyle w:val="28"/>
        <w:snapToGrid w:val="0"/>
        <w:spacing w:line="440" w:lineRule="exact"/>
        <w:ind w:firstLine="480"/>
        <w:jc w:val="both"/>
        <w:outlineLvl w:val="2"/>
        <w:rPr>
          <w:rStyle w:val="19"/>
          <w:rFonts w:hint="eastAsia" w:ascii="宋体" w:hAnsi="宋体" w:eastAsia="宋体" w:cs="宋体"/>
          <w:b/>
          <w:bCs/>
          <w:color w:val="auto"/>
          <w:sz w:val="24"/>
          <w:szCs w:val="24"/>
          <w:highlight w:val="none"/>
        </w:rPr>
      </w:pPr>
      <w:bookmarkStart w:id="166" w:name="_Toc1816"/>
      <w:bookmarkStart w:id="167" w:name="_Toc19181"/>
      <w:r>
        <w:rPr>
          <w:rStyle w:val="19"/>
          <w:rFonts w:hint="eastAsia" w:ascii="宋体" w:hAnsi="宋体" w:eastAsia="宋体" w:cs="宋体"/>
          <w:b/>
          <w:bCs/>
          <w:color w:val="auto"/>
          <w:sz w:val="24"/>
          <w:szCs w:val="24"/>
          <w:highlight w:val="none"/>
        </w:rPr>
        <w:t>3. 工程付款办法</w:t>
      </w:r>
      <w:bookmarkEnd w:id="166"/>
      <w:bookmarkEnd w:id="167"/>
    </w:p>
    <w:p w14:paraId="700B0E9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48B832B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207970D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施工预付款支付比例为：按施工合同价的</w:t>
      </w:r>
      <w:r>
        <w:rPr>
          <w:rFonts w:hint="eastAsia" w:ascii="宋体" w:hAnsi="宋体" w:eastAsia="宋体" w:cs="宋体"/>
          <w:snapToGrid w:val="0"/>
          <w:color w:val="auto"/>
          <w:kern w:val="0"/>
          <w:sz w:val="24"/>
          <w:szCs w:val="20"/>
          <w:highlight w:val="none"/>
          <w:u w:val="single"/>
          <w:lang w:eastAsia="zh-CN"/>
        </w:rPr>
        <w:t xml:space="preserve"> 30% </w:t>
      </w:r>
      <w:r>
        <w:rPr>
          <w:rFonts w:hint="eastAsia" w:ascii="宋体" w:hAnsi="宋体" w:eastAsia="宋体" w:cs="宋体"/>
          <w:snapToGrid w:val="0"/>
          <w:color w:val="auto"/>
          <w:kern w:val="0"/>
          <w:sz w:val="24"/>
          <w:szCs w:val="20"/>
          <w:highlight w:val="none"/>
          <w:lang w:eastAsia="zh-CN"/>
        </w:rPr>
        <w:t>支付。</w:t>
      </w:r>
    </w:p>
    <w:p w14:paraId="751D5DD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w:t>
      </w:r>
      <w:r>
        <w:rPr>
          <w:rFonts w:hint="eastAsia" w:ascii="宋体" w:hAnsi="宋体" w:eastAsia="宋体" w:cs="宋体"/>
          <w:b/>
          <w:bCs/>
          <w:snapToGrid w:val="0"/>
          <w:color w:val="auto"/>
          <w:kern w:val="0"/>
          <w:sz w:val="24"/>
          <w:szCs w:val="20"/>
          <w:highlight w:val="none"/>
          <w:u w:val="single"/>
          <w:lang w:val="en-US" w:eastAsia="zh-CN"/>
        </w:rPr>
        <w:t>不</w:t>
      </w:r>
      <w:r>
        <w:rPr>
          <w:rFonts w:hint="eastAsia" w:ascii="宋体" w:hAnsi="宋体" w:eastAsia="宋体" w:cs="宋体"/>
          <w:b/>
          <w:bCs/>
          <w:snapToGrid w:val="0"/>
          <w:color w:val="auto"/>
          <w:kern w:val="0"/>
          <w:sz w:val="24"/>
          <w:szCs w:val="20"/>
          <w:highlight w:val="none"/>
          <w:u w:val="single"/>
          <w:lang w:eastAsia="zh-CN"/>
        </w:rPr>
        <w:t xml:space="preserve">要求 </w:t>
      </w:r>
      <w:r>
        <w:rPr>
          <w:rFonts w:hint="eastAsia" w:ascii="宋体" w:hAnsi="宋体" w:eastAsia="宋体" w:cs="宋体"/>
          <w:snapToGrid w:val="0"/>
          <w:color w:val="auto"/>
          <w:kern w:val="0"/>
          <w:sz w:val="24"/>
          <w:szCs w:val="20"/>
          <w:highlight w:val="none"/>
          <w:lang w:eastAsia="zh-CN"/>
        </w:rPr>
        <w:t>承包人提供与预付款等额的预付款保函。</w:t>
      </w:r>
    </w:p>
    <w:p w14:paraId="3205B6D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 xml:space="preserve"> 承包人应在签订合同后，</w:t>
      </w:r>
      <w:r>
        <w:rPr>
          <w:rFonts w:hint="eastAsia" w:ascii="宋体" w:hAnsi="宋体" w:eastAsia="宋体" w:cs="宋体"/>
          <w:b/>
          <w:bCs/>
          <w:snapToGrid w:val="0"/>
          <w:color w:val="auto"/>
          <w:kern w:val="0"/>
          <w:sz w:val="24"/>
          <w:szCs w:val="20"/>
          <w:highlight w:val="none"/>
          <w:lang w:eastAsia="zh-CN"/>
        </w:rPr>
        <w:t>在提供符合要求的预付款保函或预付款保险</w:t>
      </w:r>
      <w:r>
        <w:rPr>
          <w:rFonts w:hint="eastAsia" w:ascii="宋体" w:hAnsi="宋体" w:eastAsia="宋体" w:cs="宋体"/>
          <w:snapToGrid w:val="0"/>
          <w:color w:val="auto"/>
          <w:kern w:val="0"/>
          <w:sz w:val="24"/>
          <w:szCs w:val="20"/>
          <w:highlight w:val="none"/>
          <w:lang w:eastAsia="zh-CN"/>
        </w:rPr>
        <w:t>及具备施工条件的前提下，向发包人提交预付款支付申请。发包人应对在收到支付申请的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天内向承包人支付预付款。凡未签订合同或不具备施工条件的工程，发包人不得预付工程款。</w:t>
      </w:r>
    </w:p>
    <w:p w14:paraId="4D1856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7338FAE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val="en-US" w:eastAsia="zh-CN"/>
        </w:rPr>
        <w:t>3.2.5</w:t>
      </w:r>
      <w:r>
        <w:rPr>
          <w:rFonts w:hint="eastAsia" w:ascii="宋体" w:hAnsi="宋体" w:eastAsia="宋体" w:cs="宋体"/>
          <w:snapToGrid w:val="0"/>
          <w:color w:val="auto"/>
          <w:kern w:val="0"/>
          <w:sz w:val="24"/>
          <w:szCs w:val="20"/>
          <w:highlight w:val="none"/>
          <w:lang w:val="en-US" w:eastAsia="zh-CN"/>
        </w:rPr>
        <w:t xml:space="preserve"> 预付款应从每支付期应支付给承包人的工程进度款中扣回，直到扣回的金额达到合同约定的预付款金额为止。</w:t>
      </w:r>
    </w:p>
    <w:p w14:paraId="070C0CBD">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75B9AF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每月的工程进度款按工程实际完成工程量的 80% 申请支付，工程进度款中的作业工人工资款项由发包人单独足额拨付到承包人的工资专户。</w:t>
      </w:r>
    </w:p>
    <w:p w14:paraId="3A73F84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snapToGrid w:val="0"/>
          <w:color w:val="auto"/>
          <w:kern w:val="0"/>
          <w:sz w:val="24"/>
          <w:szCs w:val="20"/>
          <w:highlight w:val="none"/>
          <w:lang w:eastAsia="zh-CN"/>
        </w:rPr>
        <w:t xml:space="preserve"> 措施项目费中的“</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”拨付按照《广东省建设工程计价依据（20</w:t>
      </w:r>
      <w:r>
        <w:rPr>
          <w:rFonts w:hint="eastAsia" w:ascii="宋体" w:hAnsi="宋体" w:eastAsia="宋体" w:cs="宋体"/>
          <w:snapToGrid w:val="0"/>
          <w:color w:val="auto"/>
          <w:kern w:val="0"/>
          <w:sz w:val="24"/>
          <w:szCs w:val="20"/>
          <w:highlight w:val="none"/>
          <w:lang w:val="en-US" w:eastAsia="zh-CN"/>
        </w:rPr>
        <w:t>24</w:t>
      </w:r>
      <w:r>
        <w:rPr>
          <w:rFonts w:hint="eastAsia" w:ascii="宋体" w:hAnsi="宋体" w:eastAsia="宋体" w:cs="宋体"/>
          <w:snapToGrid w:val="0"/>
          <w:color w:val="auto"/>
          <w:kern w:val="0"/>
          <w:sz w:val="24"/>
          <w:szCs w:val="20"/>
          <w:highlight w:val="none"/>
          <w:lang w:eastAsia="zh-CN"/>
        </w:rPr>
        <w:t>）》执行，按照项目所在地的建设行政主管部门有关规定支付。发生一般事故及以上等级重大安全事故的，发包人可扣除承包人金额相当于所有“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”的工程管理费。</w:t>
      </w:r>
    </w:p>
    <w:p w14:paraId="738F555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变更工程造价必须经监理单位核实，并经发包人核定后方可支付。</w:t>
      </w:r>
    </w:p>
    <w:p w14:paraId="29EEE166">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结算审核完成后，</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支付至合同价格的97%，剩余3%转为质量保证金；承包人提交了等额质量保证担保或质量保证保险的，</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一次性结清合同价格。</w:t>
      </w:r>
    </w:p>
    <w:p w14:paraId="35128F0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2</w:t>
      </w:r>
      <w:r>
        <w:rPr>
          <w:rFonts w:hint="eastAsia" w:ascii="宋体" w:hAnsi="宋体" w:eastAsia="宋体" w:cs="宋体"/>
          <w:snapToGrid w:val="0"/>
          <w:color w:val="auto"/>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7B410B9A">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79D37AA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184A088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材料暂估价、专业工程暂估价支付方式：</w:t>
      </w:r>
      <w:r>
        <w:rPr>
          <w:rFonts w:hint="eastAsia" w:ascii="宋体" w:hAnsi="宋体" w:eastAsia="宋体" w:cs="宋体"/>
          <w:snapToGrid w:val="0"/>
          <w:color w:val="auto"/>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材料暂估价、专业工程暂估价与每个月的工程进度款一并报送，但需要列明详细项目内容，该部分材料暂估价、专业工程暂估价按该部分实际完成工程量的50%支付，工程竣工验收合格后支付至8</w:t>
      </w:r>
      <w:r>
        <w:rPr>
          <w:rFonts w:hint="eastAsia" w:ascii="宋体" w:hAnsi="宋体" w:eastAsia="宋体" w:cs="宋体"/>
          <w:snapToGrid w:val="0"/>
          <w:color w:val="auto"/>
          <w:kern w:val="0"/>
          <w:sz w:val="24"/>
          <w:szCs w:val="20"/>
          <w:highlight w:val="none"/>
          <w:u w:val="single"/>
          <w:lang w:val="en-US" w:eastAsia="zh-CN"/>
        </w:rPr>
        <w:t>0</w:t>
      </w:r>
      <w:r>
        <w:rPr>
          <w:rFonts w:hint="eastAsia" w:ascii="宋体" w:hAnsi="宋体" w:eastAsia="宋体" w:cs="宋体"/>
          <w:snapToGrid w:val="0"/>
          <w:color w:val="auto"/>
          <w:kern w:val="0"/>
          <w:sz w:val="24"/>
          <w:szCs w:val="20"/>
          <w:highlight w:val="none"/>
          <w:u w:val="single"/>
          <w:lang w:eastAsia="zh-CN"/>
        </w:rPr>
        <w:t>%，剩余部分结算完成后支付至审定造价的97%，剩余3%为工程质量保修金。</w:t>
      </w:r>
    </w:p>
    <w:p w14:paraId="0DB87552">
      <w:pPr>
        <w:spacing w:before="154" w:line="212" w:lineRule="auto"/>
        <w:ind w:left="486"/>
        <w:outlineLvl w:val="2"/>
        <w:rPr>
          <w:rFonts w:hint="eastAsia" w:ascii="宋体" w:hAnsi="宋体" w:eastAsia="宋体" w:cs="宋体"/>
          <w:b/>
          <w:bCs/>
          <w:color w:val="auto"/>
          <w:spacing w:val="-7"/>
          <w:sz w:val="24"/>
          <w:szCs w:val="24"/>
          <w:highlight w:val="none"/>
        </w:rPr>
      </w:pPr>
      <w:bookmarkStart w:id="168" w:name="_Toc17742"/>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68"/>
    </w:p>
    <w:p w14:paraId="01EFC9A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26A1ED5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17734C5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工人工资支付专用账户 </w:t>
      </w:r>
    </w:p>
    <w:p w14:paraId="5F615F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10B41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4C83717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20A96B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4932DD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 2 个工作日内，将开户银行及其账号、开户协议等资料提交给发包人。 </w:t>
      </w:r>
    </w:p>
    <w:p w14:paraId="2EDDE0E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393F8C3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5DB0DF8B">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6EBACBFE">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29039645">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7635F55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8A9E3E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3C7D81E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91F44E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5A7E027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4.4.1</w:t>
      </w:r>
      <w:r>
        <w:rPr>
          <w:rFonts w:hint="eastAsia" w:ascii="宋体" w:hAnsi="宋体" w:eastAsia="宋体" w:cs="宋体"/>
          <w:bCs/>
          <w:snapToGrid w:val="0"/>
          <w:color w:val="auto"/>
          <w:kern w:val="0"/>
          <w:sz w:val="24"/>
          <w:szCs w:val="24"/>
          <w:highlight w:val="none"/>
          <w:lang w:val="en-US" w:eastAsia="zh-CN"/>
        </w:rPr>
        <w:t xml:space="preserve"> 本招标项目施工标准工期为</w:t>
      </w:r>
      <w:r>
        <w:rPr>
          <w:rFonts w:hint="eastAsia" w:ascii="宋体" w:hAnsi="宋体" w:eastAsia="宋体" w:cs="宋体"/>
          <w:bCs/>
          <w:snapToGrid w:val="0"/>
          <w:color w:val="auto"/>
          <w:kern w:val="0"/>
          <w:sz w:val="24"/>
          <w:szCs w:val="24"/>
          <w:highlight w:val="none"/>
          <w:u w:val="single"/>
          <w:lang w:val="en-US" w:eastAsia="zh-CN"/>
        </w:rPr>
        <w:t>180</w:t>
      </w:r>
      <w:r>
        <w:rPr>
          <w:rFonts w:hint="eastAsia" w:ascii="宋体" w:hAnsi="宋体" w:eastAsia="宋体" w:cs="宋体"/>
          <w:bCs/>
          <w:snapToGrid w:val="0"/>
          <w:color w:val="auto"/>
          <w:kern w:val="0"/>
          <w:sz w:val="24"/>
          <w:szCs w:val="24"/>
          <w:highlight w:val="none"/>
          <w:lang w:val="en-US" w:eastAsia="zh-CN"/>
        </w:rPr>
        <w:t>个日历天，招标工期为</w:t>
      </w:r>
      <w:r>
        <w:rPr>
          <w:rFonts w:hint="eastAsia" w:ascii="宋体" w:hAnsi="宋体" w:eastAsia="宋体" w:cs="宋体"/>
          <w:bCs/>
          <w:snapToGrid w:val="0"/>
          <w:color w:val="auto"/>
          <w:kern w:val="0"/>
          <w:sz w:val="24"/>
          <w:szCs w:val="24"/>
          <w:highlight w:val="none"/>
          <w:u w:val="single"/>
          <w:lang w:val="en-US" w:eastAsia="zh-CN"/>
        </w:rPr>
        <w:t>180</w:t>
      </w:r>
      <w:r>
        <w:rPr>
          <w:rFonts w:hint="eastAsia" w:ascii="宋体" w:hAnsi="宋体" w:eastAsia="宋体" w:cs="宋体"/>
          <w:bCs/>
          <w:snapToGrid w:val="0"/>
          <w:color w:val="auto"/>
          <w:kern w:val="0"/>
          <w:sz w:val="24"/>
          <w:szCs w:val="24"/>
          <w:highlight w:val="none"/>
          <w:lang w:val="en-US" w:eastAsia="zh-CN"/>
        </w:rPr>
        <w:t xml:space="preserve">个日历天，承包人必须在招标工期内完成招标范围内的全部内容。 </w:t>
      </w:r>
    </w:p>
    <w:p w14:paraId="3AD3FEC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p>
    <w:p w14:paraId="744114A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2645B83E">
      <w:pPr>
        <w:adjustRightInd w:val="0"/>
        <w:snapToGrid w:val="0"/>
        <w:spacing w:line="440" w:lineRule="exact"/>
        <w:ind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0536562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5CDEF15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29A1CCA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18751D9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0742827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533F00A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2CC5BC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6FD38FD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D0EAE8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7D16F4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1AA7403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29F79D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14:paraId="7853C31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6C30F2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7234F12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633EA71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主材的采购和使用 </w:t>
      </w:r>
    </w:p>
    <w:p w14:paraId="5DD11F3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18A1E2A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14:paraId="26BD64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CD1FDD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707A6EB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2398B99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5B411B1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w:t>
      </w:r>
    </w:p>
    <w:p w14:paraId="1181DE18">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2ED9B7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B762C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0DABCA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0D018C9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68DC32D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33521F9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495C334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10849C0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48E4FF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3BF9C0F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2ECD343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39ABD25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14:paraId="02E9687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10E7EB8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2337A1F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C8044C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18A791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7F2618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451FCA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single"/>
          <w:shd w:val="clear" w:color="auto" w:fill="FFFFFF"/>
          <w:lang w:val="en-US" w:eastAsia="zh-CN" w:bidi="ar-SA"/>
        </w:rPr>
        <w:t xml:space="preserve"> 壹 </w:t>
      </w:r>
      <w:r>
        <w:rPr>
          <w:rFonts w:hint="eastAsia" w:ascii="宋体" w:hAnsi="宋体" w:eastAsia="宋体" w:cs="宋体"/>
          <w:bCs/>
          <w:snapToGrid w:val="0"/>
          <w:color w:val="auto"/>
          <w:kern w:val="0"/>
          <w:sz w:val="24"/>
          <w:szCs w:val="24"/>
          <w:highlight w:val="none"/>
          <w:lang w:val="en-US" w:eastAsia="zh-CN"/>
        </w:rPr>
        <w:t xml:space="preserve">万元/次。承包人对建筑垃圾须按《韶关市建筑垃圾管理条例》（2021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BC77ED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105B6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56FD5FA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4.17.1 </w:t>
      </w:r>
      <w:r>
        <w:rPr>
          <w:rFonts w:hint="eastAsia" w:ascii="宋体" w:hAnsi="宋体" w:eastAsia="宋体" w:cs="宋体"/>
          <w:bCs/>
          <w:snapToGrid w:val="0"/>
          <w:color w:val="auto"/>
          <w:kern w:val="0"/>
          <w:sz w:val="24"/>
          <w:szCs w:val="24"/>
          <w:highlight w:val="none"/>
          <w:lang w:val="en-US" w:eastAsia="zh-CN"/>
        </w:rPr>
        <w:t>承包人在施工阶段应做好水土保持工作，相关费用承包人自行考虑在投标报价中。</w:t>
      </w:r>
    </w:p>
    <w:p w14:paraId="377C83C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14:paraId="0DCEA18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14:paraId="6C12C69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7C2DFF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5D27205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091BEF8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17EB941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质量违约</w:t>
      </w:r>
    </w:p>
    <w:p w14:paraId="1242688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 </w:t>
      </w:r>
    </w:p>
    <w:p w14:paraId="0ED3797B">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视为承包人违约，按现行《建设工程质量管理条例》处理。 </w:t>
      </w:r>
    </w:p>
    <w:p w14:paraId="25255EB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 </w:t>
      </w:r>
    </w:p>
    <w:p w14:paraId="42E52D8F">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一起看样定版后方能实施。未经监理人、发包人同意擅自先行采购和实施的，否则因不符 </w:t>
      </w:r>
    </w:p>
    <w:p w14:paraId="2F28E572">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合设计要求返工造成的费用由承包人承担。</w:t>
      </w:r>
    </w:p>
    <w:p w14:paraId="63226B74">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66F205BC">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 </w:t>
      </w:r>
    </w:p>
    <w:p w14:paraId="7E5E1749">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行整改，如未按规定时间进行整改或整改不到位的，每次按 5000元缴纳违约金给发包人，在进度款或结算款中一并扣除。 </w:t>
      </w:r>
    </w:p>
    <w:p w14:paraId="14F3C3FF">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 </w:t>
      </w:r>
    </w:p>
    <w:p w14:paraId="69E40686">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格外，还要按合同价款的 1%向招标人支付质量违约金，工期不予顺延。 </w:t>
      </w:r>
    </w:p>
    <w:p w14:paraId="4C313533">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34BBCA0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 </w:t>
      </w:r>
    </w:p>
    <w:p w14:paraId="6CC212DE">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伤、死亡等重大责任事故,则承包人应承担全部损失,并按相关法规接受行政处罚；如造成发 </w:t>
      </w:r>
    </w:p>
    <w:p w14:paraId="02D16D1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包人及对第三人利益的损害,该等损害赔偿责任均由承包人承担。 </w:t>
      </w:r>
    </w:p>
    <w:p w14:paraId="1554D55D">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3FBE233E">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6458EA9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扣农民工工资总金额 2 倍的标准向发包人缴纳惩罚性违约金。 </w:t>
      </w:r>
    </w:p>
    <w:p w14:paraId="17ADCC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08A3B4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 </w:t>
      </w:r>
    </w:p>
    <w:p w14:paraId="7E77E40D">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成安全责任事故，承包人应及时改正行为并赔偿相关方的损失，如未及时整改，针对每一违约 </w:t>
      </w:r>
    </w:p>
    <w:p w14:paraId="3DA27048">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行为每持续一天应缴纳违约金1000元。</w:t>
      </w:r>
    </w:p>
    <w:p w14:paraId="0F875A79">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 </w:t>
      </w:r>
    </w:p>
    <w:p w14:paraId="5D37AD04">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格项目、安全隐患必须在规定的时间内整改完成，否则每拖延一天处以2000元人民币违约金，直至整改合格。</w:t>
      </w:r>
    </w:p>
    <w:p w14:paraId="4EF3DFAB">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承包人现场施工人员未按相关规定佩戴安全帽和反光衣进入施工区域的，经现场发包人（监理单位）管理人员确认后，承包人须按100元/人/次缴纳违约金。</w:t>
      </w:r>
    </w:p>
    <w:p w14:paraId="63CD755A">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val="0"/>
          <w:bCs/>
          <w:snapToGrid w:val="0"/>
          <w:color w:val="auto"/>
          <w:kern w:val="0"/>
          <w:sz w:val="24"/>
          <w:szCs w:val="24"/>
          <w:highlight w:val="none"/>
          <w:lang w:val="en-US" w:eastAsia="zh-CN"/>
        </w:rPr>
        <w:t xml:space="preserve"> 其他违约 </w:t>
      </w:r>
    </w:p>
    <w:p w14:paraId="6C6C1A33">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 </w:t>
      </w:r>
    </w:p>
    <w:p w14:paraId="16EE1B0E">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r>
        <w:rPr>
          <w:rFonts w:hint="eastAsia" w:ascii="宋体" w:hAnsi="宋体" w:eastAsia="宋体" w:cs="宋体"/>
          <w:b w:val="0"/>
          <w:bCs/>
          <w:snapToGrid w:val="0"/>
          <w:color w:val="auto"/>
          <w:kern w:val="0"/>
          <w:sz w:val="24"/>
          <w:szCs w:val="24"/>
          <w:highlight w:val="none"/>
          <w:lang w:val="en-US" w:eastAsia="zh-CN"/>
        </w:rPr>
        <w:t>在日常检查及相关会议中主要管理人员不到岗，按 500元/人/次缴纳违约金给发包人。</w:t>
      </w:r>
    </w:p>
    <w:p w14:paraId="2646E737">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w:t>
      </w:r>
      <w:r>
        <w:rPr>
          <w:rFonts w:hint="eastAsia" w:ascii="宋体" w:hAnsi="宋体" w:eastAsia="宋体" w:cs="宋体"/>
          <w:b w:val="0"/>
          <w:bCs/>
          <w:snapToGrid w:val="0"/>
          <w:color w:val="auto"/>
          <w:kern w:val="0"/>
          <w:sz w:val="24"/>
          <w:szCs w:val="24"/>
          <w:highlight w:val="none"/>
          <w:lang w:val="en-US" w:eastAsia="zh-CN"/>
        </w:rPr>
        <w:t>，如发包人在日常检查中发现不同步的现象的，视为违约并扣除违约金2000元/每次</w:t>
      </w:r>
      <w:r>
        <w:rPr>
          <w:rFonts w:hint="default" w:ascii="宋体" w:hAnsi="宋体" w:eastAsia="宋体" w:cs="宋体"/>
          <w:b w:val="0"/>
          <w:bCs/>
          <w:snapToGrid w:val="0"/>
          <w:color w:val="auto"/>
          <w:kern w:val="0"/>
          <w:sz w:val="24"/>
          <w:szCs w:val="24"/>
          <w:highlight w:val="none"/>
          <w:lang w:val="en-US" w:eastAsia="zh-CN"/>
        </w:rPr>
        <w:t xml:space="preserve">。 </w:t>
      </w:r>
    </w:p>
    <w:p w14:paraId="6316E14F">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 </w:t>
      </w:r>
    </w:p>
    <w:p w14:paraId="3AB81941">
      <w:pPr>
        <w:adjustRightInd w:val="0"/>
        <w:snapToGrid w:val="0"/>
        <w:spacing w:line="440" w:lineRule="exact"/>
        <w:rPr>
          <w:rFonts w:hint="default" w:ascii="宋体" w:hAnsi="宋体" w:eastAsia="宋体" w:cs="宋体"/>
          <w:bCs/>
          <w:snapToGrid w:val="0"/>
          <w:color w:val="auto"/>
          <w:kern w:val="0"/>
          <w:sz w:val="24"/>
          <w:szCs w:val="24"/>
          <w:highlight w:val="none"/>
          <w:lang w:val="en-US" w:eastAsia="zh-CN" w:bidi="ar-SA"/>
        </w:rPr>
      </w:pPr>
      <w:r>
        <w:rPr>
          <w:rFonts w:hint="default" w:ascii="宋体" w:hAnsi="宋体" w:eastAsia="宋体" w:cs="宋体"/>
          <w:b w:val="0"/>
          <w:bCs/>
          <w:snapToGrid w:val="0"/>
          <w:color w:val="auto"/>
          <w:kern w:val="0"/>
          <w:sz w:val="24"/>
          <w:szCs w:val="24"/>
          <w:highlight w:val="none"/>
          <w:lang w:val="en-US" w:eastAsia="zh-CN"/>
        </w:rPr>
        <w:t>金。承包人因上述违约行为而须缴纳的违约金在工程进度款中或结算时一并扣除。</w:t>
      </w:r>
    </w:p>
    <w:p w14:paraId="45319432">
      <w:pPr>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4B17F356">
      <w:pPr>
        <w:pStyle w:val="13"/>
        <w:rPr>
          <w:rFonts w:hint="eastAsia" w:ascii="宋体" w:hAnsi="宋体" w:eastAsia="宋体" w:cs="宋体"/>
          <w:color w:val="auto"/>
          <w:sz w:val="24"/>
          <w:szCs w:val="24"/>
          <w:highlight w:val="none"/>
          <w:lang w:eastAsia="zh-CN"/>
        </w:rPr>
      </w:pPr>
    </w:p>
    <w:p w14:paraId="00E29B87">
      <w:pPr>
        <w:pStyle w:val="13"/>
        <w:rPr>
          <w:rFonts w:hint="eastAsia" w:ascii="宋体" w:hAnsi="宋体" w:eastAsia="宋体" w:cs="宋体"/>
          <w:color w:val="auto"/>
          <w:sz w:val="24"/>
          <w:szCs w:val="24"/>
          <w:highlight w:val="none"/>
          <w:lang w:eastAsia="zh-CN"/>
        </w:rPr>
      </w:pPr>
    </w:p>
    <w:p w14:paraId="6EE2E99C">
      <w:pPr>
        <w:pStyle w:val="13"/>
        <w:rPr>
          <w:rFonts w:hint="eastAsia" w:ascii="宋体" w:hAnsi="宋体" w:eastAsia="宋体" w:cs="宋体"/>
          <w:color w:val="auto"/>
          <w:sz w:val="24"/>
          <w:szCs w:val="24"/>
          <w:highlight w:val="none"/>
          <w:lang w:eastAsia="zh-CN"/>
        </w:rPr>
      </w:pPr>
    </w:p>
    <w:p w14:paraId="4BDA0E56">
      <w:pPr>
        <w:pStyle w:val="13"/>
        <w:rPr>
          <w:rFonts w:hint="eastAsia" w:ascii="宋体" w:hAnsi="宋体" w:eastAsia="宋体" w:cs="宋体"/>
          <w:color w:val="auto"/>
          <w:sz w:val="24"/>
          <w:szCs w:val="24"/>
          <w:highlight w:val="none"/>
          <w:lang w:eastAsia="zh-CN"/>
        </w:rPr>
      </w:pPr>
    </w:p>
    <w:p w14:paraId="673329EB">
      <w:pPr>
        <w:pStyle w:val="13"/>
        <w:rPr>
          <w:rFonts w:hint="eastAsia" w:ascii="宋体" w:hAnsi="宋体" w:eastAsia="宋体" w:cs="宋体"/>
          <w:color w:val="auto"/>
          <w:sz w:val="24"/>
          <w:szCs w:val="24"/>
          <w:highlight w:val="none"/>
          <w:lang w:eastAsia="zh-CN"/>
        </w:rPr>
      </w:pPr>
    </w:p>
    <w:p w14:paraId="1E357784">
      <w:pPr>
        <w:pStyle w:val="13"/>
        <w:rPr>
          <w:rFonts w:hint="eastAsia" w:ascii="宋体" w:hAnsi="宋体" w:eastAsia="宋体" w:cs="宋体"/>
          <w:color w:val="auto"/>
          <w:sz w:val="24"/>
          <w:szCs w:val="24"/>
          <w:highlight w:val="none"/>
          <w:lang w:eastAsia="zh-CN"/>
        </w:rPr>
      </w:pPr>
    </w:p>
    <w:p w14:paraId="6E6F0A85">
      <w:pPr>
        <w:pStyle w:val="13"/>
        <w:rPr>
          <w:rFonts w:hint="eastAsia" w:ascii="宋体" w:hAnsi="宋体" w:eastAsia="宋体" w:cs="宋体"/>
          <w:color w:val="auto"/>
          <w:sz w:val="24"/>
          <w:szCs w:val="24"/>
          <w:highlight w:val="none"/>
          <w:lang w:eastAsia="zh-CN"/>
        </w:rPr>
      </w:pPr>
    </w:p>
    <w:p w14:paraId="0390B878">
      <w:pPr>
        <w:pStyle w:val="13"/>
        <w:rPr>
          <w:rFonts w:hint="eastAsia" w:ascii="宋体" w:hAnsi="宋体" w:eastAsia="宋体" w:cs="宋体"/>
          <w:color w:val="auto"/>
          <w:sz w:val="24"/>
          <w:szCs w:val="24"/>
          <w:highlight w:val="none"/>
          <w:lang w:eastAsia="zh-CN"/>
        </w:rPr>
      </w:pPr>
    </w:p>
    <w:p w14:paraId="34442139">
      <w:pPr>
        <w:pStyle w:val="13"/>
        <w:rPr>
          <w:rFonts w:hint="eastAsia" w:ascii="宋体" w:hAnsi="宋体" w:eastAsia="宋体" w:cs="宋体"/>
          <w:color w:val="auto"/>
          <w:sz w:val="24"/>
          <w:szCs w:val="24"/>
          <w:highlight w:val="none"/>
          <w:lang w:eastAsia="zh-CN"/>
        </w:rPr>
      </w:pPr>
    </w:p>
    <w:p w14:paraId="42CDD58A">
      <w:pPr>
        <w:spacing w:before="78" w:line="219" w:lineRule="auto"/>
        <w:outlineLvl w:val="9"/>
        <w:rPr>
          <w:rFonts w:hint="eastAsia" w:ascii="宋体" w:hAnsi="宋体" w:eastAsia="宋体" w:cs="宋体"/>
          <w:b/>
          <w:bCs/>
          <w:color w:val="auto"/>
          <w:spacing w:val="-3"/>
          <w:sz w:val="24"/>
          <w:szCs w:val="24"/>
          <w:highlight w:val="none"/>
        </w:rPr>
      </w:pPr>
      <w:bookmarkStart w:id="169" w:name="bookmark96"/>
      <w:bookmarkEnd w:id="169"/>
    </w:p>
    <w:p w14:paraId="2BDC7F7A">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2B87CA60">
      <w:pPr>
        <w:spacing w:before="78" w:line="219" w:lineRule="auto"/>
        <w:ind w:left="3273"/>
        <w:outlineLvl w:val="0"/>
        <w:rPr>
          <w:rFonts w:hint="eastAsia" w:ascii="宋体" w:hAnsi="宋体" w:eastAsia="宋体" w:cs="宋体"/>
          <w:color w:val="auto"/>
          <w:highlight w:val="none"/>
        </w:rPr>
      </w:pPr>
      <w:bookmarkStart w:id="170" w:name="_Toc26138"/>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70"/>
    </w:p>
    <w:p w14:paraId="379571EE">
      <w:pPr>
        <w:pStyle w:val="5"/>
        <w:spacing w:line="257" w:lineRule="auto"/>
        <w:rPr>
          <w:rFonts w:hint="eastAsia" w:ascii="宋体" w:hAnsi="宋体" w:eastAsia="宋体" w:cs="宋体"/>
          <w:color w:val="auto"/>
          <w:highlight w:val="none"/>
        </w:rPr>
      </w:pPr>
    </w:p>
    <w:p w14:paraId="5BE30722">
      <w:pPr>
        <w:spacing w:before="78" w:line="221" w:lineRule="auto"/>
        <w:ind w:left="125"/>
        <w:outlineLvl w:val="2"/>
        <w:rPr>
          <w:rFonts w:hint="eastAsia" w:ascii="宋体" w:hAnsi="宋体" w:eastAsia="宋体" w:cs="宋体"/>
          <w:color w:val="auto"/>
          <w:sz w:val="24"/>
          <w:szCs w:val="24"/>
          <w:highlight w:val="none"/>
        </w:rPr>
      </w:pPr>
      <w:bookmarkStart w:id="171" w:name="_Toc6424"/>
      <w:bookmarkStart w:id="172" w:name="_Toc10155"/>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71"/>
      <w:bookmarkEnd w:id="172"/>
    </w:p>
    <w:p w14:paraId="3989A8B1">
      <w:pP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75FB82B5">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0F8F10F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12F6D15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6755EFEB">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3F9C2AD6">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35E6FD8D">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152B7914">
      <w:pP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63C9A67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2579DEFA">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76EE1100">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2680FFF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6AD1C11B">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439755B9">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2B333EA3">
      <w:pPr>
        <w:spacing w:before="153" w:line="219" w:lineRule="auto"/>
        <w:ind w:left="130"/>
        <w:rPr>
          <w:rFonts w:hint="eastAsia" w:ascii="宋体" w:hAnsi="宋体" w:eastAsia="宋体" w:cs="宋体"/>
          <w:color w:val="auto"/>
          <w:spacing w:val="-1"/>
          <w:sz w:val="24"/>
          <w:szCs w:val="24"/>
          <w:highlight w:val="none"/>
        </w:rPr>
      </w:pPr>
      <w:bookmarkStart w:id="173" w:name="_Toc12084"/>
      <w:bookmarkStart w:id="174" w:name="_Toc16294"/>
      <w:r>
        <w:rPr>
          <w:rFonts w:hint="eastAsia" w:ascii="宋体" w:hAnsi="宋体" w:eastAsia="宋体" w:cs="宋体"/>
          <w:color w:val="auto"/>
          <w:spacing w:val="-1"/>
          <w:sz w:val="24"/>
          <w:szCs w:val="24"/>
          <w:highlight w:val="none"/>
        </w:rPr>
        <w:t>（14）《建筑与市政工程无障碍通用规范》 GB 55019-2021；</w:t>
      </w:r>
      <w:bookmarkEnd w:id="173"/>
      <w:bookmarkEnd w:id="174"/>
    </w:p>
    <w:p w14:paraId="7B3C5264">
      <w:pPr>
        <w:spacing w:before="153" w:line="219" w:lineRule="auto"/>
        <w:ind w:left="130"/>
        <w:rPr>
          <w:rFonts w:hint="eastAsia" w:ascii="宋体" w:hAnsi="宋体" w:eastAsia="宋体" w:cs="宋体"/>
          <w:color w:val="auto"/>
          <w:spacing w:val="-1"/>
          <w:sz w:val="24"/>
          <w:szCs w:val="24"/>
          <w:highlight w:val="none"/>
        </w:rPr>
      </w:pPr>
      <w:bookmarkStart w:id="175" w:name="_Toc15158"/>
      <w:bookmarkStart w:id="176" w:name="_Toc1177"/>
      <w:r>
        <w:rPr>
          <w:rFonts w:hint="eastAsia" w:ascii="宋体" w:hAnsi="宋体" w:eastAsia="宋体" w:cs="宋体"/>
          <w:color w:val="auto"/>
          <w:spacing w:val="-1"/>
          <w:sz w:val="24"/>
          <w:szCs w:val="24"/>
          <w:highlight w:val="none"/>
        </w:rPr>
        <w:t>（15）《建筑防火通用规范》GB 55037-2022;</w:t>
      </w:r>
      <w:bookmarkEnd w:id="175"/>
      <w:bookmarkEnd w:id="176"/>
    </w:p>
    <w:p w14:paraId="61F141A9">
      <w:pPr>
        <w:spacing w:before="153" w:line="219" w:lineRule="auto"/>
        <w:ind w:left="130"/>
        <w:rPr>
          <w:rFonts w:hint="eastAsia" w:ascii="宋体" w:hAnsi="宋体" w:eastAsia="宋体" w:cs="宋体"/>
          <w:color w:val="auto"/>
          <w:spacing w:val="-1"/>
          <w:sz w:val="24"/>
          <w:szCs w:val="24"/>
          <w:highlight w:val="none"/>
        </w:rPr>
      </w:pPr>
      <w:bookmarkStart w:id="177" w:name="_Toc2461"/>
      <w:bookmarkStart w:id="178" w:name="_Toc24233"/>
      <w:r>
        <w:rPr>
          <w:rFonts w:hint="eastAsia" w:ascii="宋体" w:hAnsi="宋体" w:eastAsia="宋体" w:cs="宋体"/>
          <w:color w:val="auto"/>
          <w:spacing w:val="-1"/>
          <w:sz w:val="24"/>
          <w:szCs w:val="24"/>
          <w:highlight w:val="none"/>
        </w:rPr>
        <w:t>（16）《建筑与市政工程抗震通用规范》GB55002-2001;</w:t>
      </w:r>
      <w:bookmarkEnd w:id="177"/>
      <w:bookmarkEnd w:id="178"/>
    </w:p>
    <w:p w14:paraId="3BC258D5">
      <w:pPr>
        <w:spacing w:before="153" w:line="219" w:lineRule="auto"/>
        <w:ind w:left="130"/>
        <w:rPr>
          <w:rFonts w:hint="eastAsia" w:ascii="宋体" w:hAnsi="宋体" w:eastAsia="宋体" w:cs="宋体"/>
          <w:color w:val="auto"/>
          <w:spacing w:val="-1"/>
          <w:sz w:val="24"/>
          <w:szCs w:val="24"/>
          <w:highlight w:val="none"/>
        </w:rPr>
      </w:pPr>
      <w:bookmarkStart w:id="179" w:name="_Toc5777"/>
      <w:bookmarkStart w:id="180" w:name="_Toc8109"/>
      <w:r>
        <w:rPr>
          <w:rFonts w:hint="eastAsia" w:ascii="宋体" w:hAnsi="宋体" w:eastAsia="宋体" w:cs="宋体"/>
          <w:color w:val="auto"/>
          <w:spacing w:val="-1"/>
          <w:sz w:val="24"/>
          <w:szCs w:val="24"/>
          <w:highlight w:val="none"/>
        </w:rPr>
        <w:t>（17）《建筑与市政地基基础通用规范》GB55003-2001;</w:t>
      </w:r>
      <w:bookmarkEnd w:id="179"/>
      <w:bookmarkEnd w:id="180"/>
    </w:p>
    <w:p w14:paraId="7EABE99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22C6EA0E">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2E498EA8">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08F26131">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7BB3D7FB">
      <w:pPr>
        <w:pStyle w:val="5"/>
        <w:spacing w:line="257" w:lineRule="auto"/>
        <w:rPr>
          <w:rFonts w:hint="eastAsia" w:ascii="宋体" w:hAnsi="宋体" w:eastAsia="宋体" w:cs="宋体"/>
          <w:color w:val="auto"/>
          <w:highlight w:val="none"/>
        </w:rPr>
      </w:pPr>
    </w:p>
    <w:p w14:paraId="5D97A8A7">
      <w:pPr>
        <w:spacing w:before="78" w:line="220" w:lineRule="auto"/>
        <w:ind w:left="115"/>
        <w:outlineLvl w:val="2"/>
        <w:rPr>
          <w:rFonts w:hint="eastAsia" w:ascii="宋体" w:hAnsi="宋体" w:eastAsia="宋体" w:cs="宋体"/>
          <w:color w:val="auto"/>
          <w:sz w:val="24"/>
          <w:szCs w:val="24"/>
          <w:highlight w:val="none"/>
        </w:rPr>
      </w:pPr>
      <w:bookmarkStart w:id="181" w:name="_Toc15652"/>
      <w:bookmarkStart w:id="182" w:name="_Toc12394"/>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81"/>
      <w:bookmarkEnd w:id="182"/>
    </w:p>
    <w:p w14:paraId="3D883B18">
      <w:pP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6C693652">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6D80DEC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0237C6F7">
      <w:pP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5A0A8A2B">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F18BF51">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4DD7CD7E">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2A6E8F8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71A4541D">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11417329">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4D5A805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387D73A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83" w:name="_Toc30781"/>
      <w:bookmarkStart w:id="184" w:name="_Toc8494"/>
      <w:r>
        <w:rPr>
          <w:rFonts w:hint="eastAsia" w:ascii="宋体" w:hAnsi="宋体" w:eastAsia="宋体" w:cs="宋体"/>
          <w:color w:val="auto"/>
          <w:spacing w:val="-2"/>
          <w:sz w:val="24"/>
          <w:szCs w:val="24"/>
          <w:highlight w:val="none"/>
        </w:rPr>
        <w:t>（11）《建筑与市政工程无障碍通用规范》 GB 55019-2021；</w:t>
      </w:r>
      <w:bookmarkEnd w:id="183"/>
      <w:bookmarkEnd w:id="184"/>
    </w:p>
    <w:p w14:paraId="0DCC9771">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85" w:name="_Toc17383"/>
      <w:bookmarkStart w:id="186" w:name="_Toc31143"/>
      <w:r>
        <w:rPr>
          <w:rFonts w:hint="eastAsia" w:ascii="宋体" w:hAnsi="宋体" w:eastAsia="宋体" w:cs="宋体"/>
          <w:color w:val="auto"/>
          <w:spacing w:val="-2"/>
          <w:sz w:val="24"/>
          <w:szCs w:val="24"/>
          <w:highlight w:val="none"/>
        </w:rPr>
        <w:t>（12）《建筑防火通用规范》GB 55037-2022;</w:t>
      </w:r>
      <w:bookmarkEnd w:id="185"/>
      <w:bookmarkEnd w:id="186"/>
    </w:p>
    <w:p w14:paraId="1007A63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87" w:name="_Toc32476"/>
      <w:bookmarkStart w:id="188" w:name="_Toc954"/>
      <w:r>
        <w:rPr>
          <w:rFonts w:hint="eastAsia" w:ascii="宋体" w:hAnsi="宋体" w:eastAsia="宋体" w:cs="宋体"/>
          <w:color w:val="auto"/>
          <w:spacing w:val="-2"/>
          <w:sz w:val="24"/>
          <w:szCs w:val="24"/>
          <w:highlight w:val="none"/>
        </w:rPr>
        <w:t>（13）《建筑与市政工程抗震通用规范》GB55002-2001;</w:t>
      </w:r>
      <w:bookmarkEnd w:id="187"/>
      <w:bookmarkEnd w:id="188"/>
    </w:p>
    <w:p w14:paraId="605E1A8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89" w:name="_Toc7185"/>
      <w:bookmarkStart w:id="190" w:name="_Toc27898"/>
      <w:r>
        <w:rPr>
          <w:rFonts w:hint="eastAsia" w:ascii="宋体" w:hAnsi="宋体" w:eastAsia="宋体" w:cs="宋体"/>
          <w:color w:val="auto"/>
          <w:spacing w:val="-2"/>
          <w:sz w:val="24"/>
          <w:szCs w:val="24"/>
          <w:highlight w:val="none"/>
        </w:rPr>
        <w:t>（14）《建筑与市政地基基础通用规范》GB55003-2001;</w:t>
      </w:r>
      <w:bookmarkEnd w:id="189"/>
      <w:bookmarkEnd w:id="190"/>
    </w:p>
    <w:p w14:paraId="6DD04A4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1" w:name="_Toc17281"/>
      <w:bookmarkStart w:id="192" w:name="_Toc29669"/>
      <w:r>
        <w:rPr>
          <w:rFonts w:hint="eastAsia" w:ascii="宋体" w:hAnsi="宋体" w:eastAsia="宋体" w:cs="宋体"/>
          <w:color w:val="auto"/>
          <w:spacing w:val="-2"/>
          <w:sz w:val="24"/>
          <w:szCs w:val="24"/>
          <w:highlight w:val="none"/>
        </w:rPr>
        <w:t>（15）《城市道路照明设计标准》（CJJ45-2015）；</w:t>
      </w:r>
      <w:bookmarkEnd w:id="191"/>
      <w:bookmarkEnd w:id="192"/>
    </w:p>
    <w:p w14:paraId="6E232C70">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3" w:name="_Toc9161"/>
      <w:bookmarkStart w:id="194" w:name="_Toc31812"/>
      <w:r>
        <w:rPr>
          <w:rFonts w:hint="eastAsia" w:ascii="宋体" w:hAnsi="宋体" w:eastAsia="宋体" w:cs="宋体"/>
          <w:color w:val="auto"/>
          <w:spacing w:val="-2"/>
          <w:sz w:val="24"/>
          <w:szCs w:val="24"/>
          <w:highlight w:val="none"/>
        </w:rPr>
        <w:t>（16）《低压配电设计规范》（GB50054-2011）；</w:t>
      </w:r>
      <w:bookmarkEnd w:id="193"/>
      <w:bookmarkEnd w:id="194"/>
    </w:p>
    <w:p w14:paraId="4BA22D2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5" w:name="_Toc6405"/>
      <w:bookmarkStart w:id="196" w:name="_Toc18255"/>
      <w:r>
        <w:rPr>
          <w:rFonts w:hint="eastAsia" w:ascii="宋体" w:hAnsi="宋体" w:eastAsia="宋体" w:cs="宋体"/>
          <w:color w:val="auto"/>
          <w:spacing w:val="-2"/>
          <w:sz w:val="24"/>
          <w:szCs w:val="24"/>
          <w:highlight w:val="none"/>
        </w:rPr>
        <w:t>（17）《城市道路照明工程施工及验收规程》（CJJ89-2012）；</w:t>
      </w:r>
      <w:bookmarkEnd w:id="195"/>
      <w:bookmarkEnd w:id="196"/>
    </w:p>
    <w:p w14:paraId="2778203A">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5CEC0C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020E2463">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5EA03498">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4FB1DDF1">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164D7E">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D096E9">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197" w:name="_Toc18496"/>
      <w:bookmarkStart w:id="198" w:name="_Toc9200"/>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197"/>
      <w:bookmarkEnd w:id="198"/>
    </w:p>
    <w:p w14:paraId="54FC245A">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41B0234B">
      <w:pPr>
        <w:spacing w:before="78" w:line="219" w:lineRule="auto"/>
        <w:jc w:val="center"/>
        <w:outlineLvl w:val="0"/>
        <w:rPr>
          <w:rFonts w:hint="eastAsia" w:ascii="宋体" w:hAnsi="宋体" w:eastAsia="宋体" w:cs="宋体"/>
          <w:color w:val="auto"/>
          <w:sz w:val="24"/>
          <w:szCs w:val="24"/>
          <w:highlight w:val="none"/>
        </w:rPr>
      </w:pPr>
      <w:bookmarkStart w:id="199" w:name="bookmark100"/>
      <w:bookmarkEnd w:id="199"/>
      <w:bookmarkStart w:id="200" w:name="bookmark146"/>
      <w:bookmarkEnd w:id="200"/>
      <w:bookmarkStart w:id="201" w:name="_Toc23370"/>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01"/>
    </w:p>
    <w:p w14:paraId="7C6C80E2">
      <w:pPr>
        <w:pStyle w:val="5"/>
        <w:spacing w:line="283" w:lineRule="auto"/>
        <w:rPr>
          <w:rFonts w:hint="eastAsia" w:ascii="宋体" w:hAnsi="宋体" w:eastAsia="宋体" w:cs="宋体"/>
          <w:color w:val="auto"/>
          <w:highlight w:val="none"/>
        </w:rPr>
      </w:pPr>
    </w:p>
    <w:p w14:paraId="58148A80">
      <w:pPr>
        <w:pStyle w:val="5"/>
        <w:spacing w:line="284" w:lineRule="auto"/>
        <w:rPr>
          <w:rFonts w:hint="eastAsia" w:ascii="宋体" w:hAnsi="宋体" w:eastAsia="宋体" w:cs="宋体"/>
          <w:color w:val="auto"/>
          <w:highlight w:val="none"/>
        </w:rPr>
      </w:pPr>
    </w:p>
    <w:p w14:paraId="116B6A3B">
      <w:pPr>
        <w:spacing w:before="78" w:line="219" w:lineRule="auto"/>
        <w:ind w:left="106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14:paraId="48F75832">
      <w:pPr>
        <w:pStyle w:val="5"/>
        <w:spacing w:line="265" w:lineRule="auto"/>
        <w:rPr>
          <w:rFonts w:hint="eastAsia" w:ascii="宋体" w:hAnsi="宋体" w:eastAsia="宋体" w:cs="宋体"/>
          <w:color w:val="auto"/>
          <w:highlight w:val="none"/>
        </w:rPr>
      </w:pPr>
    </w:p>
    <w:p w14:paraId="45CC48D5">
      <w:pPr>
        <w:spacing w:before="151" w:line="222" w:lineRule="auto"/>
        <w:ind w:left="715"/>
        <w:outlineLvl w:val="2"/>
        <w:rPr>
          <w:rFonts w:hint="eastAsia" w:ascii="宋体" w:hAnsi="宋体" w:eastAsia="宋体" w:cs="宋体"/>
          <w:color w:val="auto"/>
          <w:sz w:val="24"/>
          <w:szCs w:val="24"/>
          <w:highlight w:val="none"/>
        </w:rPr>
      </w:pPr>
      <w:bookmarkStart w:id="202" w:name="_Toc24446"/>
      <w:bookmarkStart w:id="203" w:name="_Toc30394"/>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02"/>
      <w:bookmarkEnd w:id="203"/>
    </w:p>
    <w:p w14:paraId="022ED3AB">
      <w:pPr>
        <w:spacing w:before="150" w:line="330" w:lineRule="auto"/>
        <w:ind w:left="230" w:firstLine="480"/>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本招标文件随文另附施工图（电子文件）一套</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施工图纸在开标前15天另行发布于相关网站，各投标人可在全国公共资源交易平台 （广东省 · 韶关市）（https://ygp.gdzwfw.gov.cn/ggzy-portal/#/440200/index）等网站上自行下载</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w:t>
      </w:r>
    </w:p>
    <w:p w14:paraId="19E440D0">
      <w:pPr>
        <w:pStyle w:val="5"/>
        <w:spacing w:line="253" w:lineRule="auto"/>
        <w:rPr>
          <w:rFonts w:hint="eastAsia" w:ascii="宋体" w:hAnsi="宋体" w:eastAsia="宋体" w:cs="宋体"/>
          <w:color w:val="auto"/>
          <w:highlight w:val="none"/>
        </w:rPr>
      </w:pPr>
    </w:p>
    <w:p w14:paraId="05E465DE">
      <w:pPr>
        <w:spacing w:before="79" w:line="221" w:lineRule="auto"/>
        <w:ind w:left="705"/>
        <w:outlineLvl w:val="2"/>
        <w:rPr>
          <w:rFonts w:hint="eastAsia" w:ascii="宋体" w:hAnsi="宋体" w:eastAsia="宋体" w:cs="宋体"/>
          <w:color w:val="auto"/>
          <w:sz w:val="24"/>
          <w:szCs w:val="24"/>
          <w:highlight w:val="none"/>
        </w:rPr>
      </w:pPr>
      <w:bookmarkStart w:id="204" w:name="_Toc9064"/>
      <w:bookmarkStart w:id="205" w:name="_Toc14897"/>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04"/>
      <w:bookmarkEnd w:id="205"/>
    </w:p>
    <w:p w14:paraId="3D4BF4B7">
      <w:pPr>
        <w:spacing w:before="117" w:line="312" w:lineRule="auto"/>
        <w:ind w:left="23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color w:val="auto"/>
          <w:spacing w:val="-3"/>
          <w:sz w:val="24"/>
          <w:szCs w:val="24"/>
          <w:highlight w:val="none"/>
        </w:rPr>
        <w:t>本招标文件随文另附</w:t>
      </w:r>
      <w:bookmarkStart w:id="206" w:name="OLE_LINK33"/>
      <w:r>
        <w:rPr>
          <w:rFonts w:hint="eastAsia" w:ascii="宋体" w:hAnsi="宋体" w:eastAsia="宋体" w:cs="宋体"/>
          <w:color w:val="auto"/>
          <w:spacing w:val="-3"/>
          <w:sz w:val="24"/>
          <w:szCs w:val="24"/>
          <w:highlight w:val="none"/>
          <w:u w:val="single"/>
        </w:rPr>
        <w:t>招标工程量清单  EXCEL 版</w:t>
      </w:r>
      <w:bookmarkEnd w:id="206"/>
      <w:r>
        <w:rPr>
          <w:rFonts w:hint="eastAsia" w:ascii="宋体" w:hAnsi="宋体" w:eastAsia="宋体" w:cs="宋体"/>
          <w:color w:val="auto"/>
          <w:spacing w:val="37"/>
          <w:sz w:val="24"/>
          <w:szCs w:val="24"/>
          <w:highlight w:val="none"/>
          <w:u w:val="single"/>
        </w:rPr>
        <w:t xml:space="preserve"> </w:t>
      </w:r>
      <w:r>
        <w:rPr>
          <w:rFonts w:hint="eastAsia" w:ascii="宋体" w:hAnsi="宋体" w:eastAsia="宋体" w:cs="宋体"/>
          <w:color w:val="auto"/>
          <w:spacing w:val="-3"/>
          <w:sz w:val="24"/>
          <w:szCs w:val="24"/>
          <w:highlight w:val="none"/>
        </w:rPr>
        <w:t>电子文件一套</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工程量清单在开标前15天另行发布于相关网站，各投标人可在全国公共资源交易平台 （广东省 · 韶关市）（https://ygp.gdzwfw.gov.cn/ggzy-portal/#/440200/index）等网站上自行下载</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w:t>
      </w:r>
    </w:p>
    <w:p w14:paraId="7B802B52">
      <w:pPr>
        <w:spacing w:before="78" w:line="219" w:lineRule="auto"/>
        <w:ind w:left="478" w:firstLine="239" w:firstLineChars="100"/>
        <w:rPr>
          <w:rFonts w:hint="eastAsia" w:ascii="宋体" w:hAnsi="宋体" w:eastAsia="宋体" w:cs="宋体"/>
          <w:color w:val="auto"/>
          <w:sz w:val="24"/>
          <w:szCs w:val="24"/>
          <w:highlight w:val="none"/>
        </w:rPr>
      </w:pPr>
      <w:bookmarkStart w:id="207" w:name="bookmark147"/>
      <w:bookmarkEnd w:id="207"/>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single"/>
        </w:rPr>
        <w:t>招标工程量清单</w:t>
      </w:r>
      <w:r>
        <w:rPr>
          <w:rFonts w:hint="eastAsia" w:ascii="宋体" w:hAnsi="宋体" w:eastAsia="宋体" w:cs="宋体"/>
          <w:color w:val="auto"/>
          <w:spacing w:val="-1"/>
          <w:sz w:val="24"/>
          <w:szCs w:val="24"/>
          <w:highlight w:val="none"/>
        </w:rPr>
        <w:t>：</w:t>
      </w:r>
    </w:p>
    <w:p w14:paraId="02362135">
      <w:pPr>
        <w:spacing w:before="12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（1）《建设工程工程量清单计价规范》（GB50500—20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4"/>
          <w:sz w:val="24"/>
          <w:szCs w:val="24"/>
          <w:highlight w:val="none"/>
        </w:rPr>
        <w:t>）；</w:t>
      </w:r>
    </w:p>
    <w:p w14:paraId="61B98E77">
      <w:pPr>
        <w:spacing w:before="115" w:line="299" w:lineRule="auto"/>
        <w:ind w:firstLine="49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8"/>
          <w:sz w:val="24"/>
          <w:szCs w:val="24"/>
          <w:highlight w:val="none"/>
        </w:rPr>
        <w:t>招标控制价的</w:t>
      </w:r>
      <w:r>
        <w:rPr>
          <w:rFonts w:hint="eastAsia" w:ascii="宋体" w:hAnsi="宋体" w:eastAsia="宋体" w:cs="宋体"/>
          <w:color w:val="auto"/>
          <w:spacing w:val="-2"/>
          <w:sz w:val="24"/>
          <w:szCs w:val="24"/>
          <w:highlight w:val="none"/>
        </w:rPr>
        <w:t>补充和(或)修改文件。</w:t>
      </w:r>
    </w:p>
    <w:p w14:paraId="3FCA4C7D">
      <w:pPr>
        <w:spacing w:before="79" w:line="263" w:lineRule="auto"/>
        <w:ind w:left="2" w:right="2"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771762E6">
      <w:pPr>
        <w:spacing w:before="118" w:line="265"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（4）投标报价使用的表格格式须按照 GB50500-20</w:t>
      </w:r>
      <w:r>
        <w:rPr>
          <w:rFonts w:hint="eastAsia" w:ascii="宋体" w:hAnsi="宋体" w:eastAsia="宋体" w:cs="宋体"/>
          <w:color w:val="auto"/>
          <w:spacing w:val="-2"/>
          <w:sz w:val="24"/>
          <w:szCs w:val="24"/>
          <w:highlight w:val="none"/>
          <w:lang w:val="en-US" w:eastAsia="zh-CN"/>
        </w:rPr>
        <w:t>24</w:t>
      </w:r>
      <w:r>
        <w:rPr>
          <w:rFonts w:hint="eastAsia" w:ascii="宋体" w:hAnsi="宋体" w:eastAsia="宋体" w:cs="宋体"/>
          <w:color w:val="auto"/>
          <w:spacing w:val="-2"/>
          <w:sz w:val="24"/>
          <w:szCs w:val="24"/>
          <w:highlight w:val="none"/>
        </w:rPr>
        <w:t>《建设工程工程量清单计价规</w:t>
      </w:r>
      <w:r>
        <w:rPr>
          <w:rFonts w:hint="eastAsia" w:ascii="宋体" w:hAnsi="宋体" w:eastAsia="宋体" w:cs="宋体"/>
          <w:color w:val="auto"/>
          <w:spacing w:val="-6"/>
          <w:sz w:val="24"/>
          <w:szCs w:val="24"/>
          <w:highlight w:val="none"/>
        </w:rPr>
        <w:t>范》。</w:t>
      </w:r>
    </w:p>
    <w:p w14:paraId="12F193A0">
      <w:pPr>
        <w:spacing w:before="107" w:line="286" w:lineRule="auto"/>
        <w:ind w:right="4"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广东省建设工程计价依据（2024）》。具体包括：《广东省建设工程计价依据（2024）》。具体包括：执行《广东省房屋建筑与装饰工程综合定额（2018）》、《广东省市政工程综合定额（2018）》、《广东省通用安装工程综合定额（2018）》，不足部分参考相应工程定额；</w:t>
      </w:r>
    </w:p>
    <w:p w14:paraId="18E085EB">
      <w:pPr>
        <w:spacing w:before="146" w:line="221"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75A26699">
      <w:pPr>
        <w:spacing w:before="153"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37B4AFD5">
      <w:pPr>
        <w:spacing w:before="155"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106392C6">
      <w:pPr>
        <w:spacing w:before="15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429B0728">
      <w:pPr>
        <w:spacing w:line="219" w:lineRule="auto"/>
        <w:rPr>
          <w:rFonts w:hint="eastAsia" w:ascii="宋体" w:hAnsi="宋体" w:eastAsia="宋体" w:cs="宋体"/>
          <w:color w:val="auto"/>
          <w:sz w:val="24"/>
          <w:szCs w:val="24"/>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04BD93">
      <w:pPr>
        <w:pStyle w:val="5"/>
        <w:spacing w:line="304" w:lineRule="auto"/>
        <w:rPr>
          <w:rFonts w:hint="eastAsia" w:ascii="宋体" w:hAnsi="宋体" w:eastAsia="宋体" w:cs="宋体"/>
          <w:color w:val="auto"/>
          <w:highlight w:val="none"/>
        </w:rPr>
      </w:pPr>
    </w:p>
    <w:p w14:paraId="36743CF6">
      <w:pPr>
        <w:spacing w:before="78" w:line="219" w:lineRule="auto"/>
        <w:ind w:left="3357"/>
        <w:outlineLvl w:val="0"/>
        <w:rPr>
          <w:rFonts w:hint="eastAsia" w:ascii="宋体" w:hAnsi="宋体" w:eastAsia="宋体" w:cs="宋体"/>
          <w:color w:val="auto"/>
          <w:sz w:val="24"/>
          <w:szCs w:val="24"/>
          <w:highlight w:val="none"/>
        </w:rPr>
      </w:pPr>
      <w:bookmarkStart w:id="208" w:name="_Toc13354"/>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08"/>
    </w:p>
    <w:p w14:paraId="0D0857B6">
      <w:pPr>
        <w:pStyle w:val="5"/>
        <w:spacing w:line="302" w:lineRule="auto"/>
        <w:jc w:val="right"/>
        <w:rPr>
          <w:rFonts w:hint="eastAsia" w:ascii="宋体" w:hAnsi="宋体" w:eastAsia="宋体" w:cs="宋体"/>
          <w:color w:val="auto"/>
          <w:highlight w:val="none"/>
        </w:rPr>
      </w:pPr>
    </w:p>
    <w:p w14:paraId="401E31D5">
      <w:pPr>
        <w:spacing w:before="78" w:line="220" w:lineRule="auto"/>
        <w:outlineLvl w:val="2"/>
        <w:rPr>
          <w:rFonts w:hint="eastAsia" w:ascii="宋体" w:hAnsi="宋体" w:eastAsia="宋体" w:cs="宋体"/>
          <w:color w:val="auto"/>
          <w:sz w:val="24"/>
          <w:szCs w:val="24"/>
          <w:highlight w:val="none"/>
        </w:rPr>
      </w:pPr>
      <w:bookmarkStart w:id="209" w:name="_Toc10257"/>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09"/>
    </w:p>
    <w:p w14:paraId="7F1D5484">
      <w:pPr>
        <w:pStyle w:val="5"/>
        <w:spacing w:line="258" w:lineRule="auto"/>
        <w:rPr>
          <w:rFonts w:hint="eastAsia" w:ascii="宋体" w:hAnsi="宋体" w:eastAsia="宋体" w:cs="宋体"/>
          <w:color w:val="auto"/>
          <w:highlight w:val="none"/>
        </w:rPr>
      </w:pPr>
    </w:p>
    <w:p w14:paraId="2CD8482C">
      <w:pPr>
        <w:pStyle w:val="5"/>
        <w:spacing w:line="259" w:lineRule="auto"/>
        <w:rPr>
          <w:rFonts w:hint="eastAsia" w:ascii="宋体" w:hAnsi="宋体" w:eastAsia="宋体" w:cs="宋体"/>
          <w:color w:val="auto"/>
          <w:highlight w:val="none"/>
        </w:rPr>
      </w:pPr>
    </w:p>
    <w:p w14:paraId="102EDF3E">
      <w:pPr>
        <w:pStyle w:val="5"/>
        <w:spacing w:line="259" w:lineRule="auto"/>
        <w:rPr>
          <w:rFonts w:hint="eastAsia" w:ascii="宋体" w:hAnsi="宋体" w:eastAsia="宋体" w:cs="宋体"/>
          <w:color w:val="auto"/>
          <w:highlight w:val="none"/>
        </w:rPr>
      </w:pPr>
    </w:p>
    <w:p w14:paraId="2A72B20C">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5ECD6A12">
      <w:pPr>
        <w:pStyle w:val="5"/>
        <w:spacing w:line="247" w:lineRule="auto"/>
        <w:rPr>
          <w:rFonts w:hint="eastAsia" w:ascii="宋体" w:hAnsi="宋体" w:eastAsia="宋体" w:cs="宋体"/>
          <w:color w:val="auto"/>
          <w:highlight w:val="none"/>
        </w:rPr>
      </w:pPr>
    </w:p>
    <w:p w14:paraId="54606FEC">
      <w:pPr>
        <w:pStyle w:val="5"/>
        <w:spacing w:line="247" w:lineRule="auto"/>
        <w:rPr>
          <w:rFonts w:hint="eastAsia" w:ascii="宋体" w:hAnsi="宋体" w:eastAsia="宋体" w:cs="宋体"/>
          <w:color w:val="auto"/>
          <w:highlight w:val="none"/>
        </w:rPr>
      </w:pPr>
    </w:p>
    <w:p w14:paraId="5399F95B">
      <w:pPr>
        <w:pStyle w:val="5"/>
        <w:spacing w:line="247" w:lineRule="auto"/>
        <w:rPr>
          <w:rFonts w:hint="eastAsia" w:ascii="宋体" w:hAnsi="宋体" w:eastAsia="宋体" w:cs="宋体"/>
          <w:color w:val="auto"/>
          <w:highlight w:val="none"/>
        </w:rPr>
      </w:pPr>
    </w:p>
    <w:p w14:paraId="290C2C2C">
      <w:pPr>
        <w:pStyle w:val="5"/>
        <w:spacing w:line="247" w:lineRule="auto"/>
        <w:rPr>
          <w:rFonts w:hint="eastAsia" w:ascii="宋体" w:hAnsi="宋体" w:eastAsia="宋体" w:cs="宋体"/>
          <w:color w:val="auto"/>
          <w:highlight w:val="none"/>
        </w:rPr>
      </w:pPr>
    </w:p>
    <w:p w14:paraId="59ACBFD9">
      <w:pPr>
        <w:pStyle w:val="5"/>
        <w:spacing w:line="248" w:lineRule="auto"/>
        <w:rPr>
          <w:rFonts w:hint="eastAsia" w:ascii="宋体" w:hAnsi="宋体" w:eastAsia="宋体" w:cs="宋体"/>
          <w:color w:val="auto"/>
          <w:highlight w:val="none"/>
        </w:rPr>
      </w:pPr>
    </w:p>
    <w:p w14:paraId="659F2C43">
      <w:pP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B131F8C">
      <w:pPr>
        <w:pStyle w:val="5"/>
        <w:spacing w:line="293" w:lineRule="auto"/>
        <w:rPr>
          <w:rFonts w:hint="eastAsia" w:ascii="宋体" w:hAnsi="宋体" w:eastAsia="宋体" w:cs="宋体"/>
          <w:color w:val="auto"/>
          <w:highlight w:val="none"/>
        </w:rPr>
      </w:pPr>
    </w:p>
    <w:p w14:paraId="324C9182">
      <w:pPr>
        <w:pStyle w:val="5"/>
        <w:spacing w:line="293" w:lineRule="auto"/>
        <w:rPr>
          <w:rFonts w:hint="eastAsia" w:ascii="宋体" w:hAnsi="宋体" w:eastAsia="宋体" w:cs="宋体"/>
          <w:color w:val="auto"/>
          <w:highlight w:val="none"/>
        </w:rPr>
      </w:pPr>
    </w:p>
    <w:p w14:paraId="7C0F118B">
      <w:pPr>
        <w:spacing w:before="152" w:line="223" w:lineRule="auto"/>
        <w:jc w:val="center"/>
        <w:rPr>
          <w:rFonts w:hint="eastAsia" w:ascii="宋体" w:hAnsi="宋体" w:eastAsia="宋体" w:cs="宋体"/>
          <w:b/>
          <w:bCs/>
          <w:color w:val="auto"/>
          <w:spacing w:val="2"/>
          <w:sz w:val="47"/>
          <w:szCs w:val="47"/>
          <w:highlight w:val="none"/>
        </w:rPr>
      </w:pPr>
      <w:bookmarkStart w:id="210" w:name="bookmark105"/>
      <w:bookmarkEnd w:id="210"/>
      <w:r>
        <w:rPr>
          <w:rFonts w:hint="eastAsia" w:ascii="宋体" w:hAnsi="宋体" w:eastAsia="宋体" w:cs="宋体"/>
          <w:b/>
          <w:bCs/>
          <w:color w:val="auto"/>
          <w:spacing w:val="2"/>
          <w:sz w:val="47"/>
          <w:szCs w:val="47"/>
          <w:highlight w:val="none"/>
        </w:rPr>
        <w:t>（商务标书／经济标书／施工组织设计）</w:t>
      </w:r>
    </w:p>
    <w:p w14:paraId="507FE0F9">
      <w:pPr>
        <w:bidi w:val="0"/>
        <w:rPr>
          <w:rFonts w:hint="eastAsia"/>
          <w:color w:val="auto"/>
          <w:highlight w:val="none"/>
        </w:rPr>
      </w:pPr>
    </w:p>
    <w:p w14:paraId="1258CA34">
      <w:pPr>
        <w:bidi w:val="0"/>
        <w:rPr>
          <w:rFonts w:hint="eastAsia"/>
          <w:color w:val="auto"/>
          <w:highlight w:val="none"/>
        </w:rPr>
      </w:pPr>
    </w:p>
    <w:p w14:paraId="6011C3D8">
      <w:pPr>
        <w:bidi w:val="0"/>
        <w:rPr>
          <w:rFonts w:hint="eastAsia"/>
          <w:color w:val="auto"/>
          <w:highlight w:val="none"/>
        </w:rPr>
      </w:pPr>
    </w:p>
    <w:p w14:paraId="37F301A3">
      <w:pPr>
        <w:bidi w:val="0"/>
        <w:rPr>
          <w:rFonts w:hint="eastAsia"/>
          <w:color w:val="auto"/>
          <w:highlight w:val="none"/>
        </w:rPr>
      </w:pPr>
    </w:p>
    <w:p w14:paraId="176B82A5">
      <w:pPr>
        <w:bidi w:val="0"/>
        <w:rPr>
          <w:rFonts w:hint="eastAsia"/>
          <w:color w:val="auto"/>
          <w:highlight w:val="none"/>
        </w:rPr>
      </w:pPr>
    </w:p>
    <w:p w14:paraId="082387D7">
      <w:pPr>
        <w:bidi w:val="0"/>
        <w:rPr>
          <w:rFonts w:hint="eastAsia"/>
          <w:color w:val="auto"/>
          <w:highlight w:val="none"/>
        </w:rPr>
      </w:pPr>
    </w:p>
    <w:p w14:paraId="4555BC89">
      <w:pPr>
        <w:bidi w:val="0"/>
        <w:rPr>
          <w:rFonts w:hint="eastAsia"/>
          <w:color w:val="auto"/>
          <w:highlight w:val="none"/>
        </w:rPr>
      </w:pPr>
    </w:p>
    <w:p w14:paraId="5C158398">
      <w:pPr>
        <w:bidi w:val="0"/>
        <w:rPr>
          <w:rFonts w:hint="eastAsia"/>
          <w:color w:val="auto"/>
          <w:highlight w:val="none"/>
        </w:rPr>
      </w:pPr>
    </w:p>
    <w:p w14:paraId="7B5A9BA0">
      <w:pPr>
        <w:pStyle w:val="38"/>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215929E0">
      <w:pPr>
        <w:pStyle w:val="38"/>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233B75EF">
      <w:pPr>
        <w:pStyle w:val="38"/>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3AB8C63">
      <w:pPr>
        <w:pStyle w:val="38"/>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0E4534D8">
      <w:pPr>
        <w:pStyle w:val="38"/>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7293E27">
      <w:pPr>
        <w:pStyle w:val="38"/>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2496E2BB">
      <w:pPr>
        <w:pStyle w:val="38"/>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A1606D9">
      <w:pPr>
        <w:bidi w:val="0"/>
        <w:rPr>
          <w:rFonts w:hint="eastAsia"/>
          <w:color w:val="auto"/>
          <w:highlight w:val="none"/>
        </w:rPr>
      </w:pPr>
    </w:p>
    <w:p w14:paraId="23E6A84C">
      <w:pPr>
        <w:outlineLvl w:val="9"/>
        <w:rPr>
          <w:rFonts w:hint="eastAsia"/>
          <w:color w:val="auto"/>
          <w:highlight w:val="none"/>
        </w:rPr>
      </w:pPr>
    </w:p>
    <w:p w14:paraId="5B28AB72">
      <w:pPr>
        <w:spacing w:line="223" w:lineRule="auto"/>
        <w:rPr>
          <w:rFonts w:hint="eastAsia" w:ascii="宋体" w:hAnsi="宋体" w:eastAsia="宋体" w:cs="宋体"/>
          <w:color w:val="auto"/>
          <w:sz w:val="47"/>
          <w:szCs w:val="47"/>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4A3B6A7">
      <w:pPr>
        <w:spacing w:before="78" w:line="220" w:lineRule="auto"/>
        <w:outlineLvl w:val="2"/>
        <w:rPr>
          <w:rFonts w:hint="eastAsia" w:ascii="宋体" w:hAnsi="宋体" w:eastAsia="宋体" w:cs="宋体"/>
          <w:b/>
          <w:bCs/>
          <w:color w:val="auto"/>
          <w:spacing w:val="-4"/>
          <w:sz w:val="24"/>
          <w:szCs w:val="24"/>
          <w:highlight w:val="none"/>
        </w:rPr>
      </w:pPr>
      <w:bookmarkStart w:id="211" w:name="_Toc23059"/>
      <w:r>
        <w:rPr>
          <w:rFonts w:hint="eastAsia" w:ascii="宋体" w:hAnsi="宋体" w:eastAsia="宋体" w:cs="宋体"/>
          <w:b/>
          <w:bCs/>
          <w:color w:val="auto"/>
          <w:spacing w:val="-4"/>
          <w:sz w:val="24"/>
          <w:szCs w:val="24"/>
          <w:highlight w:val="none"/>
        </w:rPr>
        <w:t>格式二 投标函</w:t>
      </w:r>
      <w:bookmarkEnd w:id="211"/>
    </w:p>
    <w:p w14:paraId="3A37F6C7">
      <w:pPr>
        <w:pStyle w:val="5"/>
        <w:spacing w:line="261" w:lineRule="auto"/>
        <w:rPr>
          <w:rFonts w:hint="eastAsia" w:ascii="宋体" w:hAnsi="宋体" w:eastAsia="宋体" w:cs="宋体"/>
          <w:color w:val="auto"/>
          <w:highlight w:val="none"/>
        </w:rPr>
      </w:pPr>
    </w:p>
    <w:p w14:paraId="45A81B1F">
      <w:pPr>
        <w:spacing w:before="97" w:line="221" w:lineRule="auto"/>
        <w:ind w:left="3799"/>
        <w:outlineLvl w:val="9"/>
        <w:rPr>
          <w:rFonts w:hint="eastAsia" w:ascii="宋体" w:hAnsi="宋体" w:eastAsia="宋体" w:cs="宋体"/>
          <w:color w:val="auto"/>
          <w:sz w:val="30"/>
          <w:szCs w:val="30"/>
          <w:highlight w:val="none"/>
        </w:rPr>
      </w:pPr>
      <w:bookmarkStart w:id="212" w:name="bookmark148"/>
      <w:bookmarkEnd w:id="212"/>
      <w:bookmarkStart w:id="213" w:name="_Toc297"/>
      <w:bookmarkStart w:id="214" w:name="_Toc317"/>
      <w:bookmarkStart w:id="215" w:name="_Toc2739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13"/>
      <w:bookmarkEnd w:id="214"/>
      <w:bookmarkEnd w:id="215"/>
    </w:p>
    <w:p w14:paraId="7874E16E">
      <w:pPr>
        <w:pStyle w:val="5"/>
        <w:spacing w:line="249" w:lineRule="auto"/>
        <w:rPr>
          <w:rFonts w:hint="eastAsia" w:ascii="宋体" w:hAnsi="宋体" w:eastAsia="宋体" w:cs="宋体"/>
          <w:color w:val="auto"/>
          <w:highlight w:val="none"/>
        </w:rPr>
      </w:pPr>
    </w:p>
    <w:p w14:paraId="75D83E64">
      <w:pPr>
        <w:pStyle w:val="5"/>
        <w:spacing w:line="250" w:lineRule="auto"/>
        <w:rPr>
          <w:rFonts w:hint="eastAsia" w:ascii="宋体" w:hAnsi="宋体" w:eastAsia="宋体" w:cs="宋体"/>
          <w:color w:val="auto"/>
          <w:highlight w:val="none"/>
        </w:rPr>
      </w:pPr>
    </w:p>
    <w:p w14:paraId="5FC5B2DC">
      <w:pPr>
        <w:pStyle w:val="5"/>
        <w:spacing w:line="250" w:lineRule="auto"/>
        <w:rPr>
          <w:rFonts w:hint="eastAsia" w:ascii="宋体" w:hAnsi="宋体" w:eastAsia="宋体" w:cs="宋体"/>
          <w:color w:val="auto"/>
          <w:highlight w:val="none"/>
        </w:rPr>
      </w:pPr>
    </w:p>
    <w:p w14:paraId="64EA3138">
      <w:pPr>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0506ED9A">
      <w:pPr>
        <w:pStyle w:val="5"/>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42232FD7">
      <w:pPr>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50640A5A">
      <w:pPr>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16" w:name="OLE_LINK34"/>
      <w:r>
        <w:rPr>
          <w:rFonts w:hint="eastAsia" w:ascii="宋体" w:hAnsi="宋体" w:eastAsia="宋体" w:cs="宋体"/>
          <w:color w:val="auto"/>
          <w:sz w:val="24"/>
          <w:szCs w:val="24"/>
          <w:highlight w:val="none"/>
          <w:u w:val="single"/>
          <w:lang w:val="en-US" w:eastAsia="zh-CN"/>
        </w:rPr>
        <w:t xml:space="preserve">     </w:t>
      </w:r>
      <w:bookmarkEnd w:id="216"/>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63DC731F">
      <w:pPr>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12CDD9D6">
      <w:pPr>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69028085">
      <w:pPr>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4D86EAF2">
      <w:pPr>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47668C44">
      <w:pPr>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13B4F1F2">
      <w:pPr>
        <w:pStyle w:val="5"/>
        <w:spacing w:line="276" w:lineRule="auto"/>
        <w:rPr>
          <w:rFonts w:hint="eastAsia" w:ascii="宋体" w:hAnsi="宋体" w:eastAsia="宋体" w:cs="宋体"/>
          <w:color w:val="auto"/>
          <w:highlight w:val="none"/>
        </w:rPr>
      </w:pPr>
    </w:p>
    <w:p w14:paraId="1831F436">
      <w:pPr>
        <w:pStyle w:val="5"/>
        <w:spacing w:line="277" w:lineRule="auto"/>
        <w:rPr>
          <w:rFonts w:hint="eastAsia" w:ascii="宋体" w:hAnsi="宋体" w:eastAsia="宋体" w:cs="宋体"/>
          <w:color w:val="auto"/>
          <w:highlight w:val="none"/>
        </w:rPr>
      </w:pPr>
    </w:p>
    <w:p w14:paraId="3AC7C5A8">
      <w:pPr>
        <w:pStyle w:val="5"/>
        <w:spacing w:line="277" w:lineRule="auto"/>
        <w:rPr>
          <w:rFonts w:hint="eastAsia" w:ascii="宋体" w:hAnsi="宋体" w:eastAsia="宋体" w:cs="宋体"/>
          <w:color w:val="auto"/>
          <w:highlight w:val="none"/>
        </w:rPr>
      </w:pPr>
    </w:p>
    <w:p w14:paraId="21D36DDF">
      <w:pPr>
        <w:spacing w:before="79" w:line="219" w:lineRule="auto"/>
        <w:ind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78B3688F">
      <w:pPr>
        <w:pStyle w:val="5"/>
        <w:spacing w:line="256" w:lineRule="auto"/>
        <w:jc w:val="right"/>
        <w:rPr>
          <w:rFonts w:hint="eastAsia" w:ascii="宋体" w:hAnsi="宋体" w:eastAsia="宋体" w:cs="宋体"/>
          <w:color w:val="auto"/>
          <w:highlight w:val="none"/>
        </w:rPr>
      </w:pPr>
    </w:p>
    <w:p w14:paraId="357977FD">
      <w:pPr>
        <w:pStyle w:val="5"/>
        <w:spacing w:line="256" w:lineRule="auto"/>
        <w:jc w:val="right"/>
        <w:rPr>
          <w:rFonts w:hint="eastAsia" w:ascii="宋体" w:hAnsi="宋体" w:eastAsia="宋体" w:cs="宋体"/>
          <w:color w:val="auto"/>
          <w:highlight w:val="none"/>
        </w:rPr>
      </w:pPr>
    </w:p>
    <w:p w14:paraId="053292DD">
      <w:pPr>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6662D32F">
      <w:pPr>
        <w:pStyle w:val="5"/>
        <w:spacing w:line="257" w:lineRule="auto"/>
        <w:rPr>
          <w:rFonts w:hint="eastAsia" w:ascii="宋体" w:hAnsi="宋体" w:eastAsia="宋体" w:cs="宋体"/>
          <w:color w:val="auto"/>
          <w:highlight w:val="none"/>
        </w:rPr>
      </w:pPr>
    </w:p>
    <w:p w14:paraId="070C60B1">
      <w:pPr>
        <w:pStyle w:val="5"/>
        <w:spacing w:line="257" w:lineRule="auto"/>
        <w:rPr>
          <w:rFonts w:hint="eastAsia" w:ascii="宋体" w:hAnsi="宋体" w:eastAsia="宋体" w:cs="宋体"/>
          <w:color w:val="auto"/>
          <w:highlight w:val="none"/>
        </w:rPr>
      </w:pPr>
    </w:p>
    <w:p w14:paraId="34941473">
      <w:pP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533951B9">
      <w:pPr>
        <w:spacing w:line="220" w:lineRule="auto"/>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45A9343">
      <w:pPr>
        <w:spacing w:before="78" w:line="220" w:lineRule="auto"/>
        <w:outlineLvl w:val="2"/>
        <w:rPr>
          <w:rFonts w:hint="eastAsia" w:ascii="宋体" w:hAnsi="宋体" w:eastAsia="宋体" w:cs="宋体"/>
          <w:b/>
          <w:bCs/>
          <w:color w:val="auto"/>
          <w:spacing w:val="-4"/>
          <w:sz w:val="24"/>
          <w:szCs w:val="24"/>
          <w:highlight w:val="none"/>
        </w:rPr>
      </w:pPr>
      <w:bookmarkStart w:id="217" w:name="_Toc16728"/>
      <w:r>
        <w:rPr>
          <w:rFonts w:hint="eastAsia" w:ascii="宋体" w:hAnsi="宋体" w:eastAsia="宋体" w:cs="宋体"/>
          <w:b/>
          <w:bCs/>
          <w:color w:val="auto"/>
          <w:spacing w:val="-4"/>
          <w:sz w:val="24"/>
          <w:szCs w:val="24"/>
          <w:highlight w:val="none"/>
        </w:rPr>
        <w:t>格式三 各项承诺一览表</w:t>
      </w:r>
      <w:bookmarkEnd w:id="217"/>
    </w:p>
    <w:p w14:paraId="0D7CCACD">
      <w:pPr>
        <w:pStyle w:val="5"/>
        <w:spacing w:line="254" w:lineRule="auto"/>
        <w:rPr>
          <w:rFonts w:hint="eastAsia" w:ascii="宋体" w:hAnsi="宋体" w:eastAsia="宋体" w:cs="宋体"/>
          <w:color w:val="auto"/>
          <w:highlight w:val="none"/>
        </w:rPr>
      </w:pPr>
    </w:p>
    <w:p w14:paraId="4A57AF5C">
      <w:pPr>
        <w:spacing w:before="98" w:line="220" w:lineRule="auto"/>
        <w:ind w:left="3581"/>
        <w:outlineLvl w:val="9"/>
        <w:rPr>
          <w:rFonts w:hint="eastAsia" w:ascii="宋体" w:hAnsi="宋体" w:eastAsia="宋体" w:cs="宋体"/>
          <w:color w:val="auto"/>
          <w:sz w:val="30"/>
          <w:szCs w:val="30"/>
          <w:highlight w:val="none"/>
        </w:rPr>
      </w:pPr>
      <w:bookmarkStart w:id="218" w:name="bookmark149"/>
      <w:bookmarkEnd w:id="218"/>
      <w:bookmarkStart w:id="219" w:name="_Toc4767"/>
      <w:bookmarkStart w:id="220" w:name="_Toc2936"/>
      <w:bookmarkStart w:id="221" w:name="_Toc10326"/>
      <w:r>
        <w:rPr>
          <w:rFonts w:hint="eastAsia" w:ascii="宋体" w:hAnsi="宋体" w:eastAsia="宋体" w:cs="宋体"/>
          <w:b/>
          <w:bCs/>
          <w:color w:val="auto"/>
          <w:spacing w:val="-5"/>
          <w:sz w:val="30"/>
          <w:szCs w:val="30"/>
          <w:highlight w:val="none"/>
        </w:rPr>
        <w:t>各项承诺一览表</w:t>
      </w:r>
      <w:bookmarkEnd w:id="219"/>
      <w:bookmarkEnd w:id="220"/>
      <w:bookmarkEnd w:id="221"/>
    </w:p>
    <w:p w14:paraId="1040ACDB">
      <w:pPr>
        <w:spacing w:before="6"/>
        <w:rPr>
          <w:rFonts w:hint="eastAsia" w:ascii="宋体" w:hAnsi="宋体" w:eastAsia="宋体" w:cs="宋体"/>
          <w:color w:val="auto"/>
          <w:highlight w:val="none"/>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3AFBAA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3932ED98">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6926247B">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19484B2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6E63E4">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68E03B">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F6DB51F">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0368CE1">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1A6424C5">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254A2E">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93C2F8C">
            <w:pPr>
              <w:keepNext w:val="0"/>
              <w:keepLines w:val="0"/>
              <w:pageBreakBefore w:val="0"/>
              <w:widowControl/>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top"/>
          </w:tcPr>
          <w:p w14:paraId="17F8556B">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8CCBC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3F01A048">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9167F8E">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B11ADA9">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46CB1AB">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AF5B">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5C670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05B3009D">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BE0188E">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65F625A">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AEEEEA">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top"/>
          </w:tcPr>
          <w:p w14:paraId="43B9FDAD">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E22312">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368A58B">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367FAD05">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AD0204">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FA5DE0">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0ED34B">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F741A1">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E73C6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38AD487">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2BBB59">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2454EE3">
            <w:pPr>
              <w:keepNext w:val="0"/>
              <w:keepLines w:val="0"/>
              <w:pageBreakBefore w:val="0"/>
              <w:widowControl/>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07205FD8">
            <w:pPr>
              <w:keepNext w:val="0"/>
              <w:keepLines w:val="0"/>
              <w:pageBreakBefore w:val="0"/>
              <w:widowControl/>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7DFCC592">
            <w:pPr>
              <w:keepNext w:val="0"/>
              <w:keepLines w:val="0"/>
              <w:pageBreakBefore w:val="0"/>
              <w:widowControl/>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top"/>
          </w:tcPr>
          <w:p w14:paraId="0DE69FDB">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D8D72D4">
            <w:pPr>
              <w:keepNext w:val="0"/>
              <w:keepLines w:val="0"/>
              <w:pageBreakBefore w:val="0"/>
              <w:widowControl/>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行为骗取中标。</w:t>
            </w:r>
          </w:p>
        </w:tc>
        <w:tc>
          <w:tcPr>
            <w:tcW w:w="4272" w:type="dxa"/>
            <w:vAlign w:val="top"/>
          </w:tcPr>
          <w:p w14:paraId="4589066B">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715187">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7D55ACF">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6165398">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45AC13">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089FA48">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43D837">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6278EE0E">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6255881">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D7BD82">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1D658BD">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C7A4BF8">
            <w:pPr>
              <w:keepNext w:val="0"/>
              <w:keepLines w:val="0"/>
              <w:pageBreakBefore w:val="0"/>
              <w:widowControl/>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任职承诺</w:t>
            </w:r>
          </w:p>
        </w:tc>
        <w:tc>
          <w:tcPr>
            <w:tcW w:w="3107" w:type="dxa"/>
            <w:vAlign w:val="top"/>
          </w:tcPr>
          <w:p w14:paraId="012273A7">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115F3C">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5A6B417">
            <w:pPr>
              <w:keepNext w:val="0"/>
              <w:keepLines w:val="0"/>
              <w:pageBreakBefore w:val="0"/>
              <w:widowControl/>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9"/>
                <w:sz w:val="24"/>
                <w:szCs w:val="24"/>
                <w:highlight w:val="none"/>
              </w:rPr>
              <w:t>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程项目的项目经理。</w:t>
            </w:r>
          </w:p>
        </w:tc>
        <w:tc>
          <w:tcPr>
            <w:tcW w:w="4272" w:type="dxa"/>
            <w:vAlign w:val="top"/>
          </w:tcPr>
          <w:p w14:paraId="39F4F1E7">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标未开工、已开工未竣工）建设工程项目的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0D4B7A">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74BABD">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2E61580">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349DADD9">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BB8079">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vAlign w:val="top"/>
          </w:tcPr>
          <w:p w14:paraId="48826E6A">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163C62">
            <w:pPr>
              <w:keepNext w:val="0"/>
              <w:keepLines w:val="0"/>
              <w:pageBreakBefore w:val="0"/>
              <w:widowControl/>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1583D5E0">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2E9A7FD4">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19FAAF4">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319FF4">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6D236227">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4"/>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29EF0155">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7937757">
            <w:pPr>
              <w:keepNext w:val="0"/>
              <w:keepLines w:val="0"/>
              <w:pageBreakBefore w:val="0"/>
              <w:widowControl/>
              <w:kinsoku w:val="0"/>
              <w:wordWrap/>
              <w:overflowPunct/>
              <w:topLinePunct w:val="0"/>
              <w:autoSpaceDE w:val="0"/>
              <w:autoSpaceDN w:val="0"/>
              <w:bidi w:val="0"/>
              <w:adjustRightInd w:val="0"/>
              <w:snapToGrid w:val="0"/>
              <w:spacing w:before="65" w:line="288" w:lineRule="auto"/>
              <w:ind w:left="3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20B01D17">
            <w:pPr>
              <w:keepNext w:val="0"/>
              <w:keepLines w:val="0"/>
              <w:pageBreakBefore w:val="0"/>
              <w:widowControl/>
              <w:kinsoku w:val="0"/>
              <w:wordWrap/>
              <w:overflowPunct/>
              <w:topLinePunct w:val="0"/>
              <w:autoSpaceDE w:val="0"/>
              <w:autoSpaceDN w:val="0"/>
              <w:bidi w:val="0"/>
              <w:adjustRightInd w:val="0"/>
              <w:snapToGrid w:val="0"/>
              <w:spacing w:before="132" w:line="288" w:lineRule="auto"/>
              <w:ind w:left="15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top"/>
          </w:tcPr>
          <w:p w14:paraId="6794C05C">
            <w:pPr>
              <w:keepNext w:val="0"/>
              <w:keepLines w:val="0"/>
              <w:pageBreakBefore w:val="0"/>
              <w:widowControl/>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2FBE142D">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73473CF0">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2D77463">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rPr>
            </w:pP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43BB7FA">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58368B">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890160C">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C89A79">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F010AA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10987C8F">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9332366">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2B67BD4">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743F6A">
            <w:pPr>
              <w:keepNext w:val="0"/>
              <w:keepLines w:val="0"/>
              <w:pageBreakBefore w:val="0"/>
              <w:widowControl/>
              <w:kinsoku w:val="0"/>
              <w:wordWrap/>
              <w:overflowPunct/>
              <w:topLinePunct w:val="0"/>
              <w:autoSpaceDE w:val="0"/>
              <w:autoSpaceDN w:val="0"/>
              <w:bidi w:val="0"/>
              <w:adjustRightInd w:val="0"/>
              <w:snapToGrid w:val="0"/>
              <w:spacing w:before="65" w:line="288" w:lineRule="auto"/>
              <w:ind w:left="281" w:right="158" w:hanging="1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top"/>
          </w:tcPr>
          <w:p w14:paraId="6339079D">
            <w:pPr>
              <w:keepNext w:val="0"/>
              <w:keepLines w:val="0"/>
              <w:pageBreakBefore w:val="0"/>
              <w:widowControl/>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8"/>
                <w:sz w:val="24"/>
                <w:szCs w:val="24"/>
                <w:highlight w:val="none"/>
              </w:rPr>
              <w:t>正常报价清单》加以确认。</w:t>
            </w:r>
          </w:p>
        </w:tc>
        <w:tc>
          <w:tcPr>
            <w:tcW w:w="4272" w:type="dxa"/>
            <w:vAlign w:val="top"/>
          </w:tcPr>
          <w:p w14:paraId="2AC2D7AD">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7C9BB7EC">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A5536F">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45103F">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rPr>
            </w:pP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565A70D">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474C16A">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05BF3F">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D5C170A">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4EE17AC8">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B363F9">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D741FFC">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4" w:right="158" w:hanging="10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top"/>
          </w:tcPr>
          <w:p w14:paraId="2F2EF5F6">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F103BD">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交履约保证。</w:t>
            </w:r>
          </w:p>
        </w:tc>
        <w:tc>
          <w:tcPr>
            <w:tcW w:w="4272" w:type="dxa"/>
            <w:vAlign w:val="top"/>
          </w:tcPr>
          <w:p w14:paraId="20F3BAEB">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04B7305">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C02A7C0">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B620D0E">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4F4C3A4">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8D2FFB">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3984E433">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46EB">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0D32F0">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127F03">
            <w:pPr>
              <w:keepNext w:val="0"/>
              <w:keepLines w:val="0"/>
              <w:pageBreakBefore w:val="0"/>
              <w:widowControl/>
              <w:kinsoku w:val="0"/>
              <w:wordWrap/>
              <w:overflowPunct/>
              <w:topLinePunct w:val="0"/>
              <w:autoSpaceDE w:val="0"/>
              <w:autoSpaceDN w:val="0"/>
              <w:bidi w:val="0"/>
              <w:adjustRightInd w:val="0"/>
              <w:snapToGrid w:val="0"/>
              <w:spacing w:before="65" w:line="288" w:lineRule="auto"/>
              <w:ind w:left="492" w:right="158" w:hanging="33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1"/>
                <w:sz w:val="24"/>
                <w:szCs w:val="24"/>
                <w:highlight w:val="none"/>
              </w:rPr>
              <w:t>的承诺</w:t>
            </w:r>
          </w:p>
        </w:tc>
        <w:tc>
          <w:tcPr>
            <w:tcW w:w="3107" w:type="dxa"/>
            <w:vAlign w:val="top"/>
          </w:tcPr>
          <w:p w14:paraId="45DF0271">
            <w:pPr>
              <w:pStyle w:val="20"/>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E5BA5A">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如果我方中标，我方保证在 </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93F81D5">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74877834">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749799CD">
      <w:pPr>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689D990C">
      <w:pPr>
        <w:pStyle w:val="5"/>
        <w:spacing w:line="297" w:lineRule="auto"/>
        <w:jc w:val="right"/>
        <w:rPr>
          <w:rFonts w:hint="eastAsia" w:ascii="宋体" w:hAnsi="宋体" w:eastAsia="宋体" w:cs="宋体"/>
          <w:color w:val="auto"/>
          <w:highlight w:val="none"/>
        </w:rPr>
      </w:pPr>
    </w:p>
    <w:p w14:paraId="17340BD8">
      <w:pP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9B90550">
      <w:pPr>
        <w:outlineLvl w:val="9"/>
        <w:rPr>
          <w:rFonts w:hint="eastAsia"/>
          <w:color w:val="auto"/>
          <w:highlight w:val="none"/>
        </w:rPr>
      </w:pPr>
    </w:p>
    <w:p w14:paraId="07DB3461">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A1F64DF">
      <w:pPr>
        <w:spacing w:line="220" w:lineRule="auto"/>
        <w:jc w:val="right"/>
        <w:rPr>
          <w:rFonts w:hint="eastAsia" w:ascii="宋体" w:hAnsi="宋体" w:eastAsia="宋体" w:cs="宋体"/>
          <w:color w:val="auto"/>
          <w:sz w:val="24"/>
          <w:szCs w:val="24"/>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BDCB018">
      <w:pPr>
        <w:spacing w:before="78" w:line="220" w:lineRule="auto"/>
        <w:outlineLvl w:val="2"/>
        <w:rPr>
          <w:rFonts w:hint="eastAsia" w:ascii="宋体" w:hAnsi="宋体" w:eastAsia="宋体" w:cs="宋体"/>
          <w:b/>
          <w:bCs/>
          <w:color w:val="auto"/>
          <w:spacing w:val="-4"/>
          <w:sz w:val="24"/>
          <w:szCs w:val="24"/>
          <w:highlight w:val="none"/>
        </w:rPr>
      </w:pPr>
      <w:bookmarkStart w:id="222" w:name="_Toc24663"/>
      <w:r>
        <w:rPr>
          <w:rFonts w:hint="eastAsia" w:ascii="宋体" w:hAnsi="宋体" w:eastAsia="宋体" w:cs="宋体"/>
          <w:b/>
          <w:bCs/>
          <w:color w:val="auto"/>
          <w:spacing w:val="-4"/>
          <w:sz w:val="24"/>
          <w:szCs w:val="24"/>
          <w:highlight w:val="none"/>
        </w:rPr>
        <w:t>格式四 授权委托书</w:t>
      </w:r>
      <w:bookmarkEnd w:id="222"/>
    </w:p>
    <w:p w14:paraId="6CD0F9BB">
      <w:pPr>
        <w:pStyle w:val="5"/>
        <w:spacing w:line="351" w:lineRule="auto"/>
        <w:rPr>
          <w:rFonts w:hint="eastAsia" w:ascii="宋体" w:hAnsi="宋体" w:eastAsia="宋体" w:cs="宋体"/>
          <w:color w:val="auto"/>
          <w:highlight w:val="none"/>
        </w:rPr>
      </w:pPr>
    </w:p>
    <w:p w14:paraId="18A875F0">
      <w:pPr>
        <w:pStyle w:val="5"/>
        <w:spacing w:line="351" w:lineRule="auto"/>
        <w:rPr>
          <w:rFonts w:hint="eastAsia" w:ascii="宋体" w:hAnsi="宋体" w:eastAsia="宋体" w:cs="宋体"/>
          <w:color w:val="auto"/>
          <w:highlight w:val="none"/>
        </w:rPr>
      </w:pPr>
    </w:p>
    <w:p w14:paraId="7EF079A3">
      <w:pPr>
        <w:spacing w:before="97" w:line="219" w:lineRule="auto"/>
        <w:ind w:left="3786"/>
        <w:rPr>
          <w:rFonts w:hint="eastAsia" w:ascii="宋体" w:hAnsi="宋体" w:eastAsia="宋体" w:cs="宋体"/>
          <w:color w:val="auto"/>
          <w:sz w:val="30"/>
          <w:szCs w:val="30"/>
          <w:highlight w:val="none"/>
        </w:rPr>
      </w:pPr>
      <w:bookmarkStart w:id="223" w:name="bookmark151"/>
      <w:bookmarkEnd w:id="223"/>
      <w:r>
        <w:rPr>
          <w:rFonts w:hint="eastAsia" w:ascii="宋体" w:hAnsi="宋体" w:eastAsia="宋体" w:cs="宋体"/>
          <w:b/>
          <w:bCs/>
          <w:color w:val="auto"/>
          <w:spacing w:val="-5"/>
          <w:sz w:val="30"/>
          <w:szCs w:val="30"/>
          <w:highlight w:val="none"/>
        </w:rPr>
        <w:t>授权委托书</w:t>
      </w:r>
    </w:p>
    <w:p w14:paraId="473B7E5C">
      <w:pPr>
        <w:pStyle w:val="5"/>
        <w:spacing w:line="250" w:lineRule="auto"/>
        <w:rPr>
          <w:rFonts w:hint="eastAsia" w:ascii="宋体" w:hAnsi="宋体" w:eastAsia="宋体" w:cs="宋体"/>
          <w:color w:val="auto"/>
          <w:highlight w:val="none"/>
        </w:rPr>
      </w:pPr>
    </w:p>
    <w:p w14:paraId="72DA4D73">
      <w:pPr>
        <w:pStyle w:val="5"/>
        <w:spacing w:line="250" w:lineRule="auto"/>
        <w:rPr>
          <w:rFonts w:hint="eastAsia" w:ascii="宋体" w:hAnsi="宋体" w:eastAsia="宋体" w:cs="宋体"/>
          <w:color w:val="auto"/>
          <w:highlight w:val="none"/>
        </w:rPr>
      </w:pPr>
    </w:p>
    <w:p w14:paraId="18BC7C34">
      <w:pPr>
        <w:pStyle w:val="5"/>
        <w:spacing w:line="251" w:lineRule="auto"/>
        <w:rPr>
          <w:rFonts w:hint="eastAsia" w:ascii="宋体" w:hAnsi="宋体" w:eastAsia="宋体" w:cs="宋体"/>
          <w:color w:val="auto"/>
          <w:highlight w:val="none"/>
        </w:rPr>
      </w:pPr>
    </w:p>
    <w:p w14:paraId="09C2E563">
      <w:pPr>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施工投标文件、签订合同和处理有关事宜，其法律后果由我方承担。</w:t>
      </w:r>
    </w:p>
    <w:p w14:paraId="2CE40362">
      <w:pPr>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2D61A797">
      <w:pPr>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1E74F1A2">
      <w:pPr>
        <w:pStyle w:val="5"/>
        <w:spacing w:line="276" w:lineRule="auto"/>
        <w:rPr>
          <w:rFonts w:hint="eastAsia" w:ascii="宋体" w:hAnsi="宋体" w:eastAsia="宋体" w:cs="宋体"/>
          <w:color w:val="auto"/>
          <w:highlight w:val="none"/>
        </w:rPr>
      </w:pPr>
    </w:p>
    <w:p w14:paraId="2A536516">
      <w:pPr>
        <w:pStyle w:val="5"/>
        <w:spacing w:line="277" w:lineRule="auto"/>
        <w:rPr>
          <w:rFonts w:hint="eastAsia" w:ascii="宋体" w:hAnsi="宋体" w:eastAsia="宋体" w:cs="宋体"/>
          <w:color w:val="auto"/>
          <w:highlight w:val="none"/>
        </w:rPr>
      </w:pPr>
    </w:p>
    <w:p w14:paraId="1CDFB82E">
      <w:pPr>
        <w:pStyle w:val="5"/>
        <w:spacing w:line="277" w:lineRule="auto"/>
        <w:rPr>
          <w:rFonts w:hint="eastAsia" w:ascii="宋体" w:hAnsi="宋体" w:eastAsia="宋体" w:cs="宋体"/>
          <w:color w:val="auto"/>
          <w:highlight w:val="none"/>
        </w:rPr>
      </w:pPr>
    </w:p>
    <w:p w14:paraId="6D45D633">
      <w:pPr>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63BD962A">
      <w:pPr>
        <w:pStyle w:val="5"/>
        <w:spacing w:line="317" w:lineRule="auto"/>
        <w:jc w:val="right"/>
        <w:rPr>
          <w:rFonts w:hint="eastAsia" w:ascii="宋体" w:hAnsi="宋体" w:eastAsia="宋体" w:cs="宋体"/>
          <w:color w:val="auto"/>
          <w:highlight w:val="none"/>
        </w:rPr>
      </w:pPr>
    </w:p>
    <w:p w14:paraId="57132AE9">
      <w:pPr>
        <w:pStyle w:val="5"/>
        <w:spacing w:line="317" w:lineRule="auto"/>
        <w:jc w:val="right"/>
        <w:rPr>
          <w:rFonts w:hint="eastAsia" w:ascii="宋体" w:hAnsi="宋体" w:eastAsia="宋体" w:cs="宋体"/>
          <w:color w:val="auto"/>
          <w:highlight w:val="none"/>
        </w:rPr>
      </w:pPr>
    </w:p>
    <w:p w14:paraId="32FCF699">
      <w:pPr>
        <w:pStyle w:val="5"/>
        <w:spacing w:line="317" w:lineRule="auto"/>
        <w:jc w:val="right"/>
        <w:rPr>
          <w:rFonts w:hint="eastAsia" w:ascii="宋体" w:hAnsi="宋体" w:eastAsia="宋体" w:cs="宋体"/>
          <w:color w:val="auto"/>
          <w:highlight w:val="none"/>
        </w:rPr>
      </w:pPr>
    </w:p>
    <w:p w14:paraId="0C20E36F">
      <w:pPr>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2807F6C8">
      <w:pPr>
        <w:pStyle w:val="5"/>
        <w:spacing w:line="317" w:lineRule="auto"/>
        <w:jc w:val="right"/>
        <w:rPr>
          <w:rFonts w:hint="eastAsia" w:ascii="宋体" w:hAnsi="宋体" w:eastAsia="宋体" w:cs="宋体"/>
          <w:color w:val="auto"/>
          <w:highlight w:val="none"/>
        </w:rPr>
      </w:pPr>
    </w:p>
    <w:p w14:paraId="6B89A96E">
      <w:pPr>
        <w:pStyle w:val="5"/>
        <w:spacing w:line="317" w:lineRule="auto"/>
        <w:jc w:val="right"/>
        <w:rPr>
          <w:rFonts w:hint="eastAsia" w:ascii="宋体" w:hAnsi="宋体" w:eastAsia="宋体" w:cs="宋体"/>
          <w:color w:val="auto"/>
          <w:highlight w:val="none"/>
        </w:rPr>
      </w:pPr>
    </w:p>
    <w:p w14:paraId="52524FDC">
      <w:pPr>
        <w:pStyle w:val="5"/>
        <w:spacing w:line="317" w:lineRule="auto"/>
        <w:jc w:val="right"/>
        <w:rPr>
          <w:rFonts w:hint="eastAsia" w:ascii="宋体" w:hAnsi="宋体" w:eastAsia="宋体" w:cs="宋体"/>
          <w:color w:val="auto"/>
          <w:highlight w:val="none"/>
        </w:rPr>
      </w:pPr>
    </w:p>
    <w:p w14:paraId="414B89CB">
      <w:pPr>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085218DE">
      <w:pPr>
        <w:pStyle w:val="5"/>
        <w:spacing w:line="256" w:lineRule="auto"/>
        <w:jc w:val="right"/>
        <w:rPr>
          <w:rFonts w:hint="eastAsia" w:ascii="宋体" w:hAnsi="宋体" w:eastAsia="宋体" w:cs="宋体"/>
          <w:color w:val="auto"/>
          <w:highlight w:val="none"/>
        </w:rPr>
      </w:pPr>
    </w:p>
    <w:p w14:paraId="635562C0">
      <w:pPr>
        <w:pStyle w:val="5"/>
        <w:spacing w:line="256" w:lineRule="auto"/>
        <w:jc w:val="right"/>
        <w:rPr>
          <w:rFonts w:hint="eastAsia" w:ascii="宋体" w:hAnsi="宋体" w:eastAsia="宋体" w:cs="宋体"/>
          <w:color w:val="auto"/>
          <w:highlight w:val="none"/>
        </w:rPr>
      </w:pPr>
    </w:p>
    <w:p w14:paraId="27218817">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F294533">
      <w:pPr>
        <w:spacing w:before="78" w:line="220" w:lineRule="auto"/>
        <w:ind w:left="4201"/>
        <w:jc w:val="right"/>
        <w:rPr>
          <w:rFonts w:hint="eastAsia" w:ascii="宋体" w:hAnsi="宋体" w:eastAsia="宋体" w:cs="宋体"/>
          <w:color w:val="auto"/>
          <w:sz w:val="24"/>
          <w:szCs w:val="24"/>
          <w:highlight w:val="none"/>
        </w:rPr>
      </w:pPr>
    </w:p>
    <w:p w14:paraId="3A4AD89C">
      <w:pPr>
        <w:spacing w:before="69"/>
        <w:rPr>
          <w:rFonts w:hint="eastAsia" w:ascii="宋体" w:hAnsi="宋体" w:eastAsia="宋体" w:cs="宋体"/>
          <w:color w:val="auto"/>
          <w:highlight w:val="none"/>
        </w:rPr>
      </w:pPr>
    </w:p>
    <w:p w14:paraId="363508E1">
      <w:pPr>
        <w:spacing w:before="69"/>
        <w:rPr>
          <w:rFonts w:hint="eastAsia" w:ascii="宋体" w:hAnsi="宋体" w:eastAsia="宋体" w:cs="宋体"/>
          <w:color w:val="auto"/>
          <w:highlight w:val="none"/>
        </w:rPr>
      </w:pPr>
    </w:p>
    <w:tbl>
      <w:tblPr>
        <w:tblStyle w:val="14"/>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727B0D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49F11E44">
            <w:pPr>
              <w:pStyle w:val="20"/>
              <w:spacing w:line="245" w:lineRule="auto"/>
              <w:rPr>
                <w:rFonts w:hint="eastAsia" w:ascii="宋体" w:hAnsi="宋体" w:eastAsia="宋体" w:cs="宋体"/>
                <w:color w:val="auto"/>
                <w:highlight w:val="none"/>
              </w:rPr>
            </w:pPr>
          </w:p>
          <w:p w14:paraId="3EAC8CC5">
            <w:pPr>
              <w:pStyle w:val="20"/>
              <w:spacing w:line="245" w:lineRule="auto"/>
              <w:rPr>
                <w:rFonts w:hint="eastAsia" w:ascii="宋体" w:hAnsi="宋体" w:eastAsia="宋体" w:cs="宋体"/>
                <w:color w:val="auto"/>
                <w:highlight w:val="none"/>
              </w:rPr>
            </w:pPr>
          </w:p>
          <w:p w14:paraId="19684FD2">
            <w:pPr>
              <w:pStyle w:val="20"/>
              <w:spacing w:line="245" w:lineRule="auto"/>
              <w:rPr>
                <w:rFonts w:hint="eastAsia" w:ascii="宋体" w:hAnsi="宋体" w:eastAsia="宋体" w:cs="宋体"/>
                <w:color w:val="auto"/>
                <w:highlight w:val="none"/>
              </w:rPr>
            </w:pPr>
          </w:p>
          <w:p w14:paraId="7DA52306">
            <w:pPr>
              <w:pStyle w:val="20"/>
              <w:spacing w:line="245" w:lineRule="auto"/>
              <w:rPr>
                <w:rFonts w:hint="eastAsia" w:ascii="宋体" w:hAnsi="宋体" w:eastAsia="宋体" w:cs="宋体"/>
                <w:color w:val="auto"/>
                <w:highlight w:val="none"/>
              </w:rPr>
            </w:pPr>
          </w:p>
          <w:p w14:paraId="2B4D522A">
            <w:pPr>
              <w:pStyle w:val="20"/>
              <w:spacing w:line="245" w:lineRule="auto"/>
              <w:rPr>
                <w:rFonts w:hint="eastAsia" w:ascii="宋体" w:hAnsi="宋体" w:eastAsia="宋体" w:cs="宋体"/>
                <w:color w:val="auto"/>
                <w:highlight w:val="none"/>
              </w:rPr>
            </w:pPr>
          </w:p>
          <w:p w14:paraId="6375CF52">
            <w:pPr>
              <w:pStyle w:val="20"/>
              <w:spacing w:line="245" w:lineRule="auto"/>
              <w:rPr>
                <w:rFonts w:hint="eastAsia" w:ascii="宋体" w:hAnsi="宋体" w:eastAsia="宋体" w:cs="宋体"/>
                <w:color w:val="auto"/>
                <w:highlight w:val="none"/>
              </w:rPr>
            </w:pPr>
          </w:p>
          <w:p w14:paraId="761F0736">
            <w:pPr>
              <w:pStyle w:val="20"/>
              <w:spacing w:line="246" w:lineRule="auto"/>
              <w:rPr>
                <w:rFonts w:hint="eastAsia" w:ascii="宋体" w:hAnsi="宋体" w:eastAsia="宋体" w:cs="宋体"/>
                <w:color w:val="auto"/>
                <w:highlight w:val="none"/>
              </w:rPr>
            </w:pPr>
          </w:p>
          <w:p w14:paraId="14498540">
            <w:pPr>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382D26B2">
      <w:pPr>
        <w:pStyle w:val="5"/>
        <w:rPr>
          <w:rFonts w:hint="eastAsia" w:ascii="宋体" w:hAnsi="宋体" w:eastAsia="宋体" w:cs="宋体"/>
          <w:color w:val="auto"/>
          <w:highlight w:val="none"/>
        </w:rPr>
      </w:pPr>
    </w:p>
    <w:p w14:paraId="2F0066E9">
      <w:pPr>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DAC3638">
      <w:pPr>
        <w:spacing w:before="78" w:line="220" w:lineRule="auto"/>
        <w:outlineLvl w:val="2"/>
        <w:rPr>
          <w:rFonts w:hint="eastAsia" w:ascii="宋体" w:hAnsi="宋体" w:eastAsia="宋体" w:cs="宋体"/>
          <w:b/>
          <w:bCs/>
          <w:color w:val="auto"/>
          <w:spacing w:val="-4"/>
          <w:sz w:val="24"/>
          <w:szCs w:val="24"/>
          <w:highlight w:val="none"/>
        </w:rPr>
      </w:pPr>
      <w:bookmarkStart w:id="224" w:name="_Toc24290"/>
      <w:r>
        <w:rPr>
          <w:rFonts w:hint="eastAsia" w:ascii="宋体" w:hAnsi="宋体" w:eastAsia="宋体" w:cs="宋体"/>
          <w:b/>
          <w:bCs/>
          <w:color w:val="auto"/>
          <w:spacing w:val="-4"/>
          <w:sz w:val="24"/>
          <w:szCs w:val="24"/>
          <w:highlight w:val="none"/>
        </w:rPr>
        <w:t>格式五 法定代表人身份证明</w:t>
      </w:r>
      <w:bookmarkEnd w:id="224"/>
    </w:p>
    <w:p w14:paraId="2DA7024D">
      <w:pPr>
        <w:pStyle w:val="5"/>
        <w:spacing w:line="350" w:lineRule="auto"/>
        <w:rPr>
          <w:rFonts w:hint="eastAsia" w:ascii="宋体" w:hAnsi="宋体" w:eastAsia="宋体" w:cs="宋体"/>
          <w:color w:val="auto"/>
          <w:highlight w:val="none"/>
        </w:rPr>
      </w:pPr>
    </w:p>
    <w:p w14:paraId="0868334D">
      <w:pPr>
        <w:pStyle w:val="5"/>
        <w:spacing w:line="350" w:lineRule="auto"/>
        <w:rPr>
          <w:rFonts w:hint="eastAsia" w:ascii="宋体" w:hAnsi="宋体" w:eastAsia="宋体" w:cs="宋体"/>
          <w:color w:val="auto"/>
          <w:highlight w:val="none"/>
        </w:rPr>
      </w:pPr>
    </w:p>
    <w:p w14:paraId="5209C7D3">
      <w:pPr>
        <w:spacing w:before="98" w:line="220" w:lineRule="auto"/>
        <w:ind w:left="3183"/>
        <w:rPr>
          <w:rFonts w:hint="eastAsia" w:ascii="宋体" w:hAnsi="宋体" w:eastAsia="宋体" w:cs="宋体"/>
          <w:color w:val="auto"/>
          <w:sz w:val="30"/>
          <w:szCs w:val="30"/>
          <w:highlight w:val="none"/>
        </w:rPr>
      </w:pPr>
      <w:bookmarkStart w:id="225" w:name="bookmark152"/>
      <w:bookmarkEnd w:id="225"/>
      <w:r>
        <w:rPr>
          <w:rFonts w:hint="eastAsia" w:ascii="宋体" w:hAnsi="宋体" w:eastAsia="宋体" w:cs="宋体"/>
          <w:b/>
          <w:bCs/>
          <w:color w:val="auto"/>
          <w:spacing w:val="-4"/>
          <w:sz w:val="30"/>
          <w:szCs w:val="30"/>
          <w:highlight w:val="none"/>
        </w:rPr>
        <w:t>法定代表人身份证明</w:t>
      </w:r>
    </w:p>
    <w:p w14:paraId="136F935F">
      <w:pPr>
        <w:pStyle w:val="5"/>
        <w:spacing w:line="250" w:lineRule="auto"/>
        <w:rPr>
          <w:rFonts w:hint="eastAsia" w:ascii="宋体" w:hAnsi="宋体" w:eastAsia="宋体" w:cs="宋体"/>
          <w:color w:val="auto"/>
          <w:highlight w:val="none"/>
        </w:rPr>
      </w:pPr>
    </w:p>
    <w:p w14:paraId="2E1E9E2A">
      <w:pPr>
        <w:pStyle w:val="5"/>
        <w:spacing w:line="250" w:lineRule="auto"/>
        <w:rPr>
          <w:rFonts w:hint="eastAsia" w:ascii="宋体" w:hAnsi="宋体" w:eastAsia="宋体" w:cs="宋体"/>
          <w:color w:val="auto"/>
          <w:highlight w:val="none"/>
        </w:rPr>
      </w:pPr>
    </w:p>
    <w:p w14:paraId="6ABEAEB7">
      <w:pPr>
        <w:pStyle w:val="5"/>
        <w:spacing w:line="251" w:lineRule="auto"/>
        <w:rPr>
          <w:rFonts w:hint="eastAsia" w:ascii="宋体" w:hAnsi="宋体" w:eastAsia="宋体" w:cs="宋体"/>
          <w:color w:val="auto"/>
          <w:highlight w:val="none"/>
        </w:rPr>
      </w:pPr>
    </w:p>
    <w:p w14:paraId="766EA4CD">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2A539E30">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431001FF">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3FB51469">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3B4AAF0B">
      <w:pPr>
        <w:pStyle w:val="5"/>
        <w:spacing w:line="277" w:lineRule="auto"/>
        <w:rPr>
          <w:rFonts w:hint="eastAsia" w:ascii="宋体" w:hAnsi="宋体" w:eastAsia="宋体" w:cs="宋体"/>
          <w:color w:val="auto"/>
          <w:highlight w:val="none"/>
        </w:rPr>
      </w:pPr>
    </w:p>
    <w:p w14:paraId="6D7B4DE3">
      <w:pPr>
        <w:pStyle w:val="5"/>
        <w:spacing w:line="277" w:lineRule="auto"/>
        <w:rPr>
          <w:rFonts w:hint="eastAsia" w:ascii="宋体" w:hAnsi="宋体" w:eastAsia="宋体" w:cs="宋体"/>
          <w:color w:val="auto"/>
          <w:highlight w:val="none"/>
        </w:rPr>
      </w:pPr>
    </w:p>
    <w:p w14:paraId="2D9D6E99">
      <w:pPr>
        <w:pStyle w:val="5"/>
        <w:spacing w:line="278" w:lineRule="auto"/>
        <w:rPr>
          <w:rFonts w:hint="eastAsia" w:ascii="宋体" w:hAnsi="宋体" w:eastAsia="宋体" w:cs="宋体"/>
          <w:color w:val="auto"/>
          <w:highlight w:val="none"/>
        </w:rPr>
      </w:pPr>
    </w:p>
    <w:p w14:paraId="125D92B0">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027B6A92">
      <w:pPr>
        <w:pStyle w:val="5"/>
        <w:spacing w:line="317" w:lineRule="auto"/>
        <w:jc w:val="right"/>
        <w:rPr>
          <w:rFonts w:hint="eastAsia" w:ascii="宋体" w:hAnsi="宋体" w:eastAsia="宋体" w:cs="宋体"/>
          <w:color w:val="auto"/>
          <w:highlight w:val="none"/>
        </w:rPr>
      </w:pPr>
    </w:p>
    <w:p w14:paraId="6F4B4B3A">
      <w:pPr>
        <w:pStyle w:val="5"/>
        <w:spacing w:line="317" w:lineRule="auto"/>
        <w:jc w:val="right"/>
        <w:rPr>
          <w:rFonts w:hint="eastAsia" w:ascii="宋体" w:hAnsi="宋体" w:eastAsia="宋体" w:cs="宋体"/>
          <w:color w:val="auto"/>
          <w:highlight w:val="none"/>
        </w:rPr>
      </w:pPr>
    </w:p>
    <w:p w14:paraId="1110A429">
      <w:pPr>
        <w:pStyle w:val="5"/>
        <w:spacing w:line="317" w:lineRule="auto"/>
        <w:jc w:val="right"/>
        <w:rPr>
          <w:rFonts w:hint="eastAsia" w:ascii="宋体" w:hAnsi="宋体" w:eastAsia="宋体" w:cs="宋体"/>
          <w:color w:val="auto"/>
          <w:highlight w:val="none"/>
        </w:rPr>
      </w:pPr>
    </w:p>
    <w:p w14:paraId="0997B4DF">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2F193EB">
      <w:pPr>
        <w:pStyle w:val="5"/>
        <w:spacing w:line="257" w:lineRule="auto"/>
        <w:jc w:val="right"/>
        <w:rPr>
          <w:rFonts w:hint="eastAsia" w:ascii="宋体" w:hAnsi="宋体" w:eastAsia="宋体" w:cs="宋体"/>
          <w:color w:val="auto"/>
          <w:highlight w:val="none"/>
        </w:rPr>
      </w:pPr>
    </w:p>
    <w:p w14:paraId="407142E8">
      <w:pPr>
        <w:pStyle w:val="5"/>
        <w:spacing w:line="257" w:lineRule="auto"/>
        <w:jc w:val="right"/>
        <w:rPr>
          <w:rFonts w:hint="eastAsia" w:ascii="宋体" w:hAnsi="宋体" w:eastAsia="宋体" w:cs="宋体"/>
          <w:color w:val="auto"/>
          <w:highlight w:val="none"/>
        </w:rPr>
      </w:pPr>
    </w:p>
    <w:p w14:paraId="0A27F30D">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BF375B2">
      <w:pPr>
        <w:pStyle w:val="5"/>
        <w:spacing w:line="254" w:lineRule="auto"/>
        <w:rPr>
          <w:rFonts w:hint="eastAsia" w:ascii="宋体" w:hAnsi="宋体" w:eastAsia="宋体" w:cs="宋体"/>
          <w:color w:val="auto"/>
          <w:highlight w:val="none"/>
        </w:rPr>
      </w:pPr>
    </w:p>
    <w:p w14:paraId="03AC5067">
      <w:pPr>
        <w:pStyle w:val="5"/>
        <w:spacing w:line="254" w:lineRule="auto"/>
        <w:rPr>
          <w:rFonts w:hint="eastAsia" w:ascii="宋体" w:hAnsi="宋体" w:eastAsia="宋体" w:cs="宋体"/>
          <w:color w:val="auto"/>
          <w:highlight w:val="none"/>
        </w:rPr>
      </w:pPr>
    </w:p>
    <w:p w14:paraId="36A90F84">
      <w:pPr>
        <w:pStyle w:val="5"/>
        <w:spacing w:line="254" w:lineRule="auto"/>
        <w:rPr>
          <w:rFonts w:hint="eastAsia" w:ascii="宋体" w:hAnsi="宋体" w:eastAsia="宋体" w:cs="宋体"/>
          <w:color w:val="auto"/>
          <w:highlight w:val="none"/>
        </w:rPr>
      </w:pPr>
    </w:p>
    <w:p w14:paraId="259164D9">
      <w:pPr>
        <w:pStyle w:val="5"/>
        <w:spacing w:line="254" w:lineRule="auto"/>
        <w:rPr>
          <w:rFonts w:hint="eastAsia" w:ascii="宋体" w:hAnsi="宋体" w:eastAsia="宋体" w:cs="宋体"/>
          <w:color w:val="auto"/>
          <w:highlight w:val="none"/>
        </w:rPr>
      </w:pPr>
    </w:p>
    <w:p w14:paraId="0C625CC7">
      <w:pPr>
        <w:pStyle w:val="5"/>
        <w:spacing w:line="255" w:lineRule="auto"/>
        <w:rPr>
          <w:rFonts w:hint="eastAsia" w:ascii="宋体" w:hAnsi="宋体" w:eastAsia="宋体" w:cs="宋体"/>
          <w:color w:val="auto"/>
          <w:highlight w:val="none"/>
        </w:rPr>
      </w:pPr>
    </w:p>
    <w:p w14:paraId="1979E48F">
      <w:pPr>
        <w:pStyle w:val="5"/>
        <w:spacing w:line="255" w:lineRule="auto"/>
        <w:rPr>
          <w:rFonts w:hint="eastAsia" w:ascii="宋体" w:hAnsi="宋体" w:eastAsia="宋体" w:cs="宋体"/>
          <w:color w:val="auto"/>
          <w:highlight w:val="none"/>
        </w:rPr>
      </w:pPr>
    </w:p>
    <w:p w14:paraId="6E23282B">
      <w:pPr>
        <w:pStyle w:val="5"/>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5"/>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5"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1936323">
      <w:pPr>
        <w:spacing w:line="2510" w:lineRule="exact"/>
        <w:rPr>
          <w:rFonts w:hint="eastAsia" w:ascii="宋体" w:hAnsi="宋体" w:eastAsia="宋体" w:cs="宋体"/>
          <w:color w:val="auto"/>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72FF65F">
      <w:pPr>
        <w:spacing w:before="78" w:line="220" w:lineRule="auto"/>
        <w:outlineLvl w:val="2"/>
        <w:rPr>
          <w:rFonts w:hint="eastAsia" w:ascii="宋体" w:hAnsi="宋体" w:eastAsia="宋体" w:cs="宋体"/>
          <w:b/>
          <w:bCs/>
          <w:color w:val="auto"/>
          <w:spacing w:val="-4"/>
          <w:sz w:val="24"/>
          <w:szCs w:val="24"/>
          <w:highlight w:val="none"/>
        </w:rPr>
      </w:pPr>
      <w:bookmarkStart w:id="226" w:name="_Toc733"/>
      <w:r>
        <w:rPr>
          <w:rFonts w:hint="eastAsia" w:ascii="宋体" w:hAnsi="宋体" w:eastAsia="宋体" w:cs="宋体"/>
          <w:b/>
          <w:bCs/>
          <w:color w:val="auto"/>
          <w:spacing w:val="-4"/>
          <w:sz w:val="24"/>
          <w:szCs w:val="24"/>
          <w:highlight w:val="none"/>
        </w:rPr>
        <w:t>格式六 联合体协议书</w:t>
      </w:r>
      <w:bookmarkEnd w:id="226"/>
    </w:p>
    <w:p w14:paraId="48BC7635">
      <w:pPr>
        <w:spacing w:before="98" w:line="219" w:lineRule="auto"/>
        <w:ind w:left="3638"/>
        <w:rPr>
          <w:rFonts w:hint="eastAsia" w:ascii="宋体" w:hAnsi="宋体" w:eastAsia="宋体" w:cs="宋体"/>
          <w:color w:val="auto"/>
          <w:sz w:val="30"/>
          <w:szCs w:val="30"/>
          <w:highlight w:val="none"/>
        </w:rPr>
      </w:pPr>
      <w:bookmarkStart w:id="227" w:name="bookmark153"/>
      <w:bookmarkEnd w:id="227"/>
      <w:r>
        <w:rPr>
          <w:rFonts w:hint="eastAsia" w:ascii="宋体" w:hAnsi="宋体" w:eastAsia="宋体" w:cs="宋体"/>
          <w:b/>
          <w:bCs/>
          <w:color w:val="auto"/>
          <w:spacing w:val="-5"/>
          <w:sz w:val="30"/>
          <w:szCs w:val="30"/>
          <w:highlight w:val="none"/>
        </w:rPr>
        <w:t>联合体协议书</w:t>
      </w:r>
    </w:p>
    <w:p w14:paraId="2AC3F97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C796E14">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78BE601B">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04808BC7">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2D6BB855">
      <w:pPr>
        <w:outlineLvl w:val="9"/>
        <w:rPr>
          <w:rFonts w:hint="eastAsia"/>
          <w:color w:val="auto"/>
          <w:highlight w:val="none"/>
        </w:rPr>
      </w:pPr>
    </w:p>
    <w:p w14:paraId="1E8287CD">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7C1025DC">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391F3F76">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1A5AB485">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6DDA5343">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合体投标事宜订立如下协议：</w:t>
      </w:r>
    </w:p>
    <w:p w14:paraId="35E1AD38">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06B53A35">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的一切事务；联合体中标后，联合体牵头人负责合同订立和合同实施阶段的主办、组织</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和协调工作。</w:t>
      </w:r>
    </w:p>
    <w:p w14:paraId="4950AC5C">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
          <w:sz w:val="24"/>
          <w:szCs w:val="24"/>
          <w:highlight w:val="none"/>
        </w:rPr>
        <w:t>分，承担各自所负的责任和风险，并向招标人承担连带责任。</w:t>
      </w:r>
    </w:p>
    <w:p w14:paraId="64C4A26A">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228" w:name="_Toc32149"/>
      <w:bookmarkStart w:id="229" w:name="_Toc5365"/>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228"/>
      <w:bookmarkEnd w:id="229"/>
    </w:p>
    <w:p w14:paraId="1D71CD83">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03389633">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3D9DFEE6">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1DB0ADDC">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230" w:name="_Toc26708"/>
      <w:bookmarkStart w:id="231" w:name="_Toc22612"/>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230"/>
      <w:bookmarkEnd w:id="231"/>
    </w:p>
    <w:p w14:paraId="599B051B">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232" w:name="bookmark154"/>
      <w:bookmarkEnd w:id="232"/>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109CFDDE">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3AF1506">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1F0DAD0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05AA9D56">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8E891F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6B70E035">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601F5F4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1EC8E023">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14CA2F70">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F3704FE">
      <w:pPr>
        <w:spacing w:before="78" w:line="220" w:lineRule="auto"/>
        <w:outlineLvl w:val="2"/>
        <w:rPr>
          <w:rFonts w:hint="eastAsia" w:ascii="宋体" w:hAnsi="宋体" w:eastAsia="宋体" w:cs="宋体"/>
          <w:b/>
          <w:bCs/>
          <w:color w:val="auto"/>
          <w:spacing w:val="-4"/>
          <w:sz w:val="24"/>
          <w:szCs w:val="24"/>
          <w:highlight w:val="none"/>
        </w:rPr>
      </w:pPr>
      <w:bookmarkStart w:id="233" w:name="_Toc24967"/>
      <w:r>
        <w:rPr>
          <w:rFonts w:hint="eastAsia" w:ascii="宋体" w:hAnsi="宋体" w:eastAsia="宋体" w:cs="宋体"/>
          <w:b/>
          <w:bCs/>
          <w:color w:val="auto"/>
          <w:spacing w:val="-4"/>
          <w:sz w:val="24"/>
          <w:szCs w:val="24"/>
          <w:highlight w:val="none"/>
        </w:rPr>
        <w:t>格式七 投标人基本情况表</w:t>
      </w:r>
      <w:bookmarkEnd w:id="233"/>
    </w:p>
    <w:p w14:paraId="365D949B">
      <w:pPr>
        <w:spacing w:before="333" w:line="219"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2CD970DC">
      <w:pPr>
        <w:spacing w:line="239" w:lineRule="exact"/>
        <w:rPr>
          <w:rFonts w:hint="eastAsia" w:ascii="宋体" w:hAnsi="宋体" w:eastAsia="宋体" w:cs="宋体"/>
          <w:color w:val="auto"/>
          <w:highlight w:val="none"/>
        </w:rPr>
      </w:pPr>
    </w:p>
    <w:tbl>
      <w:tblPr>
        <w:tblStyle w:val="14"/>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07127D66">
            <w:pPr>
              <w:spacing w:before="149" w:line="229" w:lineRule="auto"/>
              <w:ind w:left="22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686AB840">
            <w:pPr>
              <w:pStyle w:val="20"/>
              <w:rPr>
                <w:rFonts w:hint="eastAsia" w:ascii="宋体" w:hAnsi="宋体" w:eastAsia="宋体" w:cs="宋体"/>
                <w:color w:val="auto"/>
                <w:sz w:val="24"/>
                <w:szCs w:val="24"/>
                <w:highlight w:val="none"/>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19EABCF3">
            <w:pPr>
              <w:spacing w:before="144"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0AC65D35">
            <w:pPr>
              <w:pStyle w:val="20"/>
              <w:rPr>
                <w:rFonts w:hint="eastAsia" w:ascii="宋体" w:hAnsi="宋体" w:eastAsia="宋体" w:cs="宋体"/>
                <w:color w:val="auto"/>
                <w:sz w:val="24"/>
                <w:szCs w:val="24"/>
                <w:highlight w:val="none"/>
              </w:rPr>
            </w:pPr>
          </w:p>
        </w:tc>
        <w:tc>
          <w:tcPr>
            <w:tcW w:w="1354" w:type="dxa"/>
            <w:gridSpan w:val="2"/>
            <w:vAlign w:val="top"/>
          </w:tcPr>
          <w:p w14:paraId="031EC2C9">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7AD354B7">
            <w:pPr>
              <w:pStyle w:val="20"/>
              <w:rPr>
                <w:rFonts w:hint="eastAsia" w:ascii="宋体" w:hAnsi="宋体" w:eastAsia="宋体" w:cs="宋体"/>
                <w:color w:val="auto"/>
                <w:sz w:val="24"/>
                <w:szCs w:val="24"/>
                <w:highlight w:val="none"/>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15650E43">
            <w:pPr>
              <w:pStyle w:val="20"/>
              <w:spacing w:line="332" w:lineRule="auto"/>
              <w:rPr>
                <w:rFonts w:hint="eastAsia" w:ascii="宋体" w:hAnsi="宋体" w:eastAsia="宋体" w:cs="宋体"/>
                <w:color w:val="auto"/>
                <w:sz w:val="24"/>
                <w:szCs w:val="24"/>
                <w:highlight w:val="none"/>
              </w:rPr>
            </w:pPr>
          </w:p>
          <w:p w14:paraId="3917AF4F">
            <w:pPr>
              <w:spacing w:before="65" w:line="230" w:lineRule="auto"/>
              <w:ind w:left="3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3D7FC625">
            <w:pPr>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74C76AE1">
            <w:pPr>
              <w:pStyle w:val="20"/>
              <w:rPr>
                <w:rFonts w:hint="eastAsia" w:ascii="宋体" w:hAnsi="宋体" w:eastAsia="宋体" w:cs="宋体"/>
                <w:color w:val="auto"/>
                <w:sz w:val="24"/>
                <w:szCs w:val="24"/>
                <w:highlight w:val="none"/>
              </w:rPr>
            </w:pPr>
          </w:p>
        </w:tc>
        <w:tc>
          <w:tcPr>
            <w:tcW w:w="1354" w:type="dxa"/>
            <w:gridSpan w:val="2"/>
            <w:vAlign w:val="top"/>
          </w:tcPr>
          <w:p w14:paraId="65D93497">
            <w:pPr>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275175F8">
            <w:pPr>
              <w:pStyle w:val="20"/>
              <w:rPr>
                <w:rFonts w:hint="eastAsia" w:ascii="宋体" w:hAnsi="宋体" w:eastAsia="宋体" w:cs="宋体"/>
                <w:color w:val="auto"/>
                <w:sz w:val="24"/>
                <w:szCs w:val="24"/>
                <w:highlight w:val="none"/>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173CE181">
            <w:pPr>
              <w:pStyle w:val="20"/>
              <w:rPr>
                <w:rFonts w:hint="eastAsia" w:ascii="宋体" w:hAnsi="宋体" w:eastAsia="宋体" w:cs="宋体"/>
                <w:color w:val="auto"/>
                <w:sz w:val="24"/>
                <w:szCs w:val="24"/>
                <w:highlight w:val="none"/>
              </w:rPr>
            </w:pPr>
          </w:p>
        </w:tc>
        <w:tc>
          <w:tcPr>
            <w:tcW w:w="975" w:type="dxa"/>
            <w:vAlign w:val="top"/>
          </w:tcPr>
          <w:p w14:paraId="42FC9B75">
            <w:pPr>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7E63A544">
            <w:pPr>
              <w:pStyle w:val="20"/>
              <w:rPr>
                <w:rFonts w:hint="eastAsia" w:ascii="宋体" w:hAnsi="宋体" w:eastAsia="宋体" w:cs="宋体"/>
                <w:color w:val="auto"/>
                <w:sz w:val="24"/>
                <w:szCs w:val="24"/>
                <w:highlight w:val="none"/>
              </w:rPr>
            </w:pPr>
          </w:p>
        </w:tc>
        <w:tc>
          <w:tcPr>
            <w:tcW w:w="1354" w:type="dxa"/>
            <w:gridSpan w:val="2"/>
            <w:vAlign w:val="top"/>
          </w:tcPr>
          <w:p w14:paraId="6612B606">
            <w:pPr>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5F4345F5">
            <w:pPr>
              <w:pStyle w:val="20"/>
              <w:rPr>
                <w:rFonts w:hint="eastAsia" w:ascii="宋体" w:hAnsi="宋体" w:eastAsia="宋体" w:cs="宋体"/>
                <w:color w:val="auto"/>
                <w:sz w:val="24"/>
                <w:szCs w:val="24"/>
                <w:highlight w:val="none"/>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45F28E6B">
            <w:pPr>
              <w:spacing w:before="14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1E0E32B6">
            <w:pPr>
              <w:pStyle w:val="20"/>
              <w:rPr>
                <w:rFonts w:hint="eastAsia" w:ascii="宋体" w:hAnsi="宋体" w:eastAsia="宋体" w:cs="宋体"/>
                <w:color w:val="auto"/>
                <w:sz w:val="24"/>
                <w:szCs w:val="24"/>
                <w:highlight w:val="none"/>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83ED7E1">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07222CE7">
            <w:pPr>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091073F5">
            <w:pPr>
              <w:pStyle w:val="20"/>
              <w:rPr>
                <w:rFonts w:hint="eastAsia" w:ascii="宋体" w:hAnsi="宋体" w:eastAsia="宋体" w:cs="宋体"/>
                <w:color w:val="auto"/>
                <w:sz w:val="24"/>
                <w:szCs w:val="24"/>
                <w:highlight w:val="none"/>
              </w:rPr>
            </w:pPr>
          </w:p>
        </w:tc>
        <w:tc>
          <w:tcPr>
            <w:tcW w:w="1183" w:type="dxa"/>
            <w:gridSpan w:val="2"/>
            <w:vAlign w:val="top"/>
          </w:tcPr>
          <w:p w14:paraId="4A11ACAE">
            <w:pPr>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6ADE5618">
            <w:pPr>
              <w:pStyle w:val="20"/>
              <w:rPr>
                <w:rFonts w:hint="eastAsia" w:ascii="宋体" w:hAnsi="宋体" w:eastAsia="宋体" w:cs="宋体"/>
                <w:color w:val="auto"/>
                <w:sz w:val="24"/>
                <w:szCs w:val="24"/>
                <w:highlight w:val="none"/>
              </w:rPr>
            </w:pPr>
          </w:p>
        </w:tc>
        <w:tc>
          <w:tcPr>
            <w:tcW w:w="770" w:type="dxa"/>
            <w:vAlign w:val="top"/>
          </w:tcPr>
          <w:p w14:paraId="5C8E96FC">
            <w:pPr>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6AD0C2BC">
            <w:pPr>
              <w:pStyle w:val="20"/>
              <w:rPr>
                <w:rFonts w:hint="eastAsia" w:ascii="宋体" w:hAnsi="宋体" w:eastAsia="宋体" w:cs="宋体"/>
                <w:color w:val="auto"/>
                <w:sz w:val="24"/>
                <w:szCs w:val="24"/>
                <w:highlight w:val="none"/>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ADD1B28">
            <w:pPr>
              <w:spacing w:before="145" w:line="230"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4BAD1642">
            <w:pPr>
              <w:pStyle w:val="20"/>
              <w:rPr>
                <w:rFonts w:hint="eastAsia" w:ascii="宋体" w:hAnsi="宋体" w:eastAsia="宋体" w:cs="宋体"/>
                <w:color w:val="auto"/>
                <w:sz w:val="24"/>
                <w:szCs w:val="24"/>
                <w:highlight w:val="none"/>
              </w:rPr>
            </w:pPr>
          </w:p>
        </w:tc>
        <w:tc>
          <w:tcPr>
            <w:tcW w:w="4827" w:type="dxa"/>
            <w:gridSpan w:val="6"/>
            <w:vAlign w:val="top"/>
          </w:tcPr>
          <w:p w14:paraId="30D24B75">
            <w:pPr>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54966A2">
            <w:pPr>
              <w:spacing w:before="61" w:line="262" w:lineRule="auto"/>
              <w:ind w:right="22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82B0B60">
            <w:pPr>
              <w:pStyle w:val="20"/>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7A69FEFC">
            <w:pPr>
              <w:pStyle w:val="20"/>
              <w:spacing w:line="254" w:lineRule="auto"/>
              <w:rPr>
                <w:rFonts w:hint="eastAsia" w:ascii="宋体" w:hAnsi="宋体" w:eastAsia="宋体" w:cs="宋体"/>
                <w:color w:val="auto"/>
                <w:sz w:val="24"/>
                <w:szCs w:val="24"/>
                <w:highlight w:val="none"/>
              </w:rPr>
            </w:pPr>
          </w:p>
          <w:p w14:paraId="02C0E7FA">
            <w:pPr>
              <w:pStyle w:val="20"/>
              <w:spacing w:line="254" w:lineRule="auto"/>
              <w:rPr>
                <w:rFonts w:hint="eastAsia" w:ascii="宋体" w:hAnsi="宋体" w:eastAsia="宋体" w:cs="宋体"/>
                <w:color w:val="auto"/>
                <w:sz w:val="24"/>
                <w:szCs w:val="24"/>
                <w:highlight w:val="none"/>
              </w:rPr>
            </w:pPr>
          </w:p>
          <w:p w14:paraId="1FBAEACC">
            <w:pPr>
              <w:pStyle w:val="20"/>
              <w:spacing w:line="254" w:lineRule="auto"/>
              <w:rPr>
                <w:rFonts w:hint="eastAsia" w:ascii="宋体" w:hAnsi="宋体" w:eastAsia="宋体" w:cs="宋体"/>
                <w:color w:val="auto"/>
                <w:sz w:val="24"/>
                <w:szCs w:val="24"/>
                <w:highlight w:val="none"/>
              </w:rPr>
            </w:pPr>
          </w:p>
          <w:p w14:paraId="64C94A08">
            <w:pPr>
              <w:pStyle w:val="20"/>
              <w:spacing w:line="254" w:lineRule="auto"/>
              <w:rPr>
                <w:rFonts w:hint="eastAsia" w:ascii="宋体" w:hAnsi="宋体" w:eastAsia="宋体" w:cs="宋体"/>
                <w:color w:val="auto"/>
                <w:sz w:val="24"/>
                <w:szCs w:val="24"/>
                <w:highlight w:val="none"/>
              </w:rPr>
            </w:pPr>
          </w:p>
          <w:p w14:paraId="69BBE9A7">
            <w:pPr>
              <w:pStyle w:val="20"/>
              <w:spacing w:line="255" w:lineRule="auto"/>
              <w:rPr>
                <w:rFonts w:hint="eastAsia" w:ascii="宋体" w:hAnsi="宋体" w:eastAsia="宋体" w:cs="宋体"/>
                <w:color w:val="auto"/>
                <w:sz w:val="24"/>
                <w:szCs w:val="24"/>
                <w:highlight w:val="none"/>
              </w:rPr>
            </w:pPr>
          </w:p>
          <w:p w14:paraId="7C094C19">
            <w:pPr>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010F104F">
            <w:pPr>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67C64A1C">
            <w:pPr>
              <w:pStyle w:val="20"/>
              <w:rPr>
                <w:rFonts w:hint="eastAsia" w:ascii="宋体" w:hAnsi="宋体" w:eastAsia="宋体" w:cs="宋体"/>
                <w:color w:val="auto"/>
                <w:sz w:val="24"/>
                <w:szCs w:val="24"/>
                <w:highlight w:val="none"/>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6F14B77C">
            <w:pPr>
              <w:spacing w:before="146" w:line="228" w:lineRule="auto"/>
              <w:ind w:left="23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4431F67B">
            <w:pPr>
              <w:pStyle w:val="20"/>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425F8241">
            <w:pPr>
              <w:pStyle w:val="20"/>
              <w:rPr>
                <w:rFonts w:hint="eastAsia" w:ascii="宋体" w:hAnsi="宋体" w:eastAsia="宋体" w:cs="宋体"/>
                <w:color w:val="auto"/>
                <w:sz w:val="24"/>
                <w:szCs w:val="24"/>
                <w:highlight w:val="none"/>
              </w:rPr>
            </w:pPr>
          </w:p>
        </w:tc>
        <w:tc>
          <w:tcPr>
            <w:tcW w:w="2096" w:type="dxa"/>
            <w:gridSpan w:val="3"/>
            <w:vAlign w:val="top"/>
          </w:tcPr>
          <w:p w14:paraId="52E9EE82">
            <w:pPr>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5AB52FD6">
            <w:pPr>
              <w:pStyle w:val="20"/>
              <w:rPr>
                <w:rFonts w:hint="eastAsia" w:ascii="宋体" w:hAnsi="宋体" w:eastAsia="宋体" w:cs="宋体"/>
                <w:color w:val="auto"/>
                <w:sz w:val="24"/>
                <w:szCs w:val="24"/>
                <w:highlight w:val="none"/>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2B0CF379">
            <w:pPr>
              <w:spacing w:before="146"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55DE9293">
            <w:pPr>
              <w:pStyle w:val="20"/>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C4A9705">
            <w:pPr>
              <w:pStyle w:val="20"/>
              <w:rPr>
                <w:rFonts w:hint="eastAsia" w:ascii="宋体" w:hAnsi="宋体" w:eastAsia="宋体" w:cs="宋体"/>
                <w:color w:val="auto"/>
                <w:sz w:val="24"/>
                <w:szCs w:val="24"/>
                <w:highlight w:val="none"/>
              </w:rPr>
            </w:pPr>
          </w:p>
        </w:tc>
        <w:tc>
          <w:tcPr>
            <w:tcW w:w="2096" w:type="dxa"/>
            <w:gridSpan w:val="3"/>
            <w:vAlign w:val="top"/>
          </w:tcPr>
          <w:p w14:paraId="4B26D2D4">
            <w:pPr>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262A2EE0">
            <w:pPr>
              <w:pStyle w:val="20"/>
              <w:rPr>
                <w:rFonts w:hint="eastAsia" w:ascii="宋体" w:hAnsi="宋体" w:eastAsia="宋体" w:cs="宋体"/>
                <w:color w:val="auto"/>
                <w:sz w:val="24"/>
                <w:szCs w:val="24"/>
                <w:highlight w:val="none"/>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2688AE8B">
            <w:pPr>
              <w:spacing w:before="62" w:line="241"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vAlign w:val="top"/>
          </w:tcPr>
          <w:p w14:paraId="45553C43">
            <w:pPr>
              <w:pStyle w:val="20"/>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56532354">
            <w:pPr>
              <w:pStyle w:val="20"/>
              <w:rPr>
                <w:rFonts w:hint="eastAsia" w:ascii="宋体" w:hAnsi="宋体" w:eastAsia="宋体" w:cs="宋体"/>
                <w:color w:val="auto"/>
                <w:sz w:val="24"/>
                <w:szCs w:val="24"/>
                <w:highlight w:val="none"/>
              </w:rPr>
            </w:pPr>
          </w:p>
        </w:tc>
        <w:tc>
          <w:tcPr>
            <w:tcW w:w="2096" w:type="dxa"/>
            <w:gridSpan w:val="3"/>
            <w:vAlign w:val="top"/>
          </w:tcPr>
          <w:p w14:paraId="5A3DA22F">
            <w:pPr>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184D3D43">
            <w:pPr>
              <w:pStyle w:val="20"/>
              <w:rPr>
                <w:rFonts w:hint="eastAsia" w:ascii="宋体" w:hAnsi="宋体" w:eastAsia="宋体" w:cs="宋体"/>
                <w:color w:val="auto"/>
                <w:sz w:val="24"/>
                <w:szCs w:val="24"/>
                <w:highlight w:val="none"/>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301FBDE6">
            <w:pPr>
              <w:spacing w:before="62" w:line="259"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vAlign w:val="top"/>
          </w:tcPr>
          <w:p w14:paraId="5B1DD5F7">
            <w:pPr>
              <w:pStyle w:val="20"/>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03520BE5">
            <w:pPr>
              <w:pStyle w:val="20"/>
              <w:rPr>
                <w:rFonts w:hint="eastAsia" w:ascii="宋体" w:hAnsi="宋体" w:eastAsia="宋体" w:cs="宋体"/>
                <w:color w:val="auto"/>
                <w:sz w:val="24"/>
                <w:szCs w:val="24"/>
                <w:highlight w:val="none"/>
              </w:rPr>
            </w:pPr>
          </w:p>
        </w:tc>
        <w:tc>
          <w:tcPr>
            <w:tcW w:w="2096" w:type="dxa"/>
            <w:gridSpan w:val="3"/>
            <w:vAlign w:val="top"/>
          </w:tcPr>
          <w:p w14:paraId="5C48DB8B">
            <w:pPr>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773ECE69">
            <w:pPr>
              <w:pStyle w:val="20"/>
              <w:rPr>
                <w:rFonts w:hint="eastAsia" w:ascii="宋体" w:hAnsi="宋体" w:eastAsia="宋体" w:cs="宋体"/>
                <w:color w:val="auto"/>
                <w:sz w:val="24"/>
                <w:szCs w:val="24"/>
                <w:highlight w:val="none"/>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1C145867">
            <w:pPr>
              <w:spacing w:before="6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78175160">
            <w:pPr>
              <w:pStyle w:val="20"/>
              <w:rPr>
                <w:rFonts w:hint="eastAsia" w:ascii="宋体" w:hAnsi="宋体" w:eastAsia="宋体" w:cs="宋体"/>
                <w:color w:val="auto"/>
                <w:sz w:val="24"/>
                <w:szCs w:val="24"/>
                <w:highlight w:val="none"/>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3B43F663">
            <w:pPr>
              <w:pStyle w:val="20"/>
              <w:spacing w:line="295" w:lineRule="auto"/>
              <w:rPr>
                <w:rFonts w:hint="eastAsia" w:ascii="宋体" w:hAnsi="宋体" w:eastAsia="宋体" w:cs="宋体"/>
                <w:color w:val="auto"/>
                <w:sz w:val="24"/>
                <w:szCs w:val="24"/>
                <w:highlight w:val="none"/>
              </w:rPr>
            </w:pPr>
          </w:p>
          <w:p w14:paraId="598814F5">
            <w:pPr>
              <w:pStyle w:val="20"/>
              <w:spacing w:line="296" w:lineRule="auto"/>
              <w:rPr>
                <w:rFonts w:hint="eastAsia" w:ascii="宋体" w:hAnsi="宋体" w:eastAsia="宋体" w:cs="宋体"/>
                <w:color w:val="auto"/>
                <w:sz w:val="24"/>
                <w:szCs w:val="24"/>
                <w:highlight w:val="none"/>
              </w:rPr>
            </w:pPr>
          </w:p>
          <w:p w14:paraId="52A98BFF">
            <w:pPr>
              <w:spacing w:before="65" w:line="229"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EFCA351">
            <w:pPr>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4A7FA872">
            <w:pPr>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416ED6EF">
            <w:pPr>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2E78667B">
            <w:pPr>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0B1A642B">
            <w:pPr>
              <w:spacing w:before="235" w:line="230" w:lineRule="auto"/>
              <w:ind w:left="5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63E087EA">
            <w:pPr>
              <w:pStyle w:val="20"/>
              <w:rPr>
                <w:rFonts w:hint="eastAsia" w:ascii="宋体" w:hAnsi="宋体" w:eastAsia="宋体" w:cs="宋体"/>
                <w:color w:val="auto"/>
                <w:sz w:val="24"/>
                <w:szCs w:val="24"/>
                <w:highlight w:val="none"/>
              </w:rPr>
            </w:pPr>
          </w:p>
        </w:tc>
      </w:tr>
    </w:tbl>
    <w:p w14:paraId="608E648E">
      <w:pPr>
        <w:spacing w:before="140" w:line="228" w:lineRule="auto"/>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6972BAA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auto"/>
          <w:spacing w:val="4"/>
          <w:sz w:val="18"/>
          <w:szCs w:val="18"/>
          <w:highlight w:val="none"/>
        </w:rPr>
      </w:pPr>
      <w:bookmarkStart w:id="234" w:name="_Toc14048"/>
      <w:bookmarkStart w:id="235" w:name="_Toc5131"/>
      <w:r>
        <w:rPr>
          <w:rFonts w:hint="eastAsia" w:ascii="宋体" w:hAnsi="宋体" w:eastAsia="宋体" w:cs="宋体"/>
          <w:color w:val="auto"/>
          <w:spacing w:val="4"/>
          <w:sz w:val="18"/>
          <w:szCs w:val="18"/>
          <w:highlight w:val="none"/>
        </w:rPr>
        <w:t>1 ．《投标人基本情况表》后应附以下资料：</w:t>
      </w:r>
      <w:bookmarkEnd w:id="234"/>
      <w:bookmarkEnd w:id="235"/>
    </w:p>
    <w:p w14:paraId="56BD52AA">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F1F8270">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14:paraId="359CA035">
      <w:pPr>
        <w:keepNext w:val="0"/>
        <w:keepLines w:val="0"/>
        <w:pageBreakBefore w:val="0"/>
        <w:widowControl/>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14:paraId="3AE0E69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9"/>
          <w:sz w:val="18"/>
          <w:szCs w:val="18"/>
          <w:highlight w:val="none"/>
        </w:rPr>
        <w:t>2</w:t>
      </w:r>
      <w:r>
        <w:rPr>
          <w:rFonts w:hint="eastAsia" w:ascii="宋体" w:hAnsi="宋体" w:eastAsia="宋体" w:cs="宋体"/>
          <w:color w:val="auto"/>
          <w:spacing w:val="-21"/>
          <w:sz w:val="18"/>
          <w:szCs w:val="18"/>
          <w:highlight w:val="none"/>
        </w:rPr>
        <w:t xml:space="preserve"> </w:t>
      </w:r>
      <w:r>
        <w:rPr>
          <w:rFonts w:hint="eastAsia" w:ascii="宋体" w:hAnsi="宋体" w:eastAsia="宋体" w:cs="宋体"/>
          <w:color w:val="auto"/>
          <w:spacing w:val="9"/>
          <w:sz w:val="18"/>
          <w:szCs w:val="18"/>
          <w:highlight w:val="none"/>
        </w:rPr>
        <w:t>．联合体投标的，联合体成员单位均应填写《投标人基本情况</w:t>
      </w:r>
      <w:r>
        <w:rPr>
          <w:rFonts w:hint="eastAsia" w:ascii="宋体" w:hAnsi="宋体" w:eastAsia="宋体" w:cs="宋体"/>
          <w:color w:val="auto"/>
          <w:spacing w:val="8"/>
          <w:sz w:val="18"/>
          <w:szCs w:val="18"/>
          <w:highlight w:val="none"/>
        </w:rPr>
        <w:t>表》并提供以上所需资料。</w:t>
      </w:r>
    </w:p>
    <w:p w14:paraId="4E6AB364">
      <w:pPr>
        <w:spacing w:before="78" w:line="220" w:lineRule="auto"/>
        <w:outlineLvl w:val="2"/>
        <w:rPr>
          <w:rFonts w:hint="eastAsia" w:ascii="宋体" w:hAnsi="宋体" w:eastAsia="宋体" w:cs="宋体"/>
          <w:b/>
          <w:bCs/>
          <w:color w:val="auto"/>
          <w:spacing w:val="-4"/>
          <w:sz w:val="24"/>
          <w:szCs w:val="24"/>
          <w:highlight w:val="none"/>
        </w:rPr>
      </w:pPr>
      <w:bookmarkStart w:id="236" w:name="_Toc10594"/>
      <w:r>
        <w:rPr>
          <w:rFonts w:hint="eastAsia" w:ascii="宋体" w:hAnsi="宋体" w:eastAsia="宋体" w:cs="宋体"/>
          <w:b/>
          <w:bCs/>
          <w:color w:val="auto"/>
          <w:spacing w:val="-4"/>
          <w:sz w:val="24"/>
          <w:szCs w:val="24"/>
          <w:highlight w:val="none"/>
        </w:rPr>
        <w:t>格式八 项目经理简历表</w:t>
      </w:r>
      <w:bookmarkEnd w:id="236"/>
    </w:p>
    <w:p w14:paraId="1DBA7B98">
      <w:pPr>
        <w:pStyle w:val="5"/>
        <w:spacing w:line="444" w:lineRule="auto"/>
        <w:rPr>
          <w:rFonts w:hint="eastAsia" w:ascii="宋体" w:hAnsi="宋体" w:eastAsia="宋体" w:cs="宋体"/>
          <w:color w:val="auto"/>
          <w:highlight w:val="none"/>
        </w:rPr>
      </w:pPr>
    </w:p>
    <w:p w14:paraId="0CAE90B5">
      <w:pPr>
        <w:spacing w:before="97" w:line="219" w:lineRule="auto"/>
        <w:ind w:left="3538"/>
        <w:outlineLvl w:val="9"/>
        <w:rPr>
          <w:rFonts w:hint="eastAsia" w:ascii="宋体" w:hAnsi="宋体" w:eastAsia="宋体" w:cs="宋体"/>
          <w:color w:val="auto"/>
          <w:sz w:val="30"/>
          <w:szCs w:val="30"/>
          <w:highlight w:val="none"/>
        </w:rPr>
      </w:pPr>
      <w:bookmarkStart w:id="237" w:name="bookmark156"/>
      <w:bookmarkEnd w:id="237"/>
      <w:bookmarkStart w:id="238" w:name="bookmark89"/>
      <w:bookmarkEnd w:id="238"/>
      <w:bookmarkStart w:id="239" w:name="_Toc24489"/>
      <w:bookmarkStart w:id="240" w:name="_Toc31533"/>
      <w:r>
        <w:rPr>
          <w:rFonts w:hint="eastAsia" w:ascii="宋体" w:hAnsi="宋体" w:eastAsia="宋体" w:cs="宋体"/>
          <w:b/>
          <w:bCs/>
          <w:color w:val="auto"/>
          <w:spacing w:val="-5"/>
          <w:sz w:val="30"/>
          <w:szCs w:val="30"/>
          <w:highlight w:val="none"/>
        </w:rPr>
        <w:t>项目经理简历表</w:t>
      </w:r>
      <w:bookmarkEnd w:id="239"/>
      <w:bookmarkEnd w:id="240"/>
    </w:p>
    <w:p w14:paraId="59593258">
      <w:pPr>
        <w:spacing w:line="240" w:lineRule="exact"/>
        <w:rPr>
          <w:rFonts w:hint="eastAsia" w:ascii="宋体" w:hAnsi="宋体" w:eastAsia="宋体" w:cs="宋体"/>
          <w:color w:val="auto"/>
          <w:highlight w:val="none"/>
        </w:rPr>
      </w:pPr>
    </w:p>
    <w:tbl>
      <w:tblPr>
        <w:tblStyle w:val="14"/>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E27BBB7">
            <w:pPr>
              <w:pStyle w:val="20"/>
              <w:rPr>
                <w:rFonts w:hint="eastAsia" w:ascii="宋体" w:hAnsi="宋体" w:eastAsia="宋体" w:cs="宋体"/>
                <w:color w:val="auto"/>
                <w:sz w:val="24"/>
                <w:szCs w:val="24"/>
                <w:highlight w:val="none"/>
              </w:rPr>
            </w:pPr>
          </w:p>
        </w:tc>
        <w:tc>
          <w:tcPr>
            <w:tcW w:w="1357" w:type="dxa"/>
            <w:vAlign w:val="top"/>
          </w:tcPr>
          <w:p w14:paraId="5E64039D">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68D9664A">
            <w:pPr>
              <w:pStyle w:val="20"/>
              <w:rPr>
                <w:rFonts w:hint="eastAsia" w:ascii="宋体" w:hAnsi="宋体" w:eastAsia="宋体" w:cs="宋体"/>
                <w:color w:val="auto"/>
                <w:sz w:val="24"/>
                <w:szCs w:val="24"/>
                <w:highlight w:val="none"/>
              </w:rPr>
            </w:pPr>
          </w:p>
        </w:tc>
        <w:tc>
          <w:tcPr>
            <w:tcW w:w="1798" w:type="dxa"/>
            <w:vAlign w:val="top"/>
          </w:tcPr>
          <w:p w14:paraId="3FC87041">
            <w:pP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2E0EF39">
            <w:pPr>
              <w:pStyle w:val="20"/>
              <w:rPr>
                <w:rFonts w:hint="eastAsia" w:ascii="宋体" w:hAnsi="宋体" w:eastAsia="宋体" w:cs="宋体"/>
                <w:color w:val="auto"/>
                <w:sz w:val="24"/>
                <w:szCs w:val="24"/>
                <w:highlight w:val="none"/>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59BA2A8F">
            <w:pPr>
              <w:pStyle w:val="20"/>
              <w:rPr>
                <w:rFonts w:hint="eastAsia" w:ascii="宋体" w:hAnsi="宋体" w:eastAsia="宋体" w:cs="宋体"/>
                <w:color w:val="auto"/>
                <w:sz w:val="24"/>
                <w:szCs w:val="24"/>
                <w:highlight w:val="none"/>
              </w:rPr>
            </w:pPr>
          </w:p>
        </w:tc>
        <w:tc>
          <w:tcPr>
            <w:tcW w:w="1357" w:type="dxa"/>
            <w:vAlign w:val="top"/>
          </w:tcPr>
          <w:p w14:paraId="5913F49D">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0D719B3D">
            <w:pPr>
              <w:pStyle w:val="20"/>
              <w:rPr>
                <w:rFonts w:hint="eastAsia" w:ascii="宋体" w:hAnsi="宋体" w:eastAsia="宋体" w:cs="宋体"/>
                <w:color w:val="auto"/>
                <w:sz w:val="24"/>
                <w:szCs w:val="24"/>
                <w:highlight w:val="none"/>
              </w:rPr>
            </w:pPr>
          </w:p>
        </w:tc>
        <w:tc>
          <w:tcPr>
            <w:tcW w:w="1798" w:type="dxa"/>
            <w:vAlign w:val="top"/>
          </w:tcPr>
          <w:p w14:paraId="3C4F5945">
            <w:pP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72D8AB2">
            <w:pPr>
              <w:pStyle w:val="20"/>
              <w:rPr>
                <w:rFonts w:hint="eastAsia" w:ascii="宋体" w:hAnsi="宋体" w:eastAsia="宋体" w:cs="宋体"/>
                <w:color w:val="auto"/>
                <w:sz w:val="24"/>
                <w:szCs w:val="24"/>
                <w:highlight w:val="none"/>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D285945">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4D8E12D6">
            <w:pPr>
              <w:pStyle w:val="20"/>
              <w:rPr>
                <w:rFonts w:hint="eastAsia" w:ascii="宋体" w:hAnsi="宋体" w:eastAsia="宋体" w:cs="宋体"/>
                <w:color w:val="auto"/>
                <w:sz w:val="24"/>
                <w:szCs w:val="24"/>
                <w:highlight w:val="none"/>
              </w:rPr>
            </w:pPr>
          </w:p>
        </w:tc>
        <w:tc>
          <w:tcPr>
            <w:tcW w:w="3860" w:type="dxa"/>
            <w:gridSpan w:val="2"/>
            <w:vAlign w:val="top"/>
          </w:tcPr>
          <w:p w14:paraId="3410F97D">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CA4498F">
            <w:pPr>
              <w:pStyle w:val="20"/>
              <w:rPr>
                <w:rFonts w:hint="eastAsia" w:ascii="宋体" w:hAnsi="宋体" w:eastAsia="宋体" w:cs="宋体"/>
                <w:color w:val="auto"/>
                <w:sz w:val="24"/>
                <w:szCs w:val="24"/>
                <w:highlight w:val="none"/>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387E6BB1">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60841D39">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0511F79F">
            <w:pP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1FA090F6">
            <w:pP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46379B80">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0F1E5CCA">
            <w:pPr>
              <w:pStyle w:val="20"/>
              <w:rPr>
                <w:rFonts w:hint="eastAsia" w:ascii="宋体" w:hAnsi="宋体" w:eastAsia="宋体" w:cs="宋体"/>
                <w:color w:val="auto"/>
                <w:sz w:val="24"/>
                <w:szCs w:val="24"/>
                <w:highlight w:val="none"/>
              </w:rPr>
            </w:pPr>
          </w:p>
        </w:tc>
        <w:tc>
          <w:tcPr>
            <w:tcW w:w="2037" w:type="dxa"/>
            <w:gridSpan w:val="2"/>
            <w:vAlign w:val="top"/>
          </w:tcPr>
          <w:p w14:paraId="78888A3B">
            <w:pPr>
              <w:pStyle w:val="20"/>
              <w:rPr>
                <w:rFonts w:hint="eastAsia" w:ascii="宋体" w:hAnsi="宋体" w:eastAsia="宋体" w:cs="宋体"/>
                <w:color w:val="auto"/>
                <w:sz w:val="24"/>
                <w:szCs w:val="24"/>
                <w:highlight w:val="none"/>
              </w:rPr>
            </w:pPr>
          </w:p>
        </w:tc>
        <w:tc>
          <w:tcPr>
            <w:tcW w:w="2062" w:type="dxa"/>
            <w:vAlign w:val="top"/>
          </w:tcPr>
          <w:p w14:paraId="74289F65">
            <w:pPr>
              <w:pStyle w:val="20"/>
              <w:rPr>
                <w:rFonts w:hint="eastAsia" w:ascii="宋体" w:hAnsi="宋体" w:eastAsia="宋体" w:cs="宋体"/>
                <w:color w:val="auto"/>
                <w:sz w:val="24"/>
                <w:szCs w:val="24"/>
                <w:highlight w:val="none"/>
              </w:rPr>
            </w:pPr>
          </w:p>
        </w:tc>
        <w:tc>
          <w:tcPr>
            <w:tcW w:w="1798" w:type="dxa"/>
            <w:vAlign w:val="top"/>
          </w:tcPr>
          <w:p w14:paraId="22429141">
            <w:pPr>
              <w:pStyle w:val="20"/>
              <w:rPr>
                <w:rFonts w:hint="eastAsia" w:ascii="宋体" w:hAnsi="宋体" w:eastAsia="宋体" w:cs="宋体"/>
                <w:color w:val="auto"/>
                <w:sz w:val="24"/>
                <w:szCs w:val="24"/>
                <w:highlight w:val="none"/>
              </w:rPr>
            </w:pPr>
          </w:p>
        </w:tc>
        <w:tc>
          <w:tcPr>
            <w:tcW w:w="1398" w:type="dxa"/>
            <w:vAlign w:val="top"/>
          </w:tcPr>
          <w:p w14:paraId="0CCA428D">
            <w:pPr>
              <w:pStyle w:val="20"/>
              <w:rPr>
                <w:rFonts w:hint="eastAsia" w:ascii="宋体" w:hAnsi="宋体" w:eastAsia="宋体" w:cs="宋体"/>
                <w:color w:val="auto"/>
                <w:sz w:val="24"/>
                <w:szCs w:val="24"/>
                <w:highlight w:val="none"/>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64A79A29">
            <w:pPr>
              <w:pStyle w:val="20"/>
              <w:rPr>
                <w:rFonts w:hint="eastAsia" w:ascii="宋体" w:hAnsi="宋体" w:eastAsia="宋体" w:cs="宋体"/>
                <w:color w:val="auto"/>
                <w:sz w:val="24"/>
                <w:szCs w:val="24"/>
                <w:highlight w:val="none"/>
              </w:rPr>
            </w:pPr>
          </w:p>
        </w:tc>
        <w:tc>
          <w:tcPr>
            <w:tcW w:w="2037" w:type="dxa"/>
            <w:gridSpan w:val="2"/>
            <w:vAlign w:val="top"/>
          </w:tcPr>
          <w:p w14:paraId="6061C8EF">
            <w:pPr>
              <w:pStyle w:val="20"/>
              <w:rPr>
                <w:rFonts w:hint="eastAsia" w:ascii="宋体" w:hAnsi="宋体" w:eastAsia="宋体" w:cs="宋体"/>
                <w:color w:val="auto"/>
                <w:sz w:val="24"/>
                <w:szCs w:val="24"/>
                <w:highlight w:val="none"/>
              </w:rPr>
            </w:pPr>
          </w:p>
        </w:tc>
        <w:tc>
          <w:tcPr>
            <w:tcW w:w="2062" w:type="dxa"/>
            <w:vAlign w:val="top"/>
          </w:tcPr>
          <w:p w14:paraId="37C2C8FD">
            <w:pPr>
              <w:pStyle w:val="20"/>
              <w:rPr>
                <w:rFonts w:hint="eastAsia" w:ascii="宋体" w:hAnsi="宋体" w:eastAsia="宋体" w:cs="宋体"/>
                <w:color w:val="auto"/>
                <w:sz w:val="24"/>
                <w:szCs w:val="24"/>
                <w:highlight w:val="none"/>
              </w:rPr>
            </w:pPr>
          </w:p>
        </w:tc>
        <w:tc>
          <w:tcPr>
            <w:tcW w:w="1798" w:type="dxa"/>
            <w:vAlign w:val="top"/>
          </w:tcPr>
          <w:p w14:paraId="35838BEB">
            <w:pPr>
              <w:pStyle w:val="20"/>
              <w:rPr>
                <w:rFonts w:hint="eastAsia" w:ascii="宋体" w:hAnsi="宋体" w:eastAsia="宋体" w:cs="宋体"/>
                <w:color w:val="auto"/>
                <w:sz w:val="24"/>
                <w:szCs w:val="24"/>
                <w:highlight w:val="none"/>
              </w:rPr>
            </w:pPr>
          </w:p>
        </w:tc>
        <w:tc>
          <w:tcPr>
            <w:tcW w:w="1398" w:type="dxa"/>
            <w:vAlign w:val="top"/>
          </w:tcPr>
          <w:p w14:paraId="1A7FF52A">
            <w:pPr>
              <w:pStyle w:val="20"/>
              <w:rPr>
                <w:rFonts w:hint="eastAsia" w:ascii="宋体" w:hAnsi="宋体" w:eastAsia="宋体" w:cs="宋体"/>
                <w:color w:val="auto"/>
                <w:sz w:val="24"/>
                <w:szCs w:val="24"/>
                <w:highlight w:val="none"/>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6B3BD65C">
            <w:pPr>
              <w:pStyle w:val="20"/>
              <w:rPr>
                <w:rFonts w:hint="eastAsia" w:ascii="宋体" w:hAnsi="宋体" w:eastAsia="宋体" w:cs="宋体"/>
                <w:color w:val="auto"/>
                <w:sz w:val="24"/>
                <w:szCs w:val="24"/>
                <w:highlight w:val="none"/>
              </w:rPr>
            </w:pPr>
          </w:p>
        </w:tc>
        <w:tc>
          <w:tcPr>
            <w:tcW w:w="2037" w:type="dxa"/>
            <w:gridSpan w:val="2"/>
            <w:vAlign w:val="top"/>
          </w:tcPr>
          <w:p w14:paraId="49395E10">
            <w:pPr>
              <w:pStyle w:val="20"/>
              <w:rPr>
                <w:rFonts w:hint="eastAsia" w:ascii="宋体" w:hAnsi="宋体" w:eastAsia="宋体" w:cs="宋体"/>
                <w:color w:val="auto"/>
                <w:sz w:val="24"/>
                <w:szCs w:val="24"/>
                <w:highlight w:val="none"/>
              </w:rPr>
            </w:pPr>
          </w:p>
        </w:tc>
        <w:tc>
          <w:tcPr>
            <w:tcW w:w="2062" w:type="dxa"/>
            <w:vAlign w:val="top"/>
          </w:tcPr>
          <w:p w14:paraId="38C89432">
            <w:pPr>
              <w:pStyle w:val="20"/>
              <w:rPr>
                <w:rFonts w:hint="eastAsia" w:ascii="宋体" w:hAnsi="宋体" w:eastAsia="宋体" w:cs="宋体"/>
                <w:color w:val="auto"/>
                <w:sz w:val="24"/>
                <w:szCs w:val="24"/>
                <w:highlight w:val="none"/>
              </w:rPr>
            </w:pPr>
          </w:p>
        </w:tc>
        <w:tc>
          <w:tcPr>
            <w:tcW w:w="1798" w:type="dxa"/>
            <w:vAlign w:val="top"/>
          </w:tcPr>
          <w:p w14:paraId="5214B6C3">
            <w:pPr>
              <w:pStyle w:val="20"/>
              <w:rPr>
                <w:rFonts w:hint="eastAsia" w:ascii="宋体" w:hAnsi="宋体" w:eastAsia="宋体" w:cs="宋体"/>
                <w:color w:val="auto"/>
                <w:sz w:val="24"/>
                <w:szCs w:val="24"/>
                <w:highlight w:val="none"/>
              </w:rPr>
            </w:pPr>
          </w:p>
        </w:tc>
        <w:tc>
          <w:tcPr>
            <w:tcW w:w="1398" w:type="dxa"/>
            <w:vAlign w:val="top"/>
          </w:tcPr>
          <w:p w14:paraId="359AD966">
            <w:pPr>
              <w:pStyle w:val="20"/>
              <w:rPr>
                <w:rFonts w:hint="eastAsia" w:ascii="宋体" w:hAnsi="宋体" w:eastAsia="宋体" w:cs="宋体"/>
                <w:color w:val="auto"/>
                <w:sz w:val="24"/>
                <w:szCs w:val="24"/>
                <w:highlight w:val="none"/>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022258E">
            <w:pPr>
              <w:pStyle w:val="20"/>
              <w:rPr>
                <w:rFonts w:hint="eastAsia" w:ascii="宋体" w:hAnsi="宋体" w:eastAsia="宋体" w:cs="宋体"/>
                <w:color w:val="auto"/>
                <w:sz w:val="24"/>
                <w:szCs w:val="24"/>
                <w:highlight w:val="none"/>
              </w:rPr>
            </w:pPr>
          </w:p>
        </w:tc>
        <w:tc>
          <w:tcPr>
            <w:tcW w:w="2037" w:type="dxa"/>
            <w:gridSpan w:val="2"/>
            <w:vAlign w:val="top"/>
          </w:tcPr>
          <w:p w14:paraId="13591C1A">
            <w:pPr>
              <w:pStyle w:val="20"/>
              <w:rPr>
                <w:rFonts w:hint="eastAsia" w:ascii="宋体" w:hAnsi="宋体" w:eastAsia="宋体" w:cs="宋体"/>
                <w:color w:val="auto"/>
                <w:sz w:val="24"/>
                <w:szCs w:val="24"/>
                <w:highlight w:val="none"/>
              </w:rPr>
            </w:pPr>
          </w:p>
        </w:tc>
        <w:tc>
          <w:tcPr>
            <w:tcW w:w="2062" w:type="dxa"/>
            <w:vAlign w:val="top"/>
          </w:tcPr>
          <w:p w14:paraId="7E190888">
            <w:pPr>
              <w:pStyle w:val="20"/>
              <w:rPr>
                <w:rFonts w:hint="eastAsia" w:ascii="宋体" w:hAnsi="宋体" w:eastAsia="宋体" w:cs="宋体"/>
                <w:color w:val="auto"/>
                <w:sz w:val="24"/>
                <w:szCs w:val="24"/>
                <w:highlight w:val="none"/>
              </w:rPr>
            </w:pPr>
          </w:p>
        </w:tc>
        <w:tc>
          <w:tcPr>
            <w:tcW w:w="1798" w:type="dxa"/>
            <w:vAlign w:val="top"/>
          </w:tcPr>
          <w:p w14:paraId="465A33C8">
            <w:pPr>
              <w:pStyle w:val="20"/>
              <w:rPr>
                <w:rFonts w:hint="eastAsia" w:ascii="宋体" w:hAnsi="宋体" w:eastAsia="宋体" w:cs="宋体"/>
                <w:color w:val="auto"/>
                <w:sz w:val="24"/>
                <w:szCs w:val="24"/>
                <w:highlight w:val="none"/>
              </w:rPr>
            </w:pPr>
          </w:p>
        </w:tc>
        <w:tc>
          <w:tcPr>
            <w:tcW w:w="1398" w:type="dxa"/>
            <w:vAlign w:val="top"/>
          </w:tcPr>
          <w:p w14:paraId="3E8CFEF8">
            <w:pPr>
              <w:pStyle w:val="20"/>
              <w:rPr>
                <w:rFonts w:hint="eastAsia" w:ascii="宋体" w:hAnsi="宋体" w:eastAsia="宋体" w:cs="宋体"/>
                <w:color w:val="auto"/>
                <w:sz w:val="24"/>
                <w:szCs w:val="24"/>
                <w:highlight w:val="none"/>
              </w:rPr>
            </w:pPr>
          </w:p>
        </w:tc>
      </w:tr>
    </w:tbl>
    <w:p w14:paraId="31E2A55D">
      <w:pPr>
        <w:pStyle w:val="5"/>
        <w:spacing w:line="315" w:lineRule="auto"/>
        <w:rPr>
          <w:rFonts w:hint="eastAsia" w:ascii="宋体" w:hAnsi="宋体" w:eastAsia="宋体" w:cs="宋体"/>
          <w:color w:val="auto"/>
          <w:highlight w:val="none"/>
        </w:rPr>
      </w:pPr>
    </w:p>
    <w:p w14:paraId="4A488FFC">
      <w:pPr>
        <w:spacing w:before="78" w:line="220" w:lineRule="auto"/>
        <w:ind w:left="69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55084914">
      <w:pPr>
        <w:pStyle w:val="5"/>
        <w:spacing w:line="256" w:lineRule="auto"/>
        <w:rPr>
          <w:rFonts w:hint="eastAsia" w:ascii="宋体" w:hAnsi="宋体" w:eastAsia="宋体" w:cs="宋体"/>
          <w:color w:val="auto"/>
          <w:highlight w:val="none"/>
        </w:rPr>
      </w:pPr>
    </w:p>
    <w:p w14:paraId="04095A12">
      <w:pPr>
        <w:pStyle w:val="5"/>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39040016">
      <w:pPr>
        <w:spacing w:before="78" w:line="220" w:lineRule="auto"/>
        <w:ind w:left="4226"/>
        <w:jc w:val="center"/>
        <w:rPr>
          <w:rFonts w:hint="eastAsia" w:ascii="宋体" w:hAnsi="宋体" w:eastAsia="宋体" w:cs="宋体"/>
          <w:color w:val="auto"/>
          <w:highlight w:val="none"/>
        </w:rPr>
      </w:pPr>
    </w:p>
    <w:p w14:paraId="09DFFC47">
      <w:pPr>
        <w:pStyle w:val="5"/>
        <w:spacing w:line="241" w:lineRule="auto"/>
        <w:rPr>
          <w:rFonts w:hint="eastAsia" w:ascii="宋体" w:hAnsi="宋体" w:eastAsia="宋体" w:cs="宋体"/>
          <w:color w:val="auto"/>
          <w:highlight w:val="none"/>
        </w:rPr>
      </w:pPr>
    </w:p>
    <w:p w14:paraId="19347D26">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F52ECB2">
      <w:pPr>
        <w:spacing w:before="152" w:line="228" w:lineRule="auto"/>
        <w:ind w:left="484"/>
        <w:outlineLvl w:val="9"/>
        <w:rPr>
          <w:rFonts w:hint="eastAsia" w:ascii="宋体" w:hAnsi="宋体" w:eastAsia="宋体" w:cs="宋体"/>
          <w:color w:val="auto"/>
          <w:sz w:val="24"/>
          <w:szCs w:val="24"/>
          <w:highlight w:val="none"/>
        </w:rPr>
      </w:pPr>
      <w:bookmarkStart w:id="241" w:name="_Toc1942"/>
      <w:bookmarkStart w:id="242" w:name="_Toc25271"/>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41"/>
      <w:bookmarkEnd w:id="242"/>
    </w:p>
    <w:p w14:paraId="4FCFE8D7">
      <w:pP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439F755F">
      <w:pP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7"/>
          <w:sz w:val="24"/>
          <w:szCs w:val="24"/>
          <w:highlight w:val="none"/>
        </w:rPr>
        <w:t>核合格信息彩色扫描件；</w:t>
      </w:r>
    </w:p>
    <w:p w14:paraId="540AD7C6">
      <w:pP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个月，其</w:t>
      </w:r>
      <w:bookmarkStart w:id="243" w:name="OLE_LINK38"/>
      <w:r>
        <w:rPr>
          <w:rFonts w:hint="eastAsia" w:ascii="宋体" w:hAnsi="宋体" w:eastAsia="宋体" w:cs="宋体"/>
          <w:color w:val="auto"/>
          <w:sz w:val="24"/>
          <w:szCs w:val="24"/>
          <w:highlight w:val="none"/>
          <w:lang w:eastAsia="zh-CN"/>
        </w:rPr>
        <w:t>中必须有20</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月</w:t>
      </w:r>
      <w:bookmarkEnd w:id="243"/>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0D76B9F6">
      <w:pP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0073D580">
      <w:pPr>
        <w:spacing w:line="300" w:lineRule="auto"/>
        <w:rPr>
          <w:rFonts w:hint="eastAsia" w:ascii="宋体" w:hAnsi="宋体" w:eastAsia="宋体" w:cs="宋体"/>
          <w:color w:val="auto"/>
          <w:sz w:val="20"/>
          <w:szCs w:val="20"/>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3EA23D5">
      <w:pPr>
        <w:spacing w:before="78" w:line="220" w:lineRule="auto"/>
        <w:outlineLvl w:val="2"/>
        <w:rPr>
          <w:rFonts w:hint="eastAsia" w:ascii="宋体" w:hAnsi="宋体" w:eastAsia="宋体" w:cs="宋体"/>
          <w:b/>
          <w:bCs/>
          <w:color w:val="auto"/>
          <w:spacing w:val="-4"/>
          <w:sz w:val="24"/>
          <w:szCs w:val="24"/>
          <w:highlight w:val="none"/>
        </w:rPr>
      </w:pPr>
      <w:bookmarkStart w:id="244" w:name="_Toc6967"/>
      <w:r>
        <w:rPr>
          <w:rFonts w:hint="eastAsia" w:ascii="宋体" w:hAnsi="宋体" w:eastAsia="宋体" w:cs="宋体"/>
          <w:b/>
          <w:bCs/>
          <w:color w:val="auto"/>
          <w:spacing w:val="-4"/>
          <w:sz w:val="24"/>
          <w:szCs w:val="24"/>
          <w:highlight w:val="none"/>
        </w:rPr>
        <w:t>格式九 项目经理任职声明</w:t>
      </w:r>
      <w:bookmarkEnd w:id="244"/>
    </w:p>
    <w:p w14:paraId="612F2BD3">
      <w:pPr>
        <w:pStyle w:val="5"/>
        <w:spacing w:line="350" w:lineRule="auto"/>
        <w:rPr>
          <w:rFonts w:hint="eastAsia" w:ascii="宋体" w:hAnsi="宋体" w:eastAsia="宋体" w:cs="宋体"/>
          <w:color w:val="auto"/>
          <w:highlight w:val="none"/>
        </w:rPr>
      </w:pPr>
    </w:p>
    <w:p w14:paraId="64BA9CAE">
      <w:pPr>
        <w:pStyle w:val="5"/>
        <w:spacing w:line="350" w:lineRule="auto"/>
        <w:rPr>
          <w:rFonts w:hint="eastAsia" w:ascii="宋体" w:hAnsi="宋体" w:eastAsia="宋体" w:cs="宋体"/>
          <w:color w:val="auto"/>
          <w:highlight w:val="none"/>
        </w:rPr>
      </w:pPr>
    </w:p>
    <w:p w14:paraId="2CD81D3B">
      <w:pPr>
        <w:spacing w:before="98" w:line="220" w:lineRule="auto"/>
        <w:ind w:left="3338"/>
        <w:rPr>
          <w:rFonts w:hint="eastAsia" w:ascii="宋体" w:hAnsi="宋体" w:eastAsia="宋体" w:cs="宋体"/>
          <w:color w:val="auto"/>
          <w:sz w:val="30"/>
          <w:szCs w:val="30"/>
          <w:highlight w:val="none"/>
        </w:rPr>
      </w:pPr>
      <w:bookmarkStart w:id="245" w:name="bookmark157"/>
      <w:bookmarkEnd w:id="245"/>
      <w:r>
        <w:rPr>
          <w:rFonts w:hint="eastAsia" w:ascii="宋体" w:hAnsi="宋体" w:eastAsia="宋体" w:cs="宋体"/>
          <w:b/>
          <w:bCs/>
          <w:color w:val="auto"/>
          <w:spacing w:val="-5"/>
          <w:sz w:val="30"/>
          <w:szCs w:val="30"/>
          <w:highlight w:val="none"/>
        </w:rPr>
        <w:t>项目经理任职声明</w:t>
      </w:r>
    </w:p>
    <w:p w14:paraId="5E27ED4C">
      <w:pPr>
        <w:pStyle w:val="5"/>
        <w:spacing w:line="250" w:lineRule="auto"/>
        <w:rPr>
          <w:rFonts w:hint="eastAsia" w:ascii="宋体" w:hAnsi="宋体" w:eastAsia="宋体" w:cs="宋体"/>
          <w:color w:val="auto"/>
          <w:highlight w:val="none"/>
        </w:rPr>
      </w:pPr>
    </w:p>
    <w:p w14:paraId="2F282189">
      <w:pPr>
        <w:pStyle w:val="5"/>
        <w:spacing w:line="250" w:lineRule="auto"/>
        <w:rPr>
          <w:rFonts w:hint="eastAsia" w:ascii="宋体" w:hAnsi="宋体" w:eastAsia="宋体" w:cs="宋体"/>
          <w:color w:val="auto"/>
          <w:highlight w:val="none"/>
        </w:rPr>
      </w:pPr>
    </w:p>
    <w:p w14:paraId="5C8AA10A">
      <w:pPr>
        <w:pStyle w:val="5"/>
        <w:spacing w:line="251" w:lineRule="auto"/>
        <w:rPr>
          <w:rFonts w:hint="eastAsia" w:ascii="宋体" w:hAnsi="宋体" w:eastAsia="宋体" w:cs="宋体"/>
          <w:color w:val="auto"/>
          <w:highlight w:val="none"/>
        </w:rPr>
      </w:pPr>
    </w:p>
    <w:p w14:paraId="482F2F4D">
      <w:pP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0904F3EC">
      <w:pPr>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640324F8">
      <w:pPr>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09BB5DB">
      <w:pPr>
        <w:pStyle w:val="5"/>
        <w:spacing w:line="391" w:lineRule="auto"/>
        <w:rPr>
          <w:rFonts w:hint="eastAsia" w:ascii="宋体" w:hAnsi="宋体" w:eastAsia="宋体" w:cs="宋体"/>
          <w:color w:val="auto"/>
          <w:highlight w:val="none"/>
        </w:rPr>
      </w:pPr>
    </w:p>
    <w:p w14:paraId="7EA0A4E9">
      <w:pPr>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47C7F522">
      <w:pPr>
        <w:pStyle w:val="5"/>
        <w:spacing w:line="316" w:lineRule="auto"/>
        <w:rPr>
          <w:rFonts w:hint="eastAsia" w:ascii="宋体" w:hAnsi="宋体" w:eastAsia="宋体" w:cs="宋体"/>
          <w:color w:val="auto"/>
          <w:highlight w:val="none"/>
        </w:rPr>
      </w:pPr>
    </w:p>
    <w:p w14:paraId="166EE9AC">
      <w:pPr>
        <w:pStyle w:val="5"/>
        <w:spacing w:line="317" w:lineRule="auto"/>
        <w:rPr>
          <w:rFonts w:hint="eastAsia" w:ascii="宋体" w:hAnsi="宋体" w:eastAsia="宋体" w:cs="宋体"/>
          <w:color w:val="auto"/>
          <w:highlight w:val="none"/>
        </w:rPr>
      </w:pPr>
    </w:p>
    <w:p w14:paraId="708846AD">
      <w:pPr>
        <w:pStyle w:val="5"/>
        <w:spacing w:line="317" w:lineRule="auto"/>
        <w:rPr>
          <w:rFonts w:hint="eastAsia" w:ascii="宋体" w:hAnsi="宋体" w:eastAsia="宋体" w:cs="宋体"/>
          <w:color w:val="auto"/>
          <w:highlight w:val="none"/>
        </w:rPr>
      </w:pPr>
    </w:p>
    <w:p w14:paraId="07D0B977">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4F711471">
      <w:pPr>
        <w:pStyle w:val="5"/>
        <w:spacing w:line="317" w:lineRule="auto"/>
        <w:rPr>
          <w:rFonts w:hint="eastAsia" w:ascii="宋体" w:hAnsi="宋体" w:eastAsia="宋体" w:cs="宋体"/>
          <w:color w:val="auto"/>
          <w:highlight w:val="none"/>
        </w:rPr>
      </w:pPr>
    </w:p>
    <w:p w14:paraId="38491E5D">
      <w:pPr>
        <w:pStyle w:val="5"/>
        <w:spacing w:line="317" w:lineRule="auto"/>
        <w:rPr>
          <w:rFonts w:hint="eastAsia" w:ascii="宋体" w:hAnsi="宋体" w:eastAsia="宋体" w:cs="宋体"/>
          <w:color w:val="auto"/>
          <w:highlight w:val="none"/>
        </w:rPr>
      </w:pPr>
    </w:p>
    <w:p w14:paraId="2845CC21">
      <w:pPr>
        <w:pStyle w:val="5"/>
        <w:spacing w:line="317" w:lineRule="auto"/>
        <w:rPr>
          <w:rFonts w:hint="eastAsia" w:ascii="宋体" w:hAnsi="宋体" w:eastAsia="宋体" w:cs="宋体"/>
          <w:color w:val="auto"/>
          <w:highlight w:val="none"/>
        </w:rPr>
      </w:pPr>
    </w:p>
    <w:p w14:paraId="270F977A">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FF68B7A">
      <w:pPr>
        <w:pStyle w:val="5"/>
        <w:spacing w:line="257" w:lineRule="auto"/>
        <w:rPr>
          <w:rFonts w:hint="eastAsia" w:ascii="宋体" w:hAnsi="宋体" w:eastAsia="宋体" w:cs="宋体"/>
          <w:color w:val="auto"/>
          <w:highlight w:val="none"/>
        </w:rPr>
      </w:pPr>
    </w:p>
    <w:p w14:paraId="24BB67B8">
      <w:pPr>
        <w:pStyle w:val="5"/>
        <w:spacing w:line="257" w:lineRule="auto"/>
        <w:rPr>
          <w:rFonts w:hint="eastAsia" w:ascii="宋体" w:hAnsi="宋体" w:eastAsia="宋体" w:cs="宋体"/>
          <w:color w:val="auto"/>
          <w:highlight w:val="none"/>
        </w:rPr>
      </w:pPr>
    </w:p>
    <w:p w14:paraId="1DEB93F9">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9C55D77">
      <w:pPr>
        <w:spacing w:line="220" w:lineRule="auto"/>
        <w:rPr>
          <w:rFonts w:hint="eastAsia" w:ascii="宋体" w:hAnsi="宋体" w:eastAsia="宋体" w:cs="宋体"/>
          <w:color w:val="auto"/>
          <w:sz w:val="24"/>
          <w:szCs w:val="24"/>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C279ED4">
      <w:pPr>
        <w:spacing w:before="78" w:line="220" w:lineRule="auto"/>
        <w:outlineLvl w:val="2"/>
        <w:rPr>
          <w:rFonts w:hint="eastAsia" w:ascii="宋体" w:hAnsi="宋体" w:eastAsia="宋体" w:cs="宋体"/>
          <w:b/>
          <w:bCs/>
          <w:color w:val="auto"/>
          <w:spacing w:val="-4"/>
          <w:sz w:val="24"/>
          <w:szCs w:val="24"/>
          <w:highlight w:val="none"/>
        </w:rPr>
      </w:pPr>
      <w:bookmarkStart w:id="246" w:name="_Toc19125"/>
      <w:r>
        <w:rPr>
          <w:rFonts w:hint="eastAsia" w:ascii="宋体" w:hAnsi="宋体" w:eastAsia="宋体" w:cs="宋体"/>
          <w:b/>
          <w:bCs/>
          <w:color w:val="auto"/>
          <w:spacing w:val="-4"/>
          <w:sz w:val="24"/>
          <w:szCs w:val="24"/>
          <w:highlight w:val="none"/>
        </w:rPr>
        <w:t>格式十 项目技术负责人简历表</w:t>
      </w:r>
      <w:bookmarkEnd w:id="246"/>
    </w:p>
    <w:p w14:paraId="675D0539">
      <w:pPr>
        <w:pStyle w:val="5"/>
        <w:spacing w:line="444" w:lineRule="auto"/>
        <w:rPr>
          <w:rFonts w:hint="eastAsia" w:ascii="宋体" w:hAnsi="宋体" w:eastAsia="宋体" w:cs="宋体"/>
          <w:color w:val="auto"/>
          <w:highlight w:val="none"/>
        </w:rPr>
      </w:pPr>
    </w:p>
    <w:p w14:paraId="0EE5F1FB">
      <w:pPr>
        <w:spacing w:before="97" w:line="219" w:lineRule="auto"/>
        <w:ind w:left="3087"/>
        <w:outlineLvl w:val="9"/>
        <w:rPr>
          <w:rFonts w:hint="eastAsia" w:ascii="宋体" w:hAnsi="宋体" w:eastAsia="宋体" w:cs="宋体"/>
          <w:color w:val="auto"/>
          <w:sz w:val="30"/>
          <w:szCs w:val="30"/>
          <w:highlight w:val="none"/>
        </w:rPr>
      </w:pPr>
      <w:bookmarkStart w:id="247" w:name="_Toc25712"/>
      <w:bookmarkStart w:id="248" w:name="_Toc1553"/>
      <w:r>
        <w:rPr>
          <w:rFonts w:hint="eastAsia" w:ascii="宋体" w:hAnsi="宋体" w:eastAsia="宋体" w:cs="宋体"/>
          <w:b/>
          <w:bCs/>
          <w:color w:val="auto"/>
          <w:spacing w:val="-4"/>
          <w:sz w:val="30"/>
          <w:szCs w:val="30"/>
          <w:highlight w:val="none"/>
        </w:rPr>
        <w:t>项目技术负责人简历表</w:t>
      </w:r>
      <w:bookmarkEnd w:id="247"/>
      <w:bookmarkEnd w:id="248"/>
    </w:p>
    <w:p w14:paraId="0C4EC7B8">
      <w:pPr>
        <w:spacing w:line="240" w:lineRule="exact"/>
        <w:rPr>
          <w:rFonts w:hint="eastAsia" w:ascii="宋体" w:hAnsi="宋体" w:eastAsia="宋体" w:cs="宋体"/>
          <w:color w:val="auto"/>
          <w:highlight w:val="none"/>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07401C12">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1DDDCFB5">
            <w:pPr>
              <w:pStyle w:val="20"/>
              <w:rPr>
                <w:rFonts w:hint="eastAsia" w:ascii="宋体" w:hAnsi="宋体" w:eastAsia="宋体" w:cs="宋体"/>
                <w:color w:val="auto"/>
                <w:sz w:val="24"/>
                <w:szCs w:val="24"/>
                <w:highlight w:val="none"/>
              </w:rPr>
            </w:pPr>
          </w:p>
        </w:tc>
        <w:tc>
          <w:tcPr>
            <w:tcW w:w="1346" w:type="dxa"/>
            <w:vAlign w:val="top"/>
          </w:tcPr>
          <w:p w14:paraId="3A00E866">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2C9F5B8C">
            <w:pPr>
              <w:pStyle w:val="20"/>
              <w:rPr>
                <w:rFonts w:hint="eastAsia" w:ascii="宋体" w:hAnsi="宋体" w:eastAsia="宋体" w:cs="宋体"/>
                <w:color w:val="auto"/>
                <w:sz w:val="24"/>
                <w:szCs w:val="24"/>
                <w:highlight w:val="none"/>
              </w:rPr>
            </w:pPr>
          </w:p>
        </w:tc>
        <w:tc>
          <w:tcPr>
            <w:tcW w:w="1783" w:type="dxa"/>
            <w:vAlign w:val="top"/>
          </w:tcPr>
          <w:p w14:paraId="7B35F84B">
            <w:pP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60520BF4">
            <w:pPr>
              <w:pStyle w:val="20"/>
              <w:rPr>
                <w:rFonts w:hint="eastAsia" w:ascii="宋体" w:hAnsi="宋体" w:eastAsia="宋体" w:cs="宋体"/>
                <w:color w:val="auto"/>
                <w:sz w:val="24"/>
                <w:szCs w:val="24"/>
                <w:highlight w:val="none"/>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19790CAF">
            <w:pPr>
              <w:pStyle w:val="20"/>
              <w:rPr>
                <w:rFonts w:hint="eastAsia" w:ascii="宋体" w:hAnsi="宋体" w:eastAsia="宋体" w:cs="宋体"/>
                <w:color w:val="auto"/>
                <w:sz w:val="24"/>
                <w:szCs w:val="24"/>
                <w:highlight w:val="none"/>
              </w:rPr>
            </w:pPr>
          </w:p>
        </w:tc>
        <w:tc>
          <w:tcPr>
            <w:tcW w:w="1346" w:type="dxa"/>
            <w:vAlign w:val="top"/>
          </w:tcPr>
          <w:p w14:paraId="1732E3C0">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481B37E4">
            <w:pPr>
              <w:pStyle w:val="20"/>
              <w:rPr>
                <w:rFonts w:hint="eastAsia" w:ascii="宋体" w:hAnsi="宋体" w:eastAsia="宋体" w:cs="宋体"/>
                <w:color w:val="auto"/>
                <w:sz w:val="24"/>
                <w:szCs w:val="24"/>
                <w:highlight w:val="none"/>
              </w:rPr>
            </w:pPr>
          </w:p>
        </w:tc>
        <w:tc>
          <w:tcPr>
            <w:tcW w:w="1783" w:type="dxa"/>
            <w:vAlign w:val="top"/>
          </w:tcPr>
          <w:p w14:paraId="56AB3CDE">
            <w:pP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C9CA710">
            <w:pPr>
              <w:pStyle w:val="20"/>
              <w:rPr>
                <w:rFonts w:hint="eastAsia" w:ascii="宋体" w:hAnsi="宋体" w:eastAsia="宋体" w:cs="宋体"/>
                <w:color w:val="auto"/>
                <w:sz w:val="24"/>
                <w:szCs w:val="24"/>
                <w:highlight w:val="none"/>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2C6D39E6">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51D2A335">
            <w:pPr>
              <w:pStyle w:val="20"/>
              <w:rPr>
                <w:rFonts w:hint="eastAsia" w:ascii="宋体" w:hAnsi="宋体" w:eastAsia="宋体" w:cs="宋体"/>
                <w:color w:val="auto"/>
                <w:sz w:val="24"/>
                <w:szCs w:val="24"/>
                <w:highlight w:val="none"/>
              </w:rPr>
            </w:pPr>
          </w:p>
        </w:tc>
        <w:tc>
          <w:tcPr>
            <w:tcW w:w="3830" w:type="dxa"/>
            <w:gridSpan w:val="2"/>
            <w:vAlign w:val="top"/>
          </w:tcPr>
          <w:p w14:paraId="43C0FC45">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75D20512">
            <w:pPr>
              <w:pStyle w:val="20"/>
              <w:rPr>
                <w:rFonts w:hint="eastAsia" w:ascii="宋体" w:hAnsi="宋体" w:eastAsia="宋体" w:cs="宋体"/>
                <w:color w:val="auto"/>
                <w:sz w:val="24"/>
                <w:szCs w:val="24"/>
                <w:highlight w:val="none"/>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36F5A08A">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1A081902">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773730B3">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271BA220">
            <w:pP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6A77878">
            <w:pP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311F0986">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9B2F7F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1D017C43">
            <w:pPr>
              <w:pStyle w:val="20"/>
              <w:rPr>
                <w:rFonts w:hint="eastAsia" w:ascii="宋体" w:hAnsi="宋体" w:eastAsia="宋体" w:cs="宋体"/>
                <w:color w:val="auto"/>
                <w:sz w:val="24"/>
                <w:szCs w:val="24"/>
                <w:highlight w:val="none"/>
              </w:rPr>
            </w:pPr>
          </w:p>
        </w:tc>
        <w:tc>
          <w:tcPr>
            <w:tcW w:w="2021" w:type="dxa"/>
            <w:gridSpan w:val="2"/>
            <w:vAlign w:val="top"/>
          </w:tcPr>
          <w:p w14:paraId="270436EC">
            <w:pPr>
              <w:pStyle w:val="20"/>
              <w:rPr>
                <w:rFonts w:hint="eastAsia" w:ascii="宋体" w:hAnsi="宋体" w:eastAsia="宋体" w:cs="宋体"/>
                <w:color w:val="auto"/>
                <w:sz w:val="24"/>
                <w:szCs w:val="24"/>
                <w:highlight w:val="none"/>
              </w:rPr>
            </w:pPr>
          </w:p>
        </w:tc>
        <w:tc>
          <w:tcPr>
            <w:tcW w:w="2047" w:type="dxa"/>
            <w:vAlign w:val="top"/>
          </w:tcPr>
          <w:p w14:paraId="254FE938">
            <w:pPr>
              <w:pStyle w:val="20"/>
              <w:rPr>
                <w:rFonts w:hint="eastAsia" w:ascii="宋体" w:hAnsi="宋体" w:eastAsia="宋体" w:cs="宋体"/>
                <w:color w:val="auto"/>
                <w:sz w:val="24"/>
                <w:szCs w:val="24"/>
                <w:highlight w:val="none"/>
              </w:rPr>
            </w:pPr>
          </w:p>
        </w:tc>
        <w:tc>
          <w:tcPr>
            <w:tcW w:w="1783" w:type="dxa"/>
            <w:vAlign w:val="top"/>
          </w:tcPr>
          <w:p w14:paraId="355EA15C">
            <w:pPr>
              <w:pStyle w:val="20"/>
              <w:rPr>
                <w:rFonts w:hint="eastAsia" w:ascii="宋体" w:hAnsi="宋体" w:eastAsia="宋体" w:cs="宋体"/>
                <w:color w:val="auto"/>
                <w:sz w:val="24"/>
                <w:szCs w:val="24"/>
                <w:highlight w:val="none"/>
              </w:rPr>
            </w:pPr>
          </w:p>
        </w:tc>
        <w:tc>
          <w:tcPr>
            <w:tcW w:w="1386" w:type="dxa"/>
            <w:vAlign w:val="top"/>
          </w:tcPr>
          <w:p w14:paraId="3A063067">
            <w:pPr>
              <w:pStyle w:val="20"/>
              <w:rPr>
                <w:rFonts w:hint="eastAsia" w:ascii="宋体" w:hAnsi="宋体" w:eastAsia="宋体" w:cs="宋体"/>
                <w:color w:val="auto"/>
                <w:sz w:val="24"/>
                <w:szCs w:val="24"/>
                <w:highlight w:val="none"/>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0C5944E3">
            <w:pPr>
              <w:pStyle w:val="20"/>
              <w:rPr>
                <w:rFonts w:hint="eastAsia" w:ascii="宋体" w:hAnsi="宋体" w:eastAsia="宋体" w:cs="宋体"/>
                <w:color w:val="auto"/>
                <w:sz w:val="24"/>
                <w:szCs w:val="24"/>
                <w:highlight w:val="none"/>
              </w:rPr>
            </w:pPr>
          </w:p>
        </w:tc>
        <w:tc>
          <w:tcPr>
            <w:tcW w:w="2021" w:type="dxa"/>
            <w:gridSpan w:val="2"/>
            <w:vAlign w:val="top"/>
          </w:tcPr>
          <w:p w14:paraId="4FF33181">
            <w:pPr>
              <w:pStyle w:val="20"/>
              <w:rPr>
                <w:rFonts w:hint="eastAsia" w:ascii="宋体" w:hAnsi="宋体" w:eastAsia="宋体" w:cs="宋体"/>
                <w:color w:val="auto"/>
                <w:sz w:val="24"/>
                <w:szCs w:val="24"/>
                <w:highlight w:val="none"/>
              </w:rPr>
            </w:pPr>
          </w:p>
        </w:tc>
        <w:tc>
          <w:tcPr>
            <w:tcW w:w="2047" w:type="dxa"/>
            <w:vAlign w:val="top"/>
          </w:tcPr>
          <w:p w14:paraId="7DB0E2CE">
            <w:pPr>
              <w:pStyle w:val="20"/>
              <w:rPr>
                <w:rFonts w:hint="eastAsia" w:ascii="宋体" w:hAnsi="宋体" w:eastAsia="宋体" w:cs="宋体"/>
                <w:color w:val="auto"/>
                <w:sz w:val="24"/>
                <w:szCs w:val="24"/>
                <w:highlight w:val="none"/>
              </w:rPr>
            </w:pPr>
          </w:p>
        </w:tc>
        <w:tc>
          <w:tcPr>
            <w:tcW w:w="1783" w:type="dxa"/>
            <w:vAlign w:val="top"/>
          </w:tcPr>
          <w:p w14:paraId="026AE2C4">
            <w:pPr>
              <w:pStyle w:val="20"/>
              <w:rPr>
                <w:rFonts w:hint="eastAsia" w:ascii="宋体" w:hAnsi="宋体" w:eastAsia="宋体" w:cs="宋体"/>
                <w:color w:val="auto"/>
                <w:sz w:val="24"/>
                <w:szCs w:val="24"/>
                <w:highlight w:val="none"/>
              </w:rPr>
            </w:pPr>
          </w:p>
        </w:tc>
        <w:tc>
          <w:tcPr>
            <w:tcW w:w="1386" w:type="dxa"/>
            <w:vAlign w:val="top"/>
          </w:tcPr>
          <w:p w14:paraId="371023C5">
            <w:pPr>
              <w:pStyle w:val="20"/>
              <w:rPr>
                <w:rFonts w:hint="eastAsia" w:ascii="宋体" w:hAnsi="宋体" w:eastAsia="宋体" w:cs="宋体"/>
                <w:color w:val="auto"/>
                <w:sz w:val="24"/>
                <w:szCs w:val="24"/>
                <w:highlight w:val="none"/>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4A2416CF">
            <w:pPr>
              <w:pStyle w:val="20"/>
              <w:rPr>
                <w:rFonts w:hint="eastAsia" w:ascii="宋体" w:hAnsi="宋体" w:eastAsia="宋体" w:cs="宋体"/>
                <w:color w:val="auto"/>
                <w:sz w:val="24"/>
                <w:szCs w:val="24"/>
                <w:highlight w:val="none"/>
              </w:rPr>
            </w:pPr>
          </w:p>
        </w:tc>
        <w:tc>
          <w:tcPr>
            <w:tcW w:w="2021" w:type="dxa"/>
            <w:gridSpan w:val="2"/>
            <w:vAlign w:val="top"/>
          </w:tcPr>
          <w:p w14:paraId="5DC4416F">
            <w:pPr>
              <w:pStyle w:val="20"/>
              <w:rPr>
                <w:rFonts w:hint="eastAsia" w:ascii="宋体" w:hAnsi="宋体" w:eastAsia="宋体" w:cs="宋体"/>
                <w:color w:val="auto"/>
                <w:sz w:val="24"/>
                <w:szCs w:val="24"/>
                <w:highlight w:val="none"/>
              </w:rPr>
            </w:pPr>
          </w:p>
        </w:tc>
        <w:tc>
          <w:tcPr>
            <w:tcW w:w="2047" w:type="dxa"/>
            <w:vAlign w:val="top"/>
          </w:tcPr>
          <w:p w14:paraId="2AF0F04E">
            <w:pPr>
              <w:pStyle w:val="20"/>
              <w:rPr>
                <w:rFonts w:hint="eastAsia" w:ascii="宋体" w:hAnsi="宋体" w:eastAsia="宋体" w:cs="宋体"/>
                <w:color w:val="auto"/>
                <w:sz w:val="24"/>
                <w:szCs w:val="24"/>
                <w:highlight w:val="none"/>
              </w:rPr>
            </w:pPr>
          </w:p>
        </w:tc>
        <w:tc>
          <w:tcPr>
            <w:tcW w:w="1783" w:type="dxa"/>
            <w:vAlign w:val="top"/>
          </w:tcPr>
          <w:p w14:paraId="400EE5B7">
            <w:pPr>
              <w:pStyle w:val="20"/>
              <w:rPr>
                <w:rFonts w:hint="eastAsia" w:ascii="宋体" w:hAnsi="宋体" w:eastAsia="宋体" w:cs="宋体"/>
                <w:color w:val="auto"/>
                <w:sz w:val="24"/>
                <w:szCs w:val="24"/>
                <w:highlight w:val="none"/>
              </w:rPr>
            </w:pPr>
          </w:p>
        </w:tc>
        <w:tc>
          <w:tcPr>
            <w:tcW w:w="1386" w:type="dxa"/>
            <w:vAlign w:val="top"/>
          </w:tcPr>
          <w:p w14:paraId="1734BD0B">
            <w:pPr>
              <w:pStyle w:val="20"/>
              <w:rPr>
                <w:rFonts w:hint="eastAsia" w:ascii="宋体" w:hAnsi="宋体" w:eastAsia="宋体" w:cs="宋体"/>
                <w:color w:val="auto"/>
                <w:sz w:val="24"/>
                <w:szCs w:val="24"/>
                <w:highlight w:val="none"/>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0"/>
              <w:rPr>
                <w:rFonts w:hint="eastAsia" w:ascii="宋体" w:hAnsi="宋体" w:eastAsia="宋体" w:cs="宋体"/>
                <w:color w:val="auto"/>
                <w:sz w:val="24"/>
                <w:szCs w:val="24"/>
                <w:highlight w:val="none"/>
              </w:rPr>
            </w:pPr>
          </w:p>
        </w:tc>
        <w:tc>
          <w:tcPr>
            <w:tcW w:w="1610" w:type="dxa"/>
            <w:gridSpan w:val="2"/>
            <w:vAlign w:val="top"/>
          </w:tcPr>
          <w:p w14:paraId="698F5787">
            <w:pPr>
              <w:pStyle w:val="20"/>
              <w:rPr>
                <w:rFonts w:hint="eastAsia" w:ascii="宋体" w:hAnsi="宋体" w:eastAsia="宋体" w:cs="宋体"/>
                <w:color w:val="auto"/>
                <w:sz w:val="24"/>
                <w:szCs w:val="24"/>
                <w:highlight w:val="none"/>
              </w:rPr>
            </w:pPr>
          </w:p>
        </w:tc>
        <w:tc>
          <w:tcPr>
            <w:tcW w:w="2021" w:type="dxa"/>
            <w:gridSpan w:val="2"/>
            <w:vAlign w:val="top"/>
          </w:tcPr>
          <w:p w14:paraId="69858A0D">
            <w:pPr>
              <w:pStyle w:val="20"/>
              <w:rPr>
                <w:rFonts w:hint="eastAsia" w:ascii="宋体" w:hAnsi="宋体" w:eastAsia="宋体" w:cs="宋体"/>
                <w:color w:val="auto"/>
                <w:sz w:val="24"/>
                <w:szCs w:val="24"/>
                <w:highlight w:val="none"/>
              </w:rPr>
            </w:pPr>
          </w:p>
        </w:tc>
        <w:tc>
          <w:tcPr>
            <w:tcW w:w="2047" w:type="dxa"/>
            <w:vAlign w:val="top"/>
          </w:tcPr>
          <w:p w14:paraId="2BD7DCDB">
            <w:pPr>
              <w:pStyle w:val="20"/>
              <w:rPr>
                <w:rFonts w:hint="eastAsia" w:ascii="宋体" w:hAnsi="宋体" w:eastAsia="宋体" w:cs="宋体"/>
                <w:color w:val="auto"/>
                <w:sz w:val="24"/>
                <w:szCs w:val="24"/>
                <w:highlight w:val="none"/>
              </w:rPr>
            </w:pPr>
          </w:p>
        </w:tc>
        <w:tc>
          <w:tcPr>
            <w:tcW w:w="1783" w:type="dxa"/>
            <w:vAlign w:val="top"/>
          </w:tcPr>
          <w:p w14:paraId="4D125A3E">
            <w:pPr>
              <w:pStyle w:val="20"/>
              <w:rPr>
                <w:rFonts w:hint="eastAsia" w:ascii="宋体" w:hAnsi="宋体" w:eastAsia="宋体" w:cs="宋体"/>
                <w:color w:val="auto"/>
                <w:sz w:val="24"/>
                <w:szCs w:val="24"/>
                <w:highlight w:val="none"/>
              </w:rPr>
            </w:pPr>
          </w:p>
        </w:tc>
        <w:tc>
          <w:tcPr>
            <w:tcW w:w="1386" w:type="dxa"/>
            <w:vAlign w:val="top"/>
          </w:tcPr>
          <w:p w14:paraId="39C6E406">
            <w:pPr>
              <w:pStyle w:val="20"/>
              <w:rPr>
                <w:rFonts w:hint="eastAsia" w:ascii="宋体" w:hAnsi="宋体" w:eastAsia="宋体" w:cs="宋体"/>
                <w:color w:val="auto"/>
                <w:sz w:val="24"/>
                <w:szCs w:val="24"/>
                <w:highlight w:val="none"/>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0"/>
              <w:rPr>
                <w:rFonts w:hint="eastAsia" w:ascii="宋体" w:hAnsi="宋体" w:eastAsia="宋体" w:cs="宋体"/>
                <w:color w:val="auto"/>
                <w:sz w:val="24"/>
                <w:szCs w:val="24"/>
                <w:highlight w:val="none"/>
              </w:rPr>
            </w:pPr>
          </w:p>
        </w:tc>
        <w:tc>
          <w:tcPr>
            <w:tcW w:w="1610" w:type="dxa"/>
            <w:gridSpan w:val="2"/>
            <w:vAlign w:val="top"/>
          </w:tcPr>
          <w:p w14:paraId="51FAB6E2">
            <w:pPr>
              <w:pStyle w:val="20"/>
              <w:rPr>
                <w:rFonts w:hint="eastAsia" w:ascii="宋体" w:hAnsi="宋体" w:eastAsia="宋体" w:cs="宋体"/>
                <w:color w:val="auto"/>
                <w:sz w:val="24"/>
                <w:szCs w:val="24"/>
                <w:highlight w:val="none"/>
              </w:rPr>
            </w:pPr>
          </w:p>
        </w:tc>
        <w:tc>
          <w:tcPr>
            <w:tcW w:w="2021" w:type="dxa"/>
            <w:gridSpan w:val="2"/>
            <w:vAlign w:val="top"/>
          </w:tcPr>
          <w:p w14:paraId="61875FD1">
            <w:pPr>
              <w:pStyle w:val="20"/>
              <w:rPr>
                <w:rFonts w:hint="eastAsia" w:ascii="宋体" w:hAnsi="宋体" w:eastAsia="宋体" w:cs="宋体"/>
                <w:color w:val="auto"/>
                <w:sz w:val="24"/>
                <w:szCs w:val="24"/>
                <w:highlight w:val="none"/>
              </w:rPr>
            </w:pPr>
          </w:p>
        </w:tc>
        <w:tc>
          <w:tcPr>
            <w:tcW w:w="2047" w:type="dxa"/>
            <w:vAlign w:val="top"/>
          </w:tcPr>
          <w:p w14:paraId="404E5FF7">
            <w:pPr>
              <w:pStyle w:val="20"/>
              <w:rPr>
                <w:rFonts w:hint="eastAsia" w:ascii="宋体" w:hAnsi="宋体" w:eastAsia="宋体" w:cs="宋体"/>
                <w:color w:val="auto"/>
                <w:sz w:val="24"/>
                <w:szCs w:val="24"/>
                <w:highlight w:val="none"/>
              </w:rPr>
            </w:pPr>
          </w:p>
        </w:tc>
        <w:tc>
          <w:tcPr>
            <w:tcW w:w="1783" w:type="dxa"/>
            <w:vAlign w:val="top"/>
          </w:tcPr>
          <w:p w14:paraId="6ADD1E7F">
            <w:pPr>
              <w:pStyle w:val="20"/>
              <w:rPr>
                <w:rFonts w:hint="eastAsia" w:ascii="宋体" w:hAnsi="宋体" w:eastAsia="宋体" w:cs="宋体"/>
                <w:color w:val="auto"/>
                <w:sz w:val="24"/>
                <w:szCs w:val="24"/>
                <w:highlight w:val="none"/>
              </w:rPr>
            </w:pPr>
          </w:p>
        </w:tc>
        <w:tc>
          <w:tcPr>
            <w:tcW w:w="1386" w:type="dxa"/>
            <w:vAlign w:val="top"/>
          </w:tcPr>
          <w:p w14:paraId="384217C7">
            <w:pPr>
              <w:pStyle w:val="20"/>
              <w:rPr>
                <w:rFonts w:hint="eastAsia" w:ascii="宋体" w:hAnsi="宋体" w:eastAsia="宋体" w:cs="宋体"/>
                <w:color w:val="auto"/>
                <w:sz w:val="24"/>
                <w:szCs w:val="24"/>
                <w:highlight w:val="none"/>
              </w:rPr>
            </w:pPr>
          </w:p>
        </w:tc>
      </w:tr>
    </w:tbl>
    <w:p w14:paraId="45EB821D">
      <w:pPr>
        <w:pStyle w:val="5"/>
        <w:spacing w:line="314" w:lineRule="auto"/>
        <w:rPr>
          <w:rFonts w:hint="eastAsia" w:ascii="宋体" w:hAnsi="宋体" w:eastAsia="宋体" w:cs="宋体"/>
          <w:color w:val="auto"/>
          <w:sz w:val="24"/>
          <w:szCs w:val="24"/>
          <w:highlight w:val="none"/>
        </w:rPr>
      </w:pPr>
    </w:p>
    <w:p w14:paraId="02839B71">
      <w:pPr>
        <w:pStyle w:val="5"/>
        <w:spacing w:line="315" w:lineRule="auto"/>
        <w:rPr>
          <w:rFonts w:hint="eastAsia" w:ascii="宋体" w:hAnsi="宋体" w:eastAsia="宋体" w:cs="宋体"/>
          <w:color w:val="auto"/>
          <w:sz w:val="24"/>
          <w:szCs w:val="24"/>
          <w:highlight w:val="none"/>
        </w:rPr>
      </w:pPr>
    </w:p>
    <w:p w14:paraId="75FEC917">
      <w:pPr>
        <w:pStyle w:val="5"/>
        <w:spacing w:line="315" w:lineRule="auto"/>
        <w:rPr>
          <w:rFonts w:hint="eastAsia" w:ascii="宋体" w:hAnsi="宋体" w:eastAsia="宋体" w:cs="宋体"/>
          <w:color w:val="auto"/>
          <w:sz w:val="24"/>
          <w:szCs w:val="24"/>
          <w:highlight w:val="none"/>
        </w:rPr>
      </w:pPr>
    </w:p>
    <w:p w14:paraId="443E0EA6">
      <w:pP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06231E95">
      <w:pPr>
        <w:pStyle w:val="5"/>
        <w:spacing w:line="256" w:lineRule="auto"/>
        <w:jc w:val="right"/>
        <w:rPr>
          <w:rFonts w:hint="eastAsia" w:ascii="宋体" w:hAnsi="宋体" w:eastAsia="宋体" w:cs="宋体"/>
          <w:color w:val="auto"/>
          <w:sz w:val="24"/>
          <w:szCs w:val="24"/>
          <w:highlight w:val="none"/>
        </w:rPr>
      </w:pPr>
    </w:p>
    <w:p w14:paraId="48AD0385">
      <w:pPr>
        <w:pStyle w:val="5"/>
        <w:spacing w:line="257" w:lineRule="auto"/>
        <w:jc w:val="right"/>
        <w:rPr>
          <w:rFonts w:hint="eastAsia" w:ascii="宋体" w:hAnsi="宋体" w:eastAsia="宋体" w:cs="宋体"/>
          <w:color w:val="auto"/>
          <w:sz w:val="24"/>
          <w:szCs w:val="24"/>
          <w:highlight w:val="none"/>
        </w:rPr>
      </w:pPr>
    </w:p>
    <w:p w14:paraId="50CB5F37">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1408BD7">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2DD6422C">
      <w:pP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2AC7099F">
      <w:pP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531EC1B5">
      <w:pP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w:t>
      </w:r>
      <w:r>
        <w:rPr>
          <w:rFonts w:hint="eastAsia" w:ascii="宋体" w:hAnsi="宋体" w:eastAsia="宋体" w:cs="宋体"/>
          <w:color w:val="auto"/>
          <w:spacing w:val="8"/>
          <w:sz w:val="24"/>
          <w:szCs w:val="24"/>
          <w:highlight w:val="none"/>
        </w:rPr>
        <w:t>，其中必须有</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z w:val="24"/>
          <w:szCs w:val="24"/>
          <w:highlight w:val="none"/>
          <w:lang w:eastAsia="zh-CN"/>
        </w:rPr>
        <w:t>20</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pacing w:val="8"/>
          <w:sz w:val="24"/>
          <w:szCs w:val="24"/>
          <w:highlight w:val="none"/>
        </w:rPr>
        <w:t>年</w:t>
      </w:r>
      <w:r>
        <w:rPr>
          <w:rFonts w:hint="eastAsia" w:ascii="宋体" w:hAnsi="宋体" w:eastAsia="宋体" w:cs="宋体"/>
          <w:color w:val="auto"/>
          <w:spacing w:val="8"/>
          <w:sz w:val="24"/>
          <w:szCs w:val="24"/>
          <w:highlight w:val="none"/>
          <w:lang w:val="en-US" w:eastAsia="zh-CN"/>
        </w:rPr>
        <w:t>1</w:t>
      </w:r>
      <w:r>
        <w:rPr>
          <w:rFonts w:hint="eastAsia" w:ascii="宋体" w:hAnsi="宋体" w:eastAsia="宋体" w:cs="宋体"/>
          <w:color w:val="auto"/>
          <w:spacing w:val="8"/>
          <w:sz w:val="24"/>
          <w:szCs w:val="24"/>
          <w:highlight w:val="none"/>
        </w:rPr>
        <w:t>月）彩色扫描件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784C2F67">
      <w:pP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0CA53D6E">
      <w:pPr>
        <w:spacing w:line="228" w:lineRule="auto"/>
        <w:rPr>
          <w:rFonts w:hint="eastAsia" w:ascii="宋体" w:hAnsi="宋体" w:eastAsia="宋体" w:cs="宋体"/>
          <w:color w:val="auto"/>
          <w:sz w:val="20"/>
          <w:szCs w:val="20"/>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A79FF21">
      <w:pPr>
        <w:spacing w:before="78" w:line="220" w:lineRule="auto"/>
        <w:outlineLvl w:val="2"/>
        <w:rPr>
          <w:rFonts w:hint="eastAsia" w:ascii="宋体" w:hAnsi="宋体" w:eastAsia="宋体" w:cs="宋体"/>
          <w:b/>
          <w:bCs/>
          <w:color w:val="auto"/>
          <w:spacing w:val="-4"/>
          <w:sz w:val="24"/>
          <w:szCs w:val="24"/>
          <w:highlight w:val="none"/>
        </w:rPr>
      </w:pPr>
      <w:bookmarkStart w:id="249" w:name="_Toc18872"/>
      <w:r>
        <w:rPr>
          <w:rFonts w:hint="eastAsia" w:ascii="宋体" w:hAnsi="宋体" w:eastAsia="宋体" w:cs="宋体"/>
          <w:b/>
          <w:bCs/>
          <w:color w:val="auto"/>
          <w:spacing w:val="-4"/>
          <w:sz w:val="24"/>
          <w:szCs w:val="24"/>
          <w:highlight w:val="none"/>
        </w:rPr>
        <w:t>格式十一 项目管理机构组成表</w:t>
      </w:r>
      <w:bookmarkEnd w:id="249"/>
    </w:p>
    <w:p w14:paraId="555428D3">
      <w:pPr>
        <w:pStyle w:val="5"/>
        <w:spacing w:line="351" w:lineRule="auto"/>
        <w:rPr>
          <w:rFonts w:hint="eastAsia" w:ascii="宋体" w:hAnsi="宋体" w:eastAsia="宋体" w:cs="宋体"/>
          <w:color w:val="auto"/>
          <w:highlight w:val="none"/>
        </w:rPr>
      </w:pPr>
    </w:p>
    <w:p w14:paraId="162B07EA">
      <w:pPr>
        <w:pStyle w:val="5"/>
        <w:spacing w:line="351" w:lineRule="auto"/>
        <w:rPr>
          <w:rFonts w:hint="eastAsia" w:ascii="宋体" w:hAnsi="宋体" w:eastAsia="宋体" w:cs="宋体"/>
          <w:color w:val="auto"/>
          <w:highlight w:val="none"/>
        </w:rPr>
      </w:pPr>
    </w:p>
    <w:p w14:paraId="3C7DD617">
      <w:pPr>
        <w:spacing w:before="97" w:line="219" w:lineRule="auto"/>
        <w:ind w:left="3200"/>
        <w:outlineLvl w:val="9"/>
        <w:rPr>
          <w:rFonts w:hint="eastAsia" w:ascii="宋体" w:hAnsi="宋体" w:eastAsia="宋体" w:cs="宋体"/>
          <w:color w:val="auto"/>
          <w:sz w:val="30"/>
          <w:szCs w:val="30"/>
          <w:highlight w:val="none"/>
        </w:rPr>
      </w:pPr>
      <w:bookmarkStart w:id="250" w:name="bookmark158"/>
      <w:bookmarkEnd w:id="250"/>
      <w:bookmarkStart w:id="251" w:name="_Toc19973"/>
      <w:bookmarkStart w:id="252" w:name="_Toc28765"/>
      <w:r>
        <w:rPr>
          <w:rFonts w:hint="eastAsia" w:ascii="宋体" w:hAnsi="宋体" w:eastAsia="宋体" w:cs="宋体"/>
          <w:b/>
          <w:bCs/>
          <w:color w:val="auto"/>
          <w:spacing w:val="-4"/>
          <w:sz w:val="30"/>
          <w:szCs w:val="30"/>
          <w:highlight w:val="none"/>
        </w:rPr>
        <w:t>项目管理机构组成表</w:t>
      </w:r>
      <w:bookmarkEnd w:id="251"/>
      <w:bookmarkEnd w:id="252"/>
    </w:p>
    <w:p w14:paraId="1EDDD763">
      <w:pPr>
        <w:spacing w:before="7"/>
        <w:rPr>
          <w:rFonts w:hint="eastAsia" w:ascii="宋体" w:hAnsi="宋体" w:eastAsia="宋体" w:cs="宋体"/>
          <w:color w:val="auto"/>
          <w:highlight w:val="none"/>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D248E3F">
            <w:pP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5F461AAD">
            <w:pP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1DD6F3D6">
            <w:pP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3FF2F319">
            <w:pP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1F45BB1E">
            <w:pP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3EC28A26">
            <w:pP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B3131B4">
            <w:pP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97454C5">
            <w:pP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33D1707C">
            <w:pPr>
              <w:pStyle w:val="20"/>
              <w:rPr>
                <w:rFonts w:hint="eastAsia" w:ascii="宋体" w:hAnsi="宋体" w:eastAsia="宋体" w:cs="宋体"/>
                <w:color w:val="auto"/>
                <w:sz w:val="24"/>
                <w:szCs w:val="24"/>
                <w:highlight w:val="none"/>
              </w:rPr>
            </w:pPr>
          </w:p>
        </w:tc>
        <w:tc>
          <w:tcPr>
            <w:tcW w:w="1017" w:type="dxa"/>
            <w:vAlign w:val="top"/>
          </w:tcPr>
          <w:p w14:paraId="4EA01CAF">
            <w:pPr>
              <w:pStyle w:val="20"/>
              <w:rPr>
                <w:rFonts w:hint="eastAsia" w:ascii="宋体" w:hAnsi="宋体" w:eastAsia="宋体" w:cs="宋体"/>
                <w:color w:val="auto"/>
                <w:sz w:val="24"/>
                <w:szCs w:val="24"/>
                <w:highlight w:val="none"/>
              </w:rPr>
            </w:pPr>
          </w:p>
        </w:tc>
        <w:tc>
          <w:tcPr>
            <w:tcW w:w="1002" w:type="dxa"/>
            <w:vAlign w:val="top"/>
          </w:tcPr>
          <w:p w14:paraId="784E4E86">
            <w:pPr>
              <w:pStyle w:val="20"/>
              <w:rPr>
                <w:rFonts w:hint="eastAsia" w:ascii="宋体" w:hAnsi="宋体" w:eastAsia="宋体" w:cs="宋体"/>
                <w:color w:val="auto"/>
                <w:sz w:val="24"/>
                <w:szCs w:val="24"/>
                <w:highlight w:val="none"/>
              </w:rPr>
            </w:pPr>
          </w:p>
        </w:tc>
        <w:tc>
          <w:tcPr>
            <w:tcW w:w="1551" w:type="dxa"/>
            <w:vAlign w:val="top"/>
          </w:tcPr>
          <w:p w14:paraId="5F4F3964">
            <w:pPr>
              <w:pStyle w:val="20"/>
              <w:rPr>
                <w:rFonts w:hint="eastAsia" w:ascii="宋体" w:hAnsi="宋体" w:eastAsia="宋体" w:cs="宋体"/>
                <w:color w:val="auto"/>
                <w:sz w:val="24"/>
                <w:szCs w:val="24"/>
                <w:highlight w:val="none"/>
              </w:rPr>
            </w:pPr>
          </w:p>
        </w:tc>
        <w:tc>
          <w:tcPr>
            <w:tcW w:w="1926" w:type="dxa"/>
            <w:vAlign w:val="top"/>
          </w:tcPr>
          <w:p w14:paraId="7E0A4FFA">
            <w:pPr>
              <w:pStyle w:val="20"/>
              <w:rPr>
                <w:rFonts w:hint="eastAsia" w:ascii="宋体" w:hAnsi="宋体" w:eastAsia="宋体" w:cs="宋体"/>
                <w:color w:val="auto"/>
                <w:sz w:val="24"/>
                <w:szCs w:val="24"/>
                <w:highlight w:val="none"/>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2ACB0DD0">
            <w:pPr>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33B30217">
            <w:pP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101658E3">
            <w:pPr>
              <w:pStyle w:val="20"/>
              <w:rPr>
                <w:rFonts w:hint="eastAsia" w:ascii="宋体" w:hAnsi="宋体" w:eastAsia="宋体" w:cs="宋体"/>
                <w:color w:val="auto"/>
                <w:sz w:val="24"/>
                <w:szCs w:val="24"/>
                <w:highlight w:val="none"/>
              </w:rPr>
            </w:pPr>
          </w:p>
        </w:tc>
        <w:tc>
          <w:tcPr>
            <w:tcW w:w="1017" w:type="dxa"/>
            <w:vAlign w:val="top"/>
          </w:tcPr>
          <w:p w14:paraId="13CFB6FB">
            <w:pPr>
              <w:pStyle w:val="20"/>
              <w:rPr>
                <w:rFonts w:hint="eastAsia" w:ascii="宋体" w:hAnsi="宋体" w:eastAsia="宋体" w:cs="宋体"/>
                <w:color w:val="auto"/>
                <w:sz w:val="24"/>
                <w:szCs w:val="24"/>
                <w:highlight w:val="none"/>
              </w:rPr>
            </w:pPr>
          </w:p>
        </w:tc>
        <w:tc>
          <w:tcPr>
            <w:tcW w:w="1002" w:type="dxa"/>
            <w:vAlign w:val="top"/>
          </w:tcPr>
          <w:p w14:paraId="01708B9A">
            <w:pPr>
              <w:pStyle w:val="20"/>
              <w:rPr>
                <w:rFonts w:hint="eastAsia" w:ascii="宋体" w:hAnsi="宋体" w:eastAsia="宋体" w:cs="宋体"/>
                <w:color w:val="auto"/>
                <w:sz w:val="24"/>
                <w:szCs w:val="24"/>
                <w:highlight w:val="none"/>
              </w:rPr>
            </w:pPr>
          </w:p>
        </w:tc>
        <w:tc>
          <w:tcPr>
            <w:tcW w:w="1551" w:type="dxa"/>
            <w:vAlign w:val="top"/>
          </w:tcPr>
          <w:p w14:paraId="2DA12024">
            <w:pPr>
              <w:pStyle w:val="20"/>
              <w:rPr>
                <w:rFonts w:hint="eastAsia" w:ascii="宋体" w:hAnsi="宋体" w:eastAsia="宋体" w:cs="宋体"/>
                <w:color w:val="auto"/>
                <w:sz w:val="24"/>
                <w:szCs w:val="24"/>
                <w:highlight w:val="none"/>
              </w:rPr>
            </w:pPr>
          </w:p>
        </w:tc>
        <w:tc>
          <w:tcPr>
            <w:tcW w:w="1926" w:type="dxa"/>
            <w:vAlign w:val="top"/>
          </w:tcPr>
          <w:p w14:paraId="7E36E9CF">
            <w:pPr>
              <w:pStyle w:val="20"/>
              <w:rPr>
                <w:rFonts w:hint="eastAsia" w:ascii="宋体" w:hAnsi="宋体" w:eastAsia="宋体" w:cs="宋体"/>
                <w:color w:val="auto"/>
                <w:sz w:val="24"/>
                <w:szCs w:val="24"/>
                <w:highlight w:val="none"/>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85BE277">
            <w:pP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46937765">
            <w:pP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15C126D8">
            <w:pPr>
              <w:pStyle w:val="20"/>
              <w:rPr>
                <w:rFonts w:hint="eastAsia" w:ascii="宋体" w:hAnsi="宋体" w:eastAsia="宋体" w:cs="宋体"/>
                <w:color w:val="auto"/>
                <w:sz w:val="24"/>
                <w:szCs w:val="24"/>
                <w:highlight w:val="none"/>
              </w:rPr>
            </w:pPr>
          </w:p>
        </w:tc>
        <w:tc>
          <w:tcPr>
            <w:tcW w:w="1017" w:type="dxa"/>
            <w:vAlign w:val="top"/>
          </w:tcPr>
          <w:p w14:paraId="7B9FA270">
            <w:pPr>
              <w:pStyle w:val="20"/>
              <w:rPr>
                <w:rFonts w:hint="eastAsia" w:ascii="宋体" w:hAnsi="宋体" w:eastAsia="宋体" w:cs="宋体"/>
                <w:color w:val="auto"/>
                <w:sz w:val="24"/>
                <w:szCs w:val="24"/>
                <w:highlight w:val="none"/>
              </w:rPr>
            </w:pPr>
          </w:p>
        </w:tc>
        <w:tc>
          <w:tcPr>
            <w:tcW w:w="1002" w:type="dxa"/>
            <w:vAlign w:val="top"/>
          </w:tcPr>
          <w:p w14:paraId="1060A9BD">
            <w:pPr>
              <w:pStyle w:val="20"/>
              <w:rPr>
                <w:rFonts w:hint="eastAsia" w:ascii="宋体" w:hAnsi="宋体" w:eastAsia="宋体" w:cs="宋体"/>
                <w:color w:val="auto"/>
                <w:sz w:val="24"/>
                <w:szCs w:val="24"/>
                <w:highlight w:val="none"/>
              </w:rPr>
            </w:pPr>
          </w:p>
        </w:tc>
        <w:tc>
          <w:tcPr>
            <w:tcW w:w="1551" w:type="dxa"/>
            <w:vAlign w:val="top"/>
          </w:tcPr>
          <w:p w14:paraId="5301968F">
            <w:pPr>
              <w:pStyle w:val="20"/>
              <w:rPr>
                <w:rFonts w:hint="eastAsia" w:ascii="宋体" w:hAnsi="宋体" w:eastAsia="宋体" w:cs="宋体"/>
                <w:color w:val="auto"/>
                <w:sz w:val="24"/>
                <w:szCs w:val="24"/>
                <w:highlight w:val="none"/>
              </w:rPr>
            </w:pPr>
          </w:p>
        </w:tc>
        <w:tc>
          <w:tcPr>
            <w:tcW w:w="1926" w:type="dxa"/>
            <w:vAlign w:val="top"/>
          </w:tcPr>
          <w:p w14:paraId="6D41F555">
            <w:pPr>
              <w:pStyle w:val="20"/>
              <w:rPr>
                <w:rFonts w:hint="eastAsia" w:ascii="宋体" w:hAnsi="宋体" w:eastAsia="宋体" w:cs="宋体"/>
                <w:color w:val="auto"/>
                <w:sz w:val="24"/>
                <w:szCs w:val="24"/>
                <w:highlight w:val="none"/>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696539CB">
            <w:pP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18E417E4">
            <w:pPr>
              <w:pStyle w:val="20"/>
              <w:rPr>
                <w:rFonts w:hint="eastAsia" w:ascii="宋体" w:hAnsi="宋体" w:eastAsia="宋体" w:cs="宋体"/>
                <w:color w:val="auto"/>
                <w:sz w:val="24"/>
                <w:szCs w:val="24"/>
                <w:highlight w:val="none"/>
              </w:rPr>
            </w:pPr>
          </w:p>
        </w:tc>
        <w:tc>
          <w:tcPr>
            <w:tcW w:w="1017" w:type="dxa"/>
            <w:vAlign w:val="top"/>
          </w:tcPr>
          <w:p w14:paraId="34BD54A5">
            <w:pPr>
              <w:pStyle w:val="20"/>
              <w:rPr>
                <w:rFonts w:hint="eastAsia" w:ascii="宋体" w:hAnsi="宋体" w:eastAsia="宋体" w:cs="宋体"/>
                <w:color w:val="auto"/>
                <w:sz w:val="24"/>
                <w:szCs w:val="24"/>
                <w:highlight w:val="none"/>
              </w:rPr>
            </w:pPr>
          </w:p>
        </w:tc>
        <w:tc>
          <w:tcPr>
            <w:tcW w:w="1002" w:type="dxa"/>
            <w:vAlign w:val="top"/>
          </w:tcPr>
          <w:p w14:paraId="35F0DD07">
            <w:pPr>
              <w:pStyle w:val="20"/>
              <w:rPr>
                <w:rFonts w:hint="eastAsia" w:ascii="宋体" w:hAnsi="宋体" w:eastAsia="宋体" w:cs="宋体"/>
                <w:color w:val="auto"/>
                <w:sz w:val="24"/>
                <w:szCs w:val="24"/>
                <w:highlight w:val="none"/>
              </w:rPr>
            </w:pPr>
          </w:p>
        </w:tc>
        <w:tc>
          <w:tcPr>
            <w:tcW w:w="1551" w:type="dxa"/>
            <w:vAlign w:val="top"/>
          </w:tcPr>
          <w:p w14:paraId="267F23C7">
            <w:pPr>
              <w:pStyle w:val="20"/>
              <w:rPr>
                <w:rFonts w:hint="eastAsia" w:ascii="宋体" w:hAnsi="宋体" w:eastAsia="宋体" w:cs="宋体"/>
                <w:color w:val="auto"/>
                <w:sz w:val="24"/>
                <w:szCs w:val="24"/>
                <w:highlight w:val="none"/>
              </w:rPr>
            </w:pPr>
          </w:p>
        </w:tc>
        <w:tc>
          <w:tcPr>
            <w:tcW w:w="1926" w:type="dxa"/>
            <w:vAlign w:val="top"/>
          </w:tcPr>
          <w:p w14:paraId="20919564">
            <w:pPr>
              <w:pStyle w:val="20"/>
              <w:rPr>
                <w:rFonts w:hint="eastAsia" w:ascii="宋体" w:hAnsi="宋体" w:eastAsia="宋体" w:cs="宋体"/>
                <w:color w:val="auto"/>
                <w:sz w:val="24"/>
                <w:szCs w:val="24"/>
                <w:highlight w:val="none"/>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77726B25">
            <w:pP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AF367BA">
            <w:pPr>
              <w:pStyle w:val="20"/>
              <w:rPr>
                <w:rFonts w:hint="eastAsia" w:ascii="宋体" w:hAnsi="宋体" w:eastAsia="宋体" w:cs="宋体"/>
                <w:color w:val="auto"/>
                <w:sz w:val="24"/>
                <w:szCs w:val="24"/>
                <w:highlight w:val="none"/>
              </w:rPr>
            </w:pPr>
          </w:p>
        </w:tc>
        <w:tc>
          <w:tcPr>
            <w:tcW w:w="1017" w:type="dxa"/>
            <w:vAlign w:val="top"/>
          </w:tcPr>
          <w:p w14:paraId="28C0AB4F">
            <w:pPr>
              <w:pStyle w:val="20"/>
              <w:rPr>
                <w:rFonts w:hint="eastAsia" w:ascii="宋体" w:hAnsi="宋体" w:eastAsia="宋体" w:cs="宋体"/>
                <w:color w:val="auto"/>
                <w:sz w:val="24"/>
                <w:szCs w:val="24"/>
                <w:highlight w:val="none"/>
              </w:rPr>
            </w:pPr>
          </w:p>
        </w:tc>
        <w:tc>
          <w:tcPr>
            <w:tcW w:w="1002" w:type="dxa"/>
            <w:vAlign w:val="top"/>
          </w:tcPr>
          <w:p w14:paraId="4F2CE8AB">
            <w:pPr>
              <w:pStyle w:val="20"/>
              <w:rPr>
                <w:rFonts w:hint="eastAsia" w:ascii="宋体" w:hAnsi="宋体" w:eastAsia="宋体" w:cs="宋体"/>
                <w:color w:val="auto"/>
                <w:sz w:val="24"/>
                <w:szCs w:val="24"/>
                <w:highlight w:val="none"/>
              </w:rPr>
            </w:pPr>
          </w:p>
        </w:tc>
        <w:tc>
          <w:tcPr>
            <w:tcW w:w="1551" w:type="dxa"/>
            <w:vAlign w:val="top"/>
          </w:tcPr>
          <w:p w14:paraId="0E48A750">
            <w:pPr>
              <w:pStyle w:val="20"/>
              <w:rPr>
                <w:rFonts w:hint="eastAsia" w:ascii="宋体" w:hAnsi="宋体" w:eastAsia="宋体" w:cs="宋体"/>
                <w:color w:val="auto"/>
                <w:sz w:val="24"/>
                <w:szCs w:val="24"/>
                <w:highlight w:val="none"/>
              </w:rPr>
            </w:pPr>
          </w:p>
        </w:tc>
        <w:tc>
          <w:tcPr>
            <w:tcW w:w="1926" w:type="dxa"/>
            <w:vAlign w:val="top"/>
          </w:tcPr>
          <w:p w14:paraId="23F7D129">
            <w:pPr>
              <w:pStyle w:val="20"/>
              <w:rPr>
                <w:rFonts w:hint="eastAsia" w:ascii="宋体" w:hAnsi="宋体" w:eastAsia="宋体" w:cs="宋体"/>
                <w:color w:val="auto"/>
                <w:sz w:val="24"/>
                <w:szCs w:val="24"/>
                <w:highlight w:val="none"/>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30" w:hRule="atLeast"/>
          <w:jc w:val="center"/>
        </w:trPr>
        <w:tc>
          <w:tcPr>
            <w:tcW w:w="634" w:type="dxa"/>
            <w:vAlign w:val="top"/>
          </w:tcPr>
          <w:p w14:paraId="4353BB91">
            <w:pP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36757C05">
            <w:pP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7CA93473">
            <w:pPr>
              <w:pStyle w:val="20"/>
              <w:rPr>
                <w:rFonts w:hint="eastAsia" w:ascii="宋体" w:hAnsi="宋体" w:eastAsia="宋体" w:cs="宋体"/>
                <w:color w:val="auto"/>
                <w:sz w:val="24"/>
                <w:szCs w:val="24"/>
                <w:highlight w:val="none"/>
              </w:rPr>
            </w:pPr>
          </w:p>
        </w:tc>
        <w:tc>
          <w:tcPr>
            <w:tcW w:w="1017" w:type="dxa"/>
            <w:vAlign w:val="top"/>
          </w:tcPr>
          <w:p w14:paraId="22CBD8CF">
            <w:pPr>
              <w:pStyle w:val="20"/>
              <w:rPr>
                <w:rFonts w:hint="eastAsia" w:ascii="宋体" w:hAnsi="宋体" w:eastAsia="宋体" w:cs="宋体"/>
                <w:color w:val="auto"/>
                <w:sz w:val="24"/>
                <w:szCs w:val="24"/>
                <w:highlight w:val="none"/>
              </w:rPr>
            </w:pPr>
          </w:p>
        </w:tc>
        <w:tc>
          <w:tcPr>
            <w:tcW w:w="1002" w:type="dxa"/>
            <w:vAlign w:val="top"/>
          </w:tcPr>
          <w:p w14:paraId="215EF28A">
            <w:pPr>
              <w:pStyle w:val="20"/>
              <w:rPr>
                <w:rFonts w:hint="eastAsia" w:ascii="宋体" w:hAnsi="宋体" w:eastAsia="宋体" w:cs="宋体"/>
                <w:color w:val="auto"/>
                <w:sz w:val="24"/>
                <w:szCs w:val="24"/>
                <w:highlight w:val="none"/>
              </w:rPr>
            </w:pPr>
          </w:p>
        </w:tc>
        <w:tc>
          <w:tcPr>
            <w:tcW w:w="1551" w:type="dxa"/>
            <w:vAlign w:val="top"/>
          </w:tcPr>
          <w:p w14:paraId="4B59D5A3">
            <w:pPr>
              <w:pStyle w:val="20"/>
              <w:rPr>
                <w:rFonts w:hint="eastAsia" w:ascii="宋体" w:hAnsi="宋体" w:eastAsia="宋体" w:cs="宋体"/>
                <w:color w:val="auto"/>
                <w:sz w:val="24"/>
                <w:szCs w:val="24"/>
                <w:highlight w:val="none"/>
              </w:rPr>
            </w:pPr>
          </w:p>
        </w:tc>
        <w:tc>
          <w:tcPr>
            <w:tcW w:w="1926" w:type="dxa"/>
            <w:vAlign w:val="top"/>
          </w:tcPr>
          <w:p w14:paraId="6D3A902C">
            <w:pPr>
              <w:pStyle w:val="20"/>
              <w:rPr>
                <w:rFonts w:hint="eastAsia" w:ascii="宋体" w:hAnsi="宋体" w:eastAsia="宋体" w:cs="宋体"/>
                <w:color w:val="auto"/>
                <w:sz w:val="24"/>
                <w:szCs w:val="24"/>
                <w:highlight w:val="none"/>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43618D94">
            <w:pP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7F6F6292">
            <w:pPr>
              <w:pStyle w:val="20"/>
              <w:rPr>
                <w:rFonts w:hint="eastAsia" w:ascii="宋体" w:hAnsi="宋体" w:eastAsia="宋体" w:cs="宋体"/>
                <w:color w:val="auto"/>
                <w:sz w:val="24"/>
                <w:szCs w:val="24"/>
                <w:highlight w:val="none"/>
              </w:rPr>
            </w:pPr>
          </w:p>
        </w:tc>
        <w:tc>
          <w:tcPr>
            <w:tcW w:w="1017" w:type="dxa"/>
            <w:vAlign w:val="top"/>
          </w:tcPr>
          <w:p w14:paraId="6F5A3CD1">
            <w:pPr>
              <w:pStyle w:val="20"/>
              <w:rPr>
                <w:rFonts w:hint="eastAsia" w:ascii="宋体" w:hAnsi="宋体" w:eastAsia="宋体" w:cs="宋体"/>
                <w:color w:val="auto"/>
                <w:sz w:val="24"/>
                <w:szCs w:val="24"/>
                <w:highlight w:val="none"/>
              </w:rPr>
            </w:pPr>
          </w:p>
        </w:tc>
        <w:tc>
          <w:tcPr>
            <w:tcW w:w="1002" w:type="dxa"/>
            <w:vAlign w:val="top"/>
          </w:tcPr>
          <w:p w14:paraId="0A3F0696">
            <w:pPr>
              <w:pStyle w:val="20"/>
              <w:rPr>
                <w:rFonts w:hint="eastAsia" w:ascii="宋体" w:hAnsi="宋体" w:eastAsia="宋体" w:cs="宋体"/>
                <w:color w:val="auto"/>
                <w:sz w:val="24"/>
                <w:szCs w:val="24"/>
                <w:highlight w:val="none"/>
              </w:rPr>
            </w:pPr>
          </w:p>
        </w:tc>
        <w:tc>
          <w:tcPr>
            <w:tcW w:w="1551" w:type="dxa"/>
            <w:vAlign w:val="top"/>
          </w:tcPr>
          <w:p w14:paraId="33CF7C3A">
            <w:pPr>
              <w:pStyle w:val="20"/>
              <w:rPr>
                <w:rFonts w:hint="eastAsia" w:ascii="宋体" w:hAnsi="宋体" w:eastAsia="宋体" w:cs="宋体"/>
                <w:color w:val="auto"/>
                <w:sz w:val="24"/>
                <w:szCs w:val="24"/>
                <w:highlight w:val="none"/>
              </w:rPr>
            </w:pPr>
          </w:p>
        </w:tc>
        <w:tc>
          <w:tcPr>
            <w:tcW w:w="1926" w:type="dxa"/>
            <w:vAlign w:val="top"/>
          </w:tcPr>
          <w:p w14:paraId="2FDF9A49">
            <w:pPr>
              <w:pStyle w:val="20"/>
              <w:rPr>
                <w:rFonts w:hint="eastAsia" w:ascii="宋体" w:hAnsi="宋体" w:eastAsia="宋体" w:cs="宋体"/>
                <w:color w:val="auto"/>
                <w:sz w:val="24"/>
                <w:szCs w:val="24"/>
                <w:highlight w:val="none"/>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6C0AA321">
            <w:pPr>
              <w:pStyle w:val="20"/>
              <w:rPr>
                <w:rFonts w:hint="eastAsia" w:ascii="宋体" w:hAnsi="宋体" w:eastAsia="宋体" w:cs="宋体"/>
                <w:color w:val="auto"/>
                <w:sz w:val="24"/>
                <w:szCs w:val="24"/>
                <w:highlight w:val="none"/>
              </w:rPr>
            </w:pPr>
          </w:p>
        </w:tc>
        <w:tc>
          <w:tcPr>
            <w:tcW w:w="1567" w:type="dxa"/>
            <w:vAlign w:val="top"/>
          </w:tcPr>
          <w:p w14:paraId="6B481C93">
            <w:pPr>
              <w:pStyle w:val="20"/>
              <w:rPr>
                <w:rFonts w:hint="eastAsia" w:ascii="宋体" w:hAnsi="宋体" w:eastAsia="宋体" w:cs="宋体"/>
                <w:color w:val="auto"/>
                <w:sz w:val="24"/>
                <w:szCs w:val="24"/>
                <w:highlight w:val="none"/>
              </w:rPr>
            </w:pPr>
          </w:p>
        </w:tc>
        <w:tc>
          <w:tcPr>
            <w:tcW w:w="1017" w:type="dxa"/>
            <w:vAlign w:val="top"/>
          </w:tcPr>
          <w:p w14:paraId="2186C8F6">
            <w:pPr>
              <w:pStyle w:val="20"/>
              <w:rPr>
                <w:rFonts w:hint="eastAsia" w:ascii="宋体" w:hAnsi="宋体" w:eastAsia="宋体" w:cs="宋体"/>
                <w:color w:val="auto"/>
                <w:sz w:val="24"/>
                <w:szCs w:val="24"/>
                <w:highlight w:val="none"/>
              </w:rPr>
            </w:pPr>
          </w:p>
        </w:tc>
        <w:tc>
          <w:tcPr>
            <w:tcW w:w="1002" w:type="dxa"/>
            <w:vAlign w:val="top"/>
          </w:tcPr>
          <w:p w14:paraId="458500AA">
            <w:pPr>
              <w:pStyle w:val="20"/>
              <w:rPr>
                <w:rFonts w:hint="eastAsia" w:ascii="宋体" w:hAnsi="宋体" w:eastAsia="宋体" w:cs="宋体"/>
                <w:color w:val="auto"/>
                <w:sz w:val="24"/>
                <w:szCs w:val="24"/>
                <w:highlight w:val="none"/>
              </w:rPr>
            </w:pPr>
          </w:p>
        </w:tc>
        <w:tc>
          <w:tcPr>
            <w:tcW w:w="1551" w:type="dxa"/>
            <w:vAlign w:val="top"/>
          </w:tcPr>
          <w:p w14:paraId="69CC634F">
            <w:pPr>
              <w:pStyle w:val="20"/>
              <w:rPr>
                <w:rFonts w:hint="eastAsia" w:ascii="宋体" w:hAnsi="宋体" w:eastAsia="宋体" w:cs="宋体"/>
                <w:color w:val="auto"/>
                <w:sz w:val="24"/>
                <w:szCs w:val="24"/>
                <w:highlight w:val="none"/>
              </w:rPr>
            </w:pPr>
          </w:p>
        </w:tc>
        <w:tc>
          <w:tcPr>
            <w:tcW w:w="1926" w:type="dxa"/>
            <w:vAlign w:val="top"/>
          </w:tcPr>
          <w:p w14:paraId="0E3F8717">
            <w:pPr>
              <w:pStyle w:val="20"/>
              <w:rPr>
                <w:rFonts w:hint="eastAsia" w:ascii="宋体" w:hAnsi="宋体" w:eastAsia="宋体" w:cs="宋体"/>
                <w:color w:val="auto"/>
                <w:sz w:val="24"/>
                <w:szCs w:val="24"/>
                <w:highlight w:val="none"/>
              </w:rPr>
            </w:pPr>
          </w:p>
        </w:tc>
      </w:tr>
    </w:tbl>
    <w:p w14:paraId="2C506F4A">
      <w:pPr>
        <w:pStyle w:val="5"/>
        <w:spacing w:line="395" w:lineRule="auto"/>
        <w:rPr>
          <w:rFonts w:hint="eastAsia" w:ascii="宋体" w:hAnsi="宋体" w:eastAsia="宋体" w:cs="宋体"/>
          <w:color w:val="auto"/>
          <w:sz w:val="24"/>
          <w:szCs w:val="24"/>
          <w:highlight w:val="none"/>
        </w:rPr>
      </w:pPr>
    </w:p>
    <w:p w14:paraId="48D3ED77">
      <w:pPr>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3E8C578A">
      <w:pPr>
        <w:spacing w:before="153" w:line="228"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5D1DDFC3">
      <w:pPr>
        <w:spacing w:before="154" w:line="228" w:lineRule="auto"/>
        <w:ind w:left="448"/>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53B8EA83">
      <w:pPr>
        <w:spacing w:before="152" w:line="228" w:lineRule="auto"/>
        <w:ind w:left="42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0814848">
      <w:pPr>
        <w:spacing w:before="153" w:line="299" w:lineRule="auto"/>
        <w:ind w:left="11" w:right="89"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w:t>
      </w:r>
      <w:r>
        <w:rPr>
          <w:rFonts w:hint="eastAsia" w:ascii="宋体" w:hAnsi="宋体" w:eastAsia="宋体" w:cs="宋体"/>
          <w:color w:val="auto"/>
          <w:spacing w:val="9"/>
          <w:sz w:val="24"/>
          <w:szCs w:val="24"/>
          <w:highlight w:val="none"/>
        </w:rPr>
        <w:t>，其中必</w:t>
      </w:r>
      <w:r>
        <w:rPr>
          <w:rFonts w:hint="eastAsia" w:ascii="宋体" w:hAnsi="宋体" w:eastAsia="宋体" w:cs="宋体"/>
          <w:color w:val="auto"/>
          <w:spacing w:val="8"/>
          <w:sz w:val="24"/>
          <w:szCs w:val="24"/>
          <w:highlight w:val="none"/>
        </w:rPr>
        <w:t>须有</w:t>
      </w:r>
      <w:r>
        <w:rPr>
          <w:rFonts w:hint="eastAsia" w:ascii="宋体" w:hAnsi="宋体" w:eastAsia="宋体" w:cs="宋体"/>
          <w:color w:val="auto"/>
          <w:spacing w:val="8"/>
          <w:sz w:val="24"/>
          <w:szCs w:val="24"/>
          <w:highlight w:val="none"/>
          <w:lang w:eastAsia="zh-CN"/>
        </w:rPr>
        <w:t>20</w:t>
      </w:r>
      <w:r>
        <w:rPr>
          <w:rFonts w:hint="eastAsia" w:ascii="宋体" w:hAnsi="宋体" w:eastAsia="宋体" w:cs="宋体"/>
          <w:color w:val="auto"/>
          <w:spacing w:val="8"/>
          <w:sz w:val="24"/>
          <w:szCs w:val="24"/>
          <w:highlight w:val="none"/>
          <w:lang w:val="en-US" w:eastAsia="zh-CN"/>
        </w:rPr>
        <w:t>26</w:t>
      </w:r>
      <w:r>
        <w:rPr>
          <w:rFonts w:hint="eastAsia" w:ascii="宋体" w:hAnsi="宋体" w:eastAsia="宋体" w:cs="宋体"/>
          <w:color w:val="auto"/>
          <w:spacing w:val="8"/>
          <w:sz w:val="24"/>
          <w:szCs w:val="24"/>
          <w:highlight w:val="none"/>
        </w:rPr>
        <w:t>年</w:t>
      </w:r>
      <w:r>
        <w:rPr>
          <w:rFonts w:hint="eastAsia" w:ascii="宋体" w:hAnsi="宋体" w:eastAsia="宋体" w:cs="宋体"/>
          <w:color w:val="auto"/>
          <w:spacing w:val="8"/>
          <w:sz w:val="24"/>
          <w:szCs w:val="24"/>
          <w:highlight w:val="none"/>
          <w:lang w:val="en-US" w:eastAsia="zh-CN"/>
        </w:rPr>
        <w:t>1</w:t>
      </w:r>
      <w:r>
        <w:rPr>
          <w:rFonts w:hint="eastAsia" w:ascii="宋体" w:hAnsi="宋体" w:eastAsia="宋体" w:cs="宋体"/>
          <w:color w:val="auto"/>
          <w:spacing w:val="8"/>
          <w:sz w:val="24"/>
          <w:szCs w:val="24"/>
          <w:highlight w:val="none"/>
        </w:rPr>
        <w:t>月）彩色扫描件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2488CB38">
      <w:pPr>
        <w:spacing w:before="152" w:line="228" w:lineRule="auto"/>
        <w:ind w:left="0" w:leftChars="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7D04B8DB">
      <w:pPr>
        <w:spacing w:before="153" w:line="299" w:lineRule="auto"/>
        <w:ind w:left="16" w:right="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270AB728">
      <w:pPr>
        <w:pStyle w:val="5"/>
        <w:spacing w:line="248" w:lineRule="auto"/>
        <w:rPr>
          <w:rFonts w:hint="eastAsia" w:ascii="宋体" w:hAnsi="宋体" w:eastAsia="宋体" w:cs="宋体"/>
          <w:color w:val="auto"/>
          <w:sz w:val="24"/>
          <w:szCs w:val="24"/>
          <w:highlight w:val="none"/>
        </w:rPr>
      </w:pPr>
    </w:p>
    <w:p w14:paraId="67BB345D">
      <w:pPr>
        <w:pStyle w:val="5"/>
        <w:spacing w:line="248" w:lineRule="auto"/>
        <w:rPr>
          <w:rFonts w:hint="eastAsia" w:ascii="宋体" w:hAnsi="宋体" w:eastAsia="宋体" w:cs="宋体"/>
          <w:color w:val="auto"/>
          <w:sz w:val="24"/>
          <w:szCs w:val="24"/>
          <w:highlight w:val="none"/>
        </w:rPr>
      </w:pPr>
    </w:p>
    <w:p w14:paraId="7B06C124">
      <w:pPr>
        <w:pStyle w:val="5"/>
        <w:spacing w:line="248" w:lineRule="auto"/>
        <w:rPr>
          <w:rFonts w:hint="eastAsia" w:ascii="宋体" w:hAnsi="宋体" w:eastAsia="宋体" w:cs="宋体"/>
          <w:color w:val="auto"/>
          <w:highlight w:val="none"/>
        </w:rPr>
      </w:pPr>
    </w:p>
    <w:p w14:paraId="4D41C197">
      <w:pPr>
        <w:pStyle w:val="5"/>
        <w:spacing w:line="248" w:lineRule="auto"/>
        <w:rPr>
          <w:rFonts w:hint="eastAsia" w:ascii="宋体" w:hAnsi="宋体" w:eastAsia="宋体" w:cs="宋体"/>
          <w:color w:val="auto"/>
          <w:highlight w:val="none"/>
        </w:rPr>
      </w:pPr>
    </w:p>
    <w:p w14:paraId="5146A28D">
      <w:pPr>
        <w:spacing w:before="79" w:line="220" w:lineRule="auto"/>
        <w:rPr>
          <w:rFonts w:hint="eastAsia" w:ascii="宋体" w:hAnsi="宋体" w:eastAsia="宋体" w:cs="宋体"/>
          <w:b/>
          <w:bCs/>
          <w:color w:val="auto"/>
          <w:spacing w:val="-2"/>
          <w:sz w:val="24"/>
          <w:szCs w:val="24"/>
          <w:highlight w:val="none"/>
        </w:rPr>
      </w:pPr>
    </w:p>
    <w:p w14:paraId="69CF808F">
      <w:pPr>
        <w:spacing w:before="78" w:line="220" w:lineRule="auto"/>
        <w:outlineLvl w:val="2"/>
        <w:rPr>
          <w:rFonts w:hint="eastAsia" w:ascii="宋体" w:hAnsi="宋体" w:eastAsia="宋体" w:cs="宋体"/>
          <w:b/>
          <w:bCs/>
          <w:color w:val="auto"/>
          <w:spacing w:val="-4"/>
          <w:sz w:val="24"/>
          <w:szCs w:val="24"/>
          <w:highlight w:val="none"/>
        </w:rPr>
      </w:pPr>
      <w:bookmarkStart w:id="253" w:name="_Toc3823"/>
      <w:r>
        <w:rPr>
          <w:rFonts w:hint="eastAsia" w:ascii="宋体" w:hAnsi="宋体" w:eastAsia="宋体" w:cs="宋体"/>
          <w:b/>
          <w:bCs/>
          <w:color w:val="auto"/>
          <w:spacing w:val="-4"/>
          <w:sz w:val="24"/>
          <w:szCs w:val="24"/>
          <w:highlight w:val="none"/>
        </w:rPr>
        <w:t>格式十二 建造师查询页（有效期+建造师签字）</w:t>
      </w:r>
      <w:bookmarkEnd w:id="253"/>
    </w:p>
    <w:p w14:paraId="7E4612B5">
      <w:pPr>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6"/>
                    <a:stretch>
                      <a:fillRect/>
                    </a:stretch>
                  </pic:blipFill>
                  <pic:spPr>
                    <a:xfrm>
                      <a:off x="0" y="0"/>
                      <a:ext cx="6239510" cy="8013700"/>
                    </a:xfrm>
                    <a:prstGeom prst="rect">
                      <a:avLst/>
                    </a:prstGeom>
                    <a:noFill/>
                    <a:ln>
                      <a:noFill/>
                    </a:ln>
                  </pic:spPr>
                </pic:pic>
              </a:graphicData>
            </a:graphic>
          </wp:inline>
        </w:drawing>
      </w:r>
    </w:p>
    <w:p w14:paraId="3172F0C9">
      <w:pPr>
        <w:spacing w:line="220" w:lineRule="auto"/>
        <w:rPr>
          <w:rFonts w:hint="eastAsia" w:ascii="宋体" w:hAnsi="宋体" w:eastAsia="宋体" w:cs="宋体"/>
          <w:color w:val="auto"/>
          <w:sz w:val="24"/>
          <w:szCs w:val="24"/>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5EB9FF">
      <w:pP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7"/>
                    <a:stretch>
                      <a:fillRect/>
                    </a:stretch>
                  </pic:blipFill>
                  <pic:spPr>
                    <a:xfrm>
                      <a:off x="0" y="0"/>
                      <a:ext cx="6285865" cy="6925310"/>
                    </a:xfrm>
                    <a:prstGeom prst="rect">
                      <a:avLst/>
                    </a:prstGeom>
                    <a:noFill/>
                    <a:ln>
                      <a:noFill/>
                    </a:ln>
                  </pic:spPr>
                </pic:pic>
              </a:graphicData>
            </a:graphic>
          </wp:inline>
        </w:drawing>
      </w:r>
    </w:p>
    <w:p w14:paraId="0BA8F6B0">
      <w:pPr>
        <w:spacing w:line="10744" w:lineRule="exact"/>
        <w:rPr>
          <w:rFonts w:hint="eastAsia" w:ascii="宋体" w:hAnsi="宋体" w:eastAsia="宋体" w:cs="宋体"/>
          <w:color w:val="auto"/>
          <w:highlight w:val="none"/>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807325D">
      <w:pPr>
        <w:spacing w:before="78" w:line="220" w:lineRule="auto"/>
        <w:outlineLvl w:val="2"/>
        <w:rPr>
          <w:rFonts w:hint="eastAsia" w:ascii="宋体" w:hAnsi="宋体" w:eastAsia="宋体" w:cs="宋体"/>
          <w:b/>
          <w:bCs/>
          <w:color w:val="auto"/>
          <w:spacing w:val="-4"/>
          <w:sz w:val="24"/>
          <w:szCs w:val="24"/>
          <w:highlight w:val="none"/>
        </w:rPr>
      </w:pPr>
      <w:bookmarkStart w:id="254" w:name="_Toc30843"/>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254"/>
    </w:p>
    <w:p w14:paraId="4A8056AD">
      <w:pPr>
        <w:pStyle w:val="5"/>
        <w:spacing w:line="269" w:lineRule="auto"/>
        <w:rPr>
          <w:rFonts w:hint="eastAsia" w:ascii="宋体" w:hAnsi="宋体" w:eastAsia="宋体" w:cs="宋体"/>
          <w:color w:val="auto"/>
          <w:highlight w:val="none"/>
        </w:rPr>
      </w:pPr>
    </w:p>
    <w:p w14:paraId="6BF95D02">
      <w:pPr>
        <w:tabs>
          <w:tab w:val="left" w:pos="2940"/>
        </w:tabs>
        <w:spacing w:before="101" w:line="377" w:lineRule="auto"/>
        <w:ind w:left="3179" w:leftChars="0" w:right="41" w:hanging="3133" w:firstLineChars="0"/>
        <w:rPr>
          <w:rFonts w:hint="eastAsia" w:ascii="宋体" w:hAnsi="宋体" w:eastAsia="宋体" w:cs="宋体"/>
          <w:color w:val="auto"/>
          <w:sz w:val="31"/>
          <w:szCs w:val="31"/>
          <w:highlight w:val="none"/>
        </w:rPr>
      </w:pPr>
      <w:bookmarkStart w:id="255" w:name="bookmark160"/>
      <w:bookmarkEnd w:id="255"/>
      <w:bookmarkStart w:id="256" w:name="OLE_LINK41"/>
      <w:r>
        <w:rPr>
          <w:rFonts w:hint="eastAsia" w:ascii="宋体" w:hAnsi="宋体" w:eastAsia="宋体" w:cs="宋体"/>
          <w:b/>
          <w:bCs/>
          <w:color w:val="auto"/>
          <w:spacing w:val="7"/>
          <w:sz w:val="31"/>
          <w:szCs w:val="31"/>
          <w:highlight w:val="none"/>
        </w:rPr>
        <w:t>危险性较大的分部分项工程清单及超过一定规模的危险性较大的</w:t>
      </w:r>
      <w:r>
        <w:rPr>
          <w:rFonts w:hint="eastAsia" w:ascii="宋体" w:hAnsi="宋体" w:eastAsia="宋体" w:cs="宋体"/>
          <w:b/>
          <w:bCs/>
          <w:color w:val="auto"/>
          <w:spacing w:val="5"/>
          <w:sz w:val="31"/>
          <w:szCs w:val="31"/>
          <w:highlight w:val="none"/>
        </w:rPr>
        <w:t>分部分项工程清单</w:t>
      </w:r>
    </w:p>
    <w:bookmarkEnd w:id="256"/>
    <w:p w14:paraId="73F326BD">
      <w:pPr>
        <w:spacing w:before="6" w:line="326" w:lineRule="auto"/>
        <w:ind w:left="5"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明确相应的安全管理措施。</w:t>
      </w:r>
    </w:p>
    <w:p w14:paraId="1DC88D33">
      <w:pPr>
        <w:spacing w:before="208" w:line="326" w:lineRule="auto"/>
        <w:ind w:left="1"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14:paraId="360030D3">
      <w:pPr>
        <w:spacing w:before="209" w:line="299" w:lineRule="auto"/>
        <w:ind w:left="3" w:right="72" w:firstLine="48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w:t>
      </w:r>
      <w:r>
        <w:rPr>
          <w:rFonts w:hint="eastAsia" w:ascii="宋体" w:hAnsi="宋体" w:eastAsia="宋体" w:cs="宋体"/>
          <w:color w:val="auto"/>
          <w:spacing w:val="-1"/>
          <w:sz w:val="24"/>
          <w:szCs w:val="24"/>
          <w:highlight w:val="none"/>
        </w:rPr>
        <w:t>投标文件中提供相应的安全管理措施。</w:t>
      </w:r>
    </w:p>
    <w:p w14:paraId="4935E083">
      <w:pPr>
        <w:spacing w:before="208" w:line="299" w:lineRule="auto"/>
        <w:ind w:left="2" w:right="72"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”标识，并与投标</w:t>
      </w:r>
      <w:r>
        <w:rPr>
          <w:rFonts w:hint="eastAsia" w:ascii="宋体" w:hAnsi="宋体" w:eastAsia="宋体" w:cs="宋体"/>
          <w:color w:val="auto"/>
          <w:spacing w:val="-1"/>
          <w:sz w:val="24"/>
          <w:szCs w:val="24"/>
          <w:highlight w:val="none"/>
        </w:rPr>
        <w:t>文件中提供相应的安全管理措施。</w:t>
      </w:r>
    </w:p>
    <w:p w14:paraId="47CE10C4">
      <w:pPr>
        <w:spacing w:before="210" w:line="300" w:lineRule="auto"/>
        <w:ind w:right="72" w:firstLine="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14:paraId="34A6CA4A">
      <w:pPr>
        <w:spacing w:before="207" w:line="371" w:lineRule="auto"/>
        <w:ind w:firstLine="48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rPr>
        <w:t>3、投标单位应当在投标时根据招标人提供的下述第5点清单，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14:paraId="24405FA5">
      <w:pPr>
        <w:spacing w:before="33" w:line="326" w:lineRule="auto"/>
        <w:ind w:left="1"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14:paraId="6259503A">
      <w:pPr>
        <w:spacing w:before="208" w:line="301" w:lineRule="auto"/>
        <w:ind w:firstLine="484"/>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5、危险性较大的分部分项工程清单及超过一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p w14:paraId="3E4BB257">
      <w:pPr>
        <w:spacing w:before="40"/>
        <w:rPr>
          <w:rFonts w:hint="eastAsia" w:ascii="宋体" w:hAnsi="宋体" w:eastAsia="宋体" w:cs="宋体"/>
          <w:color w:val="auto"/>
          <w:highlight w:val="none"/>
        </w:rPr>
      </w:pPr>
    </w:p>
    <w:tbl>
      <w:tblPr>
        <w:tblStyle w:val="14"/>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27FF4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B26D5DC">
            <w:pPr>
              <w:spacing w:before="133" w:line="220" w:lineRule="auto"/>
              <w:ind w:firstLine="235" w:firstLineChars="10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一、危险性较大的分部分项工程清单</w:t>
            </w:r>
          </w:p>
        </w:tc>
        <w:tc>
          <w:tcPr>
            <w:tcW w:w="1294" w:type="dxa"/>
            <w:vAlign w:val="top"/>
          </w:tcPr>
          <w:p w14:paraId="7FABA18C">
            <w:pPr>
              <w:spacing w:before="133" w:line="221" w:lineRule="auto"/>
              <w:ind w:left="20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350FCB31">
            <w:pPr>
              <w:spacing w:before="133" w:line="221" w:lineRule="auto"/>
              <w:ind w:left="205" w:leftChars="0"/>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3E269D90">
            <w:pPr>
              <w:spacing w:before="133" w:line="222" w:lineRule="auto"/>
              <w:ind w:left="360" w:leftChars="0"/>
              <w:rPr>
                <w:rFonts w:hint="eastAsia"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14:paraId="791A5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8A01D90">
            <w:pPr>
              <w:spacing w:before="128" w:line="221" w:lineRule="auto"/>
              <w:ind w:left="120"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vAlign w:val="top"/>
          </w:tcPr>
          <w:p w14:paraId="13602047">
            <w:pPr>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57" w:name="OLE_LINK39"/>
            <w:r>
              <w:rPr>
                <w:rFonts w:hint="eastAsia" w:ascii="宋体" w:hAnsi="宋体" w:eastAsia="宋体" w:cs="宋体"/>
                <w:color w:val="auto"/>
                <w:spacing w:val="5"/>
                <w:sz w:val="24"/>
                <w:szCs w:val="24"/>
                <w:highlight w:val="none"/>
              </w:rPr>
              <w:t xml:space="preserve">  </w:t>
            </w:r>
            <w:bookmarkEnd w:id="257"/>
            <w:r>
              <w:rPr>
                <w:rFonts w:hint="eastAsia" w:ascii="宋体" w:hAnsi="宋体" w:eastAsia="宋体" w:cs="宋体"/>
                <w:color w:val="auto"/>
                <w:spacing w:val="-19"/>
                <w:w w:val="94"/>
                <w:sz w:val="24"/>
                <w:szCs w:val="24"/>
                <w:highlight w:val="none"/>
              </w:rPr>
              <w:t>)</w:t>
            </w:r>
          </w:p>
        </w:tc>
        <w:tc>
          <w:tcPr>
            <w:tcW w:w="1294" w:type="dxa"/>
            <w:vAlign w:val="top"/>
          </w:tcPr>
          <w:p w14:paraId="6590122D">
            <w:pPr>
              <w:spacing w:before="12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7C5177">
            <w:pPr>
              <w:pStyle w:val="20"/>
              <w:rPr>
                <w:rFonts w:hint="eastAsia" w:ascii="宋体" w:hAnsi="宋体" w:eastAsia="宋体" w:cs="宋体"/>
                <w:color w:val="auto"/>
                <w:highlight w:val="none"/>
              </w:rPr>
            </w:pPr>
          </w:p>
        </w:tc>
      </w:tr>
      <w:tr w14:paraId="5B4AB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2AFB183">
            <w:pPr>
              <w:spacing w:before="129" w:line="328" w:lineRule="auto"/>
              <w:ind w:left="135" w:leftChars="0" w:right="68" w:rightChars="0" w:hanging="8" w:firstLine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（一）开挖深度超过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3m（含</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3m）的基坑（槽）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的土方开挖、支护、降水工程。</w:t>
            </w:r>
          </w:p>
        </w:tc>
        <w:tc>
          <w:tcPr>
            <w:tcW w:w="1294" w:type="dxa"/>
            <w:vAlign w:val="top"/>
          </w:tcPr>
          <w:p w14:paraId="5EEDD4FC">
            <w:pPr>
              <w:pStyle w:val="20"/>
              <w:spacing w:line="297" w:lineRule="auto"/>
              <w:rPr>
                <w:rFonts w:hint="eastAsia" w:ascii="宋体" w:hAnsi="宋体" w:eastAsia="宋体" w:cs="宋体"/>
                <w:color w:val="auto"/>
                <w:highlight w:val="none"/>
              </w:rPr>
            </w:pPr>
          </w:p>
          <w:p w14:paraId="0E5A3F62">
            <w:pPr>
              <w:spacing w:before="78" w:line="223" w:lineRule="auto"/>
              <w:ind w:left="39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3A8ADC1">
            <w:pPr>
              <w:pStyle w:val="20"/>
              <w:spacing w:line="297" w:lineRule="auto"/>
              <w:rPr>
                <w:rFonts w:hint="eastAsia" w:ascii="宋体" w:hAnsi="宋体" w:eastAsia="宋体" w:cs="宋体"/>
                <w:color w:val="auto"/>
                <w:highlight w:val="none"/>
              </w:rPr>
            </w:pPr>
          </w:p>
          <w:p w14:paraId="3ED7F037">
            <w:pPr>
              <w:spacing w:before="7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844507">
            <w:pPr>
              <w:pStyle w:val="20"/>
              <w:rPr>
                <w:rFonts w:hint="eastAsia" w:ascii="宋体" w:hAnsi="宋体" w:eastAsia="宋体" w:cs="宋体"/>
                <w:color w:val="auto"/>
                <w:highlight w:val="none"/>
              </w:rPr>
            </w:pPr>
          </w:p>
        </w:tc>
      </w:tr>
      <w:tr w14:paraId="798EF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253A00">
            <w:pPr>
              <w:spacing w:before="132" w:line="354" w:lineRule="auto"/>
              <w:ind w:left="116" w:right="108" w:firstLine="11"/>
              <w:jc w:val="both"/>
              <w:rPr>
                <w:rFonts w:hint="eastAsia" w:ascii="宋体" w:hAnsi="宋体" w:eastAsia="宋体" w:cs="宋体"/>
                <w:color w:val="auto"/>
                <w:sz w:val="24"/>
                <w:szCs w:val="24"/>
                <w:highlight w:val="none"/>
              </w:rPr>
            </w:pPr>
            <w:bookmarkStart w:id="258" w:name="bookmark161"/>
            <w:bookmarkEnd w:id="258"/>
            <w:r>
              <w:rPr>
                <w:rFonts w:hint="eastAsia" w:ascii="宋体" w:hAnsi="宋体" w:eastAsia="宋体" w:cs="宋体"/>
                <w:color w:val="auto"/>
                <w:spacing w:val="-2"/>
                <w:sz w:val="24"/>
                <w:szCs w:val="24"/>
                <w:highlight w:val="none"/>
              </w:rPr>
              <w:t>（二）开挖深度虽未超过</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3m，但地质条件、周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围环境和地下管线复杂，或影响毗邻建、构筑</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
                <w:sz w:val="24"/>
                <w:szCs w:val="24"/>
                <w:highlight w:val="none"/>
              </w:rPr>
              <w:t>物安全的基坑（槽）的土方开挖、支护、降水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4"/>
                <w:sz w:val="24"/>
                <w:szCs w:val="24"/>
                <w:highlight w:val="none"/>
              </w:rPr>
              <w:t>工程。</w:t>
            </w:r>
          </w:p>
        </w:tc>
        <w:tc>
          <w:tcPr>
            <w:tcW w:w="1294" w:type="dxa"/>
            <w:vAlign w:val="top"/>
          </w:tcPr>
          <w:p w14:paraId="092F9FFB">
            <w:pPr>
              <w:pStyle w:val="20"/>
              <w:spacing w:line="263" w:lineRule="auto"/>
              <w:rPr>
                <w:rFonts w:hint="eastAsia" w:ascii="宋体" w:hAnsi="宋体" w:eastAsia="宋体" w:cs="宋体"/>
                <w:color w:val="auto"/>
                <w:highlight w:val="none"/>
              </w:rPr>
            </w:pPr>
          </w:p>
          <w:p w14:paraId="1C25F382">
            <w:pPr>
              <w:pStyle w:val="20"/>
              <w:spacing w:line="263" w:lineRule="auto"/>
              <w:rPr>
                <w:rFonts w:hint="eastAsia" w:ascii="宋体" w:hAnsi="宋体" w:eastAsia="宋体" w:cs="宋体"/>
                <w:color w:val="auto"/>
                <w:highlight w:val="none"/>
              </w:rPr>
            </w:pPr>
          </w:p>
          <w:p w14:paraId="6C433F14">
            <w:pPr>
              <w:pStyle w:val="20"/>
              <w:spacing w:line="264" w:lineRule="auto"/>
              <w:rPr>
                <w:rFonts w:hint="eastAsia" w:ascii="宋体" w:hAnsi="宋体" w:eastAsia="宋体" w:cs="宋体"/>
                <w:color w:val="auto"/>
                <w:highlight w:val="none"/>
              </w:rPr>
            </w:pPr>
          </w:p>
          <w:p w14:paraId="1703ABF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59" w:name="OLE_LINK40"/>
            <w:r>
              <w:rPr>
                <w:rFonts w:hint="eastAsia" w:ascii="宋体" w:hAnsi="宋体" w:eastAsia="宋体" w:cs="宋体"/>
                <w:color w:val="auto"/>
                <w:spacing w:val="2"/>
                <w:sz w:val="24"/>
                <w:szCs w:val="24"/>
                <w:highlight w:val="none"/>
              </w:rPr>
              <w:t xml:space="preserve">     </w:t>
            </w:r>
            <w:bookmarkEnd w:id="259"/>
            <w:r>
              <w:rPr>
                <w:rFonts w:hint="eastAsia" w:ascii="宋体" w:hAnsi="宋体" w:eastAsia="宋体" w:cs="宋体"/>
                <w:color w:val="auto"/>
                <w:spacing w:val="-19"/>
                <w:w w:val="94"/>
                <w:sz w:val="24"/>
                <w:szCs w:val="24"/>
                <w:highlight w:val="none"/>
              </w:rPr>
              <w:t>)</w:t>
            </w:r>
          </w:p>
        </w:tc>
        <w:tc>
          <w:tcPr>
            <w:tcW w:w="1294" w:type="dxa"/>
            <w:vAlign w:val="top"/>
          </w:tcPr>
          <w:p w14:paraId="27A5AB03">
            <w:pPr>
              <w:pStyle w:val="20"/>
              <w:spacing w:line="263" w:lineRule="auto"/>
              <w:rPr>
                <w:rFonts w:hint="eastAsia" w:ascii="宋体" w:hAnsi="宋体" w:eastAsia="宋体" w:cs="宋体"/>
                <w:color w:val="auto"/>
                <w:highlight w:val="none"/>
              </w:rPr>
            </w:pPr>
          </w:p>
          <w:p w14:paraId="2C8EDC97">
            <w:pPr>
              <w:pStyle w:val="20"/>
              <w:spacing w:line="263" w:lineRule="auto"/>
              <w:rPr>
                <w:rFonts w:hint="eastAsia" w:ascii="宋体" w:hAnsi="宋体" w:eastAsia="宋体" w:cs="宋体"/>
                <w:color w:val="auto"/>
                <w:highlight w:val="none"/>
              </w:rPr>
            </w:pPr>
          </w:p>
          <w:p w14:paraId="1A88AF32">
            <w:pPr>
              <w:pStyle w:val="20"/>
              <w:spacing w:line="264" w:lineRule="auto"/>
              <w:rPr>
                <w:rFonts w:hint="eastAsia" w:ascii="宋体" w:hAnsi="宋体" w:eastAsia="宋体" w:cs="宋体"/>
                <w:color w:val="auto"/>
                <w:highlight w:val="none"/>
              </w:rPr>
            </w:pPr>
          </w:p>
          <w:p w14:paraId="7BCE62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CE42E4">
            <w:pPr>
              <w:pStyle w:val="20"/>
              <w:rPr>
                <w:rFonts w:hint="eastAsia" w:ascii="宋体" w:hAnsi="宋体" w:eastAsia="宋体" w:cs="宋体"/>
                <w:color w:val="auto"/>
                <w:highlight w:val="none"/>
              </w:rPr>
            </w:pPr>
          </w:p>
        </w:tc>
      </w:tr>
      <w:tr w14:paraId="13D60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21ACA2D">
            <w:pPr>
              <w:spacing w:before="128"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013D7C49">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E30F9F">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BFA85A5">
            <w:pPr>
              <w:pStyle w:val="20"/>
              <w:rPr>
                <w:rFonts w:hint="eastAsia" w:ascii="宋体" w:hAnsi="宋体" w:eastAsia="宋体" w:cs="宋体"/>
                <w:color w:val="auto"/>
                <w:highlight w:val="none"/>
              </w:rPr>
            </w:pPr>
          </w:p>
        </w:tc>
      </w:tr>
      <w:tr w14:paraId="21CEA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886AEA5">
            <w:pPr>
              <w:spacing w:before="128" w:line="328"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1F482D0">
            <w:pPr>
              <w:pStyle w:val="20"/>
              <w:spacing w:line="293" w:lineRule="auto"/>
              <w:rPr>
                <w:rFonts w:hint="eastAsia" w:ascii="宋体" w:hAnsi="宋体" w:eastAsia="宋体" w:cs="宋体"/>
                <w:color w:val="auto"/>
                <w:highlight w:val="none"/>
              </w:rPr>
            </w:pPr>
          </w:p>
          <w:p w14:paraId="7F64793B">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D856E2E">
            <w:pPr>
              <w:pStyle w:val="20"/>
              <w:spacing w:line="293" w:lineRule="auto"/>
              <w:rPr>
                <w:rFonts w:hint="eastAsia" w:ascii="宋体" w:hAnsi="宋体" w:eastAsia="宋体" w:cs="宋体"/>
                <w:color w:val="auto"/>
                <w:highlight w:val="none"/>
              </w:rPr>
            </w:pPr>
          </w:p>
          <w:p w14:paraId="1BBC59B1">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2A8AE3">
            <w:pPr>
              <w:pStyle w:val="20"/>
              <w:rPr>
                <w:rFonts w:hint="eastAsia" w:ascii="宋体" w:hAnsi="宋体" w:eastAsia="宋体" w:cs="宋体"/>
                <w:color w:val="auto"/>
                <w:highlight w:val="none"/>
              </w:rPr>
            </w:pPr>
          </w:p>
        </w:tc>
      </w:tr>
      <w:tr w14:paraId="7A255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FBDC893">
            <w:pPr>
              <w:spacing w:before="131" w:line="362" w:lineRule="auto"/>
              <w:ind w:left="115" w:right="105" w:firstLine="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（二）混凝土模板支撑工程：搭设高度</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5m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上，或搭设跨度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0"/>
                <w:sz w:val="24"/>
                <w:szCs w:val="24"/>
                <w:highlight w:val="none"/>
              </w:rPr>
              <w:t>及以上，或施工总荷</w:t>
            </w:r>
            <w:r>
              <w:rPr>
                <w:rFonts w:hint="eastAsia" w:ascii="宋体" w:hAnsi="宋体" w:eastAsia="宋体" w:cs="宋体"/>
                <w:color w:val="auto"/>
                <w:spacing w:val="-11"/>
                <w:sz w:val="24"/>
                <w:szCs w:val="24"/>
                <w:highlight w:val="none"/>
              </w:rPr>
              <w:t>载（荷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载效应基本组合的设计值，以下简称设计值）</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10kN/m2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4"/>
                <w:sz w:val="24"/>
                <w:szCs w:val="24"/>
                <w:highlight w:val="none"/>
              </w:rPr>
              <w:t>及以上，或集中线荷载（设计值）15kN/m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及以上，或高度大于支撑水平投影宽度且相对</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独立无联系构件的混凝土模板支撑工程。</w:t>
            </w:r>
          </w:p>
        </w:tc>
        <w:tc>
          <w:tcPr>
            <w:tcW w:w="1294" w:type="dxa"/>
            <w:vAlign w:val="top"/>
          </w:tcPr>
          <w:p w14:paraId="0AC76692">
            <w:pPr>
              <w:pStyle w:val="20"/>
              <w:spacing w:line="255" w:lineRule="auto"/>
              <w:rPr>
                <w:rFonts w:hint="eastAsia" w:ascii="宋体" w:hAnsi="宋体" w:eastAsia="宋体" w:cs="宋体"/>
                <w:color w:val="auto"/>
                <w:highlight w:val="none"/>
              </w:rPr>
            </w:pPr>
          </w:p>
          <w:p w14:paraId="06A69DBD">
            <w:pPr>
              <w:pStyle w:val="20"/>
              <w:spacing w:line="255" w:lineRule="auto"/>
              <w:rPr>
                <w:rFonts w:hint="eastAsia" w:ascii="宋体" w:hAnsi="宋体" w:eastAsia="宋体" w:cs="宋体"/>
                <w:color w:val="auto"/>
                <w:highlight w:val="none"/>
              </w:rPr>
            </w:pPr>
          </w:p>
          <w:p w14:paraId="5F44AC94">
            <w:pPr>
              <w:pStyle w:val="20"/>
              <w:spacing w:line="255" w:lineRule="auto"/>
              <w:rPr>
                <w:rFonts w:hint="eastAsia" w:ascii="宋体" w:hAnsi="宋体" w:eastAsia="宋体" w:cs="宋体"/>
                <w:color w:val="auto"/>
                <w:highlight w:val="none"/>
              </w:rPr>
            </w:pPr>
          </w:p>
          <w:p w14:paraId="117E02D8">
            <w:pPr>
              <w:pStyle w:val="20"/>
              <w:spacing w:line="255" w:lineRule="auto"/>
              <w:rPr>
                <w:rFonts w:hint="eastAsia" w:ascii="宋体" w:hAnsi="宋体" w:eastAsia="宋体" w:cs="宋体"/>
                <w:color w:val="auto"/>
                <w:highlight w:val="none"/>
              </w:rPr>
            </w:pPr>
          </w:p>
          <w:p w14:paraId="58924DBB">
            <w:pPr>
              <w:pStyle w:val="20"/>
              <w:spacing w:line="256" w:lineRule="auto"/>
              <w:rPr>
                <w:rFonts w:hint="eastAsia" w:ascii="宋体" w:hAnsi="宋体" w:eastAsia="宋体" w:cs="宋体"/>
                <w:color w:val="auto"/>
                <w:highlight w:val="none"/>
              </w:rPr>
            </w:pPr>
          </w:p>
          <w:p w14:paraId="7CC727ED">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8C34081">
            <w:pPr>
              <w:pStyle w:val="20"/>
              <w:spacing w:line="255" w:lineRule="auto"/>
              <w:rPr>
                <w:rFonts w:hint="eastAsia" w:ascii="宋体" w:hAnsi="宋体" w:eastAsia="宋体" w:cs="宋体"/>
                <w:color w:val="auto"/>
                <w:highlight w:val="none"/>
              </w:rPr>
            </w:pPr>
          </w:p>
          <w:p w14:paraId="44D32487">
            <w:pPr>
              <w:pStyle w:val="20"/>
              <w:spacing w:line="255" w:lineRule="auto"/>
              <w:rPr>
                <w:rFonts w:hint="eastAsia" w:ascii="宋体" w:hAnsi="宋体" w:eastAsia="宋体" w:cs="宋体"/>
                <w:color w:val="auto"/>
                <w:highlight w:val="none"/>
              </w:rPr>
            </w:pPr>
          </w:p>
          <w:p w14:paraId="2FB6EB74">
            <w:pPr>
              <w:pStyle w:val="20"/>
              <w:spacing w:line="255" w:lineRule="auto"/>
              <w:rPr>
                <w:rFonts w:hint="eastAsia" w:ascii="宋体" w:hAnsi="宋体" w:eastAsia="宋体" w:cs="宋体"/>
                <w:color w:val="auto"/>
                <w:highlight w:val="none"/>
              </w:rPr>
            </w:pPr>
          </w:p>
          <w:p w14:paraId="2532C873">
            <w:pPr>
              <w:pStyle w:val="20"/>
              <w:spacing w:line="255" w:lineRule="auto"/>
              <w:rPr>
                <w:rFonts w:hint="eastAsia" w:ascii="宋体" w:hAnsi="宋体" w:eastAsia="宋体" w:cs="宋体"/>
                <w:color w:val="auto"/>
                <w:highlight w:val="none"/>
              </w:rPr>
            </w:pPr>
          </w:p>
          <w:p w14:paraId="6EA29091">
            <w:pPr>
              <w:pStyle w:val="20"/>
              <w:spacing w:line="256" w:lineRule="auto"/>
              <w:rPr>
                <w:rFonts w:hint="eastAsia" w:ascii="宋体" w:hAnsi="宋体" w:eastAsia="宋体" w:cs="宋体"/>
                <w:color w:val="auto"/>
                <w:highlight w:val="none"/>
              </w:rPr>
            </w:pPr>
          </w:p>
          <w:p w14:paraId="4FFEF356">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88735">
            <w:pPr>
              <w:pStyle w:val="20"/>
              <w:rPr>
                <w:rFonts w:hint="eastAsia" w:ascii="宋体" w:hAnsi="宋体" w:eastAsia="宋体" w:cs="宋体"/>
                <w:color w:val="auto"/>
                <w:highlight w:val="none"/>
              </w:rPr>
            </w:pPr>
          </w:p>
        </w:tc>
      </w:tr>
      <w:tr w14:paraId="55FE4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DB8DF3D">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支撑体系。</w:t>
            </w:r>
          </w:p>
        </w:tc>
        <w:tc>
          <w:tcPr>
            <w:tcW w:w="1294" w:type="dxa"/>
            <w:vAlign w:val="top"/>
          </w:tcPr>
          <w:p w14:paraId="08B49BEC">
            <w:pPr>
              <w:pStyle w:val="20"/>
              <w:spacing w:line="296" w:lineRule="auto"/>
              <w:rPr>
                <w:rFonts w:hint="eastAsia" w:ascii="宋体" w:hAnsi="宋体" w:eastAsia="宋体" w:cs="宋体"/>
                <w:color w:val="auto"/>
                <w:highlight w:val="none"/>
              </w:rPr>
            </w:pPr>
          </w:p>
          <w:p w14:paraId="62113AAF">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1AA738">
            <w:pPr>
              <w:pStyle w:val="20"/>
              <w:spacing w:line="296" w:lineRule="auto"/>
              <w:rPr>
                <w:rFonts w:hint="eastAsia" w:ascii="宋体" w:hAnsi="宋体" w:eastAsia="宋体" w:cs="宋体"/>
                <w:color w:val="auto"/>
                <w:highlight w:val="none"/>
              </w:rPr>
            </w:pPr>
          </w:p>
          <w:p w14:paraId="2247851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28C2275">
            <w:pPr>
              <w:pStyle w:val="20"/>
              <w:rPr>
                <w:rFonts w:hint="eastAsia" w:ascii="宋体" w:hAnsi="宋体" w:eastAsia="宋体" w:cs="宋体"/>
                <w:color w:val="auto"/>
                <w:highlight w:val="none"/>
              </w:rPr>
            </w:pPr>
          </w:p>
        </w:tc>
      </w:tr>
      <w:tr w14:paraId="22C01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CD7B1B3">
            <w:pPr>
              <w:spacing w:before="130"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0C4B19D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007119F">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778356F">
            <w:pPr>
              <w:pStyle w:val="20"/>
              <w:rPr>
                <w:rFonts w:hint="eastAsia" w:ascii="宋体" w:hAnsi="宋体" w:eastAsia="宋体" w:cs="宋体"/>
                <w:color w:val="auto"/>
                <w:highlight w:val="none"/>
              </w:rPr>
            </w:pPr>
          </w:p>
        </w:tc>
      </w:tr>
      <w:tr w14:paraId="54B4C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40879D">
            <w:pPr>
              <w:spacing w:before="131" w:line="327"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42DC5BCC">
            <w:pPr>
              <w:pStyle w:val="20"/>
              <w:spacing w:line="297" w:lineRule="auto"/>
              <w:rPr>
                <w:rFonts w:hint="eastAsia" w:ascii="宋体" w:hAnsi="宋体" w:eastAsia="宋体" w:cs="宋体"/>
                <w:color w:val="auto"/>
                <w:highlight w:val="none"/>
              </w:rPr>
            </w:pPr>
          </w:p>
          <w:p w14:paraId="25E8B5B3">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7E69931">
            <w:pPr>
              <w:pStyle w:val="20"/>
              <w:spacing w:line="297" w:lineRule="auto"/>
              <w:rPr>
                <w:rFonts w:hint="eastAsia" w:ascii="宋体" w:hAnsi="宋体" w:eastAsia="宋体" w:cs="宋体"/>
                <w:color w:val="auto"/>
                <w:highlight w:val="none"/>
              </w:rPr>
            </w:pPr>
          </w:p>
          <w:p w14:paraId="0DECF4EA">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F10A58D">
            <w:pPr>
              <w:pStyle w:val="20"/>
              <w:rPr>
                <w:rFonts w:hint="eastAsia" w:ascii="宋体" w:hAnsi="宋体" w:eastAsia="宋体" w:cs="宋体"/>
                <w:color w:val="auto"/>
                <w:highlight w:val="none"/>
              </w:rPr>
            </w:pPr>
          </w:p>
        </w:tc>
      </w:tr>
      <w:tr w14:paraId="30F9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61E26F">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（二）采用起重机械进行安装的工程。</w:t>
            </w:r>
          </w:p>
        </w:tc>
        <w:tc>
          <w:tcPr>
            <w:tcW w:w="1294" w:type="dxa"/>
            <w:vAlign w:val="top"/>
          </w:tcPr>
          <w:p w14:paraId="26A8715D">
            <w:pPr>
              <w:spacing w:before="131"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D48700">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FDBB930">
            <w:pPr>
              <w:pStyle w:val="20"/>
              <w:rPr>
                <w:rFonts w:hint="eastAsia" w:ascii="宋体" w:hAnsi="宋体" w:eastAsia="宋体" w:cs="宋体"/>
                <w:color w:val="auto"/>
                <w:highlight w:val="none"/>
              </w:rPr>
            </w:pPr>
          </w:p>
        </w:tc>
      </w:tr>
      <w:tr w14:paraId="1EB3F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D746302">
            <w:pPr>
              <w:spacing w:before="130"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（三）起重机械安装和拆卸工程。</w:t>
            </w:r>
          </w:p>
        </w:tc>
        <w:tc>
          <w:tcPr>
            <w:tcW w:w="1294" w:type="dxa"/>
            <w:vAlign w:val="top"/>
          </w:tcPr>
          <w:p w14:paraId="5BA7A2F9">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655D6">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17E93BE">
            <w:pPr>
              <w:pStyle w:val="20"/>
              <w:rPr>
                <w:rFonts w:hint="eastAsia" w:ascii="宋体" w:hAnsi="宋体" w:eastAsia="宋体" w:cs="宋体"/>
                <w:color w:val="auto"/>
                <w:highlight w:val="none"/>
              </w:rPr>
            </w:pPr>
          </w:p>
        </w:tc>
      </w:tr>
      <w:tr w14:paraId="0E7C6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3F3AA51">
            <w:pPr>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2C09298F">
            <w:pPr>
              <w:spacing w:before="130"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C25E0F8">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0A186D6">
            <w:pPr>
              <w:pStyle w:val="20"/>
              <w:rPr>
                <w:rFonts w:hint="eastAsia" w:ascii="宋体" w:hAnsi="宋体" w:eastAsia="宋体" w:cs="宋体"/>
                <w:color w:val="auto"/>
                <w:highlight w:val="none"/>
              </w:rPr>
            </w:pPr>
          </w:p>
        </w:tc>
      </w:tr>
      <w:tr w14:paraId="749B5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EE02938">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24m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架工程（包括采光井、电梯井脚手架）。</w:t>
            </w:r>
          </w:p>
        </w:tc>
        <w:tc>
          <w:tcPr>
            <w:tcW w:w="1294" w:type="dxa"/>
            <w:vAlign w:val="top"/>
          </w:tcPr>
          <w:p w14:paraId="5F252975">
            <w:pPr>
              <w:pStyle w:val="20"/>
              <w:spacing w:line="297" w:lineRule="auto"/>
              <w:rPr>
                <w:rFonts w:hint="eastAsia" w:ascii="宋体" w:hAnsi="宋体" w:eastAsia="宋体" w:cs="宋体"/>
                <w:color w:val="auto"/>
                <w:highlight w:val="none"/>
              </w:rPr>
            </w:pPr>
          </w:p>
          <w:p w14:paraId="274F49B0">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F3E3EC">
            <w:pPr>
              <w:pStyle w:val="20"/>
              <w:spacing w:line="297" w:lineRule="auto"/>
              <w:rPr>
                <w:rFonts w:hint="eastAsia" w:ascii="宋体" w:hAnsi="宋体" w:eastAsia="宋体" w:cs="宋体"/>
                <w:color w:val="auto"/>
                <w:highlight w:val="none"/>
              </w:rPr>
            </w:pPr>
          </w:p>
          <w:p w14:paraId="382FDB0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593D3CB">
            <w:pPr>
              <w:pStyle w:val="20"/>
              <w:rPr>
                <w:rFonts w:hint="eastAsia" w:ascii="宋体" w:hAnsi="宋体" w:eastAsia="宋体" w:cs="宋体"/>
                <w:color w:val="auto"/>
                <w:highlight w:val="none"/>
              </w:rPr>
            </w:pPr>
          </w:p>
        </w:tc>
      </w:tr>
      <w:tr w14:paraId="6AD17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711E1F">
            <w:pPr>
              <w:spacing w:before="131"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（二）附着式升降脚手架工程。</w:t>
            </w:r>
          </w:p>
        </w:tc>
        <w:tc>
          <w:tcPr>
            <w:tcW w:w="1294" w:type="dxa"/>
            <w:vAlign w:val="top"/>
          </w:tcPr>
          <w:p w14:paraId="46BCB016">
            <w:pPr>
              <w:spacing w:before="130"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7577F1C">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9FAE20">
            <w:pPr>
              <w:pStyle w:val="20"/>
              <w:rPr>
                <w:rFonts w:hint="eastAsia" w:ascii="宋体" w:hAnsi="宋体" w:eastAsia="宋体" w:cs="宋体"/>
                <w:color w:val="auto"/>
                <w:highlight w:val="none"/>
              </w:rPr>
            </w:pPr>
          </w:p>
        </w:tc>
      </w:tr>
      <w:tr w14:paraId="0A02A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48C6DC8">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（三）悬挑式脚手架工程。</w:t>
            </w:r>
          </w:p>
        </w:tc>
        <w:tc>
          <w:tcPr>
            <w:tcW w:w="1294" w:type="dxa"/>
            <w:vAlign w:val="top"/>
          </w:tcPr>
          <w:p w14:paraId="46C95298">
            <w:pPr>
              <w:spacing w:before="131"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243FF5">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6B0F2">
            <w:pPr>
              <w:pStyle w:val="20"/>
              <w:rPr>
                <w:rFonts w:hint="eastAsia" w:ascii="宋体" w:hAnsi="宋体" w:eastAsia="宋体" w:cs="宋体"/>
                <w:color w:val="auto"/>
                <w:highlight w:val="none"/>
              </w:rPr>
            </w:pPr>
          </w:p>
        </w:tc>
      </w:tr>
      <w:tr w14:paraId="4D8E0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3025F46">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（四）高处作业吊篮。</w:t>
            </w:r>
          </w:p>
        </w:tc>
        <w:tc>
          <w:tcPr>
            <w:tcW w:w="1294" w:type="dxa"/>
            <w:vAlign w:val="top"/>
          </w:tcPr>
          <w:p w14:paraId="30F61595">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23E52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598EC26">
            <w:pPr>
              <w:pStyle w:val="20"/>
              <w:rPr>
                <w:rFonts w:hint="eastAsia" w:ascii="宋体" w:hAnsi="宋体" w:eastAsia="宋体" w:cs="宋体"/>
                <w:color w:val="auto"/>
                <w:highlight w:val="none"/>
              </w:rPr>
            </w:pPr>
          </w:p>
        </w:tc>
      </w:tr>
      <w:tr w14:paraId="2D320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00EF757">
            <w:pPr>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vAlign w:val="top"/>
          </w:tcPr>
          <w:p w14:paraId="0C7B65F3">
            <w:pPr>
              <w:spacing w:before="132"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A95D6B">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878476">
            <w:pPr>
              <w:pStyle w:val="20"/>
              <w:rPr>
                <w:rFonts w:hint="eastAsia" w:ascii="宋体" w:hAnsi="宋体" w:eastAsia="宋体" w:cs="宋体"/>
                <w:color w:val="auto"/>
                <w:highlight w:val="none"/>
              </w:rPr>
            </w:pPr>
          </w:p>
        </w:tc>
      </w:tr>
      <w:tr w14:paraId="30655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E5297D0">
            <w:pPr>
              <w:spacing w:before="133"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（六）异型脚手架工程。</w:t>
            </w:r>
          </w:p>
        </w:tc>
        <w:tc>
          <w:tcPr>
            <w:tcW w:w="1294" w:type="dxa"/>
            <w:vAlign w:val="top"/>
          </w:tcPr>
          <w:p w14:paraId="486B9887">
            <w:pPr>
              <w:spacing w:before="132"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1E5988F">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235BD7D">
            <w:pPr>
              <w:pStyle w:val="20"/>
              <w:rPr>
                <w:rFonts w:hint="eastAsia" w:ascii="宋体" w:hAnsi="宋体" w:eastAsia="宋体" w:cs="宋体"/>
                <w:color w:val="auto"/>
                <w:highlight w:val="none"/>
              </w:rPr>
            </w:pPr>
          </w:p>
        </w:tc>
      </w:tr>
      <w:tr w14:paraId="0D44A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A6B7C50">
            <w:pPr>
              <w:spacing w:before="131" w:line="220" w:lineRule="auto"/>
              <w:ind w:left="120"/>
              <w:rPr>
                <w:rFonts w:hint="eastAsia" w:ascii="宋体" w:hAnsi="宋体" w:eastAsia="宋体" w:cs="宋体"/>
                <w:color w:val="auto"/>
                <w:sz w:val="24"/>
                <w:szCs w:val="24"/>
                <w:highlight w:val="none"/>
              </w:rPr>
            </w:pPr>
            <w:bookmarkStart w:id="260" w:name="bookmark162"/>
            <w:bookmarkEnd w:id="260"/>
            <w:r>
              <w:rPr>
                <w:rFonts w:hint="eastAsia" w:ascii="宋体" w:hAnsi="宋体" w:eastAsia="宋体" w:cs="宋体"/>
                <w:color w:val="auto"/>
                <w:spacing w:val="-3"/>
                <w:sz w:val="24"/>
                <w:szCs w:val="24"/>
                <w:highlight w:val="none"/>
              </w:rPr>
              <w:t>五、拆除工程</w:t>
            </w:r>
          </w:p>
        </w:tc>
        <w:tc>
          <w:tcPr>
            <w:tcW w:w="1294" w:type="dxa"/>
            <w:vAlign w:val="top"/>
          </w:tcPr>
          <w:p w14:paraId="0F5EE650">
            <w:pPr>
              <w:spacing w:before="131"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6328EEA">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A24BEF">
            <w:pPr>
              <w:pStyle w:val="20"/>
              <w:rPr>
                <w:rFonts w:hint="eastAsia" w:ascii="宋体" w:hAnsi="宋体" w:eastAsia="宋体" w:cs="宋体"/>
                <w:color w:val="auto"/>
                <w:highlight w:val="none"/>
              </w:rPr>
            </w:pPr>
          </w:p>
        </w:tc>
      </w:tr>
      <w:tr w14:paraId="42ACF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F6894BB">
            <w:pPr>
              <w:spacing w:before="126" w:line="329" w:lineRule="auto"/>
              <w:ind w:left="117" w:right="1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可能影响行人、交通、电力设施、通讯设施或</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
                <w:sz w:val="24"/>
                <w:szCs w:val="24"/>
                <w:highlight w:val="none"/>
              </w:rPr>
              <w:t>其它建、构筑物安全的拆除工程。</w:t>
            </w:r>
          </w:p>
        </w:tc>
        <w:tc>
          <w:tcPr>
            <w:tcW w:w="1294" w:type="dxa"/>
            <w:vAlign w:val="top"/>
          </w:tcPr>
          <w:p w14:paraId="53C1D06F">
            <w:pPr>
              <w:pStyle w:val="20"/>
              <w:spacing w:line="294" w:lineRule="auto"/>
              <w:rPr>
                <w:rFonts w:hint="eastAsia" w:ascii="宋体" w:hAnsi="宋体" w:eastAsia="宋体" w:cs="宋体"/>
                <w:color w:val="auto"/>
                <w:highlight w:val="none"/>
              </w:rPr>
            </w:pPr>
          </w:p>
          <w:p w14:paraId="76CB7DF5">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310AE40">
            <w:pPr>
              <w:pStyle w:val="20"/>
              <w:spacing w:line="294" w:lineRule="auto"/>
              <w:rPr>
                <w:rFonts w:hint="eastAsia" w:ascii="宋体" w:hAnsi="宋体" w:eastAsia="宋体" w:cs="宋体"/>
                <w:color w:val="auto"/>
                <w:highlight w:val="none"/>
              </w:rPr>
            </w:pPr>
          </w:p>
          <w:p w14:paraId="4D2EE233">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4D942FE">
            <w:pPr>
              <w:pStyle w:val="20"/>
              <w:rPr>
                <w:rFonts w:hint="eastAsia" w:ascii="宋体" w:hAnsi="宋体" w:eastAsia="宋体" w:cs="宋体"/>
                <w:color w:val="auto"/>
                <w:highlight w:val="none"/>
              </w:rPr>
            </w:pPr>
          </w:p>
        </w:tc>
      </w:tr>
      <w:tr w14:paraId="15559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91FBFB">
            <w:pPr>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137FC89C">
            <w:pPr>
              <w:spacing w:before="126"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F652C1B">
            <w:pPr>
              <w:spacing w:before="126"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D8FEC99">
            <w:pPr>
              <w:pStyle w:val="20"/>
              <w:rPr>
                <w:rFonts w:hint="eastAsia" w:ascii="宋体" w:hAnsi="宋体" w:eastAsia="宋体" w:cs="宋体"/>
                <w:color w:val="auto"/>
                <w:highlight w:val="none"/>
              </w:rPr>
            </w:pPr>
          </w:p>
        </w:tc>
      </w:tr>
      <w:tr w14:paraId="4B886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89E82C2">
            <w:pPr>
              <w:spacing w:before="128" w:line="328"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69EA54F0">
            <w:pPr>
              <w:pStyle w:val="20"/>
              <w:spacing w:line="294" w:lineRule="auto"/>
              <w:rPr>
                <w:rFonts w:hint="eastAsia" w:ascii="宋体" w:hAnsi="宋体" w:eastAsia="宋体" w:cs="宋体"/>
                <w:color w:val="auto"/>
                <w:highlight w:val="none"/>
              </w:rPr>
            </w:pPr>
          </w:p>
          <w:p w14:paraId="2580604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7831483">
            <w:pPr>
              <w:pStyle w:val="20"/>
              <w:spacing w:line="294" w:lineRule="auto"/>
              <w:rPr>
                <w:rFonts w:hint="eastAsia" w:ascii="宋体" w:hAnsi="宋体" w:eastAsia="宋体" w:cs="宋体"/>
                <w:color w:val="auto"/>
                <w:highlight w:val="none"/>
              </w:rPr>
            </w:pPr>
          </w:p>
          <w:p w14:paraId="551C407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1DD324">
            <w:pPr>
              <w:pStyle w:val="20"/>
              <w:rPr>
                <w:rFonts w:hint="eastAsia" w:ascii="宋体" w:hAnsi="宋体" w:eastAsia="宋体" w:cs="宋体"/>
                <w:color w:val="auto"/>
                <w:highlight w:val="none"/>
              </w:rPr>
            </w:pPr>
          </w:p>
        </w:tc>
      </w:tr>
      <w:tr w14:paraId="512FA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63B8B64">
            <w:pPr>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41AFA2A">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06F78AB">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8F38261">
            <w:pPr>
              <w:pStyle w:val="20"/>
              <w:rPr>
                <w:rFonts w:hint="eastAsia" w:ascii="宋体" w:hAnsi="宋体" w:eastAsia="宋体" w:cs="宋体"/>
                <w:color w:val="auto"/>
                <w:highlight w:val="none"/>
              </w:rPr>
            </w:pPr>
          </w:p>
        </w:tc>
      </w:tr>
      <w:tr w14:paraId="61044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BC9C24">
            <w:pPr>
              <w:spacing w:before="128"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（一）建筑幕墙安装工程。</w:t>
            </w:r>
          </w:p>
        </w:tc>
        <w:tc>
          <w:tcPr>
            <w:tcW w:w="1294" w:type="dxa"/>
            <w:vAlign w:val="top"/>
          </w:tcPr>
          <w:p w14:paraId="6935FC1C">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4275F3F">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153FAD5">
            <w:pPr>
              <w:pStyle w:val="20"/>
              <w:rPr>
                <w:rFonts w:hint="eastAsia" w:ascii="宋体" w:hAnsi="宋体" w:eastAsia="宋体" w:cs="宋体"/>
                <w:color w:val="auto"/>
                <w:highlight w:val="none"/>
              </w:rPr>
            </w:pPr>
          </w:p>
        </w:tc>
      </w:tr>
      <w:tr w14:paraId="10816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8649116">
            <w:pPr>
              <w:spacing w:before="128"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（二）钢结构、网架和索膜结构安装工程。</w:t>
            </w:r>
          </w:p>
        </w:tc>
        <w:tc>
          <w:tcPr>
            <w:tcW w:w="1294" w:type="dxa"/>
            <w:vAlign w:val="top"/>
          </w:tcPr>
          <w:p w14:paraId="5B256D88">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02621C">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C7386C">
            <w:pPr>
              <w:pStyle w:val="20"/>
              <w:rPr>
                <w:rFonts w:hint="eastAsia" w:ascii="宋体" w:hAnsi="宋体" w:eastAsia="宋体" w:cs="宋体"/>
                <w:color w:val="auto"/>
                <w:highlight w:val="none"/>
              </w:rPr>
            </w:pPr>
          </w:p>
        </w:tc>
      </w:tr>
      <w:tr w14:paraId="6E0F4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7F48E3C">
            <w:pPr>
              <w:spacing w:before="128"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（三）人工挖孔桩工程。</w:t>
            </w:r>
          </w:p>
        </w:tc>
        <w:tc>
          <w:tcPr>
            <w:tcW w:w="1294" w:type="dxa"/>
            <w:vAlign w:val="top"/>
          </w:tcPr>
          <w:p w14:paraId="2B0443D0">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457DD8">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B54B549">
            <w:pPr>
              <w:pStyle w:val="20"/>
              <w:rPr>
                <w:rFonts w:hint="eastAsia" w:ascii="宋体" w:hAnsi="宋体" w:eastAsia="宋体" w:cs="宋体"/>
                <w:color w:val="auto"/>
                <w:highlight w:val="none"/>
              </w:rPr>
            </w:pPr>
          </w:p>
        </w:tc>
      </w:tr>
      <w:tr w14:paraId="1D87E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23A2A7">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7FF1CEBB">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19BA99D">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099C2E">
            <w:pPr>
              <w:pStyle w:val="20"/>
              <w:rPr>
                <w:rFonts w:hint="eastAsia" w:ascii="宋体" w:hAnsi="宋体" w:eastAsia="宋体" w:cs="宋体"/>
                <w:color w:val="auto"/>
                <w:highlight w:val="none"/>
              </w:rPr>
            </w:pPr>
          </w:p>
        </w:tc>
      </w:tr>
      <w:tr w14:paraId="0578E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2CFFC3">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（五）装配式建筑混凝土预制构件安装工程。</w:t>
            </w:r>
          </w:p>
        </w:tc>
        <w:tc>
          <w:tcPr>
            <w:tcW w:w="1294" w:type="dxa"/>
            <w:vAlign w:val="top"/>
          </w:tcPr>
          <w:p w14:paraId="65C993F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B18911">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EEB872">
            <w:pPr>
              <w:pStyle w:val="20"/>
              <w:rPr>
                <w:rFonts w:hint="eastAsia" w:ascii="宋体" w:hAnsi="宋体" w:eastAsia="宋体" w:cs="宋体"/>
                <w:color w:val="auto"/>
                <w:highlight w:val="none"/>
              </w:rPr>
            </w:pPr>
          </w:p>
        </w:tc>
      </w:tr>
      <w:tr w14:paraId="13F16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2E07234">
            <w:pPr>
              <w:spacing w:before="129" w:line="345"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173190AF">
            <w:pPr>
              <w:pStyle w:val="20"/>
              <w:spacing w:line="270" w:lineRule="auto"/>
              <w:rPr>
                <w:rFonts w:hint="eastAsia" w:ascii="宋体" w:hAnsi="宋体" w:eastAsia="宋体" w:cs="宋体"/>
                <w:color w:val="auto"/>
                <w:highlight w:val="none"/>
              </w:rPr>
            </w:pPr>
          </w:p>
          <w:p w14:paraId="25286718">
            <w:pPr>
              <w:pStyle w:val="20"/>
              <w:spacing w:line="271" w:lineRule="auto"/>
              <w:rPr>
                <w:rFonts w:hint="eastAsia" w:ascii="宋体" w:hAnsi="宋体" w:eastAsia="宋体" w:cs="宋体"/>
                <w:color w:val="auto"/>
                <w:highlight w:val="none"/>
              </w:rPr>
            </w:pPr>
          </w:p>
          <w:p w14:paraId="43C2B6E5">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8617CC">
            <w:pPr>
              <w:pStyle w:val="20"/>
              <w:spacing w:line="270" w:lineRule="auto"/>
              <w:rPr>
                <w:rFonts w:hint="eastAsia" w:ascii="宋体" w:hAnsi="宋体" w:eastAsia="宋体" w:cs="宋体"/>
                <w:color w:val="auto"/>
                <w:highlight w:val="none"/>
              </w:rPr>
            </w:pPr>
          </w:p>
          <w:p w14:paraId="178E42BF">
            <w:pPr>
              <w:pStyle w:val="20"/>
              <w:spacing w:line="271" w:lineRule="auto"/>
              <w:rPr>
                <w:rFonts w:hint="eastAsia" w:ascii="宋体" w:hAnsi="宋体" w:eastAsia="宋体" w:cs="宋体"/>
                <w:color w:val="auto"/>
                <w:highlight w:val="none"/>
              </w:rPr>
            </w:pPr>
          </w:p>
          <w:p w14:paraId="7C375C8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939D6">
            <w:pPr>
              <w:pStyle w:val="20"/>
              <w:rPr>
                <w:rFonts w:hint="eastAsia" w:ascii="宋体" w:hAnsi="宋体" w:eastAsia="宋体" w:cs="宋体"/>
                <w:color w:val="auto"/>
                <w:highlight w:val="none"/>
              </w:rPr>
            </w:pPr>
          </w:p>
        </w:tc>
      </w:tr>
      <w:tr w14:paraId="3B562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3107AB9">
            <w:pPr>
              <w:spacing w:before="129" w:line="328" w:lineRule="auto"/>
              <w:ind w:left="115" w:right="108" w:firstLine="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二、超过一定规模的危险性较大的分部分项工</w:t>
            </w:r>
            <w:r>
              <w:rPr>
                <w:rFonts w:hint="eastAsia" w:ascii="宋体" w:hAnsi="宋体" w:eastAsia="宋体" w:cs="宋体"/>
                <w:b/>
                <w:bCs/>
                <w:color w:val="auto"/>
                <w:spacing w:val="-5"/>
                <w:sz w:val="24"/>
                <w:szCs w:val="24"/>
                <w:highlight w:val="none"/>
              </w:rPr>
              <w:t>程清单</w:t>
            </w:r>
          </w:p>
        </w:tc>
        <w:tc>
          <w:tcPr>
            <w:tcW w:w="1294" w:type="dxa"/>
            <w:vAlign w:val="top"/>
          </w:tcPr>
          <w:p w14:paraId="5A67B5C5">
            <w:pPr>
              <w:pStyle w:val="20"/>
              <w:spacing w:line="295" w:lineRule="auto"/>
              <w:rPr>
                <w:rFonts w:hint="eastAsia" w:ascii="宋体" w:hAnsi="宋体" w:eastAsia="宋体" w:cs="宋体"/>
                <w:color w:val="auto"/>
                <w:highlight w:val="none"/>
              </w:rPr>
            </w:pPr>
          </w:p>
          <w:p w14:paraId="2D811006">
            <w:pPr>
              <w:spacing w:before="78" w:line="221" w:lineRule="auto"/>
              <w:ind w:left="2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24A69ECB">
            <w:pPr>
              <w:pStyle w:val="20"/>
              <w:spacing w:line="295" w:lineRule="auto"/>
              <w:rPr>
                <w:rFonts w:hint="eastAsia" w:ascii="宋体" w:hAnsi="宋体" w:eastAsia="宋体" w:cs="宋体"/>
                <w:color w:val="auto"/>
                <w:highlight w:val="none"/>
              </w:rPr>
            </w:pPr>
          </w:p>
          <w:p w14:paraId="26DB2221">
            <w:pPr>
              <w:spacing w:before="78" w:line="221" w:lineRule="auto"/>
              <w:ind w:left="11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7B1AFF26">
            <w:pPr>
              <w:pStyle w:val="20"/>
              <w:spacing w:line="295" w:lineRule="auto"/>
              <w:rPr>
                <w:rFonts w:hint="eastAsia" w:ascii="宋体" w:hAnsi="宋体" w:eastAsia="宋体" w:cs="宋体"/>
                <w:color w:val="auto"/>
                <w:highlight w:val="none"/>
              </w:rPr>
            </w:pPr>
          </w:p>
          <w:p w14:paraId="3584F90F">
            <w:pPr>
              <w:spacing w:before="78" w:line="222"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4B6EE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FFEC06F">
            <w:pPr>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vAlign w:val="top"/>
          </w:tcPr>
          <w:p w14:paraId="0F1DCA38">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A99B878">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A826AFC">
            <w:pPr>
              <w:pStyle w:val="20"/>
              <w:rPr>
                <w:rFonts w:hint="eastAsia" w:ascii="宋体" w:hAnsi="宋体" w:eastAsia="宋体" w:cs="宋体"/>
                <w:color w:val="auto"/>
                <w:highlight w:val="none"/>
              </w:rPr>
            </w:pPr>
          </w:p>
        </w:tc>
      </w:tr>
      <w:tr w14:paraId="70408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7BBDEF">
            <w:pPr>
              <w:spacing w:before="131" w:line="327" w:lineRule="auto"/>
              <w:ind w:left="117" w:right="10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开挖深度超过</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5m（含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5m）的基坑（槽）的土方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开挖、支护、降水工程。</w:t>
            </w:r>
          </w:p>
        </w:tc>
        <w:tc>
          <w:tcPr>
            <w:tcW w:w="1294" w:type="dxa"/>
            <w:vAlign w:val="top"/>
          </w:tcPr>
          <w:p w14:paraId="1796810E">
            <w:pPr>
              <w:pStyle w:val="20"/>
              <w:spacing w:line="295" w:lineRule="auto"/>
              <w:rPr>
                <w:rFonts w:hint="eastAsia" w:ascii="宋体" w:hAnsi="宋体" w:eastAsia="宋体" w:cs="宋体"/>
                <w:color w:val="auto"/>
                <w:highlight w:val="none"/>
              </w:rPr>
            </w:pPr>
          </w:p>
          <w:p w14:paraId="37F2E30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7F49D4">
            <w:pPr>
              <w:pStyle w:val="20"/>
              <w:spacing w:line="295" w:lineRule="auto"/>
              <w:rPr>
                <w:rFonts w:hint="eastAsia" w:ascii="宋体" w:hAnsi="宋体" w:eastAsia="宋体" w:cs="宋体"/>
                <w:color w:val="auto"/>
                <w:highlight w:val="none"/>
              </w:rPr>
            </w:pPr>
          </w:p>
          <w:p w14:paraId="005B6C9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B784C5">
            <w:pPr>
              <w:pStyle w:val="20"/>
              <w:rPr>
                <w:rFonts w:hint="eastAsia" w:ascii="宋体" w:hAnsi="宋体" w:eastAsia="宋体" w:cs="宋体"/>
                <w:color w:val="auto"/>
                <w:highlight w:val="none"/>
              </w:rPr>
            </w:pPr>
          </w:p>
        </w:tc>
      </w:tr>
      <w:tr w14:paraId="67E02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072E12A">
            <w:pPr>
              <w:spacing w:before="130"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695E6722">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宋体" w:hAnsi="宋体" w:eastAsia="宋体" w:cs="宋体"/>
                <w:color w:val="auto"/>
                <w:spacing w:val="2"/>
                <w:sz w:val="24"/>
                <w:szCs w:val="24"/>
                <w:highlight w:val="none"/>
                <w:lang w:val="en-US"/>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D75F55">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BB9547">
            <w:pPr>
              <w:pStyle w:val="20"/>
              <w:rPr>
                <w:rFonts w:hint="eastAsia" w:ascii="宋体" w:hAnsi="宋体" w:eastAsia="宋体" w:cs="宋体"/>
                <w:color w:val="auto"/>
                <w:highlight w:val="none"/>
              </w:rPr>
            </w:pPr>
          </w:p>
        </w:tc>
      </w:tr>
      <w:tr w14:paraId="10065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25B4D44">
            <w:pPr>
              <w:spacing w:before="130" w:line="327"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33C7548">
            <w:pPr>
              <w:pStyle w:val="20"/>
              <w:spacing w:line="294" w:lineRule="auto"/>
              <w:rPr>
                <w:rFonts w:hint="eastAsia" w:ascii="宋体" w:hAnsi="宋体" w:eastAsia="宋体" w:cs="宋体"/>
                <w:color w:val="auto"/>
                <w:highlight w:val="none"/>
              </w:rPr>
            </w:pPr>
          </w:p>
          <w:p w14:paraId="40884F4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4BE3EB5">
            <w:pPr>
              <w:pStyle w:val="20"/>
              <w:spacing w:line="294" w:lineRule="auto"/>
              <w:rPr>
                <w:rFonts w:hint="eastAsia" w:ascii="宋体" w:hAnsi="宋体" w:eastAsia="宋体" w:cs="宋体"/>
                <w:color w:val="auto"/>
                <w:highlight w:val="none"/>
              </w:rPr>
            </w:pPr>
          </w:p>
          <w:p w14:paraId="424372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243DDE8">
            <w:pPr>
              <w:pStyle w:val="20"/>
              <w:rPr>
                <w:rFonts w:hint="eastAsia" w:ascii="宋体" w:hAnsi="宋体" w:eastAsia="宋体" w:cs="宋体"/>
                <w:color w:val="auto"/>
                <w:highlight w:val="none"/>
              </w:rPr>
            </w:pPr>
          </w:p>
        </w:tc>
      </w:tr>
      <w:tr w14:paraId="2F821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41265B">
            <w:pPr>
              <w:spacing w:before="132" w:line="353" w:lineRule="auto"/>
              <w:ind w:left="116" w:right="6"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（二）混凝土模板支撑工程：搭设高度8m</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上，或搭设跨度</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1"/>
                <w:sz w:val="24"/>
                <w:szCs w:val="24"/>
                <w:highlight w:val="none"/>
              </w:rPr>
              <w:t>18m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及以上，或施工总荷载（设</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计值）15kN/m2</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及以上，或集中线荷载（设</w:t>
            </w:r>
            <w:r>
              <w:rPr>
                <w:rFonts w:hint="eastAsia" w:ascii="宋体" w:hAnsi="宋体" w:eastAsia="宋体" w:cs="宋体"/>
                <w:color w:val="auto"/>
                <w:spacing w:val="-12"/>
                <w:sz w:val="24"/>
                <w:szCs w:val="24"/>
                <w:highlight w:val="none"/>
              </w:rPr>
              <w:t>计值）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20kN/m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A659D94">
            <w:pPr>
              <w:pStyle w:val="20"/>
              <w:spacing w:line="262" w:lineRule="auto"/>
              <w:rPr>
                <w:rFonts w:hint="eastAsia" w:ascii="宋体" w:hAnsi="宋体" w:eastAsia="宋体" w:cs="宋体"/>
                <w:color w:val="auto"/>
                <w:highlight w:val="none"/>
              </w:rPr>
            </w:pPr>
          </w:p>
          <w:p w14:paraId="36D0E943">
            <w:pPr>
              <w:pStyle w:val="20"/>
              <w:spacing w:line="263" w:lineRule="auto"/>
              <w:rPr>
                <w:rFonts w:hint="eastAsia" w:ascii="宋体" w:hAnsi="宋体" w:eastAsia="宋体" w:cs="宋体"/>
                <w:color w:val="auto"/>
                <w:highlight w:val="none"/>
              </w:rPr>
            </w:pPr>
          </w:p>
          <w:p w14:paraId="36225E0A">
            <w:pPr>
              <w:pStyle w:val="20"/>
              <w:spacing w:line="263" w:lineRule="auto"/>
              <w:rPr>
                <w:rFonts w:hint="eastAsia" w:ascii="宋体" w:hAnsi="宋体" w:eastAsia="宋体" w:cs="宋体"/>
                <w:color w:val="auto"/>
                <w:highlight w:val="none"/>
              </w:rPr>
            </w:pPr>
          </w:p>
          <w:p w14:paraId="1B11D09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6F36B3E">
            <w:pPr>
              <w:pStyle w:val="20"/>
              <w:spacing w:line="262" w:lineRule="auto"/>
              <w:rPr>
                <w:rFonts w:hint="eastAsia" w:ascii="宋体" w:hAnsi="宋体" w:eastAsia="宋体" w:cs="宋体"/>
                <w:color w:val="auto"/>
                <w:highlight w:val="none"/>
              </w:rPr>
            </w:pPr>
          </w:p>
          <w:p w14:paraId="39B92A8D">
            <w:pPr>
              <w:pStyle w:val="20"/>
              <w:spacing w:line="263" w:lineRule="auto"/>
              <w:rPr>
                <w:rFonts w:hint="eastAsia" w:ascii="宋体" w:hAnsi="宋体" w:eastAsia="宋体" w:cs="宋体"/>
                <w:color w:val="auto"/>
                <w:highlight w:val="none"/>
              </w:rPr>
            </w:pPr>
          </w:p>
          <w:p w14:paraId="52E91544">
            <w:pPr>
              <w:pStyle w:val="20"/>
              <w:spacing w:line="263" w:lineRule="auto"/>
              <w:rPr>
                <w:rFonts w:hint="eastAsia" w:ascii="宋体" w:hAnsi="宋体" w:eastAsia="宋体" w:cs="宋体"/>
                <w:color w:val="auto"/>
                <w:highlight w:val="none"/>
              </w:rPr>
            </w:pPr>
          </w:p>
          <w:p w14:paraId="4010B8F8">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75310">
            <w:pPr>
              <w:pStyle w:val="20"/>
              <w:rPr>
                <w:rFonts w:hint="eastAsia" w:ascii="宋体" w:hAnsi="宋体" w:eastAsia="宋体" w:cs="宋体"/>
                <w:color w:val="auto"/>
                <w:highlight w:val="none"/>
              </w:rPr>
            </w:pPr>
          </w:p>
        </w:tc>
      </w:tr>
      <w:tr w14:paraId="31486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4038DE2">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p>
        </w:tc>
        <w:tc>
          <w:tcPr>
            <w:tcW w:w="1294" w:type="dxa"/>
            <w:vAlign w:val="top"/>
          </w:tcPr>
          <w:p w14:paraId="7EA93CE0">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89782C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42B55B">
            <w:pPr>
              <w:pStyle w:val="20"/>
              <w:rPr>
                <w:rFonts w:hint="eastAsia" w:ascii="宋体" w:hAnsi="宋体" w:eastAsia="宋体" w:cs="宋体"/>
                <w:color w:val="auto"/>
                <w:highlight w:val="none"/>
              </w:rPr>
            </w:pPr>
          </w:p>
        </w:tc>
      </w:tr>
      <w:tr w14:paraId="0DCFC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4CD01D5">
            <w:pPr>
              <w:spacing w:before="131" w:line="220"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支撑体系，承受单点集中荷载</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7kN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D707081">
            <w:pPr>
              <w:pStyle w:val="20"/>
              <w:rPr>
                <w:rFonts w:hint="eastAsia" w:ascii="宋体" w:hAnsi="宋体" w:eastAsia="宋体" w:cs="宋体"/>
                <w:color w:val="auto"/>
                <w:highlight w:val="none"/>
              </w:rPr>
            </w:pPr>
          </w:p>
        </w:tc>
        <w:tc>
          <w:tcPr>
            <w:tcW w:w="1294" w:type="dxa"/>
            <w:vAlign w:val="top"/>
          </w:tcPr>
          <w:p w14:paraId="53A736AF">
            <w:pPr>
              <w:pStyle w:val="20"/>
              <w:rPr>
                <w:rFonts w:hint="eastAsia" w:ascii="宋体" w:hAnsi="宋体" w:eastAsia="宋体" w:cs="宋体"/>
                <w:color w:val="auto"/>
                <w:highlight w:val="none"/>
              </w:rPr>
            </w:pPr>
          </w:p>
        </w:tc>
        <w:tc>
          <w:tcPr>
            <w:tcW w:w="2428" w:type="dxa"/>
            <w:vAlign w:val="top"/>
          </w:tcPr>
          <w:p w14:paraId="56059996">
            <w:pPr>
              <w:pStyle w:val="20"/>
              <w:rPr>
                <w:rFonts w:hint="eastAsia" w:ascii="宋体" w:hAnsi="宋体" w:eastAsia="宋体" w:cs="宋体"/>
                <w:color w:val="auto"/>
                <w:highlight w:val="none"/>
              </w:rPr>
            </w:pPr>
          </w:p>
        </w:tc>
      </w:tr>
      <w:tr w14:paraId="718D0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0C9181">
            <w:pPr>
              <w:spacing w:before="128"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5DAC60BF">
            <w:pPr>
              <w:spacing w:before="127"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4A1EBF1">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8A51EE5">
            <w:pPr>
              <w:pStyle w:val="20"/>
              <w:rPr>
                <w:rFonts w:hint="eastAsia" w:ascii="宋体" w:hAnsi="宋体" w:eastAsia="宋体" w:cs="宋体"/>
                <w:color w:val="auto"/>
                <w:highlight w:val="none"/>
              </w:rPr>
            </w:pPr>
          </w:p>
        </w:tc>
      </w:tr>
      <w:tr w14:paraId="723FC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2A57479">
            <w:pPr>
              <w:spacing w:before="129" w:line="328"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100kN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2AF28C1D">
            <w:pPr>
              <w:pStyle w:val="20"/>
              <w:spacing w:line="295" w:lineRule="auto"/>
              <w:rPr>
                <w:rFonts w:hint="eastAsia" w:ascii="宋体" w:hAnsi="宋体" w:eastAsia="宋体" w:cs="宋体"/>
                <w:color w:val="auto"/>
                <w:highlight w:val="none"/>
              </w:rPr>
            </w:pPr>
          </w:p>
          <w:p w14:paraId="68D38AD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DBCC99">
            <w:pPr>
              <w:pStyle w:val="20"/>
              <w:spacing w:line="295" w:lineRule="auto"/>
              <w:rPr>
                <w:rFonts w:hint="eastAsia" w:ascii="宋体" w:hAnsi="宋体" w:eastAsia="宋体" w:cs="宋体"/>
                <w:color w:val="auto"/>
                <w:highlight w:val="none"/>
              </w:rPr>
            </w:pPr>
          </w:p>
          <w:p w14:paraId="26478C8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AC0590">
            <w:pPr>
              <w:pStyle w:val="20"/>
              <w:rPr>
                <w:rFonts w:hint="eastAsia" w:ascii="宋体" w:hAnsi="宋体" w:eastAsia="宋体" w:cs="宋体"/>
                <w:color w:val="auto"/>
                <w:highlight w:val="none"/>
              </w:rPr>
            </w:pPr>
          </w:p>
        </w:tc>
      </w:tr>
      <w:tr w14:paraId="7A49C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5F7230">
            <w:pPr>
              <w:spacing w:before="129" w:line="345" w:lineRule="auto"/>
              <w:ind w:left="115" w:right="105" w:firstLine="12"/>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（二）起重量</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2"/>
                <w:sz w:val="24"/>
                <w:szCs w:val="24"/>
                <w:highlight w:val="none"/>
              </w:rPr>
              <w:t>300kN</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2"/>
                <w:sz w:val="24"/>
                <w:szCs w:val="24"/>
                <w:highlight w:val="none"/>
              </w:rPr>
              <w:t>及以上，或搭设总高度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2"/>
                <w:sz w:val="24"/>
                <w:szCs w:val="24"/>
                <w:highlight w:val="none"/>
              </w:rPr>
              <w:t>200m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及以上，或搭设基础标高在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及以上的起重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机械安装和拆卸工程。</w:t>
            </w:r>
          </w:p>
        </w:tc>
        <w:tc>
          <w:tcPr>
            <w:tcW w:w="1294" w:type="dxa"/>
            <w:vAlign w:val="top"/>
          </w:tcPr>
          <w:p w14:paraId="3C812803">
            <w:pPr>
              <w:pStyle w:val="20"/>
              <w:spacing w:line="270" w:lineRule="auto"/>
              <w:rPr>
                <w:rFonts w:hint="eastAsia" w:ascii="宋体" w:hAnsi="宋体" w:eastAsia="宋体" w:cs="宋体"/>
                <w:color w:val="auto"/>
                <w:highlight w:val="none"/>
              </w:rPr>
            </w:pPr>
          </w:p>
          <w:p w14:paraId="5121DDDA">
            <w:pPr>
              <w:pStyle w:val="20"/>
              <w:spacing w:line="270" w:lineRule="auto"/>
              <w:rPr>
                <w:rFonts w:hint="eastAsia" w:ascii="宋体" w:hAnsi="宋体" w:eastAsia="宋体" w:cs="宋体"/>
                <w:color w:val="auto"/>
                <w:highlight w:val="none"/>
              </w:rPr>
            </w:pPr>
          </w:p>
          <w:p w14:paraId="560FB691">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2976141">
            <w:pPr>
              <w:pStyle w:val="20"/>
              <w:spacing w:line="270" w:lineRule="auto"/>
              <w:rPr>
                <w:rFonts w:hint="eastAsia" w:ascii="宋体" w:hAnsi="宋体" w:eastAsia="宋体" w:cs="宋体"/>
                <w:color w:val="auto"/>
                <w:highlight w:val="none"/>
              </w:rPr>
            </w:pPr>
          </w:p>
          <w:p w14:paraId="0F0AF9F1">
            <w:pPr>
              <w:pStyle w:val="20"/>
              <w:spacing w:line="270" w:lineRule="auto"/>
              <w:rPr>
                <w:rFonts w:hint="eastAsia" w:ascii="宋体" w:hAnsi="宋体" w:eastAsia="宋体" w:cs="宋体"/>
                <w:color w:val="auto"/>
                <w:highlight w:val="none"/>
              </w:rPr>
            </w:pPr>
          </w:p>
          <w:p w14:paraId="69309DD2">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436BC6D">
            <w:pPr>
              <w:pStyle w:val="20"/>
              <w:rPr>
                <w:rFonts w:hint="eastAsia" w:ascii="宋体" w:hAnsi="宋体" w:eastAsia="宋体" w:cs="宋体"/>
                <w:color w:val="auto"/>
                <w:highlight w:val="none"/>
              </w:rPr>
            </w:pPr>
          </w:p>
        </w:tc>
      </w:tr>
      <w:tr w14:paraId="0E46C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28645FA">
            <w:pPr>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67CC54F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0B7418">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E3407">
            <w:pPr>
              <w:pStyle w:val="20"/>
              <w:rPr>
                <w:rFonts w:hint="eastAsia" w:ascii="宋体" w:hAnsi="宋体" w:eastAsia="宋体" w:cs="宋体"/>
                <w:color w:val="auto"/>
                <w:highlight w:val="none"/>
              </w:rPr>
            </w:pPr>
          </w:p>
        </w:tc>
      </w:tr>
      <w:tr w14:paraId="20CD7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8FD09B2">
            <w:pPr>
              <w:spacing w:before="128" w:line="328"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（一）搭设高度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架工程。</w:t>
            </w:r>
          </w:p>
        </w:tc>
        <w:tc>
          <w:tcPr>
            <w:tcW w:w="1294" w:type="dxa"/>
            <w:vAlign w:val="top"/>
          </w:tcPr>
          <w:p w14:paraId="30FE1B6D">
            <w:pPr>
              <w:pStyle w:val="20"/>
              <w:spacing w:line="296" w:lineRule="auto"/>
              <w:rPr>
                <w:rFonts w:hint="eastAsia" w:ascii="宋体" w:hAnsi="宋体" w:eastAsia="宋体" w:cs="宋体"/>
                <w:color w:val="auto"/>
                <w:highlight w:val="none"/>
              </w:rPr>
            </w:pPr>
          </w:p>
          <w:p w14:paraId="49A947C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645D770">
            <w:pPr>
              <w:pStyle w:val="20"/>
              <w:spacing w:line="296" w:lineRule="auto"/>
              <w:rPr>
                <w:rFonts w:hint="eastAsia" w:ascii="宋体" w:hAnsi="宋体" w:eastAsia="宋体" w:cs="宋体"/>
                <w:color w:val="auto"/>
                <w:highlight w:val="none"/>
              </w:rPr>
            </w:pPr>
          </w:p>
          <w:p w14:paraId="0046F70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5A45629">
            <w:pPr>
              <w:pStyle w:val="20"/>
              <w:rPr>
                <w:rFonts w:hint="eastAsia" w:ascii="宋体" w:hAnsi="宋体" w:eastAsia="宋体" w:cs="宋体"/>
                <w:color w:val="auto"/>
                <w:highlight w:val="none"/>
              </w:rPr>
            </w:pPr>
          </w:p>
        </w:tc>
      </w:tr>
      <w:tr w14:paraId="4C2B7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31197BD">
            <w:pPr>
              <w:spacing w:before="131" w:line="327" w:lineRule="auto"/>
              <w:ind w:left="116" w:right="105" w:firstLine="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（二）提升高度在</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lang w:eastAsia="zh-CN"/>
              </w:rPr>
              <w:t>450</w:t>
            </w:r>
            <w:r>
              <w:rPr>
                <w:rFonts w:hint="eastAsia" w:ascii="宋体" w:hAnsi="宋体" w:eastAsia="宋体" w:cs="宋体"/>
                <w:color w:val="auto"/>
                <w:spacing w:val="-6"/>
                <w:sz w:val="24"/>
                <w:szCs w:val="24"/>
                <w:highlight w:val="none"/>
              </w:rPr>
              <w:t>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6"/>
                <w:sz w:val="24"/>
                <w:szCs w:val="24"/>
                <w:highlight w:val="none"/>
              </w:rPr>
              <w:t>及以上的附着式升降脚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手架工程或附着式升降操作平台工程。</w:t>
            </w:r>
          </w:p>
        </w:tc>
        <w:tc>
          <w:tcPr>
            <w:tcW w:w="1294" w:type="dxa"/>
            <w:vAlign w:val="top"/>
          </w:tcPr>
          <w:p w14:paraId="26E4FDC5">
            <w:pPr>
              <w:pStyle w:val="20"/>
              <w:spacing w:line="296" w:lineRule="auto"/>
              <w:rPr>
                <w:rFonts w:hint="eastAsia" w:ascii="宋体" w:hAnsi="宋体" w:eastAsia="宋体" w:cs="宋体"/>
                <w:color w:val="auto"/>
                <w:highlight w:val="none"/>
              </w:rPr>
            </w:pPr>
          </w:p>
          <w:p w14:paraId="558431DE">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227112">
            <w:pPr>
              <w:pStyle w:val="20"/>
              <w:spacing w:line="296" w:lineRule="auto"/>
              <w:rPr>
                <w:rFonts w:hint="eastAsia" w:ascii="宋体" w:hAnsi="宋体" w:eastAsia="宋体" w:cs="宋体"/>
                <w:color w:val="auto"/>
                <w:highlight w:val="none"/>
              </w:rPr>
            </w:pPr>
          </w:p>
          <w:p w14:paraId="4D51D49D">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447CAF">
            <w:pPr>
              <w:pStyle w:val="20"/>
              <w:rPr>
                <w:rFonts w:hint="eastAsia" w:ascii="宋体" w:hAnsi="宋体" w:eastAsia="宋体" w:cs="宋体"/>
                <w:color w:val="auto"/>
                <w:highlight w:val="none"/>
              </w:rPr>
            </w:pPr>
          </w:p>
        </w:tc>
      </w:tr>
      <w:tr w14:paraId="4390B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02DA04D">
            <w:pPr>
              <w:spacing w:before="129" w:line="328"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（三）分段架体搭设高度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及以上的悬挑式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脚手架工程。</w:t>
            </w:r>
          </w:p>
        </w:tc>
        <w:tc>
          <w:tcPr>
            <w:tcW w:w="1294" w:type="dxa"/>
            <w:vAlign w:val="top"/>
          </w:tcPr>
          <w:p w14:paraId="1A4DC673">
            <w:pPr>
              <w:pStyle w:val="20"/>
              <w:spacing w:line="297" w:lineRule="auto"/>
              <w:rPr>
                <w:rFonts w:hint="eastAsia" w:ascii="宋体" w:hAnsi="宋体" w:eastAsia="宋体" w:cs="宋体"/>
                <w:color w:val="auto"/>
                <w:highlight w:val="none"/>
              </w:rPr>
            </w:pPr>
          </w:p>
          <w:p w14:paraId="13C8F70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8C3E33">
            <w:pPr>
              <w:pStyle w:val="20"/>
              <w:spacing w:line="297" w:lineRule="auto"/>
              <w:rPr>
                <w:rFonts w:hint="eastAsia" w:ascii="宋体" w:hAnsi="宋体" w:eastAsia="宋体" w:cs="宋体"/>
                <w:color w:val="auto"/>
                <w:highlight w:val="none"/>
              </w:rPr>
            </w:pPr>
          </w:p>
          <w:p w14:paraId="69F6EAB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36FB7CE">
            <w:pPr>
              <w:pStyle w:val="20"/>
              <w:rPr>
                <w:rFonts w:hint="eastAsia" w:ascii="宋体" w:hAnsi="宋体" w:eastAsia="宋体" w:cs="宋体"/>
                <w:color w:val="auto"/>
                <w:highlight w:val="none"/>
              </w:rPr>
            </w:pPr>
          </w:p>
        </w:tc>
      </w:tr>
      <w:tr w14:paraId="19A54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E027364">
            <w:pPr>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14:paraId="252E8CF3">
            <w:pPr>
              <w:spacing w:before="15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328A9">
            <w:pPr>
              <w:spacing w:before="15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B214F7F">
            <w:pPr>
              <w:pStyle w:val="20"/>
              <w:rPr>
                <w:rFonts w:hint="eastAsia" w:ascii="宋体" w:hAnsi="宋体" w:eastAsia="宋体" w:cs="宋体"/>
                <w:color w:val="auto"/>
                <w:highlight w:val="none"/>
              </w:rPr>
            </w:pPr>
          </w:p>
        </w:tc>
      </w:tr>
      <w:tr w14:paraId="533AC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FD68D25">
            <w:pPr>
              <w:spacing w:before="132" w:line="353"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（一）码头、桥梁、高架、烟囱、水塔或拆除</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中容易引起有毒有害气（液）体或粉尘扩散、</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易燃易爆事故发生的特殊建、构筑物的拆除工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06E4383E">
            <w:pPr>
              <w:pStyle w:val="20"/>
              <w:spacing w:line="262" w:lineRule="auto"/>
              <w:rPr>
                <w:rFonts w:hint="eastAsia" w:ascii="宋体" w:hAnsi="宋体" w:eastAsia="宋体" w:cs="宋体"/>
                <w:color w:val="auto"/>
                <w:highlight w:val="none"/>
              </w:rPr>
            </w:pPr>
          </w:p>
          <w:p w14:paraId="7376B21D">
            <w:pPr>
              <w:pStyle w:val="20"/>
              <w:spacing w:line="262" w:lineRule="auto"/>
              <w:rPr>
                <w:rFonts w:hint="eastAsia" w:ascii="宋体" w:hAnsi="宋体" w:eastAsia="宋体" w:cs="宋体"/>
                <w:color w:val="auto"/>
                <w:highlight w:val="none"/>
              </w:rPr>
            </w:pPr>
          </w:p>
          <w:p w14:paraId="5707BFC6">
            <w:pPr>
              <w:pStyle w:val="20"/>
              <w:spacing w:line="262" w:lineRule="auto"/>
              <w:rPr>
                <w:rFonts w:hint="eastAsia" w:ascii="宋体" w:hAnsi="宋体" w:eastAsia="宋体" w:cs="宋体"/>
                <w:color w:val="auto"/>
                <w:highlight w:val="none"/>
              </w:rPr>
            </w:pPr>
          </w:p>
          <w:p w14:paraId="07A1B4B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AA7B904">
            <w:pPr>
              <w:pStyle w:val="20"/>
              <w:spacing w:line="262" w:lineRule="auto"/>
              <w:rPr>
                <w:rFonts w:hint="eastAsia" w:ascii="宋体" w:hAnsi="宋体" w:eastAsia="宋体" w:cs="宋体"/>
                <w:color w:val="auto"/>
                <w:highlight w:val="none"/>
              </w:rPr>
            </w:pPr>
          </w:p>
          <w:p w14:paraId="60B86E07">
            <w:pPr>
              <w:pStyle w:val="20"/>
              <w:spacing w:line="262" w:lineRule="auto"/>
              <w:rPr>
                <w:rFonts w:hint="eastAsia" w:ascii="宋体" w:hAnsi="宋体" w:eastAsia="宋体" w:cs="宋体"/>
                <w:color w:val="auto"/>
                <w:highlight w:val="none"/>
              </w:rPr>
            </w:pPr>
          </w:p>
          <w:p w14:paraId="069EBF28">
            <w:pPr>
              <w:pStyle w:val="20"/>
              <w:spacing w:line="262" w:lineRule="auto"/>
              <w:rPr>
                <w:rFonts w:hint="eastAsia" w:ascii="宋体" w:hAnsi="宋体" w:eastAsia="宋体" w:cs="宋体"/>
                <w:color w:val="auto"/>
                <w:highlight w:val="none"/>
              </w:rPr>
            </w:pPr>
          </w:p>
          <w:p w14:paraId="6B21D26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744C282">
            <w:pPr>
              <w:pStyle w:val="20"/>
              <w:rPr>
                <w:rFonts w:hint="eastAsia" w:ascii="宋体" w:hAnsi="宋体" w:eastAsia="宋体" w:cs="宋体"/>
                <w:color w:val="auto"/>
                <w:highlight w:val="none"/>
              </w:rPr>
            </w:pPr>
          </w:p>
        </w:tc>
      </w:tr>
      <w:tr w14:paraId="7A72A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3409FFD">
            <w:pPr>
              <w:spacing w:before="131"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（二）文物保护建筑、优秀历史建筑或历史文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化风貌区影响范围内的拆除工程。</w:t>
            </w:r>
          </w:p>
        </w:tc>
        <w:tc>
          <w:tcPr>
            <w:tcW w:w="1294" w:type="dxa"/>
            <w:vAlign w:val="top"/>
          </w:tcPr>
          <w:p w14:paraId="4FDC9077">
            <w:pPr>
              <w:pStyle w:val="20"/>
              <w:spacing w:line="297" w:lineRule="auto"/>
              <w:rPr>
                <w:rFonts w:hint="eastAsia" w:ascii="宋体" w:hAnsi="宋体" w:eastAsia="宋体" w:cs="宋体"/>
                <w:color w:val="auto"/>
                <w:highlight w:val="none"/>
              </w:rPr>
            </w:pPr>
          </w:p>
          <w:p w14:paraId="557EC15C">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5B90DE">
            <w:pPr>
              <w:pStyle w:val="20"/>
              <w:spacing w:line="297" w:lineRule="auto"/>
              <w:rPr>
                <w:rFonts w:hint="eastAsia" w:ascii="宋体" w:hAnsi="宋体" w:eastAsia="宋体" w:cs="宋体"/>
                <w:color w:val="auto"/>
                <w:highlight w:val="none"/>
              </w:rPr>
            </w:pPr>
          </w:p>
          <w:p w14:paraId="4F686E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2BBBA6">
            <w:pPr>
              <w:pStyle w:val="20"/>
              <w:rPr>
                <w:rFonts w:hint="eastAsia" w:ascii="宋体" w:hAnsi="宋体" w:eastAsia="宋体" w:cs="宋体"/>
                <w:color w:val="auto"/>
                <w:highlight w:val="none"/>
              </w:rPr>
            </w:pPr>
          </w:p>
        </w:tc>
      </w:tr>
      <w:tr w14:paraId="13DCE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48FBF8E">
            <w:pPr>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655538CD">
            <w:pPr>
              <w:spacing w:before="14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EC7D9AB">
            <w:pPr>
              <w:spacing w:before="14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A7A96A4">
            <w:pPr>
              <w:pStyle w:val="20"/>
              <w:rPr>
                <w:rFonts w:hint="eastAsia" w:ascii="宋体" w:hAnsi="宋体" w:eastAsia="宋体" w:cs="宋体"/>
                <w:color w:val="auto"/>
                <w:highlight w:val="none"/>
              </w:rPr>
            </w:pPr>
          </w:p>
        </w:tc>
      </w:tr>
      <w:tr w14:paraId="3C44D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AE3583D">
            <w:pPr>
              <w:spacing w:before="131" w:line="327"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0D94965A">
            <w:pPr>
              <w:pStyle w:val="20"/>
              <w:spacing w:line="298" w:lineRule="auto"/>
              <w:rPr>
                <w:rFonts w:hint="eastAsia" w:ascii="宋体" w:hAnsi="宋体" w:eastAsia="宋体" w:cs="宋体"/>
                <w:color w:val="auto"/>
                <w:highlight w:val="none"/>
              </w:rPr>
            </w:pPr>
          </w:p>
          <w:p w14:paraId="107BA7A6">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9BE5B49">
            <w:pPr>
              <w:pStyle w:val="20"/>
              <w:spacing w:line="298" w:lineRule="auto"/>
              <w:rPr>
                <w:rFonts w:hint="eastAsia" w:ascii="宋体" w:hAnsi="宋体" w:eastAsia="宋体" w:cs="宋体"/>
                <w:color w:val="auto"/>
                <w:highlight w:val="none"/>
              </w:rPr>
            </w:pPr>
          </w:p>
          <w:p w14:paraId="5C719A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FC8E31C">
            <w:pPr>
              <w:pStyle w:val="20"/>
              <w:rPr>
                <w:rFonts w:hint="eastAsia" w:ascii="宋体" w:hAnsi="宋体" w:eastAsia="宋体" w:cs="宋体"/>
                <w:color w:val="auto"/>
                <w:highlight w:val="none"/>
              </w:rPr>
            </w:pPr>
          </w:p>
        </w:tc>
      </w:tr>
      <w:tr w14:paraId="532C0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1EE62D7">
            <w:pPr>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EBCA3B5">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E4A9485">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FFA8E9">
            <w:pPr>
              <w:pStyle w:val="20"/>
              <w:rPr>
                <w:rFonts w:hint="eastAsia" w:ascii="宋体" w:hAnsi="宋体" w:eastAsia="宋体" w:cs="宋体"/>
                <w:color w:val="auto"/>
                <w:highlight w:val="none"/>
              </w:rPr>
            </w:pPr>
          </w:p>
        </w:tc>
      </w:tr>
      <w:tr w14:paraId="2CEB3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320CB1">
            <w:pPr>
              <w:spacing w:before="130" w:line="327"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（一）施工高度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及以上的建筑幕墙安装工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6875389F">
            <w:pPr>
              <w:pStyle w:val="20"/>
              <w:spacing w:line="297" w:lineRule="auto"/>
              <w:rPr>
                <w:rFonts w:hint="eastAsia" w:ascii="宋体" w:hAnsi="宋体" w:eastAsia="宋体" w:cs="宋体"/>
                <w:color w:val="auto"/>
                <w:highlight w:val="none"/>
              </w:rPr>
            </w:pPr>
          </w:p>
          <w:p w14:paraId="6D662840">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AE4538">
            <w:pPr>
              <w:pStyle w:val="20"/>
              <w:spacing w:line="297" w:lineRule="auto"/>
              <w:rPr>
                <w:rFonts w:hint="eastAsia" w:ascii="宋体" w:hAnsi="宋体" w:eastAsia="宋体" w:cs="宋体"/>
                <w:color w:val="auto"/>
                <w:highlight w:val="none"/>
              </w:rPr>
            </w:pPr>
          </w:p>
          <w:p w14:paraId="42F57BE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D9A8755">
            <w:pPr>
              <w:pStyle w:val="20"/>
              <w:rPr>
                <w:rFonts w:hint="eastAsia" w:ascii="宋体" w:hAnsi="宋体" w:eastAsia="宋体" w:cs="宋体"/>
                <w:color w:val="auto"/>
                <w:highlight w:val="none"/>
              </w:rPr>
            </w:pPr>
          </w:p>
        </w:tc>
      </w:tr>
      <w:tr w14:paraId="6CB92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D73F987">
            <w:pPr>
              <w:spacing w:before="130"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36m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及以上的钢结构安装工程，或</w:t>
            </w:r>
          </w:p>
        </w:tc>
        <w:tc>
          <w:tcPr>
            <w:tcW w:w="1294" w:type="dxa"/>
            <w:vAlign w:val="top"/>
          </w:tcPr>
          <w:p w14:paraId="58CC489C">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6EC6D0">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0D5DCE7">
            <w:pPr>
              <w:pStyle w:val="20"/>
              <w:rPr>
                <w:rFonts w:hint="eastAsia" w:ascii="宋体" w:hAnsi="宋体" w:eastAsia="宋体" w:cs="宋体"/>
                <w:color w:val="auto"/>
                <w:highlight w:val="none"/>
              </w:rPr>
            </w:pPr>
          </w:p>
        </w:tc>
      </w:tr>
      <w:tr w14:paraId="48386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A2E1211">
            <w:pPr>
              <w:spacing w:before="131" w:line="221"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60m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及以上的网架和索膜结构安装工程。</w:t>
            </w:r>
          </w:p>
        </w:tc>
        <w:tc>
          <w:tcPr>
            <w:tcW w:w="1294" w:type="dxa"/>
            <w:vAlign w:val="top"/>
          </w:tcPr>
          <w:p w14:paraId="605F2EF6">
            <w:pPr>
              <w:pStyle w:val="20"/>
              <w:rPr>
                <w:rFonts w:hint="eastAsia" w:ascii="宋体" w:hAnsi="宋体" w:eastAsia="宋体" w:cs="宋体"/>
                <w:color w:val="auto"/>
                <w:highlight w:val="none"/>
              </w:rPr>
            </w:pPr>
          </w:p>
        </w:tc>
        <w:tc>
          <w:tcPr>
            <w:tcW w:w="1294" w:type="dxa"/>
            <w:vAlign w:val="top"/>
          </w:tcPr>
          <w:p w14:paraId="5D1675CC">
            <w:pPr>
              <w:pStyle w:val="20"/>
              <w:rPr>
                <w:rFonts w:hint="eastAsia" w:ascii="宋体" w:hAnsi="宋体" w:eastAsia="宋体" w:cs="宋体"/>
                <w:color w:val="auto"/>
                <w:highlight w:val="none"/>
              </w:rPr>
            </w:pPr>
          </w:p>
        </w:tc>
        <w:tc>
          <w:tcPr>
            <w:tcW w:w="2428" w:type="dxa"/>
            <w:vAlign w:val="top"/>
          </w:tcPr>
          <w:p w14:paraId="0D243CC5">
            <w:pPr>
              <w:pStyle w:val="20"/>
              <w:rPr>
                <w:rFonts w:hint="eastAsia" w:ascii="宋体" w:hAnsi="宋体" w:eastAsia="宋体" w:cs="宋体"/>
                <w:color w:val="auto"/>
                <w:highlight w:val="none"/>
              </w:rPr>
            </w:pPr>
          </w:p>
        </w:tc>
      </w:tr>
      <w:tr w14:paraId="76966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3A897C1">
            <w:pPr>
              <w:spacing w:before="127"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（三）开挖深度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16m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7"/>
                <w:sz w:val="24"/>
                <w:szCs w:val="24"/>
                <w:highlight w:val="none"/>
              </w:rPr>
              <w:t>及以上的人工挖孔桩工程。</w:t>
            </w:r>
          </w:p>
        </w:tc>
        <w:tc>
          <w:tcPr>
            <w:tcW w:w="1294" w:type="dxa"/>
            <w:vAlign w:val="top"/>
          </w:tcPr>
          <w:p w14:paraId="1DFBD65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A4710CA">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8555BA1">
            <w:pPr>
              <w:pStyle w:val="20"/>
              <w:rPr>
                <w:rFonts w:hint="eastAsia" w:ascii="宋体" w:hAnsi="宋体" w:eastAsia="宋体" w:cs="宋体"/>
                <w:color w:val="auto"/>
                <w:highlight w:val="none"/>
              </w:rPr>
            </w:pPr>
          </w:p>
        </w:tc>
      </w:tr>
      <w:tr w14:paraId="2B8E7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F49CBC9">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23AC72B5">
            <w:pPr>
              <w:spacing w:before="163"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BDB79A">
            <w:pPr>
              <w:spacing w:before="163"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25C0773">
            <w:pPr>
              <w:pStyle w:val="20"/>
              <w:rPr>
                <w:rFonts w:hint="eastAsia" w:ascii="宋体" w:hAnsi="宋体" w:eastAsia="宋体" w:cs="宋体"/>
                <w:color w:val="auto"/>
                <w:highlight w:val="none"/>
              </w:rPr>
            </w:pPr>
          </w:p>
        </w:tc>
      </w:tr>
      <w:tr w14:paraId="71E56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065D67">
            <w:pPr>
              <w:spacing w:before="130" w:line="327" w:lineRule="auto"/>
              <w:ind w:left="115" w:right="25" w:firstLine="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（五）重量</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1000kN及以上的大型结构整体顶升、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平移、转体等施工工艺。</w:t>
            </w:r>
          </w:p>
        </w:tc>
        <w:tc>
          <w:tcPr>
            <w:tcW w:w="1294" w:type="dxa"/>
            <w:vAlign w:val="top"/>
          </w:tcPr>
          <w:p w14:paraId="2C9AAB19">
            <w:pPr>
              <w:pStyle w:val="20"/>
              <w:spacing w:line="296" w:lineRule="auto"/>
              <w:rPr>
                <w:rFonts w:hint="eastAsia" w:ascii="宋体" w:hAnsi="宋体" w:eastAsia="宋体" w:cs="宋体"/>
                <w:color w:val="auto"/>
                <w:highlight w:val="none"/>
              </w:rPr>
            </w:pPr>
          </w:p>
          <w:p w14:paraId="4876A57F">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76200BC">
            <w:pPr>
              <w:pStyle w:val="20"/>
              <w:spacing w:line="296" w:lineRule="auto"/>
              <w:rPr>
                <w:rFonts w:hint="eastAsia" w:ascii="宋体" w:hAnsi="宋体" w:eastAsia="宋体" w:cs="宋体"/>
                <w:color w:val="auto"/>
                <w:highlight w:val="none"/>
              </w:rPr>
            </w:pPr>
          </w:p>
          <w:p w14:paraId="7AB7C83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E4D7469">
            <w:pPr>
              <w:pStyle w:val="20"/>
              <w:rPr>
                <w:rFonts w:hint="eastAsia" w:ascii="宋体" w:hAnsi="宋体" w:eastAsia="宋体" w:cs="宋体"/>
                <w:color w:val="auto"/>
                <w:highlight w:val="none"/>
              </w:rPr>
            </w:pPr>
          </w:p>
        </w:tc>
      </w:tr>
      <w:tr w14:paraId="6ACD1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2AABE9E">
            <w:pPr>
              <w:spacing w:before="129" w:line="346"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2B72A05D">
            <w:pPr>
              <w:pStyle w:val="20"/>
              <w:spacing w:line="272" w:lineRule="auto"/>
              <w:rPr>
                <w:rFonts w:hint="eastAsia" w:ascii="宋体" w:hAnsi="宋体" w:eastAsia="宋体" w:cs="宋体"/>
                <w:color w:val="auto"/>
                <w:highlight w:val="none"/>
              </w:rPr>
            </w:pPr>
          </w:p>
          <w:p w14:paraId="5116E607">
            <w:pPr>
              <w:pStyle w:val="20"/>
              <w:spacing w:line="272" w:lineRule="auto"/>
              <w:rPr>
                <w:rFonts w:hint="eastAsia" w:ascii="宋体" w:hAnsi="宋体" w:eastAsia="宋体" w:cs="宋体"/>
                <w:color w:val="auto"/>
                <w:highlight w:val="none"/>
              </w:rPr>
            </w:pPr>
          </w:p>
          <w:p w14:paraId="1D92D5C4">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13E1CBC">
            <w:pPr>
              <w:pStyle w:val="20"/>
              <w:spacing w:line="272" w:lineRule="auto"/>
              <w:rPr>
                <w:rFonts w:hint="eastAsia" w:ascii="宋体" w:hAnsi="宋体" w:eastAsia="宋体" w:cs="宋体"/>
                <w:color w:val="auto"/>
                <w:highlight w:val="none"/>
              </w:rPr>
            </w:pPr>
          </w:p>
          <w:p w14:paraId="6170A90B">
            <w:pPr>
              <w:pStyle w:val="20"/>
              <w:spacing w:line="272" w:lineRule="auto"/>
              <w:rPr>
                <w:rFonts w:hint="eastAsia" w:ascii="宋体" w:hAnsi="宋体" w:eastAsia="宋体" w:cs="宋体"/>
                <w:color w:val="auto"/>
                <w:highlight w:val="none"/>
              </w:rPr>
            </w:pPr>
          </w:p>
          <w:p w14:paraId="154F4BC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DE1D241">
            <w:pPr>
              <w:pStyle w:val="20"/>
              <w:rPr>
                <w:rFonts w:hint="eastAsia" w:ascii="宋体" w:hAnsi="宋体" w:eastAsia="宋体" w:cs="宋体"/>
                <w:color w:val="auto"/>
                <w:highlight w:val="none"/>
              </w:rPr>
            </w:pPr>
          </w:p>
        </w:tc>
      </w:tr>
    </w:tbl>
    <w:p w14:paraId="6E4A0502">
      <w:pPr>
        <w:pStyle w:val="5"/>
        <w:spacing w:line="288" w:lineRule="auto"/>
        <w:rPr>
          <w:rFonts w:hint="eastAsia" w:ascii="宋体" w:hAnsi="宋体" w:eastAsia="宋体" w:cs="宋体"/>
          <w:color w:val="auto"/>
          <w:highlight w:val="none"/>
        </w:rPr>
      </w:pPr>
    </w:p>
    <w:p w14:paraId="75FD8B74">
      <w:pPr>
        <w:pStyle w:val="5"/>
        <w:spacing w:line="288" w:lineRule="auto"/>
        <w:rPr>
          <w:rFonts w:hint="eastAsia" w:ascii="宋体" w:hAnsi="宋体" w:eastAsia="宋体" w:cs="宋体"/>
          <w:color w:val="auto"/>
          <w:highlight w:val="none"/>
        </w:rPr>
      </w:pPr>
    </w:p>
    <w:p w14:paraId="3445358B">
      <w:pPr>
        <w:spacing w:before="21" w:line="376" w:lineRule="exact"/>
        <w:ind w:firstLine="520"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21F57ACA">
      <w:pPr>
        <w:spacing w:before="21" w:line="376" w:lineRule="exact"/>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7A1DC17D">
      <w:pPr>
        <w:spacing w:before="28" w:line="228" w:lineRule="auto"/>
        <w:ind w:left="553" w:leftChars="244" w:hanging="41" w:hangingChars="16"/>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07D02C66">
      <w:pPr>
        <w:rPr>
          <w:color w:val="auto"/>
          <w:highlight w:val="none"/>
        </w:rPr>
      </w:pPr>
    </w:p>
    <w:p w14:paraId="086DFF7E">
      <w:pPr>
        <w:pStyle w:val="13"/>
        <w:rPr>
          <w:rFonts w:hint="eastAsia" w:ascii="宋体" w:hAnsi="宋体" w:eastAsia="宋体" w:cs="宋体"/>
          <w:b/>
          <w:bCs/>
          <w:color w:val="auto"/>
          <w:spacing w:val="-4"/>
          <w:sz w:val="24"/>
          <w:szCs w:val="24"/>
          <w:highlight w:val="none"/>
        </w:rPr>
      </w:pPr>
    </w:p>
    <w:p w14:paraId="4D9F0099">
      <w:pPr>
        <w:pStyle w:val="13"/>
        <w:rPr>
          <w:rFonts w:hint="eastAsia" w:ascii="宋体" w:hAnsi="宋体" w:eastAsia="宋体" w:cs="宋体"/>
          <w:b/>
          <w:bCs/>
          <w:color w:val="auto"/>
          <w:spacing w:val="-4"/>
          <w:sz w:val="24"/>
          <w:szCs w:val="24"/>
          <w:highlight w:val="none"/>
        </w:rPr>
      </w:pPr>
    </w:p>
    <w:p w14:paraId="1872DDAC">
      <w:pPr>
        <w:pStyle w:val="13"/>
        <w:rPr>
          <w:rFonts w:hint="eastAsia" w:ascii="宋体" w:hAnsi="宋体" w:eastAsia="宋体" w:cs="宋体"/>
          <w:b/>
          <w:bCs/>
          <w:color w:val="auto"/>
          <w:spacing w:val="-4"/>
          <w:sz w:val="24"/>
          <w:szCs w:val="24"/>
          <w:highlight w:val="none"/>
        </w:rPr>
      </w:pPr>
    </w:p>
    <w:p w14:paraId="102A38AF">
      <w:pPr>
        <w:pStyle w:val="13"/>
        <w:rPr>
          <w:rFonts w:hint="eastAsia" w:ascii="宋体" w:hAnsi="宋体" w:eastAsia="宋体" w:cs="宋体"/>
          <w:b/>
          <w:bCs/>
          <w:color w:val="auto"/>
          <w:spacing w:val="-4"/>
          <w:sz w:val="24"/>
          <w:szCs w:val="24"/>
          <w:highlight w:val="none"/>
        </w:rPr>
      </w:pPr>
    </w:p>
    <w:p w14:paraId="2E1BA95E">
      <w:pPr>
        <w:pStyle w:val="13"/>
        <w:rPr>
          <w:rFonts w:hint="eastAsia" w:ascii="宋体" w:hAnsi="宋体" w:eastAsia="宋体" w:cs="宋体"/>
          <w:b/>
          <w:bCs/>
          <w:color w:val="auto"/>
          <w:spacing w:val="-4"/>
          <w:sz w:val="24"/>
          <w:szCs w:val="24"/>
          <w:highlight w:val="none"/>
        </w:rPr>
      </w:pPr>
    </w:p>
    <w:p w14:paraId="738EC21D">
      <w:pPr>
        <w:pStyle w:val="13"/>
        <w:ind w:left="0" w:leftChars="0" w:firstLine="0" w:firstLineChars="0"/>
        <w:rPr>
          <w:rFonts w:hint="eastAsia" w:ascii="宋体" w:hAnsi="宋体" w:eastAsia="宋体" w:cs="宋体"/>
          <w:b/>
          <w:bCs/>
          <w:color w:val="auto"/>
          <w:spacing w:val="-4"/>
          <w:sz w:val="24"/>
          <w:szCs w:val="24"/>
          <w:highlight w:val="none"/>
        </w:rPr>
      </w:pPr>
    </w:p>
    <w:p w14:paraId="5A49A582">
      <w:pPr>
        <w:spacing w:before="78" w:line="220" w:lineRule="auto"/>
        <w:jc w:val="left"/>
        <w:outlineLvl w:val="9"/>
        <w:rPr>
          <w:rFonts w:hint="eastAsia" w:ascii="宋体" w:hAnsi="宋体" w:eastAsia="宋体" w:cs="宋体"/>
          <w:b/>
          <w:bCs/>
          <w:color w:val="auto"/>
          <w:spacing w:val="-4"/>
          <w:sz w:val="24"/>
          <w:szCs w:val="24"/>
          <w:highlight w:val="none"/>
        </w:rPr>
      </w:pPr>
    </w:p>
    <w:p w14:paraId="6BEB6D14">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246AA64C">
      <w:pPr>
        <w:spacing w:before="78" w:line="220" w:lineRule="auto"/>
        <w:jc w:val="both"/>
        <w:outlineLvl w:val="2"/>
        <w:rPr>
          <w:rFonts w:hint="default" w:ascii="宋体" w:hAnsi="宋体" w:eastAsia="宋体" w:cs="宋体"/>
          <w:b/>
          <w:bCs/>
          <w:color w:val="auto"/>
          <w:spacing w:val="-4"/>
          <w:sz w:val="24"/>
          <w:szCs w:val="24"/>
          <w:highlight w:val="none"/>
          <w:lang w:val="en-US" w:eastAsia="zh-CN"/>
        </w:rPr>
      </w:pPr>
      <w:bookmarkStart w:id="261" w:name="_Toc2618"/>
      <w:r>
        <w:rPr>
          <w:rFonts w:hint="eastAsia" w:ascii="宋体" w:hAnsi="宋体" w:eastAsia="宋体" w:cs="宋体"/>
          <w:b/>
          <w:bCs/>
          <w:color w:val="auto"/>
          <w:spacing w:val="-4"/>
          <w:sz w:val="24"/>
          <w:szCs w:val="24"/>
          <w:highlight w:val="none"/>
        </w:rPr>
        <w:t>格式十四</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position w:val="3"/>
          <w:sz w:val="21"/>
          <w:szCs w:val="21"/>
          <w:highlight w:val="none"/>
        </w:rPr>
        <w:t>投标保证金信用承诺函</w:t>
      </w:r>
      <w:bookmarkEnd w:id="261"/>
    </w:p>
    <w:p w14:paraId="4FA8B08B">
      <w:pPr>
        <w:spacing w:before="140" w:line="604" w:lineRule="exact"/>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position w:val="3"/>
          <w:sz w:val="28"/>
          <w:szCs w:val="28"/>
          <w:highlight w:val="none"/>
        </w:rPr>
        <w:t>投标保证金信用承诺函</w:t>
      </w:r>
    </w:p>
    <w:p w14:paraId="551571E0">
      <w:pPr>
        <w:pStyle w:val="5"/>
        <w:spacing w:line="408" w:lineRule="auto"/>
        <w:rPr>
          <w:rFonts w:hint="eastAsia" w:ascii="宋体" w:hAnsi="宋体" w:eastAsia="宋体" w:cs="宋体"/>
          <w:color w:val="auto"/>
          <w:highlight w:val="none"/>
        </w:rPr>
      </w:pPr>
    </w:p>
    <w:p w14:paraId="234CE695">
      <w:pPr>
        <w:spacing w:before="101" w:line="257" w:lineRule="auto"/>
        <w:ind w:left="3" w:firstLine="96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一、</w:t>
      </w:r>
      <w:r>
        <w:rPr>
          <w:rFonts w:hint="eastAsia" w:ascii="宋体" w:hAnsi="宋体" w:eastAsia="宋体" w:cs="宋体"/>
          <w:color w:val="auto"/>
          <w:spacing w:val="7"/>
          <w:sz w:val="24"/>
          <w:szCs w:val="24"/>
          <w:highlight w:val="none"/>
        </w:rPr>
        <w:t>我单位参加</w:t>
      </w:r>
      <w:r>
        <w:rPr>
          <w:rFonts w:hint="eastAsia" w:ascii="宋体" w:hAnsi="宋体" w:eastAsia="宋体" w:cs="宋体"/>
          <w:color w:val="auto"/>
          <w:spacing w:val="7"/>
          <w:sz w:val="24"/>
          <w:szCs w:val="24"/>
          <w:highlight w:val="none"/>
          <w:u w:val="single"/>
        </w:rPr>
        <w:t xml:space="preserve">  （工程项目名称）  </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7"/>
          <w:sz w:val="24"/>
          <w:szCs w:val="24"/>
          <w:highlight w:val="none"/>
        </w:rPr>
        <w:t>的投标活动，</w:t>
      </w:r>
      <w:r>
        <w:rPr>
          <w:rFonts w:hint="eastAsia" w:ascii="宋体" w:hAnsi="宋体" w:eastAsia="宋体" w:cs="宋体"/>
          <w:color w:val="auto"/>
          <w:spacing w:val="6"/>
          <w:sz w:val="24"/>
          <w:szCs w:val="24"/>
          <w:highlight w:val="none"/>
        </w:rPr>
        <w:t>现承</w:t>
      </w:r>
      <w:r>
        <w:rPr>
          <w:rFonts w:hint="eastAsia" w:ascii="宋体" w:hAnsi="宋体" w:eastAsia="宋体" w:cs="宋体"/>
          <w:color w:val="auto"/>
          <w:spacing w:val="9"/>
          <w:sz w:val="24"/>
          <w:szCs w:val="24"/>
          <w:highlight w:val="none"/>
        </w:rPr>
        <w:t>诺：将严格按照法律法规规定参与交易活动，按照招标文件要求</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依法履行投标人义务；我方若出现违反《中华人民共和国招标投</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标法》、《中华人民共和国招标投标法实施条例》、《电子招标</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投标办法》等有关法律法规的行为，将于投标有效期内全额付清</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7"/>
          <w:sz w:val="24"/>
          <w:szCs w:val="24"/>
          <w:highlight w:val="none"/>
        </w:rPr>
        <w:t>招标文件规定的投标保证金</w:t>
      </w:r>
      <w:r>
        <w:rPr>
          <w:rFonts w:hint="eastAsia" w:ascii="宋体" w:hAnsi="宋体" w:eastAsia="宋体" w:cs="宋体"/>
          <w:color w:val="auto"/>
          <w:spacing w:val="-153"/>
          <w:sz w:val="24"/>
          <w:szCs w:val="24"/>
          <w:highlight w:val="none"/>
        </w:rPr>
        <w:t xml:space="preserve"> </w:t>
      </w:r>
      <w:r>
        <w:rPr>
          <w:rFonts w:hint="eastAsia"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138"/>
          <w:sz w:val="24"/>
          <w:szCs w:val="24"/>
          <w:highlight w:val="none"/>
        </w:rPr>
        <w:t xml:space="preserve"> </w:t>
      </w:r>
      <w:r>
        <w:rPr>
          <w:rFonts w:hint="eastAsia" w:ascii="宋体" w:hAnsi="宋体" w:eastAsia="宋体" w:cs="宋体"/>
          <w:color w:val="auto"/>
          <w:spacing w:val="7"/>
          <w:sz w:val="24"/>
          <w:szCs w:val="24"/>
          <w:highlight w:val="none"/>
        </w:rPr>
        <w:t>元。</w:t>
      </w:r>
    </w:p>
    <w:p w14:paraId="67174F63">
      <w:pPr>
        <w:spacing w:before="48" w:line="252" w:lineRule="auto"/>
        <w:ind w:left="1" w:firstLine="64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台公布的信用等级为</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5"/>
          <w:sz w:val="24"/>
          <w:szCs w:val="24"/>
          <w:highlight w:val="none"/>
        </w:rPr>
        <w:t>B</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级、C</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级、D</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级的企业。</w:t>
      </w:r>
    </w:p>
    <w:p w14:paraId="3EE8C656">
      <w:pPr>
        <w:spacing w:before="52" w:line="247" w:lineRule="auto"/>
        <w:ind w:left="6" w:right="2" w:firstLine="63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本企业对以上承诺和声明负责。如有虚假，愿接受行政主管</w:t>
      </w:r>
      <w:r>
        <w:rPr>
          <w:rFonts w:hint="eastAsia" w:ascii="宋体" w:hAnsi="宋体" w:eastAsia="宋体" w:cs="宋体"/>
          <w:color w:val="auto"/>
          <w:spacing w:val="8"/>
          <w:sz w:val="24"/>
          <w:szCs w:val="24"/>
          <w:highlight w:val="none"/>
        </w:rPr>
        <w:t>部门作出的处罚，并承担以下后果：</w:t>
      </w:r>
    </w:p>
    <w:p w14:paraId="3B20EF63">
      <w:pPr>
        <w:spacing w:before="48"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（一）取消本单位在本项目中的投标资格或中标资格；</w:t>
      </w:r>
    </w:p>
    <w:p w14:paraId="01EB796C">
      <w:pPr>
        <w:spacing w:before="64"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（二）将本单位不良行为纳入信用信息管理系统；</w:t>
      </w:r>
    </w:p>
    <w:p w14:paraId="170D400C">
      <w:pPr>
        <w:spacing w:before="60" w:line="244" w:lineRule="auto"/>
        <w:ind w:left="41" w:right="2" w:firstLine="6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（三）主动在产生不良行为所在的各县（市、区）行</w:t>
      </w:r>
      <w:r>
        <w:rPr>
          <w:rFonts w:hint="eastAsia" w:ascii="宋体" w:hAnsi="宋体" w:eastAsia="宋体" w:cs="宋体"/>
          <w:color w:val="auto"/>
          <w:spacing w:val="8"/>
          <w:sz w:val="24"/>
          <w:szCs w:val="24"/>
          <w:highlight w:val="none"/>
        </w:rPr>
        <w:t>政区域</w:t>
      </w:r>
      <w:r>
        <w:rPr>
          <w:rFonts w:hint="eastAsia" w:ascii="宋体" w:hAnsi="宋体" w:eastAsia="宋体" w:cs="宋体"/>
          <w:color w:val="auto"/>
          <w:spacing w:val="6"/>
          <w:sz w:val="24"/>
          <w:szCs w:val="24"/>
          <w:highlight w:val="none"/>
        </w:rPr>
        <w:t>内不参加房建市政工程项目的投标活动一年；</w:t>
      </w:r>
    </w:p>
    <w:p w14:paraId="095339FF">
      <w:pPr>
        <w:spacing w:before="63"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（四）应付的赔偿责任和相应法律责任。</w:t>
      </w:r>
    </w:p>
    <w:p w14:paraId="324F4DDC">
      <w:pPr>
        <w:pStyle w:val="5"/>
        <w:spacing w:line="329" w:lineRule="auto"/>
        <w:rPr>
          <w:rFonts w:hint="eastAsia" w:ascii="宋体" w:hAnsi="宋体" w:eastAsia="宋体" w:cs="宋体"/>
          <w:color w:val="auto"/>
          <w:sz w:val="24"/>
          <w:szCs w:val="24"/>
          <w:highlight w:val="none"/>
        </w:rPr>
      </w:pPr>
    </w:p>
    <w:p w14:paraId="3A9404A8">
      <w:pPr>
        <w:spacing w:before="102" w:line="225" w:lineRule="auto"/>
        <w:ind w:left="8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单位名称（公章</w:t>
      </w:r>
      <w:r>
        <w:rPr>
          <w:rFonts w:hint="eastAsia" w:ascii="宋体" w:hAnsi="宋体" w:eastAsia="宋体" w:cs="宋体"/>
          <w:color w:val="auto"/>
          <w:spacing w:val="1"/>
          <w:sz w:val="24"/>
          <w:szCs w:val="24"/>
          <w:highlight w:val="none"/>
        </w:rPr>
        <w:t>）：</w:t>
      </w:r>
    </w:p>
    <w:p w14:paraId="68F0A46E">
      <w:pPr>
        <w:pStyle w:val="5"/>
        <w:spacing w:line="457" w:lineRule="auto"/>
        <w:rPr>
          <w:rFonts w:hint="eastAsia" w:ascii="宋体" w:hAnsi="宋体" w:eastAsia="宋体" w:cs="宋体"/>
          <w:color w:val="auto"/>
          <w:sz w:val="24"/>
          <w:szCs w:val="24"/>
          <w:highlight w:val="none"/>
        </w:rPr>
      </w:pPr>
    </w:p>
    <w:p w14:paraId="1043625C">
      <w:pPr>
        <w:spacing w:before="100" w:line="225" w:lineRule="auto"/>
        <w:ind w:left="85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统一社会信用代码：</w:t>
      </w:r>
    </w:p>
    <w:p w14:paraId="2556479A">
      <w:pPr>
        <w:pStyle w:val="5"/>
        <w:spacing w:line="457" w:lineRule="auto"/>
        <w:rPr>
          <w:rFonts w:hint="eastAsia" w:ascii="宋体" w:hAnsi="宋体" w:eastAsia="宋体" w:cs="宋体"/>
          <w:color w:val="auto"/>
          <w:sz w:val="24"/>
          <w:szCs w:val="24"/>
          <w:highlight w:val="none"/>
        </w:rPr>
      </w:pPr>
    </w:p>
    <w:p w14:paraId="28E89218">
      <w:pPr>
        <w:spacing w:before="102" w:line="543" w:lineRule="auto"/>
        <w:ind w:left="844" w:right="5000"/>
        <w:rPr>
          <w:rFonts w:hint="eastAsia" w:ascii="宋体" w:hAnsi="宋体" w:eastAsia="宋体" w:cs="宋体"/>
          <w:color w:val="auto"/>
          <w:spacing w:val="-29"/>
          <w:sz w:val="24"/>
          <w:szCs w:val="24"/>
          <w:highlight w:val="none"/>
        </w:rPr>
      </w:pPr>
      <w:r>
        <w:rPr>
          <w:rFonts w:hint="eastAsia" w:ascii="宋体" w:hAnsi="宋体" w:eastAsia="宋体" w:cs="宋体"/>
          <w:color w:val="auto"/>
          <w:spacing w:val="8"/>
          <w:sz w:val="24"/>
          <w:szCs w:val="24"/>
          <w:highlight w:val="none"/>
        </w:rPr>
        <w:t>法定代表人（签字</w:t>
      </w:r>
      <w:r>
        <w:rPr>
          <w:rFonts w:hint="eastAsia" w:ascii="宋体" w:hAnsi="宋体" w:eastAsia="宋体" w:cs="宋体"/>
          <w:color w:val="auto"/>
          <w:spacing w:val="-29"/>
          <w:sz w:val="24"/>
          <w:szCs w:val="24"/>
          <w:highlight w:val="none"/>
        </w:rPr>
        <w:t>）：</w:t>
      </w:r>
    </w:p>
    <w:p w14:paraId="33A3CBAF">
      <w:pPr>
        <w:spacing w:before="102" w:line="543" w:lineRule="auto"/>
        <w:ind w:left="844" w:right="5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年</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6"/>
          <w:sz w:val="24"/>
          <w:szCs w:val="24"/>
          <w:highlight w:val="none"/>
        </w:rPr>
        <w:t>月</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39"/>
          <w:sz w:val="24"/>
          <w:szCs w:val="24"/>
          <w:highlight w:val="none"/>
          <w:lang w:val="en-US" w:eastAsia="zh-CN"/>
        </w:rPr>
        <w:t xml:space="preserve">  </w:t>
      </w:r>
      <w:r>
        <w:rPr>
          <w:rFonts w:hint="eastAsia" w:ascii="宋体" w:hAnsi="宋体" w:eastAsia="宋体" w:cs="宋体"/>
          <w:color w:val="auto"/>
          <w:spacing w:val="-6"/>
          <w:sz w:val="24"/>
          <w:szCs w:val="24"/>
          <w:highlight w:val="none"/>
        </w:rPr>
        <w:t>日</w:t>
      </w:r>
    </w:p>
    <w:p w14:paraId="2B287F98">
      <w:pPr>
        <w:pStyle w:val="13"/>
        <w:rPr>
          <w:rFonts w:hint="eastAsia" w:ascii="宋体" w:hAnsi="宋体" w:eastAsia="宋体" w:cs="宋体"/>
          <w:color w:val="auto"/>
          <w:highlight w:val="none"/>
        </w:rPr>
      </w:pPr>
    </w:p>
    <w:p w14:paraId="3CFA9197">
      <w:pPr>
        <w:pStyle w:val="13"/>
        <w:rPr>
          <w:rFonts w:hint="eastAsia" w:ascii="宋体" w:hAnsi="宋体" w:eastAsia="宋体" w:cs="宋体"/>
          <w:color w:val="auto"/>
          <w:spacing w:val="8"/>
          <w:sz w:val="24"/>
          <w:szCs w:val="24"/>
          <w:highlight w:val="none"/>
          <w:lang w:eastAsia="zh-CN"/>
        </w:rPr>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906ADF0">
      <w:pPr>
        <w:spacing w:before="78" w:line="220" w:lineRule="auto"/>
        <w:outlineLvl w:val="2"/>
        <w:rPr>
          <w:rFonts w:hint="eastAsia" w:ascii="宋体" w:hAnsi="宋体" w:eastAsia="宋体" w:cs="宋体"/>
          <w:b/>
          <w:bCs/>
          <w:color w:val="auto"/>
          <w:spacing w:val="-4"/>
          <w:sz w:val="24"/>
          <w:szCs w:val="24"/>
          <w:highlight w:val="none"/>
        </w:rPr>
      </w:pPr>
      <w:bookmarkStart w:id="262" w:name="_Toc22936"/>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五</w:t>
      </w:r>
      <w:r>
        <w:rPr>
          <w:rFonts w:hint="eastAsia" w:ascii="宋体" w:hAnsi="宋体" w:eastAsia="宋体" w:cs="宋体"/>
          <w:b/>
          <w:bCs/>
          <w:color w:val="auto"/>
          <w:spacing w:val="-4"/>
          <w:sz w:val="24"/>
          <w:szCs w:val="24"/>
          <w:highlight w:val="none"/>
        </w:rPr>
        <w:t xml:space="preserve">  原件一览表</w:t>
      </w:r>
      <w:bookmarkEnd w:id="262"/>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1804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4FB1F09">
            <w:pPr>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2057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59447AA3">
            <w:pPr>
              <w:pStyle w:val="20"/>
              <w:spacing w:line="253" w:lineRule="auto"/>
              <w:rPr>
                <w:rFonts w:hint="eastAsia" w:ascii="宋体" w:hAnsi="宋体" w:eastAsia="宋体" w:cs="宋体"/>
                <w:color w:val="auto"/>
                <w:sz w:val="24"/>
                <w:szCs w:val="24"/>
                <w:highlight w:val="none"/>
              </w:rPr>
            </w:pPr>
          </w:p>
          <w:p w14:paraId="0CEAB9EA">
            <w:pPr>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14:paraId="3FF8FF0B">
            <w:pPr>
              <w:pStyle w:val="20"/>
              <w:rPr>
                <w:rFonts w:hint="eastAsia" w:ascii="宋体" w:hAnsi="宋体" w:eastAsia="宋体" w:cs="宋体"/>
                <w:color w:val="auto"/>
                <w:sz w:val="24"/>
                <w:szCs w:val="24"/>
                <w:highlight w:val="none"/>
              </w:rPr>
            </w:pPr>
          </w:p>
        </w:tc>
      </w:tr>
      <w:tr w14:paraId="5DC6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6176662">
            <w:pPr>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668497E6">
            <w:pPr>
              <w:pStyle w:val="20"/>
              <w:rPr>
                <w:rFonts w:hint="eastAsia" w:ascii="宋体" w:hAnsi="宋体" w:eastAsia="宋体" w:cs="宋体"/>
                <w:color w:val="auto"/>
                <w:sz w:val="24"/>
                <w:szCs w:val="24"/>
                <w:highlight w:val="none"/>
              </w:rPr>
            </w:pPr>
          </w:p>
        </w:tc>
      </w:tr>
      <w:tr w14:paraId="0FA6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FE90DC5">
            <w:pPr>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000B4605">
            <w:pPr>
              <w:pStyle w:val="20"/>
              <w:rPr>
                <w:rFonts w:hint="eastAsia" w:ascii="宋体" w:hAnsi="宋体" w:eastAsia="宋体" w:cs="宋体"/>
                <w:color w:val="auto"/>
                <w:sz w:val="24"/>
                <w:szCs w:val="24"/>
                <w:highlight w:val="none"/>
              </w:rPr>
            </w:pPr>
          </w:p>
        </w:tc>
        <w:tc>
          <w:tcPr>
            <w:tcW w:w="1499" w:type="dxa"/>
            <w:gridSpan w:val="2"/>
            <w:vAlign w:val="top"/>
          </w:tcPr>
          <w:p w14:paraId="3D60D1A8">
            <w:pPr>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7B412076">
            <w:pPr>
              <w:pStyle w:val="20"/>
              <w:rPr>
                <w:rFonts w:hint="eastAsia" w:ascii="宋体" w:hAnsi="宋体" w:eastAsia="宋体" w:cs="宋体"/>
                <w:color w:val="auto"/>
                <w:sz w:val="24"/>
                <w:szCs w:val="24"/>
                <w:highlight w:val="none"/>
              </w:rPr>
            </w:pPr>
          </w:p>
        </w:tc>
      </w:tr>
      <w:tr w14:paraId="17484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67918AA">
            <w:pPr>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1F0A6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1E26167">
            <w:pPr>
              <w:pStyle w:val="20"/>
              <w:spacing w:line="257" w:lineRule="auto"/>
              <w:rPr>
                <w:rFonts w:hint="eastAsia" w:ascii="宋体" w:hAnsi="宋体" w:eastAsia="宋体" w:cs="宋体"/>
                <w:color w:val="auto"/>
                <w:sz w:val="24"/>
                <w:szCs w:val="24"/>
                <w:highlight w:val="none"/>
              </w:rPr>
            </w:pPr>
          </w:p>
          <w:p w14:paraId="0EC21191">
            <w:pPr>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76A61080">
            <w:pPr>
              <w:pStyle w:val="20"/>
              <w:spacing w:line="257" w:lineRule="auto"/>
              <w:rPr>
                <w:rFonts w:hint="eastAsia" w:ascii="宋体" w:hAnsi="宋体" w:eastAsia="宋体" w:cs="宋体"/>
                <w:color w:val="auto"/>
                <w:sz w:val="24"/>
                <w:szCs w:val="24"/>
                <w:highlight w:val="none"/>
              </w:rPr>
            </w:pPr>
          </w:p>
          <w:p w14:paraId="1A81F5E2">
            <w:pPr>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0177F328">
            <w:pPr>
              <w:pStyle w:val="20"/>
              <w:spacing w:line="256" w:lineRule="auto"/>
              <w:rPr>
                <w:rFonts w:hint="eastAsia" w:ascii="宋体" w:hAnsi="宋体" w:eastAsia="宋体" w:cs="宋体"/>
                <w:color w:val="auto"/>
                <w:sz w:val="24"/>
                <w:szCs w:val="24"/>
                <w:highlight w:val="none"/>
              </w:rPr>
            </w:pPr>
          </w:p>
          <w:p w14:paraId="456665A1">
            <w:pPr>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41F7CEAC">
            <w:pPr>
              <w:pStyle w:val="20"/>
              <w:spacing w:line="256" w:lineRule="auto"/>
              <w:rPr>
                <w:rFonts w:hint="eastAsia" w:ascii="宋体" w:hAnsi="宋体" w:eastAsia="宋体" w:cs="宋体"/>
                <w:color w:val="auto"/>
                <w:sz w:val="24"/>
                <w:szCs w:val="24"/>
                <w:highlight w:val="none"/>
              </w:rPr>
            </w:pPr>
          </w:p>
          <w:p w14:paraId="09C47EB1">
            <w:pPr>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65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FF8B91C">
            <w:pPr>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28B25A0D">
            <w:pPr>
              <w:pStyle w:val="20"/>
              <w:rPr>
                <w:rFonts w:hint="eastAsia" w:ascii="宋体" w:hAnsi="宋体" w:eastAsia="宋体" w:cs="宋体"/>
                <w:color w:val="auto"/>
                <w:sz w:val="24"/>
                <w:szCs w:val="24"/>
                <w:highlight w:val="none"/>
              </w:rPr>
            </w:pPr>
          </w:p>
        </w:tc>
        <w:tc>
          <w:tcPr>
            <w:tcW w:w="1771" w:type="dxa"/>
            <w:gridSpan w:val="2"/>
            <w:vAlign w:val="top"/>
          </w:tcPr>
          <w:p w14:paraId="4F42E60F">
            <w:pPr>
              <w:pStyle w:val="20"/>
              <w:rPr>
                <w:rFonts w:hint="eastAsia" w:ascii="宋体" w:hAnsi="宋体" w:eastAsia="宋体" w:cs="宋体"/>
                <w:color w:val="auto"/>
                <w:sz w:val="24"/>
                <w:szCs w:val="24"/>
                <w:highlight w:val="none"/>
              </w:rPr>
            </w:pPr>
          </w:p>
        </w:tc>
        <w:tc>
          <w:tcPr>
            <w:tcW w:w="1637" w:type="dxa"/>
            <w:vAlign w:val="top"/>
          </w:tcPr>
          <w:p w14:paraId="3C09D08F">
            <w:pPr>
              <w:pStyle w:val="20"/>
              <w:rPr>
                <w:rFonts w:hint="eastAsia" w:ascii="宋体" w:hAnsi="宋体" w:eastAsia="宋体" w:cs="宋体"/>
                <w:color w:val="auto"/>
                <w:sz w:val="24"/>
                <w:szCs w:val="24"/>
                <w:highlight w:val="none"/>
              </w:rPr>
            </w:pPr>
          </w:p>
        </w:tc>
      </w:tr>
      <w:tr w14:paraId="12E3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FF1CC">
            <w:pPr>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0D3F050A">
            <w:pPr>
              <w:pStyle w:val="20"/>
              <w:rPr>
                <w:rFonts w:hint="eastAsia" w:ascii="宋体" w:hAnsi="宋体" w:eastAsia="宋体" w:cs="宋体"/>
                <w:color w:val="auto"/>
                <w:sz w:val="24"/>
                <w:szCs w:val="24"/>
                <w:highlight w:val="none"/>
              </w:rPr>
            </w:pPr>
          </w:p>
        </w:tc>
        <w:tc>
          <w:tcPr>
            <w:tcW w:w="1771" w:type="dxa"/>
            <w:gridSpan w:val="2"/>
            <w:vAlign w:val="top"/>
          </w:tcPr>
          <w:p w14:paraId="745FD79F">
            <w:pPr>
              <w:pStyle w:val="20"/>
              <w:rPr>
                <w:rFonts w:hint="eastAsia" w:ascii="宋体" w:hAnsi="宋体" w:eastAsia="宋体" w:cs="宋体"/>
                <w:color w:val="auto"/>
                <w:sz w:val="24"/>
                <w:szCs w:val="24"/>
                <w:highlight w:val="none"/>
              </w:rPr>
            </w:pPr>
          </w:p>
        </w:tc>
        <w:tc>
          <w:tcPr>
            <w:tcW w:w="1637" w:type="dxa"/>
            <w:vAlign w:val="top"/>
          </w:tcPr>
          <w:p w14:paraId="2EFE754E">
            <w:pPr>
              <w:pStyle w:val="20"/>
              <w:rPr>
                <w:rFonts w:hint="eastAsia" w:ascii="宋体" w:hAnsi="宋体" w:eastAsia="宋体" w:cs="宋体"/>
                <w:color w:val="auto"/>
                <w:sz w:val="24"/>
                <w:szCs w:val="24"/>
                <w:highlight w:val="none"/>
              </w:rPr>
            </w:pPr>
          </w:p>
        </w:tc>
      </w:tr>
      <w:tr w14:paraId="5A6E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DF57AC7">
            <w:pPr>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54C3FBF3">
            <w:pPr>
              <w:pStyle w:val="20"/>
              <w:rPr>
                <w:rFonts w:hint="eastAsia" w:ascii="宋体" w:hAnsi="宋体" w:eastAsia="宋体" w:cs="宋体"/>
                <w:color w:val="auto"/>
                <w:sz w:val="24"/>
                <w:szCs w:val="24"/>
                <w:highlight w:val="none"/>
              </w:rPr>
            </w:pPr>
          </w:p>
        </w:tc>
        <w:tc>
          <w:tcPr>
            <w:tcW w:w="1771" w:type="dxa"/>
            <w:gridSpan w:val="2"/>
            <w:vAlign w:val="top"/>
          </w:tcPr>
          <w:p w14:paraId="40E0E057">
            <w:pPr>
              <w:pStyle w:val="20"/>
              <w:rPr>
                <w:rFonts w:hint="eastAsia" w:ascii="宋体" w:hAnsi="宋体" w:eastAsia="宋体" w:cs="宋体"/>
                <w:color w:val="auto"/>
                <w:sz w:val="24"/>
                <w:szCs w:val="24"/>
                <w:highlight w:val="none"/>
              </w:rPr>
            </w:pPr>
          </w:p>
        </w:tc>
        <w:tc>
          <w:tcPr>
            <w:tcW w:w="1637" w:type="dxa"/>
            <w:vAlign w:val="top"/>
          </w:tcPr>
          <w:p w14:paraId="28B42581">
            <w:pPr>
              <w:pStyle w:val="20"/>
              <w:rPr>
                <w:rFonts w:hint="eastAsia" w:ascii="宋体" w:hAnsi="宋体" w:eastAsia="宋体" w:cs="宋体"/>
                <w:color w:val="auto"/>
                <w:sz w:val="24"/>
                <w:szCs w:val="24"/>
                <w:highlight w:val="none"/>
              </w:rPr>
            </w:pPr>
          </w:p>
        </w:tc>
      </w:tr>
      <w:tr w14:paraId="582B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C0A2F9F">
            <w:pPr>
              <w:pStyle w:val="20"/>
              <w:spacing w:line="348" w:lineRule="auto"/>
              <w:rPr>
                <w:rFonts w:hint="eastAsia" w:ascii="宋体" w:hAnsi="宋体" w:eastAsia="宋体" w:cs="宋体"/>
                <w:color w:val="auto"/>
                <w:sz w:val="24"/>
                <w:szCs w:val="24"/>
                <w:highlight w:val="none"/>
              </w:rPr>
            </w:pPr>
          </w:p>
          <w:p w14:paraId="4F527954">
            <w:pPr>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47EB6644">
            <w:pPr>
              <w:pStyle w:val="20"/>
              <w:rPr>
                <w:rFonts w:hint="eastAsia" w:ascii="宋体" w:hAnsi="宋体" w:eastAsia="宋体" w:cs="宋体"/>
                <w:color w:val="auto"/>
                <w:sz w:val="24"/>
                <w:szCs w:val="24"/>
                <w:highlight w:val="none"/>
              </w:rPr>
            </w:pPr>
          </w:p>
        </w:tc>
        <w:tc>
          <w:tcPr>
            <w:tcW w:w="1771" w:type="dxa"/>
            <w:gridSpan w:val="2"/>
            <w:vAlign w:val="top"/>
          </w:tcPr>
          <w:p w14:paraId="6D54D719">
            <w:pPr>
              <w:pStyle w:val="20"/>
              <w:rPr>
                <w:rFonts w:hint="eastAsia" w:ascii="宋体" w:hAnsi="宋体" w:eastAsia="宋体" w:cs="宋体"/>
                <w:color w:val="auto"/>
                <w:sz w:val="24"/>
                <w:szCs w:val="24"/>
                <w:highlight w:val="none"/>
              </w:rPr>
            </w:pPr>
          </w:p>
        </w:tc>
        <w:tc>
          <w:tcPr>
            <w:tcW w:w="1637" w:type="dxa"/>
            <w:vAlign w:val="top"/>
          </w:tcPr>
          <w:p w14:paraId="75E6A05C">
            <w:pPr>
              <w:pStyle w:val="20"/>
              <w:rPr>
                <w:rFonts w:hint="eastAsia" w:ascii="宋体" w:hAnsi="宋体" w:eastAsia="宋体" w:cs="宋体"/>
                <w:color w:val="auto"/>
                <w:sz w:val="24"/>
                <w:szCs w:val="24"/>
                <w:highlight w:val="none"/>
              </w:rPr>
            </w:pPr>
          </w:p>
        </w:tc>
      </w:tr>
      <w:tr w14:paraId="3E543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6D36533C">
            <w:pPr>
              <w:pStyle w:val="20"/>
              <w:spacing w:line="274" w:lineRule="auto"/>
              <w:rPr>
                <w:rFonts w:hint="eastAsia" w:ascii="宋体" w:hAnsi="宋体" w:eastAsia="宋体" w:cs="宋体"/>
                <w:color w:val="auto"/>
                <w:sz w:val="24"/>
                <w:szCs w:val="24"/>
                <w:highlight w:val="none"/>
              </w:rPr>
            </w:pPr>
          </w:p>
          <w:p w14:paraId="198C1B4E">
            <w:pPr>
              <w:pStyle w:val="20"/>
              <w:spacing w:line="275" w:lineRule="auto"/>
              <w:rPr>
                <w:rFonts w:hint="eastAsia" w:ascii="宋体" w:hAnsi="宋体" w:eastAsia="宋体" w:cs="宋体"/>
                <w:color w:val="auto"/>
                <w:sz w:val="24"/>
                <w:szCs w:val="24"/>
                <w:highlight w:val="none"/>
              </w:rPr>
            </w:pPr>
          </w:p>
          <w:p w14:paraId="161C02DA">
            <w:pPr>
              <w:pStyle w:val="20"/>
              <w:spacing w:line="275" w:lineRule="auto"/>
              <w:rPr>
                <w:rFonts w:hint="eastAsia" w:ascii="宋体" w:hAnsi="宋体" w:eastAsia="宋体" w:cs="宋体"/>
                <w:color w:val="auto"/>
                <w:sz w:val="24"/>
                <w:szCs w:val="24"/>
                <w:highlight w:val="none"/>
              </w:rPr>
            </w:pPr>
          </w:p>
          <w:p w14:paraId="57AB557F">
            <w:pPr>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57B0800F">
            <w:pPr>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016E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0440D7A1">
            <w:pPr>
              <w:pStyle w:val="20"/>
              <w:spacing w:line="240" w:lineRule="auto"/>
              <w:rPr>
                <w:rFonts w:hint="eastAsia" w:ascii="宋体" w:hAnsi="宋体" w:eastAsia="宋体" w:cs="宋体"/>
                <w:color w:val="auto"/>
                <w:sz w:val="24"/>
                <w:szCs w:val="24"/>
                <w:highlight w:val="none"/>
              </w:rPr>
            </w:pPr>
          </w:p>
          <w:p w14:paraId="107CC9BB">
            <w:pPr>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6D1AB722">
            <w:pPr>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396C35BA">
            <w:pPr>
              <w:pStyle w:val="20"/>
              <w:rPr>
                <w:rFonts w:hint="eastAsia" w:ascii="宋体" w:hAnsi="宋体" w:eastAsia="宋体" w:cs="宋体"/>
                <w:color w:val="auto"/>
                <w:sz w:val="24"/>
                <w:szCs w:val="24"/>
                <w:highlight w:val="none"/>
              </w:rPr>
            </w:pPr>
          </w:p>
        </w:tc>
        <w:tc>
          <w:tcPr>
            <w:tcW w:w="1683" w:type="dxa"/>
            <w:gridSpan w:val="2"/>
            <w:vAlign w:val="top"/>
          </w:tcPr>
          <w:p w14:paraId="5328A3CB">
            <w:pPr>
              <w:pStyle w:val="20"/>
              <w:spacing w:line="288" w:lineRule="auto"/>
              <w:rPr>
                <w:rFonts w:hint="eastAsia" w:ascii="宋体" w:hAnsi="宋体" w:eastAsia="宋体" w:cs="宋体"/>
                <w:color w:val="auto"/>
                <w:sz w:val="24"/>
                <w:szCs w:val="24"/>
                <w:highlight w:val="none"/>
              </w:rPr>
            </w:pPr>
          </w:p>
          <w:p w14:paraId="0C2B5A86">
            <w:pPr>
              <w:pStyle w:val="20"/>
              <w:spacing w:line="289" w:lineRule="auto"/>
              <w:rPr>
                <w:rFonts w:hint="eastAsia" w:ascii="宋体" w:hAnsi="宋体" w:eastAsia="宋体" w:cs="宋体"/>
                <w:color w:val="auto"/>
                <w:sz w:val="24"/>
                <w:szCs w:val="24"/>
                <w:highlight w:val="none"/>
              </w:rPr>
            </w:pPr>
          </w:p>
          <w:p w14:paraId="06A559B5">
            <w:pPr>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655901F3">
            <w:pPr>
              <w:pStyle w:val="20"/>
              <w:spacing w:line="288" w:lineRule="auto"/>
              <w:rPr>
                <w:rFonts w:hint="eastAsia" w:ascii="宋体" w:hAnsi="宋体" w:eastAsia="宋体" w:cs="宋体"/>
                <w:color w:val="auto"/>
                <w:sz w:val="24"/>
                <w:szCs w:val="24"/>
                <w:highlight w:val="none"/>
              </w:rPr>
            </w:pPr>
          </w:p>
          <w:p w14:paraId="0F1E1751">
            <w:pPr>
              <w:pStyle w:val="20"/>
              <w:spacing w:line="289" w:lineRule="auto"/>
              <w:rPr>
                <w:rFonts w:hint="eastAsia" w:ascii="宋体" w:hAnsi="宋体" w:eastAsia="宋体" w:cs="宋体"/>
                <w:color w:val="auto"/>
                <w:sz w:val="24"/>
                <w:szCs w:val="24"/>
                <w:highlight w:val="none"/>
              </w:rPr>
            </w:pPr>
          </w:p>
          <w:p w14:paraId="3ABE9DD0">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76534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453382FD">
            <w:pPr>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4CBD4052">
            <w:pPr>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2C206521">
            <w:pPr>
              <w:pStyle w:val="20"/>
              <w:rPr>
                <w:rFonts w:hint="eastAsia" w:ascii="宋体" w:hAnsi="宋体" w:eastAsia="宋体" w:cs="宋体"/>
                <w:color w:val="auto"/>
                <w:sz w:val="24"/>
                <w:szCs w:val="24"/>
                <w:highlight w:val="none"/>
              </w:rPr>
            </w:pPr>
          </w:p>
        </w:tc>
        <w:tc>
          <w:tcPr>
            <w:tcW w:w="1683" w:type="dxa"/>
            <w:gridSpan w:val="2"/>
            <w:vAlign w:val="top"/>
          </w:tcPr>
          <w:p w14:paraId="7AC1377A">
            <w:pPr>
              <w:pStyle w:val="20"/>
              <w:spacing w:line="336" w:lineRule="auto"/>
              <w:rPr>
                <w:rFonts w:hint="eastAsia" w:ascii="宋体" w:hAnsi="宋体" w:eastAsia="宋体" w:cs="宋体"/>
                <w:color w:val="auto"/>
                <w:sz w:val="24"/>
                <w:szCs w:val="24"/>
                <w:highlight w:val="none"/>
              </w:rPr>
            </w:pPr>
          </w:p>
          <w:p w14:paraId="1E023FA8">
            <w:pPr>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209D4A82">
            <w:pPr>
              <w:pStyle w:val="20"/>
              <w:spacing w:line="335" w:lineRule="auto"/>
              <w:rPr>
                <w:rFonts w:hint="eastAsia" w:ascii="宋体" w:hAnsi="宋体" w:eastAsia="宋体" w:cs="宋体"/>
                <w:color w:val="auto"/>
                <w:sz w:val="24"/>
                <w:szCs w:val="24"/>
                <w:highlight w:val="none"/>
              </w:rPr>
            </w:pPr>
          </w:p>
          <w:p w14:paraId="459BFBAC">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5303C8CD">
      <w:pPr>
        <w:rPr>
          <w:rFonts w:hint="eastAsia" w:ascii="宋体" w:hAnsi="宋体" w:eastAsia="宋体" w:cs="宋体"/>
          <w:b/>
          <w:bCs/>
          <w:color w:val="auto"/>
          <w:spacing w:val="-3"/>
          <w:sz w:val="24"/>
          <w:szCs w:val="24"/>
          <w:highlight w:val="none"/>
        </w:rPr>
      </w:pPr>
      <w:bookmarkStart w:id="263" w:name="bookmark107"/>
      <w:bookmarkEnd w:id="263"/>
      <w:bookmarkStart w:id="264" w:name="_Toc28712"/>
      <w:r>
        <w:rPr>
          <w:rFonts w:hint="eastAsia" w:ascii="宋体" w:hAnsi="宋体" w:eastAsia="宋体" w:cs="宋体"/>
          <w:b/>
          <w:bCs/>
          <w:color w:val="auto"/>
          <w:spacing w:val="-3"/>
          <w:sz w:val="24"/>
          <w:szCs w:val="24"/>
          <w:highlight w:val="none"/>
        </w:rPr>
        <w:br w:type="page"/>
      </w:r>
    </w:p>
    <w:p w14:paraId="3C9DA96F">
      <w:pPr>
        <w:spacing w:before="78" w:line="219" w:lineRule="auto"/>
        <w:jc w:val="center"/>
        <w:outlineLvl w:val="1"/>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64"/>
    </w:p>
    <w:p w14:paraId="179363DD">
      <w:pPr>
        <w:pStyle w:val="5"/>
        <w:spacing w:line="257" w:lineRule="auto"/>
        <w:rPr>
          <w:rFonts w:hint="eastAsia" w:ascii="宋体" w:hAnsi="宋体" w:eastAsia="宋体" w:cs="宋体"/>
          <w:color w:val="auto"/>
          <w:highlight w:val="none"/>
        </w:rPr>
      </w:pPr>
    </w:p>
    <w:p w14:paraId="6DEC5D22">
      <w:pPr>
        <w:spacing w:before="78"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14:paraId="4BB447BE">
      <w:pPr>
        <w:rPr>
          <w:rFonts w:hint="eastAsia" w:ascii="宋体" w:hAnsi="宋体" w:eastAsia="宋体" w:cs="宋体"/>
          <w:color w:val="auto"/>
          <w:highlight w:val="none"/>
        </w:rPr>
      </w:pPr>
    </w:p>
    <w:sectPr>
      <w:footerReference r:id="rId2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Helvetica">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303BF">
    <w:pPr>
      <w:pStyle w:val="8"/>
    </w:pPr>
    <w:r>
      <w:rPr>
        <w:sz w:val="18"/>
      </w:rPr>
      <mc:AlternateContent>
        <mc:Choice Requires="wps">
          <w:drawing>
            <wp:anchor distT="0" distB="0" distL="114300" distR="114300" simplePos="0" relativeHeight="251680768"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3C8990D1">
                          <w:pPr>
                            <w:pStyle w:val="8"/>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80768;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e/Q19kAAAALAQAADwAAAAAAAAABACAAAAAiAAAAZHJzL2Rvd25yZXYueG1sUEsB&#10;AhQAFAAAAAgAh07iQPACNNW7AQAAcwMAAA4AAAAAAAAAAQAgAAAAKAEAAGRycy9lMm9Eb2MueG1s&#10;UEsFBgAAAAAGAAYAWQEAAFUFAAAAAA==&#10;">
              <v:fill on="f" focussize="0,0"/>
              <v:stroke on="f"/>
              <v:imagedata o:title=""/>
              <o:lock v:ext="edit" aspectratio="f"/>
              <v:textbox inset="0mm,0mm,0mm,0mm">
                <w:txbxContent>
                  <w:p w14:paraId="3C8990D1">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8"/>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5013">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5E7166">
                          <w:pPr>
                            <w:pStyle w:val="8"/>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E5E7166">
                    <w:pPr>
                      <w:pStyle w:val="8"/>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8"/>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8"/>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8"/>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8"/>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8"/>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8"/>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8"/>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8"/>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8"/>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8"/>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8"/>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8"/>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8"/>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8"/>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A343">
    <w:pPr>
      <w:pStyle w:val="8"/>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21017">
                          <w:pPr>
                            <w:pStyle w:val="8"/>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BB21017">
                    <w:pPr>
                      <w:pStyle w:val="8"/>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8"/>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8"/>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8"/>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DC36">
    <w:pPr>
      <w:pStyle w:val="8"/>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12D34B">
                          <w:pPr>
                            <w:pStyle w:val="8"/>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12D34B">
                    <w:pPr>
                      <w:pStyle w:val="8"/>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8"/>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8"/>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8"/>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8"/>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8"/>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83393">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CA2861">
                          <w:pPr>
                            <w:pStyle w:val="8"/>
                          </w:pPr>
                          <w:r>
                            <w:fldChar w:fldCharType="begin"/>
                          </w:r>
                          <w:r>
                            <w:instrText xml:space="preserve"> PAGE  \* MERGEFORMAT </w:instrText>
                          </w:r>
                          <w:r>
                            <w:fldChar w:fldCharType="separate"/>
                          </w:r>
                          <w:r>
                            <w:t>14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hpDqskBAACb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1DiHrflTXK9SC8OS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GkOqyQEAAJsDAAAOAAAAAAAAAAEAIAAAAB4BAABkcnMvZTJvRG9j&#10;LnhtbFBLBQYAAAAABgAGAFkBAABZBQAAAAA=&#10;">
              <v:fill on="f" focussize="0,0"/>
              <v:stroke on="f"/>
              <v:imagedata o:title=""/>
              <o:lock v:ext="edit" aspectratio="f"/>
              <v:textbox inset="0mm,0mm,0mm,0mm" style="mso-fit-shape-to-text:t;">
                <w:txbxContent>
                  <w:p w14:paraId="13CA2861">
                    <w:pPr>
                      <w:pStyle w:val="8"/>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8"/>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8"/>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8"/>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C173">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ED13CE">
                          <w:pPr>
                            <w:pStyle w:val="8"/>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AED13CE">
                    <w:pPr>
                      <w:pStyle w:val="8"/>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CA5A">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19613">
                          <w:pPr>
                            <w:pStyle w:val="8"/>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8319613">
                    <w:pPr>
                      <w:pStyle w:val="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8"/>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8"/>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8"/>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8"/>
                    </w:pPr>
                    <w:r>
                      <w:fldChar w:fldCharType="begin"/>
                    </w:r>
                    <w:r>
                      <w:instrText xml:space="preserve"> PAGE  \* MERGEFORMAT </w:instrText>
                    </w:r>
                    <w:r>
                      <w:fldChar w:fldCharType="separate"/>
                    </w:r>
                    <w:r>
                      <w:t>80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BD73E">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00000003"/>
    <w:multiLevelType w:val="singleLevel"/>
    <w:tmpl w:val="00000003"/>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473031"/>
    <w:rsid w:val="00D61DC8"/>
    <w:rsid w:val="01276505"/>
    <w:rsid w:val="013F232E"/>
    <w:rsid w:val="014C6B51"/>
    <w:rsid w:val="018B7D8A"/>
    <w:rsid w:val="01B6213A"/>
    <w:rsid w:val="01BE1198"/>
    <w:rsid w:val="01E25ABE"/>
    <w:rsid w:val="01FD63CC"/>
    <w:rsid w:val="02337D11"/>
    <w:rsid w:val="02BF0C55"/>
    <w:rsid w:val="02F13018"/>
    <w:rsid w:val="031418F0"/>
    <w:rsid w:val="0358304C"/>
    <w:rsid w:val="039E06FB"/>
    <w:rsid w:val="04021749"/>
    <w:rsid w:val="04B67F25"/>
    <w:rsid w:val="04BF763A"/>
    <w:rsid w:val="04E2157A"/>
    <w:rsid w:val="04EF43C3"/>
    <w:rsid w:val="056C5F91"/>
    <w:rsid w:val="05D4768F"/>
    <w:rsid w:val="05E67124"/>
    <w:rsid w:val="05E732EC"/>
    <w:rsid w:val="05EC614B"/>
    <w:rsid w:val="062235DD"/>
    <w:rsid w:val="063C112F"/>
    <w:rsid w:val="06856661"/>
    <w:rsid w:val="069B537E"/>
    <w:rsid w:val="06C70A28"/>
    <w:rsid w:val="06C929F2"/>
    <w:rsid w:val="06CA23DC"/>
    <w:rsid w:val="06D05B2E"/>
    <w:rsid w:val="06DD024B"/>
    <w:rsid w:val="07001B9F"/>
    <w:rsid w:val="07133987"/>
    <w:rsid w:val="07520C39"/>
    <w:rsid w:val="07A1396F"/>
    <w:rsid w:val="07A71DAB"/>
    <w:rsid w:val="086230FE"/>
    <w:rsid w:val="088C763C"/>
    <w:rsid w:val="08CD7283"/>
    <w:rsid w:val="08E41D65"/>
    <w:rsid w:val="08EB6C4F"/>
    <w:rsid w:val="092D5890"/>
    <w:rsid w:val="0963211F"/>
    <w:rsid w:val="09C807D3"/>
    <w:rsid w:val="09F06AB0"/>
    <w:rsid w:val="09FA34EB"/>
    <w:rsid w:val="09FF4A68"/>
    <w:rsid w:val="0A62467A"/>
    <w:rsid w:val="0A7D4664"/>
    <w:rsid w:val="0A87732E"/>
    <w:rsid w:val="0AD33307"/>
    <w:rsid w:val="0AE05E8C"/>
    <w:rsid w:val="0AF3628F"/>
    <w:rsid w:val="0B3866B7"/>
    <w:rsid w:val="0B9E41C6"/>
    <w:rsid w:val="0BC6217A"/>
    <w:rsid w:val="0BD240F7"/>
    <w:rsid w:val="0C120997"/>
    <w:rsid w:val="0C2B1A59"/>
    <w:rsid w:val="0C4153D2"/>
    <w:rsid w:val="0C49746F"/>
    <w:rsid w:val="0C597D15"/>
    <w:rsid w:val="0CA07D76"/>
    <w:rsid w:val="0CA27F6D"/>
    <w:rsid w:val="0CF14A50"/>
    <w:rsid w:val="0D03679A"/>
    <w:rsid w:val="0D3B3F1D"/>
    <w:rsid w:val="0DCB0DFD"/>
    <w:rsid w:val="0DCE22AF"/>
    <w:rsid w:val="0DF525DE"/>
    <w:rsid w:val="0DF61CE0"/>
    <w:rsid w:val="0E1E1875"/>
    <w:rsid w:val="0E684952"/>
    <w:rsid w:val="0E8E37ED"/>
    <w:rsid w:val="0EAF2E14"/>
    <w:rsid w:val="0EDB59B8"/>
    <w:rsid w:val="0F1C2D99"/>
    <w:rsid w:val="0F6F04DC"/>
    <w:rsid w:val="105858FC"/>
    <w:rsid w:val="106C3AC2"/>
    <w:rsid w:val="108403E2"/>
    <w:rsid w:val="109275A9"/>
    <w:rsid w:val="10C15734"/>
    <w:rsid w:val="10C44237"/>
    <w:rsid w:val="11533574"/>
    <w:rsid w:val="11785740"/>
    <w:rsid w:val="11862732"/>
    <w:rsid w:val="118F278E"/>
    <w:rsid w:val="119D4F21"/>
    <w:rsid w:val="11A47985"/>
    <w:rsid w:val="11AD5C4D"/>
    <w:rsid w:val="11C67A56"/>
    <w:rsid w:val="11D80D88"/>
    <w:rsid w:val="12474DCB"/>
    <w:rsid w:val="126805E3"/>
    <w:rsid w:val="12E7492B"/>
    <w:rsid w:val="12E74FC1"/>
    <w:rsid w:val="12F27F6E"/>
    <w:rsid w:val="14141B79"/>
    <w:rsid w:val="1457788F"/>
    <w:rsid w:val="14760C96"/>
    <w:rsid w:val="14882C02"/>
    <w:rsid w:val="14D013EF"/>
    <w:rsid w:val="150D2643"/>
    <w:rsid w:val="15853F88"/>
    <w:rsid w:val="15A45AE5"/>
    <w:rsid w:val="15D97B34"/>
    <w:rsid w:val="15DC13FE"/>
    <w:rsid w:val="15E038B4"/>
    <w:rsid w:val="16005D04"/>
    <w:rsid w:val="160E0085"/>
    <w:rsid w:val="162E6E4D"/>
    <w:rsid w:val="16443E43"/>
    <w:rsid w:val="16737FC1"/>
    <w:rsid w:val="16CB4A2F"/>
    <w:rsid w:val="1722468F"/>
    <w:rsid w:val="173C4B1A"/>
    <w:rsid w:val="17726DD2"/>
    <w:rsid w:val="17C50FB3"/>
    <w:rsid w:val="18226406"/>
    <w:rsid w:val="182A472E"/>
    <w:rsid w:val="18602A8A"/>
    <w:rsid w:val="190B3062"/>
    <w:rsid w:val="1963464B"/>
    <w:rsid w:val="197764F6"/>
    <w:rsid w:val="19BC1F42"/>
    <w:rsid w:val="1A3A6836"/>
    <w:rsid w:val="1A584D7E"/>
    <w:rsid w:val="1A5B5BFF"/>
    <w:rsid w:val="1AC50DC4"/>
    <w:rsid w:val="1AE57555"/>
    <w:rsid w:val="1B0A266C"/>
    <w:rsid w:val="1B656D35"/>
    <w:rsid w:val="1B745FC1"/>
    <w:rsid w:val="1BEC4D61"/>
    <w:rsid w:val="1C2A3ADB"/>
    <w:rsid w:val="1C324211"/>
    <w:rsid w:val="1C7F3E27"/>
    <w:rsid w:val="1E206F43"/>
    <w:rsid w:val="1E3B5B2B"/>
    <w:rsid w:val="1E491296"/>
    <w:rsid w:val="1E5D49E3"/>
    <w:rsid w:val="1E994221"/>
    <w:rsid w:val="1EDA5344"/>
    <w:rsid w:val="1EE13915"/>
    <w:rsid w:val="1EE461C3"/>
    <w:rsid w:val="1F487665"/>
    <w:rsid w:val="1F683A66"/>
    <w:rsid w:val="1F875754"/>
    <w:rsid w:val="1FFE32B4"/>
    <w:rsid w:val="2020237A"/>
    <w:rsid w:val="20515ADA"/>
    <w:rsid w:val="20801F1B"/>
    <w:rsid w:val="208A4B48"/>
    <w:rsid w:val="209669C5"/>
    <w:rsid w:val="20C37337"/>
    <w:rsid w:val="20CB1F07"/>
    <w:rsid w:val="20F6072B"/>
    <w:rsid w:val="21244F9D"/>
    <w:rsid w:val="213D3171"/>
    <w:rsid w:val="222C2B90"/>
    <w:rsid w:val="22457E73"/>
    <w:rsid w:val="22F866E1"/>
    <w:rsid w:val="23213C5D"/>
    <w:rsid w:val="232C2DD6"/>
    <w:rsid w:val="2331574F"/>
    <w:rsid w:val="233953DA"/>
    <w:rsid w:val="235B72E4"/>
    <w:rsid w:val="23931F66"/>
    <w:rsid w:val="24262DDA"/>
    <w:rsid w:val="2446643F"/>
    <w:rsid w:val="246102B6"/>
    <w:rsid w:val="24782AD4"/>
    <w:rsid w:val="248726E0"/>
    <w:rsid w:val="249C3951"/>
    <w:rsid w:val="24FA6740"/>
    <w:rsid w:val="25004979"/>
    <w:rsid w:val="25243F0A"/>
    <w:rsid w:val="253A7C36"/>
    <w:rsid w:val="254C2D14"/>
    <w:rsid w:val="256D06AE"/>
    <w:rsid w:val="2582242A"/>
    <w:rsid w:val="259D2ECD"/>
    <w:rsid w:val="25A55F80"/>
    <w:rsid w:val="25B20381"/>
    <w:rsid w:val="25E62821"/>
    <w:rsid w:val="25F25669"/>
    <w:rsid w:val="260B04D9"/>
    <w:rsid w:val="264763B7"/>
    <w:rsid w:val="2672726E"/>
    <w:rsid w:val="26734FA1"/>
    <w:rsid w:val="26881A92"/>
    <w:rsid w:val="268B2A3A"/>
    <w:rsid w:val="268B3DAD"/>
    <w:rsid w:val="26A61FB0"/>
    <w:rsid w:val="27415C62"/>
    <w:rsid w:val="27427F2B"/>
    <w:rsid w:val="27B65EBB"/>
    <w:rsid w:val="27CA47C6"/>
    <w:rsid w:val="28185FE1"/>
    <w:rsid w:val="282B4E63"/>
    <w:rsid w:val="28884FF7"/>
    <w:rsid w:val="28D472A8"/>
    <w:rsid w:val="29017971"/>
    <w:rsid w:val="290F389D"/>
    <w:rsid w:val="2962542C"/>
    <w:rsid w:val="299E36C0"/>
    <w:rsid w:val="2B367172"/>
    <w:rsid w:val="2B7314CC"/>
    <w:rsid w:val="2B784A6E"/>
    <w:rsid w:val="2B9A7B07"/>
    <w:rsid w:val="2BA07916"/>
    <w:rsid w:val="2BAE2033"/>
    <w:rsid w:val="2BB37649"/>
    <w:rsid w:val="2BC9037C"/>
    <w:rsid w:val="2BFD3113"/>
    <w:rsid w:val="2C0003B4"/>
    <w:rsid w:val="2C1005F7"/>
    <w:rsid w:val="2C15160E"/>
    <w:rsid w:val="2C44430E"/>
    <w:rsid w:val="2C4F172C"/>
    <w:rsid w:val="2C9C00DD"/>
    <w:rsid w:val="2CA156F3"/>
    <w:rsid w:val="2D906B09"/>
    <w:rsid w:val="2D9C5EBB"/>
    <w:rsid w:val="2DD973AC"/>
    <w:rsid w:val="2DFB1659"/>
    <w:rsid w:val="2E0221C2"/>
    <w:rsid w:val="2E611B70"/>
    <w:rsid w:val="2E9A689E"/>
    <w:rsid w:val="2ECB6A58"/>
    <w:rsid w:val="2EDD4BB1"/>
    <w:rsid w:val="2F01185F"/>
    <w:rsid w:val="2F2729AC"/>
    <w:rsid w:val="2F3C0F4C"/>
    <w:rsid w:val="2FB82F9F"/>
    <w:rsid w:val="2FE418AC"/>
    <w:rsid w:val="2FE5383E"/>
    <w:rsid w:val="2FEA4C7F"/>
    <w:rsid w:val="30330D58"/>
    <w:rsid w:val="3037089D"/>
    <w:rsid w:val="30EA3353"/>
    <w:rsid w:val="31013C49"/>
    <w:rsid w:val="312319EF"/>
    <w:rsid w:val="313C778B"/>
    <w:rsid w:val="321A2D0F"/>
    <w:rsid w:val="32382656"/>
    <w:rsid w:val="324D664C"/>
    <w:rsid w:val="3267118D"/>
    <w:rsid w:val="32BE6EB2"/>
    <w:rsid w:val="32C7154E"/>
    <w:rsid w:val="33156D5E"/>
    <w:rsid w:val="3317207A"/>
    <w:rsid w:val="331A6B7B"/>
    <w:rsid w:val="331F2052"/>
    <w:rsid w:val="333554DB"/>
    <w:rsid w:val="33396D39"/>
    <w:rsid w:val="33643EF5"/>
    <w:rsid w:val="33D80BF4"/>
    <w:rsid w:val="33F77F81"/>
    <w:rsid w:val="346F257B"/>
    <w:rsid w:val="348F605A"/>
    <w:rsid w:val="34E716B6"/>
    <w:rsid w:val="3505113E"/>
    <w:rsid w:val="35233259"/>
    <w:rsid w:val="35357321"/>
    <w:rsid w:val="359F2BE0"/>
    <w:rsid w:val="35AE6CC5"/>
    <w:rsid w:val="35FC399A"/>
    <w:rsid w:val="362A675A"/>
    <w:rsid w:val="36B60605"/>
    <w:rsid w:val="36DB3EF8"/>
    <w:rsid w:val="36DB7A54"/>
    <w:rsid w:val="36EC39E0"/>
    <w:rsid w:val="37647A49"/>
    <w:rsid w:val="37704A11"/>
    <w:rsid w:val="37C45ACE"/>
    <w:rsid w:val="37DF2D89"/>
    <w:rsid w:val="37E335F2"/>
    <w:rsid w:val="3835053A"/>
    <w:rsid w:val="386B727B"/>
    <w:rsid w:val="38BE1535"/>
    <w:rsid w:val="39194863"/>
    <w:rsid w:val="391D7376"/>
    <w:rsid w:val="39403E21"/>
    <w:rsid w:val="397A7B42"/>
    <w:rsid w:val="399A1E48"/>
    <w:rsid w:val="39B4157B"/>
    <w:rsid w:val="39D55A01"/>
    <w:rsid w:val="3A104D75"/>
    <w:rsid w:val="3A4C2C68"/>
    <w:rsid w:val="3A4D1A2B"/>
    <w:rsid w:val="3A5E69D2"/>
    <w:rsid w:val="3B2C2F74"/>
    <w:rsid w:val="3B3415C4"/>
    <w:rsid w:val="3B345984"/>
    <w:rsid w:val="3B351E28"/>
    <w:rsid w:val="3B4F53C1"/>
    <w:rsid w:val="3B626996"/>
    <w:rsid w:val="3B6C6BA3"/>
    <w:rsid w:val="3B78218B"/>
    <w:rsid w:val="3BAE3989"/>
    <w:rsid w:val="3BB15227"/>
    <w:rsid w:val="3BF02721"/>
    <w:rsid w:val="3BFA0A8A"/>
    <w:rsid w:val="3C242530"/>
    <w:rsid w:val="3C4165AB"/>
    <w:rsid w:val="3CCA02B2"/>
    <w:rsid w:val="3CD613E9"/>
    <w:rsid w:val="3CE62383"/>
    <w:rsid w:val="3CEC7A2A"/>
    <w:rsid w:val="3D0433A8"/>
    <w:rsid w:val="3D0F69B6"/>
    <w:rsid w:val="3D2959BD"/>
    <w:rsid w:val="3DCE35B6"/>
    <w:rsid w:val="3DD136B5"/>
    <w:rsid w:val="3DD5344F"/>
    <w:rsid w:val="3E0F3EB7"/>
    <w:rsid w:val="3E2609B2"/>
    <w:rsid w:val="3E76426F"/>
    <w:rsid w:val="3E7F6463"/>
    <w:rsid w:val="3E962D65"/>
    <w:rsid w:val="3ECB4852"/>
    <w:rsid w:val="3EEB0292"/>
    <w:rsid w:val="3F281B00"/>
    <w:rsid w:val="3F930BE9"/>
    <w:rsid w:val="3F952DC8"/>
    <w:rsid w:val="3FE15005"/>
    <w:rsid w:val="3FE77469"/>
    <w:rsid w:val="400E2C48"/>
    <w:rsid w:val="404B0BF8"/>
    <w:rsid w:val="40ED6D01"/>
    <w:rsid w:val="41216845"/>
    <w:rsid w:val="413A36FE"/>
    <w:rsid w:val="4213220D"/>
    <w:rsid w:val="4235270E"/>
    <w:rsid w:val="42461BF0"/>
    <w:rsid w:val="427179B7"/>
    <w:rsid w:val="428D039F"/>
    <w:rsid w:val="429E2362"/>
    <w:rsid w:val="42FC0E58"/>
    <w:rsid w:val="43077F25"/>
    <w:rsid w:val="43621354"/>
    <w:rsid w:val="437454B8"/>
    <w:rsid w:val="43947908"/>
    <w:rsid w:val="43AA0EDA"/>
    <w:rsid w:val="43D25E53"/>
    <w:rsid w:val="440138A0"/>
    <w:rsid w:val="44246EDE"/>
    <w:rsid w:val="44692B43"/>
    <w:rsid w:val="447C65C0"/>
    <w:rsid w:val="44983428"/>
    <w:rsid w:val="44C47D79"/>
    <w:rsid w:val="451A208F"/>
    <w:rsid w:val="45877724"/>
    <w:rsid w:val="458A0FC3"/>
    <w:rsid w:val="458D2861"/>
    <w:rsid w:val="45BB3260"/>
    <w:rsid w:val="46092999"/>
    <w:rsid w:val="4612476D"/>
    <w:rsid w:val="468F5CB4"/>
    <w:rsid w:val="46957C1F"/>
    <w:rsid w:val="46C027C2"/>
    <w:rsid w:val="4743767B"/>
    <w:rsid w:val="474820C5"/>
    <w:rsid w:val="475B13E7"/>
    <w:rsid w:val="47777325"/>
    <w:rsid w:val="47DD7AD0"/>
    <w:rsid w:val="47E70FBB"/>
    <w:rsid w:val="481D611E"/>
    <w:rsid w:val="48221986"/>
    <w:rsid w:val="48B545A9"/>
    <w:rsid w:val="48D34790"/>
    <w:rsid w:val="494C6C0E"/>
    <w:rsid w:val="4955379A"/>
    <w:rsid w:val="498C348F"/>
    <w:rsid w:val="49DA3B9B"/>
    <w:rsid w:val="49DA528B"/>
    <w:rsid w:val="49FA4012"/>
    <w:rsid w:val="49FA5FEB"/>
    <w:rsid w:val="4A4F4589"/>
    <w:rsid w:val="4A5573E4"/>
    <w:rsid w:val="4A62606A"/>
    <w:rsid w:val="4A712751"/>
    <w:rsid w:val="4B380D6F"/>
    <w:rsid w:val="4B555BCF"/>
    <w:rsid w:val="4B6E0A3F"/>
    <w:rsid w:val="4BBC29D4"/>
    <w:rsid w:val="4C560DCF"/>
    <w:rsid w:val="4C723258"/>
    <w:rsid w:val="4D0F1621"/>
    <w:rsid w:val="4D24354A"/>
    <w:rsid w:val="4D4E6D7A"/>
    <w:rsid w:val="4D9A1FBF"/>
    <w:rsid w:val="4DCE1F8B"/>
    <w:rsid w:val="4DF94F37"/>
    <w:rsid w:val="4E0D2791"/>
    <w:rsid w:val="4E437F61"/>
    <w:rsid w:val="4EB40E5E"/>
    <w:rsid w:val="4F411EB6"/>
    <w:rsid w:val="4F582EF7"/>
    <w:rsid w:val="4FBA24A4"/>
    <w:rsid w:val="50100316"/>
    <w:rsid w:val="50983373"/>
    <w:rsid w:val="50AB5953"/>
    <w:rsid w:val="50D60C20"/>
    <w:rsid w:val="51183927"/>
    <w:rsid w:val="5135755A"/>
    <w:rsid w:val="51566FA2"/>
    <w:rsid w:val="51574F11"/>
    <w:rsid w:val="517B73AD"/>
    <w:rsid w:val="518A5306"/>
    <w:rsid w:val="51983548"/>
    <w:rsid w:val="51AB3D3B"/>
    <w:rsid w:val="51D04201"/>
    <w:rsid w:val="51DA0BDC"/>
    <w:rsid w:val="521A27DD"/>
    <w:rsid w:val="52534816"/>
    <w:rsid w:val="52634928"/>
    <w:rsid w:val="53277999"/>
    <w:rsid w:val="53A35FB7"/>
    <w:rsid w:val="53F94527"/>
    <w:rsid w:val="54014B46"/>
    <w:rsid w:val="5472334E"/>
    <w:rsid w:val="5563097D"/>
    <w:rsid w:val="556F4EE2"/>
    <w:rsid w:val="55D21BD3"/>
    <w:rsid w:val="56312D95"/>
    <w:rsid w:val="564725B8"/>
    <w:rsid w:val="56652099"/>
    <w:rsid w:val="56680EAC"/>
    <w:rsid w:val="56843C9F"/>
    <w:rsid w:val="569B3338"/>
    <w:rsid w:val="56F5281F"/>
    <w:rsid w:val="573E766F"/>
    <w:rsid w:val="5765355C"/>
    <w:rsid w:val="57690BD0"/>
    <w:rsid w:val="57C15E41"/>
    <w:rsid w:val="57CA1153"/>
    <w:rsid w:val="57E46E53"/>
    <w:rsid w:val="580118E9"/>
    <w:rsid w:val="580E253F"/>
    <w:rsid w:val="58254B7B"/>
    <w:rsid w:val="584A495B"/>
    <w:rsid w:val="5892758E"/>
    <w:rsid w:val="58947716"/>
    <w:rsid w:val="58A65CBC"/>
    <w:rsid w:val="58B66C06"/>
    <w:rsid w:val="58C779E0"/>
    <w:rsid w:val="5909228A"/>
    <w:rsid w:val="59CA7788"/>
    <w:rsid w:val="5A2E712E"/>
    <w:rsid w:val="5A2F2D66"/>
    <w:rsid w:val="5A6D6164"/>
    <w:rsid w:val="5A86004F"/>
    <w:rsid w:val="5A8938AD"/>
    <w:rsid w:val="5AAE69DB"/>
    <w:rsid w:val="5AF0582F"/>
    <w:rsid w:val="5AF947C9"/>
    <w:rsid w:val="5B1B6AA6"/>
    <w:rsid w:val="5B224E28"/>
    <w:rsid w:val="5B7D7A78"/>
    <w:rsid w:val="5BAF7B56"/>
    <w:rsid w:val="5BF611E3"/>
    <w:rsid w:val="5C0E6052"/>
    <w:rsid w:val="5C313AEE"/>
    <w:rsid w:val="5C86208C"/>
    <w:rsid w:val="5CAC7619"/>
    <w:rsid w:val="5D131446"/>
    <w:rsid w:val="5D7C18C6"/>
    <w:rsid w:val="5DA14CA4"/>
    <w:rsid w:val="5DA779D9"/>
    <w:rsid w:val="5DC84953"/>
    <w:rsid w:val="5DDC3F2E"/>
    <w:rsid w:val="5EAC56AE"/>
    <w:rsid w:val="5EDA0A8B"/>
    <w:rsid w:val="5F0537AA"/>
    <w:rsid w:val="5F162912"/>
    <w:rsid w:val="5F20072A"/>
    <w:rsid w:val="5F2117F1"/>
    <w:rsid w:val="5F27754A"/>
    <w:rsid w:val="5F2B3E04"/>
    <w:rsid w:val="5F760F40"/>
    <w:rsid w:val="5FF3691B"/>
    <w:rsid w:val="5FFF5CB2"/>
    <w:rsid w:val="60673F83"/>
    <w:rsid w:val="606E1F64"/>
    <w:rsid w:val="609E5FA7"/>
    <w:rsid w:val="60C253E7"/>
    <w:rsid w:val="60CE0B25"/>
    <w:rsid w:val="61555832"/>
    <w:rsid w:val="61A30FEA"/>
    <w:rsid w:val="61D5316E"/>
    <w:rsid w:val="61D67CE4"/>
    <w:rsid w:val="61DB6D9C"/>
    <w:rsid w:val="61EF4230"/>
    <w:rsid w:val="6200643D"/>
    <w:rsid w:val="623C3CCB"/>
    <w:rsid w:val="6277131B"/>
    <w:rsid w:val="62894736"/>
    <w:rsid w:val="62EC69C1"/>
    <w:rsid w:val="63520F1A"/>
    <w:rsid w:val="636E0BBA"/>
    <w:rsid w:val="63964B41"/>
    <w:rsid w:val="646C600B"/>
    <w:rsid w:val="647C3D75"/>
    <w:rsid w:val="64CC5E52"/>
    <w:rsid w:val="64DA0DFC"/>
    <w:rsid w:val="64FD5E87"/>
    <w:rsid w:val="65785BCE"/>
    <w:rsid w:val="658C3A08"/>
    <w:rsid w:val="658D4138"/>
    <w:rsid w:val="65B768E4"/>
    <w:rsid w:val="66043DF1"/>
    <w:rsid w:val="661D46CA"/>
    <w:rsid w:val="66887A48"/>
    <w:rsid w:val="66B94E0C"/>
    <w:rsid w:val="66BB1AFB"/>
    <w:rsid w:val="66CF7EED"/>
    <w:rsid w:val="66E83943"/>
    <w:rsid w:val="673D6A15"/>
    <w:rsid w:val="67960780"/>
    <w:rsid w:val="682E5386"/>
    <w:rsid w:val="683726A5"/>
    <w:rsid w:val="684B23DC"/>
    <w:rsid w:val="68817FE2"/>
    <w:rsid w:val="688D47A2"/>
    <w:rsid w:val="68CD623B"/>
    <w:rsid w:val="68DB72BC"/>
    <w:rsid w:val="68FD36D6"/>
    <w:rsid w:val="69562DE6"/>
    <w:rsid w:val="695E105C"/>
    <w:rsid w:val="696012B6"/>
    <w:rsid w:val="69642093"/>
    <w:rsid w:val="69C02956"/>
    <w:rsid w:val="69CA6B08"/>
    <w:rsid w:val="6A042666"/>
    <w:rsid w:val="6A9736F0"/>
    <w:rsid w:val="6AF830B1"/>
    <w:rsid w:val="6B1715B7"/>
    <w:rsid w:val="6B2C2051"/>
    <w:rsid w:val="6B680BAF"/>
    <w:rsid w:val="6B6C68F1"/>
    <w:rsid w:val="6BA17D14"/>
    <w:rsid w:val="6BBB33D4"/>
    <w:rsid w:val="6BCC55E2"/>
    <w:rsid w:val="6BEA8026"/>
    <w:rsid w:val="6C0C5BDB"/>
    <w:rsid w:val="6C6770B8"/>
    <w:rsid w:val="6C845EBC"/>
    <w:rsid w:val="6CA41CC8"/>
    <w:rsid w:val="6CC20E82"/>
    <w:rsid w:val="6CD26C28"/>
    <w:rsid w:val="6CF3436B"/>
    <w:rsid w:val="6D056FFD"/>
    <w:rsid w:val="6D443964"/>
    <w:rsid w:val="6D5B6316"/>
    <w:rsid w:val="6D9143ED"/>
    <w:rsid w:val="6DC74A88"/>
    <w:rsid w:val="6DD724DA"/>
    <w:rsid w:val="6DDC0B81"/>
    <w:rsid w:val="6DEA2117"/>
    <w:rsid w:val="6E041063"/>
    <w:rsid w:val="6E0C6BA8"/>
    <w:rsid w:val="6E4C538F"/>
    <w:rsid w:val="6E8C1058"/>
    <w:rsid w:val="6EBF142E"/>
    <w:rsid w:val="6ED722D3"/>
    <w:rsid w:val="6EE175F6"/>
    <w:rsid w:val="6F7C2E7B"/>
    <w:rsid w:val="6FC36D9E"/>
    <w:rsid w:val="6FE70C3C"/>
    <w:rsid w:val="70852D97"/>
    <w:rsid w:val="70A47AAD"/>
    <w:rsid w:val="70AE40C7"/>
    <w:rsid w:val="70C25205"/>
    <w:rsid w:val="70E51DA8"/>
    <w:rsid w:val="71174B27"/>
    <w:rsid w:val="71946BA2"/>
    <w:rsid w:val="71A843FB"/>
    <w:rsid w:val="71C97895"/>
    <w:rsid w:val="721E450C"/>
    <w:rsid w:val="7256750B"/>
    <w:rsid w:val="7262278F"/>
    <w:rsid w:val="72D73D3D"/>
    <w:rsid w:val="73394BB6"/>
    <w:rsid w:val="73397A01"/>
    <w:rsid w:val="736A253A"/>
    <w:rsid w:val="73A429A0"/>
    <w:rsid w:val="73AC2D59"/>
    <w:rsid w:val="73EC5B91"/>
    <w:rsid w:val="73FC458A"/>
    <w:rsid w:val="747B5DF7"/>
    <w:rsid w:val="74C002E8"/>
    <w:rsid w:val="74CF1255"/>
    <w:rsid w:val="74E7523A"/>
    <w:rsid w:val="74FB54A4"/>
    <w:rsid w:val="751A7B05"/>
    <w:rsid w:val="75220020"/>
    <w:rsid w:val="755522F8"/>
    <w:rsid w:val="755E2DEF"/>
    <w:rsid w:val="75611CC1"/>
    <w:rsid w:val="75A03D67"/>
    <w:rsid w:val="75DD731F"/>
    <w:rsid w:val="76265AC6"/>
    <w:rsid w:val="763A2EF5"/>
    <w:rsid w:val="76642085"/>
    <w:rsid w:val="768014A2"/>
    <w:rsid w:val="7682438C"/>
    <w:rsid w:val="768857E3"/>
    <w:rsid w:val="768D4B1F"/>
    <w:rsid w:val="769D2054"/>
    <w:rsid w:val="76C31EDD"/>
    <w:rsid w:val="76EC2FDC"/>
    <w:rsid w:val="77060EB2"/>
    <w:rsid w:val="77120FDD"/>
    <w:rsid w:val="775C2950"/>
    <w:rsid w:val="77610F13"/>
    <w:rsid w:val="778C37F8"/>
    <w:rsid w:val="779D7E32"/>
    <w:rsid w:val="77B12E34"/>
    <w:rsid w:val="77D46CD2"/>
    <w:rsid w:val="77D83D50"/>
    <w:rsid w:val="781D0CC1"/>
    <w:rsid w:val="7823193A"/>
    <w:rsid w:val="782E61C7"/>
    <w:rsid w:val="783B33E4"/>
    <w:rsid w:val="7844130F"/>
    <w:rsid w:val="78534B66"/>
    <w:rsid w:val="785B3F75"/>
    <w:rsid w:val="787B0197"/>
    <w:rsid w:val="787E1A12"/>
    <w:rsid w:val="78BE10F6"/>
    <w:rsid w:val="78CA4C57"/>
    <w:rsid w:val="78D43D28"/>
    <w:rsid w:val="78DD2BDC"/>
    <w:rsid w:val="79435553"/>
    <w:rsid w:val="794672BF"/>
    <w:rsid w:val="79E263BE"/>
    <w:rsid w:val="7A064282"/>
    <w:rsid w:val="7A3C1D44"/>
    <w:rsid w:val="7ACB4CB6"/>
    <w:rsid w:val="7ADD5362"/>
    <w:rsid w:val="7B036E36"/>
    <w:rsid w:val="7B0E3521"/>
    <w:rsid w:val="7B1A0118"/>
    <w:rsid w:val="7B31160A"/>
    <w:rsid w:val="7B62386D"/>
    <w:rsid w:val="7B6E2211"/>
    <w:rsid w:val="7BAD0A4E"/>
    <w:rsid w:val="7BD227A0"/>
    <w:rsid w:val="7C85264B"/>
    <w:rsid w:val="7CA06753"/>
    <w:rsid w:val="7CB43242"/>
    <w:rsid w:val="7CB61824"/>
    <w:rsid w:val="7CBD69D7"/>
    <w:rsid w:val="7CC76395"/>
    <w:rsid w:val="7CEF2EDE"/>
    <w:rsid w:val="7D1961AD"/>
    <w:rsid w:val="7D4F7E21"/>
    <w:rsid w:val="7D7A30EF"/>
    <w:rsid w:val="7D9D293A"/>
    <w:rsid w:val="7E0B01EB"/>
    <w:rsid w:val="7E1E7F1F"/>
    <w:rsid w:val="7E321E60"/>
    <w:rsid w:val="7E390B0F"/>
    <w:rsid w:val="7E493D4F"/>
    <w:rsid w:val="7E5356EF"/>
    <w:rsid w:val="7E881DA7"/>
    <w:rsid w:val="7E9B65C0"/>
    <w:rsid w:val="7F060C17"/>
    <w:rsid w:val="7F0C421B"/>
    <w:rsid w:val="7F2F766E"/>
    <w:rsid w:val="7F3D58B7"/>
    <w:rsid w:val="7F6B3277"/>
    <w:rsid w:val="7F7C3A97"/>
    <w:rsid w:val="7F9051D5"/>
    <w:rsid w:val="7FE01204"/>
    <w:rsid w:val="7FFA67D9"/>
    <w:rsid w:val="7FFB9374"/>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3">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Plain Text"/>
    <w:basedOn w:val="1"/>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Body Text 2"/>
    <w:basedOn w:val="1"/>
    <w:next w:val="5"/>
    <w:qFormat/>
    <w:uiPriority w:val="0"/>
    <w:pPr>
      <w:spacing w:line="500" w:lineRule="exact"/>
    </w:pPr>
    <w:rPr>
      <w:rFonts w:ascii="宋体" w:hAnsi="Times New Roman" w:eastAsia="宋体" w:cs="Times New Roman"/>
      <w:sz w:val="24"/>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5"/>
    <w:qFormat/>
    <w:uiPriority w:val="99"/>
    <w:pPr>
      <w:spacing w:line="240" w:lineRule="auto"/>
      <w:ind w:firstLine="420" w:firstLineChars="100"/>
    </w:pPr>
    <w:rPr>
      <w:rFonts w:ascii="Times New Roman" w:cs="Times New Roman"/>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18">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19">
    <w:name w:val="NormalCharacter"/>
    <w:qFormat/>
    <w:uiPriority w:val="99"/>
  </w:style>
  <w:style w:type="paragraph" w:customStyle="1" w:styleId="20">
    <w:name w:val="Table Text"/>
    <w:basedOn w:val="1"/>
    <w:semiHidden/>
    <w:qFormat/>
    <w:uiPriority w:val="0"/>
    <w:rPr>
      <w:rFonts w:ascii="Arial" w:hAnsi="Arial" w:eastAsia="Arial" w:cs="Arial"/>
      <w:sz w:val="21"/>
      <w:szCs w:val="21"/>
      <w:lang w:val="en-US" w:eastAsia="en-US" w:bidi="ar-SA"/>
    </w:rPr>
  </w:style>
  <w:style w:type="paragraph" w:customStyle="1" w:styleId="21">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正文缩进1"/>
    <w:basedOn w:val="1"/>
    <w:qFormat/>
    <w:uiPriority w:val="0"/>
    <w:pPr>
      <w:widowControl/>
      <w:ind w:firstLine="420"/>
      <w:jc w:val="left"/>
    </w:pPr>
    <w:rPr>
      <w:kern w:val="0"/>
    </w:rPr>
  </w:style>
  <w:style w:type="paragraph" w:customStyle="1" w:styleId="23">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4">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5">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Heading2"/>
    <w:basedOn w:val="1"/>
    <w:next w:val="1"/>
    <w:qFormat/>
    <w:uiPriority w:val="99"/>
    <w:pPr>
      <w:jc w:val="left"/>
    </w:pPr>
    <w:rPr>
      <w:kern w:val="0"/>
    </w:rPr>
  </w:style>
  <w:style w:type="paragraph" w:customStyle="1" w:styleId="29">
    <w:name w:val="AnnotationText"/>
    <w:basedOn w:val="1"/>
    <w:qFormat/>
    <w:uiPriority w:val="99"/>
    <w:pPr>
      <w:spacing w:line="360" w:lineRule="atLeast"/>
      <w:jc w:val="left"/>
    </w:pPr>
    <w:rPr>
      <w:kern w:val="0"/>
    </w:rPr>
  </w:style>
  <w:style w:type="paragraph" w:customStyle="1" w:styleId="30">
    <w:name w:val="UserStyle_44"/>
    <w:basedOn w:val="31"/>
    <w:qFormat/>
    <w:uiPriority w:val="99"/>
    <w:rPr>
      <w:sz w:val="24"/>
      <w:szCs w:val="24"/>
    </w:rPr>
  </w:style>
  <w:style w:type="paragraph" w:customStyle="1" w:styleId="31">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2">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3">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4">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5">
    <w:name w:val="BodyText"/>
    <w:basedOn w:val="1"/>
    <w:next w:val="36"/>
    <w:qFormat/>
    <w:uiPriority w:val="99"/>
    <w:pPr>
      <w:spacing w:after="120"/>
    </w:pPr>
  </w:style>
  <w:style w:type="paragraph" w:customStyle="1" w:styleId="36">
    <w:name w:val="BodyText2"/>
    <w:basedOn w:val="1"/>
    <w:qFormat/>
    <w:uiPriority w:val="99"/>
    <w:pPr>
      <w:spacing w:line="500" w:lineRule="exact"/>
    </w:pPr>
  </w:style>
  <w:style w:type="paragraph" w:customStyle="1" w:styleId="37">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8">
    <w:name w:val="正文缩进 New"/>
    <w:basedOn w:val="39"/>
    <w:qFormat/>
    <w:uiPriority w:val="0"/>
    <w:pPr>
      <w:widowControl/>
      <w:ind w:firstLine="420"/>
      <w:jc w:val="left"/>
    </w:pPr>
    <w:rPr>
      <w:kern w:val="0"/>
      <w:sz w:val="20"/>
    </w:rPr>
  </w:style>
  <w:style w:type="paragraph" w:customStyle="1" w:styleId="39">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0">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1">
    <w:name w:val="正文文本 (2) + 间距 0 pt3"/>
    <w:basedOn w:val="16"/>
    <w:qFormat/>
    <w:uiPriority w:val="0"/>
    <w:rPr>
      <w:rFonts w:ascii="MingLiU" w:hAnsi="Times New Roman" w:eastAsia="MingLiU" w:cs="MingLiU"/>
      <w:spacing w:val="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0" Type="http://schemas.openxmlformats.org/officeDocument/2006/relationships/fontTable" Target="fontTable.xml"/><Relationship Id="rId6" Type="http://schemas.openxmlformats.org/officeDocument/2006/relationships/header" Target="header3.xml"/><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image" Target="media/image18.png"/><Relationship Id="rId56" Type="http://schemas.openxmlformats.org/officeDocument/2006/relationships/image" Target="media/image17.jpeg"/><Relationship Id="rId55" Type="http://schemas.openxmlformats.org/officeDocument/2006/relationships/image" Target="media/image16.png"/><Relationship Id="rId54" Type="http://schemas.openxmlformats.org/officeDocument/2006/relationships/image" Target="media/image15.png"/><Relationship Id="rId53" Type="http://schemas.openxmlformats.org/officeDocument/2006/relationships/image" Target="media/image14.wmf"/><Relationship Id="rId52" Type="http://schemas.openxmlformats.org/officeDocument/2006/relationships/oleObject" Target="embeddings/oleObject12.bin"/><Relationship Id="rId51" Type="http://schemas.openxmlformats.org/officeDocument/2006/relationships/image" Target="media/image13.wmf"/><Relationship Id="rId50" Type="http://schemas.openxmlformats.org/officeDocument/2006/relationships/oleObject" Target="embeddings/oleObject11.bin"/><Relationship Id="rId5" Type="http://schemas.openxmlformats.org/officeDocument/2006/relationships/footer" Target="footer1.xml"/><Relationship Id="rId49" Type="http://schemas.openxmlformats.org/officeDocument/2006/relationships/image" Target="media/image12.wmf"/><Relationship Id="rId48" Type="http://schemas.openxmlformats.org/officeDocument/2006/relationships/oleObject" Target="embeddings/oleObject10.bin"/><Relationship Id="rId47" Type="http://schemas.openxmlformats.org/officeDocument/2006/relationships/image" Target="media/image11.wmf"/><Relationship Id="rId46" Type="http://schemas.openxmlformats.org/officeDocument/2006/relationships/oleObject" Target="embeddings/oleObject9.bin"/><Relationship Id="rId45" Type="http://schemas.openxmlformats.org/officeDocument/2006/relationships/image" Target="media/image10.wmf"/><Relationship Id="rId44" Type="http://schemas.openxmlformats.org/officeDocument/2006/relationships/oleObject" Target="embeddings/oleObject8.bin"/><Relationship Id="rId43" Type="http://schemas.openxmlformats.org/officeDocument/2006/relationships/image" Target="media/image9.wmf"/><Relationship Id="rId42" Type="http://schemas.openxmlformats.org/officeDocument/2006/relationships/oleObject" Target="embeddings/oleObject7.bin"/><Relationship Id="rId41" Type="http://schemas.openxmlformats.org/officeDocument/2006/relationships/image" Target="media/image8.wmf"/><Relationship Id="rId40" Type="http://schemas.openxmlformats.org/officeDocument/2006/relationships/oleObject" Target="embeddings/oleObject6.bin"/><Relationship Id="rId4" Type="http://schemas.openxmlformats.org/officeDocument/2006/relationships/header" Target="header2.xml"/><Relationship Id="rId39" Type="http://schemas.openxmlformats.org/officeDocument/2006/relationships/image" Target="media/image7.wmf"/><Relationship Id="rId38" Type="http://schemas.openxmlformats.org/officeDocument/2006/relationships/oleObject" Target="embeddings/oleObject5.bin"/><Relationship Id="rId37" Type="http://schemas.openxmlformats.org/officeDocument/2006/relationships/image" Target="media/image6.wmf"/><Relationship Id="rId36" Type="http://schemas.openxmlformats.org/officeDocument/2006/relationships/oleObject" Target="embeddings/oleObject4.bin"/><Relationship Id="rId35" Type="http://schemas.openxmlformats.org/officeDocument/2006/relationships/image" Target="media/image5.wmf"/><Relationship Id="rId34" Type="http://schemas.openxmlformats.org/officeDocument/2006/relationships/oleObject" Target="embeddings/oleObject3.bin"/><Relationship Id="rId33" Type="http://schemas.openxmlformats.org/officeDocument/2006/relationships/image" Target="media/image4.wmf"/><Relationship Id="rId32" Type="http://schemas.openxmlformats.org/officeDocument/2006/relationships/oleObject" Target="embeddings/oleObject2.bin"/><Relationship Id="rId31" Type="http://schemas.openxmlformats.org/officeDocument/2006/relationships/image" Target="media/image3.wmf"/><Relationship Id="rId30" Type="http://schemas.openxmlformats.org/officeDocument/2006/relationships/oleObject" Target="embeddings/oleObject1.bin"/><Relationship Id="rId3" Type="http://schemas.openxmlformats.org/officeDocument/2006/relationships/header" Target="header1.xml"/><Relationship Id="rId29" Type="http://schemas.openxmlformats.org/officeDocument/2006/relationships/image" Target="media/image2.png"/><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84</Pages>
  <Words>1119</Words>
  <Characters>1221</Characters>
  <Lines>0</Lines>
  <Paragraphs>0</Paragraphs>
  <TotalTime>58</TotalTime>
  <ScaleCrop>false</ScaleCrop>
  <LinksUpToDate>false</LinksUpToDate>
  <CharactersWithSpaces>1371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晨曦</cp:lastModifiedBy>
  <cp:lastPrinted>2024-09-29T17:33:00Z</cp:lastPrinted>
  <dcterms:modified xsi:type="dcterms:W3CDTF">2026-02-05T08:05:02Z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A327EB87874948D7A033D563F40FD605_13</vt:lpwstr>
  </property>
  <property fmtid="{D5CDD505-2E9C-101B-9397-08002B2CF9AE}" pid="4" name="KSOTemplateDocerSaveRecord">
    <vt:lpwstr>eyJoZGlkIjoiOGJmMDA2NGQyMzZlNjM5MzA0YmFjNTc5NjdkZmMxODQiLCJ1c2VySWQiOiIyNTU5NTE0NjEifQ==</vt:lpwstr>
  </property>
</Properties>
</file>