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A84C">
      <w:pPr>
        <w:rPr>
          <w:rFonts w:hint="eastAsia" w:ascii="宋体" w:hAnsi="宋体" w:eastAsia="宋体" w:cs="宋体"/>
          <w:color w:val="auto"/>
        </w:rPr>
      </w:pPr>
    </w:p>
    <w:p w14:paraId="67DCF522">
      <w:pPr>
        <w:rPr>
          <w:rFonts w:hint="eastAsia" w:ascii="宋体" w:hAnsi="宋体" w:eastAsia="宋体" w:cs="宋体"/>
          <w:color w:val="auto"/>
        </w:rPr>
      </w:pPr>
    </w:p>
    <w:p w14:paraId="07C6B6AB">
      <w:pPr>
        <w:rPr>
          <w:rFonts w:hint="eastAsia" w:ascii="宋体" w:hAnsi="宋体" w:eastAsia="宋体" w:cs="宋体"/>
          <w:color w:val="auto"/>
        </w:rPr>
      </w:pPr>
    </w:p>
    <w:p w14:paraId="6C773332">
      <w:pPr>
        <w:rPr>
          <w:rFonts w:hint="eastAsia" w:ascii="宋体" w:hAnsi="宋体" w:eastAsia="宋体" w:cs="宋体"/>
          <w:color w:val="auto"/>
        </w:rPr>
      </w:pPr>
    </w:p>
    <w:p w14:paraId="32CAA6D8">
      <w:pPr>
        <w:rPr>
          <w:rFonts w:hint="eastAsia" w:ascii="宋体" w:hAnsi="宋体" w:eastAsia="宋体" w:cs="宋体"/>
          <w:color w:val="auto"/>
        </w:rPr>
      </w:pPr>
    </w:p>
    <w:p w14:paraId="2747D57C">
      <w:pPr>
        <w:rPr>
          <w:rFonts w:hint="eastAsia" w:ascii="宋体" w:hAnsi="宋体" w:eastAsia="宋体" w:cs="宋体"/>
          <w:color w:val="auto"/>
        </w:rPr>
      </w:pPr>
    </w:p>
    <w:p w14:paraId="5C4BAA22">
      <w:pPr>
        <w:pStyle w:val="28"/>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rPr>
      </w:pPr>
      <w:r>
        <w:rPr>
          <w:rFonts w:hint="eastAsia" w:ascii="宋体" w:hAnsi="宋体" w:eastAsia="宋体" w:cs="宋体"/>
          <w:b/>
          <w:bCs w:val="0"/>
          <w:snapToGrid w:val="0"/>
          <w:color w:val="auto"/>
          <w:kern w:val="0"/>
          <w:sz w:val="48"/>
          <w:szCs w:val="48"/>
          <w:highlight w:val="none"/>
          <w:lang w:val="en-US" w:eastAsia="zh-CN"/>
        </w:rPr>
        <w:t>寮浈共建标准厂房及其配套项目二期6#楼改造项目施工</w:t>
      </w:r>
    </w:p>
    <w:p w14:paraId="36203014">
      <w:pPr>
        <w:rPr>
          <w:rFonts w:hint="eastAsia" w:ascii="宋体" w:hAnsi="宋体" w:eastAsia="宋体" w:cs="宋体"/>
          <w:color w:val="auto"/>
        </w:rPr>
      </w:pPr>
    </w:p>
    <w:p w14:paraId="13771405">
      <w:pPr>
        <w:rPr>
          <w:rFonts w:hint="eastAsia" w:ascii="宋体" w:hAnsi="宋体" w:eastAsia="宋体" w:cs="宋体"/>
          <w:color w:val="auto"/>
        </w:rPr>
      </w:pPr>
    </w:p>
    <w:p w14:paraId="70C05EB9">
      <w:pPr>
        <w:rPr>
          <w:rFonts w:hint="eastAsia" w:ascii="宋体" w:hAnsi="宋体" w:eastAsia="宋体" w:cs="宋体"/>
          <w:color w:val="auto"/>
        </w:rPr>
      </w:pPr>
    </w:p>
    <w:p w14:paraId="507E6CD4">
      <w:pPr>
        <w:rPr>
          <w:rFonts w:hint="eastAsia" w:ascii="宋体" w:hAnsi="宋体" w:eastAsia="宋体" w:cs="宋体"/>
          <w:color w:val="auto"/>
        </w:rPr>
      </w:pPr>
    </w:p>
    <w:p w14:paraId="2D3EA90E">
      <w:pPr>
        <w:rPr>
          <w:rFonts w:hint="eastAsia" w:ascii="宋体" w:hAnsi="宋体" w:eastAsia="宋体" w:cs="宋体"/>
          <w:color w:val="auto"/>
        </w:rPr>
      </w:pPr>
    </w:p>
    <w:p w14:paraId="676E2F28">
      <w:pPr>
        <w:rPr>
          <w:rFonts w:hint="eastAsia" w:ascii="宋体" w:hAnsi="宋体" w:eastAsia="宋体" w:cs="宋体"/>
          <w:color w:val="auto"/>
        </w:rPr>
      </w:pPr>
    </w:p>
    <w:p w14:paraId="6CE38A61">
      <w:pPr>
        <w:pStyle w:val="28"/>
        <w:wordWrap w:val="0"/>
        <w:adjustRightInd w:val="0"/>
        <w:snapToGrid w:val="0"/>
        <w:spacing w:line="360" w:lineRule="auto"/>
        <w:jc w:val="center"/>
        <w:rPr>
          <w:rFonts w:hint="eastAsia" w:ascii="宋体" w:hAnsi="宋体" w:eastAsia="宋体" w:cs="宋体"/>
          <w:color w:val="auto"/>
        </w:rPr>
      </w:pPr>
      <w:r>
        <w:rPr>
          <w:rFonts w:hint="eastAsia" w:ascii="宋体" w:hAnsi="宋体" w:eastAsia="宋体" w:cs="宋体"/>
          <w:b/>
          <w:bCs/>
          <w:snapToGrid w:val="0"/>
          <w:color w:val="auto"/>
          <w:kern w:val="0"/>
          <w:sz w:val="72"/>
          <w:szCs w:val="72"/>
          <w:highlight w:val="none"/>
        </w:rPr>
        <w:t>招标文件</w:t>
      </w:r>
    </w:p>
    <w:p w14:paraId="03C073B1">
      <w:pPr>
        <w:rPr>
          <w:rFonts w:hint="eastAsia" w:ascii="宋体" w:hAnsi="宋体" w:eastAsia="宋体" w:cs="宋体"/>
          <w:color w:val="auto"/>
        </w:rPr>
      </w:pPr>
    </w:p>
    <w:p w14:paraId="1D13841C">
      <w:pPr>
        <w:rPr>
          <w:rFonts w:hint="eastAsia" w:ascii="宋体" w:hAnsi="宋体" w:eastAsia="宋体" w:cs="宋体"/>
          <w:color w:val="auto"/>
        </w:rPr>
      </w:pPr>
    </w:p>
    <w:p w14:paraId="2FD9E027">
      <w:pPr>
        <w:rPr>
          <w:rFonts w:hint="eastAsia" w:ascii="宋体" w:hAnsi="宋体" w:eastAsia="宋体" w:cs="宋体"/>
          <w:color w:val="auto"/>
        </w:rPr>
      </w:pPr>
    </w:p>
    <w:p w14:paraId="4B7622F9">
      <w:pPr>
        <w:rPr>
          <w:rFonts w:hint="eastAsia" w:ascii="宋体" w:hAnsi="宋体" w:eastAsia="宋体" w:cs="宋体"/>
          <w:color w:val="auto"/>
        </w:rPr>
      </w:pPr>
    </w:p>
    <w:p w14:paraId="08511576">
      <w:pPr>
        <w:rPr>
          <w:rFonts w:hint="eastAsia" w:ascii="宋体" w:hAnsi="宋体" w:eastAsia="宋体" w:cs="宋体"/>
          <w:color w:val="auto"/>
        </w:rPr>
      </w:pPr>
    </w:p>
    <w:tbl>
      <w:tblPr>
        <w:tblStyle w:val="23"/>
        <w:tblW w:w="9430" w:type="dxa"/>
        <w:jc w:val="center"/>
        <w:tblLayout w:type="fixed"/>
        <w:tblCellMar>
          <w:top w:w="0" w:type="dxa"/>
          <w:left w:w="0" w:type="dxa"/>
          <w:bottom w:w="0" w:type="dxa"/>
          <w:right w:w="0" w:type="dxa"/>
        </w:tblCellMar>
      </w:tblPr>
      <w:tblGrid>
        <w:gridCol w:w="5013"/>
        <w:gridCol w:w="4417"/>
      </w:tblGrid>
      <w:tr w14:paraId="0501B6B0">
        <w:tblPrEx>
          <w:tblCellMar>
            <w:top w:w="0" w:type="dxa"/>
            <w:left w:w="0" w:type="dxa"/>
            <w:bottom w:w="0" w:type="dxa"/>
            <w:right w:w="0" w:type="dxa"/>
          </w:tblCellMar>
        </w:tblPrEx>
        <w:trPr>
          <w:trHeight w:val="1030" w:hRule="atLeast"/>
          <w:jc w:val="center"/>
        </w:trPr>
        <w:tc>
          <w:tcPr>
            <w:tcW w:w="5013" w:type="dxa"/>
            <w:noWrap w:val="0"/>
            <w:vAlign w:val="center"/>
          </w:tcPr>
          <w:p w14:paraId="6B206CC5">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  标  人（盖单位章）：</w:t>
            </w:r>
          </w:p>
        </w:tc>
        <w:tc>
          <w:tcPr>
            <w:tcW w:w="4417" w:type="dxa"/>
            <w:noWrap w:val="0"/>
            <w:vAlign w:val="center"/>
          </w:tcPr>
          <w:p w14:paraId="3B91199F">
            <w:pPr>
              <w:pStyle w:val="29"/>
              <w:snapToGrid w:val="0"/>
              <w:spacing w:line="360" w:lineRule="auto"/>
              <w:rPr>
                <w:rStyle w:val="30"/>
                <w:rFonts w:hint="eastAsia" w:ascii="宋体" w:hAnsi="宋体" w:eastAsia="宋体" w:cs="宋体"/>
                <w:color w:val="auto"/>
                <w:kern w:val="0"/>
                <w:sz w:val="28"/>
                <w:szCs w:val="28"/>
                <w:highlight w:val="none"/>
                <w:lang w:eastAsia="zh-CN"/>
              </w:rPr>
            </w:pPr>
            <w:r>
              <w:rPr>
                <w:rStyle w:val="30"/>
                <w:rFonts w:hint="eastAsia" w:ascii="宋体" w:hAnsi="宋体" w:eastAsia="宋体" w:cs="宋体"/>
                <w:color w:val="auto"/>
                <w:kern w:val="0"/>
                <w:sz w:val="28"/>
                <w:szCs w:val="28"/>
                <w:highlight w:val="none"/>
                <w:lang w:eastAsia="zh-CN"/>
              </w:rPr>
              <w:t>韶关一方投资开发有限公司</w:t>
            </w:r>
          </w:p>
        </w:tc>
      </w:tr>
      <w:tr w14:paraId="62243DB5">
        <w:tblPrEx>
          <w:tblCellMar>
            <w:top w:w="0" w:type="dxa"/>
            <w:left w:w="0" w:type="dxa"/>
            <w:bottom w:w="0" w:type="dxa"/>
            <w:right w:w="0" w:type="dxa"/>
          </w:tblCellMar>
        </w:tblPrEx>
        <w:trPr>
          <w:trHeight w:val="844" w:hRule="atLeast"/>
          <w:jc w:val="center"/>
        </w:trPr>
        <w:tc>
          <w:tcPr>
            <w:tcW w:w="5013" w:type="dxa"/>
            <w:noWrap w:val="0"/>
            <w:vAlign w:val="center"/>
          </w:tcPr>
          <w:p w14:paraId="4D7209B0">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招标人工作领导小组负责人（签字）：</w:t>
            </w:r>
          </w:p>
        </w:tc>
        <w:tc>
          <w:tcPr>
            <w:tcW w:w="4417" w:type="dxa"/>
            <w:noWrap w:val="0"/>
            <w:vAlign w:val="center"/>
          </w:tcPr>
          <w:p w14:paraId="7D6347C1">
            <w:pPr>
              <w:pStyle w:val="29"/>
              <w:snapToGrid w:val="0"/>
              <w:spacing w:line="360" w:lineRule="auto"/>
              <w:rPr>
                <w:rStyle w:val="30"/>
                <w:rFonts w:hint="eastAsia" w:ascii="宋体" w:hAnsi="宋体" w:eastAsia="宋体" w:cs="宋体"/>
                <w:color w:val="auto"/>
                <w:kern w:val="0"/>
                <w:sz w:val="28"/>
                <w:szCs w:val="28"/>
                <w:highlight w:val="none"/>
              </w:rPr>
            </w:pPr>
          </w:p>
        </w:tc>
      </w:tr>
      <w:tr w14:paraId="557871D8">
        <w:tblPrEx>
          <w:tblCellMar>
            <w:top w:w="0" w:type="dxa"/>
            <w:left w:w="0" w:type="dxa"/>
            <w:bottom w:w="0" w:type="dxa"/>
            <w:right w:w="0" w:type="dxa"/>
          </w:tblCellMar>
        </w:tblPrEx>
        <w:trPr>
          <w:trHeight w:val="840" w:hRule="atLeast"/>
          <w:jc w:val="center"/>
        </w:trPr>
        <w:tc>
          <w:tcPr>
            <w:tcW w:w="5013" w:type="dxa"/>
            <w:noWrap w:val="0"/>
            <w:vAlign w:val="center"/>
          </w:tcPr>
          <w:p w14:paraId="12494C22">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 标 代 理 机 构 （盖单位章）：</w:t>
            </w:r>
          </w:p>
        </w:tc>
        <w:tc>
          <w:tcPr>
            <w:tcW w:w="4417" w:type="dxa"/>
            <w:noWrap w:val="0"/>
            <w:vAlign w:val="center"/>
          </w:tcPr>
          <w:p w14:paraId="7ADEE5DD">
            <w:pPr>
              <w:pStyle w:val="29"/>
              <w:snapToGrid w:val="0"/>
              <w:spacing w:line="360" w:lineRule="auto"/>
              <w:rPr>
                <w:rStyle w:val="30"/>
                <w:rFonts w:hint="eastAsia" w:ascii="宋体" w:hAnsi="宋体" w:eastAsia="宋体" w:cs="宋体"/>
                <w:color w:val="auto"/>
                <w:kern w:val="0"/>
                <w:sz w:val="28"/>
                <w:szCs w:val="28"/>
                <w:highlight w:val="none"/>
                <w:lang w:eastAsia="zh-CN"/>
              </w:rPr>
            </w:pPr>
            <w:r>
              <w:rPr>
                <w:rStyle w:val="30"/>
                <w:rFonts w:hint="eastAsia" w:ascii="宋体" w:hAnsi="宋体" w:eastAsia="宋体" w:cs="宋体"/>
                <w:color w:val="auto"/>
                <w:kern w:val="0"/>
                <w:sz w:val="28"/>
                <w:szCs w:val="28"/>
                <w:highlight w:val="none"/>
                <w:lang w:eastAsia="zh-CN"/>
              </w:rPr>
              <w:t>广东明正项目管理有限公司</w:t>
            </w:r>
          </w:p>
        </w:tc>
      </w:tr>
      <w:tr w14:paraId="76B8C942">
        <w:tblPrEx>
          <w:tblCellMar>
            <w:top w:w="0" w:type="dxa"/>
            <w:left w:w="0" w:type="dxa"/>
            <w:bottom w:w="0" w:type="dxa"/>
            <w:right w:w="0" w:type="dxa"/>
          </w:tblCellMar>
        </w:tblPrEx>
        <w:trPr>
          <w:trHeight w:val="968" w:hRule="atLeast"/>
          <w:jc w:val="center"/>
        </w:trPr>
        <w:tc>
          <w:tcPr>
            <w:tcW w:w="5013" w:type="dxa"/>
            <w:noWrap w:val="0"/>
            <w:vAlign w:val="center"/>
          </w:tcPr>
          <w:p w14:paraId="138BC54E">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招标文件编制人（签字）：</w:t>
            </w:r>
          </w:p>
        </w:tc>
        <w:tc>
          <w:tcPr>
            <w:tcW w:w="4417" w:type="dxa"/>
            <w:noWrap w:val="0"/>
            <w:vAlign w:val="center"/>
          </w:tcPr>
          <w:p w14:paraId="51FD8017">
            <w:pPr>
              <w:pStyle w:val="29"/>
              <w:snapToGrid w:val="0"/>
              <w:spacing w:line="360" w:lineRule="auto"/>
              <w:rPr>
                <w:rStyle w:val="30"/>
                <w:rFonts w:hint="eastAsia" w:ascii="宋体" w:hAnsi="宋体" w:eastAsia="宋体" w:cs="宋体"/>
                <w:color w:val="auto"/>
                <w:kern w:val="0"/>
                <w:sz w:val="28"/>
                <w:szCs w:val="28"/>
                <w:highlight w:val="none"/>
              </w:rPr>
            </w:pPr>
          </w:p>
        </w:tc>
      </w:tr>
      <w:tr w14:paraId="44538499">
        <w:tblPrEx>
          <w:tblCellMar>
            <w:top w:w="0" w:type="dxa"/>
            <w:left w:w="0" w:type="dxa"/>
            <w:bottom w:w="0" w:type="dxa"/>
            <w:right w:w="0" w:type="dxa"/>
          </w:tblCellMar>
        </w:tblPrEx>
        <w:trPr>
          <w:trHeight w:val="937" w:hRule="atLeast"/>
          <w:jc w:val="center"/>
        </w:trPr>
        <w:tc>
          <w:tcPr>
            <w:tcW w:w="5013" w:type="dxa"/>
            <w:noWrap w:val="0"/>
            <w:vAlign w:val="center"/>
          </w:tcPr>
          <w:p w14:paraId="00E384E3">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招标代理机构项目负责人（签字）：</w:t>
            </w:r>
          </w:p>
        </w:tc>
        <w:tc>
          <w:tcPr>
            <w:tcW w:w="4417" w:type="dxa"/>
            <w:noWrap w:val="0"/>
            <w:vAlign w:val="center"/>
          </w:tcPr>
          <w:p w14:paraId="6D2E4025">
            <w:pPr>
              <w:pStyle w:val="29"/>
              <w:snapToGrid w:val="0"/>
              <w:spacing w:line="360" w:lineRule="auto"/>
              <w:rPr>
                <w:rStyle w:val="30"/>
                <w:rFonts w:hint="eastAsia" w:ascii="宋体" w:hAnsi="宋体" w:eastAsia="宋体" w:cs="宋体"/>
                <w:color w:val="auto"/>
                <w:kern w:val="0"/>
                <w:sz w:val="28"/>
                <w:szCs w:val="28"/>
                <w:highlight w:val="none"/>
              </w:rPr>
            </w:pPr>
          </w:p>
        </w:tc>
      </w:tr>
      <w:tr w14:paraId="1E5299C8">
        <w:tblPrEx>
          <w:tblCellMar>
            <w:top w:w="0" w:type="dxa"/>
            <w:left w:w="0" w:type="dxa"/>
            <w:bottom w:w="0" w:type="dxa"/>
            <w:right w:w="0" w:type="dxa"/>
          </w:tblCellMar>
        </w:tblPrEx>
        <w:trPr>
          <w:trHeight w:val="832" w:hRule="atLeast"/>
          <w:jc w:val="center"/>
        </w:trPr>
        <w:tc>
          <w:tcPr>
            <w:tcW w:w="5013" w:type="dxa"/>
            <w:noWrap w:val="0"/>
            <w:vAlign w:val="center"/>
          </w:tcPr>
          <w:p w14:paraId="2DA38FA2">
            <w:pPr>
              <w:pStyle w:val="29"/>
              <w:snapToGrid w:val="0"/>
              <w:spacing w:line="360" w:lineRule="auto"/>
              <w:jc w:val="distribute"/>
              <w:rPr>
                <w:rStyle w:val="30"/>
                <w:rFonts w:hint="eastAsia" w:ascii="宋体" w:hAnsi="宋体" w:eastAsia="宋体" w:cs="宋体"/>
                <w:color w:val="auto"/>
                <w:kern w:val="0"/>
                <w:sz w:val="28"/>
                <w:szCs w:val="28"/>
                <w:highlight w:val="none"/>
              </w:rPr>
            </w:pPr>
            <w:r>
              <w:rPr>
                <w:rStyle w:val="30"/>
                <w:rFonts w:hint="eastAsia" w:ascii="宋体" w:hAnsi="宋体" w:eastAsia="宋体" w:cs="宋体"/>
                <w:color w:val="auto"/>
                <w:kern w:val="0"/>
                <w:sz w:val="28"/>
                <w:szCs w:val="28"/>
                <w:highlight w:val="none"/>
              </w:rPr>
              <w:t xml:space="preserve"> 招标文件编制日期：</w:t>
            </w:r>
          </w:p>
        </w:tc>
        <w:tc>
          <w:tcPr>
            <w:tcW w:w="4417" w:type="dxa"/>
            <w:noWrap w:val="0"/>
            <w:vAlign w:val="center"/>
          </w:tcPr>
          <w:p w14:paraId="5B3C05AC">
            <w:pPr>
              <w:pStyle w:val="29"/>
              <w:snapToGrid w:val="0"/>
              <w:spacing w:line="360" w:lineRule="auto"/>
              <w:rPr>
                <w:rStyle w:val="30"/>
                <w:rFonts w:hint="eastAsia" w:ascii="宋体" w:hAnsi="宋体" w:eastAsia="宋体" w:cs="宋体"/>
                <w:color w:val="auto"/>
                <w:kern w:val="0"/>
                <w:sz w:val="28"/>
                <w:szCs w:val="28"/>
                <w:highlight w:val="none"/>
              </w:rPr>
            </w:pPr>
            <w:r>
              <w:rPr>
                <w:rStyle w:val="30"/>
                <w:rFonts w:hint="eastAsia" w:hAnsi="宋体" w:cs="宋体"/>
                <w:color w:val="auto"/>
                <w:kern w:val="0"/>
                <w:sz w:val="28"/>
                <w:szCs w:val="28"/>
                <w:highlight w:val="none"/>
                <w:lang w:val="en-US" w:eastAsia="zh-CN"/>
              </w:rPr>
              <w:t>2026</w:t>
            </w:r>
            <w:r>
              <w:rPr>
                <w:rStyle w:val="30"/>
                <w:rFonts w:hint="eastAsia" w:ascii="宋体" w:hAnsi="宋体" w:eastAsia="宋体" w:cs="宋体"/>
                <w:color w:val="auto"/>
                <w:kern w:val="0"/>
                <w:sz w:val="28"/>
                <w:szCs w:val="28"/>
                <w:highlight w:val="none"/>
              </w:rPr>
              <w:t>年</w:t>
            </w:r>
            <w:r>
              <w:rPr>
                <w:rStyle w:val="30"/>
                <w:rFonts w:hint="eastAsia" w:hAnsi="宋体" w:cs="宋体"/>
                <w:color w:val="auto"/>
                <w:kern w:val="0"/>
                <w:sz w:val="28"/>
                <w:szCs w:val="28"/>
                <w:highlight w:val="none"/>
                <w:lang w:val="en-US" w:eastAsia="zh-CN"/>
              </w:rPr>
              <w:t>06</w:t>
            </w:r>
            <w:r>
              <w:rPr>
                <w:rStyle w:val="30"/>
                <w:rFonts w:hint="eastAsia" w:ascii="宋体" w:hAnsi="宋体" w:eastAsia="宋体" w:cs="宋体"/>
                <w:color w:val="auto"/>
                <w:kern w:val="0"/>
                <w:sz w:val="28"/>
                <w:szCs w:val="28"/>
                <w:highlight w:val="none"/>
              </w:rPr>
              <w:t>月</w:t>
            </w:r>
          </w:p>
        </w:tc>
      </w:tr>
    </w:tbl>
    <w:p w14:paraId="4ECCE68B">
      <w:pPr>
        <w:rPr>
          <w:rFonts w:hint="eastAsia" w:ascii="宋体" w:hAnsi="宋体" w:eastAsia="宋体" w:cs="宋体"/>
          <w:color w:val="auto"/>
        </w:rPr>
      </w:pPr>
    </w:p>
    <w:p w14:paraId="23510407">
      <w:pPr>
        <w:shd w:val="clear" w:color="auto" w:fill="auto"/>
        <w:spacing w:line="240" w:lineRule="auto"/>
        <w:jc w:val="center"/>
        <w:outlineLvl w:val="9"/>
        <w:rPr>
          <w:rFonts w:hint="eastAsia" w:ascii="宋体" w:hAnsi="宋体" w:eastAsia="宋体" w:cs="宋体"/>
          <w:b/>
          <w:bCs/>
          <w:color w:val="auto"/>
          <w:sz w:val="44"/>
          <w:szCs w:val="44"/>
          <w:highlight w:val="none"/>
        </w:rPr>
        <w:sectPr>
          <w:headerReference r:id="rId3" w:type="default"/>
          <w:footerReference r:id="rId4" w:type="default"/>
          <w:pgSz w:w="11906" w:h="16838"/>
          <w:pgMar w:top="1134" w:right="1134" w:bottom="1134" w:left="1134" w:header="851" w:footer="850" w:gutter="0"/>
          <w:pgBorders>
            <w:top w:val="none" w:sz="0" w:space="0"/>
            <w:left w:val="none" w:sz="0" w:space="0"/>
            <w:bottom w:val="none" w:sz="0" w:space="0"/>
            <w:right w:val="none" w:sz="0" w:space="0"/>
          </w:pgBorders>
          <w:pgNumType w:fmt="decimal" w:start="0"/>
          <w:cols w:space="0" w:num="1"/>
          <w:rtlGutter w:val="0"/>
          <w:docGrid w:type="lines" w:linePitch="312" w:charSpace="0"/>
        </w:sectPr>
      </w:pPr>
    </w:p>
    <w:p w14:paraId="3AC6F9BF">
      <w:pPr>
        <w:shd w:val="clear" w:color="auto" w:fill="auto"/>
        <w:spacing w:line="240" w:lineRule="auto"/>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6504E99">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_Toc30297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第一章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招标公告</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_Toc30297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A1CC6A8">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_Toc13125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第二章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投标人须知</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_Toc13125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2A7B62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_Toc29899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一、投标人须知前附表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_Toc29899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EB0C1F2">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_Toc26506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二、重要事项时间地点一览表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_Toc26506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BF5E716">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_Toc18634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三、投标人须知</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_Toc18634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6E515F2">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_Toc6725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一</w:t>
      </w:r>
      <w:r>
        <w:rPr>
          <w:rFonts w:hint="eastAsia" w:ascii="宋体" w:hAnsi="宋体" w:eastAsia="宋体" w:cs="宋体"/>
          <w:b w:val="0"/>
          <w:bCs w:val="0"/>
          <w:color w:val="auto"/>
          <w:kern w:val="0"/>
          <w:sz w:val="24"/>
          <w:szCs w:val="24"/>
          <w:highlight w:val="none"/>
        </w:rPr>
        <w:t>）总</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_Toc6725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1B12A42">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_Toc8470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投标否决</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_Toc8470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13</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7652C1A">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_Toc18956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）招标文件</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_Toc18956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6F034A4">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_Toc18780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）投标文件</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_Toc18780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6A1476E">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_Toc1413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五</w:t>
      </w:r>
      <w:r>
        <w:rPr>
          <w:rFonts w:hint="eastAsia" w:ascii="宋体" w:hAnsi="宋体" w:eastAsia="宋体" w:cs="宋体"/>
          <w:b w:val="0"/>
          <w:bCs w:val="0"/>
          <w:color w:val="auto"/>
          <w:sz w:val="24"/>
          <w:szCs w:val="24"/>
        </w:rPr>
        <w:t>）开标规定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_Toc1413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553C400">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_Toc26799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）评标</w:t>
      </w:r>
      <w:r>
        <w:rPr>
          <w:rFonts w:hint="eastAsia" w:ascii="宋体" w:hAnsi="宋体" w:eastAsia="宋体" w:cs="宋体"/>
          <w:b w:val="0"/>
          <w:bCs w:val="0"/>
          <w:color w:val="auto"/>
          <w:sz w:val="24"/>
          <w:szCs w:val="24"/>
          <w:lang w:eastAsia="zh-CN"/>
        </w:rPr>
        <w:t>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_Toc26799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FAAA6E5">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_Toc26223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七</w:t>
      </w:r>
      <w:r>
        <w:rPr>
          <w:rFonts w:hint="eastAsia" w:ascii="宋体" w:hAnsi="宋体" w:eastAsia="宋体" w:cs="宋体"/>
          <w:b w:val="0"/>
          <w:bCs w:val="0"/>
          <w:color w:val="auto"/>
          <w:sz w:val="24"/>
          <w:szCs w:val="24"/>
        </w:rPr>
        <w:t>）定标</w:t>
      </w:r>
      <w:r>
        <w:rPr>
          <w:rFonts w:hint="eastAsia" w:ascii="宋体" w:hAnsi="宋体" w:eastAsia="宋体" w:cs="宋体"/>
          <w:b w:val="0"/>
          <w:bCs w:val="0"/>
          <w:color w:val="auto"/>
          <w:sz w:val="24"/>
          <w:szCs w:val="24"/>
          <w:lang w:eastAsia="zh-CN"/>
        </w:rPr>
        <w:t>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_Toc26223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E3A7D40">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_Toc27875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八</w:t>
      </w:r>
      <w:r>
        <w:rPr>
          <w:rFonts w:hint="eastAsia" w:ascii="宋体" w:hAnsi="宋体" w:eastAsia="宋体" w:cs="宋体"/>
          <w:b w:val="0"/>
          <w:bCs w:val="0"/>
          <w:color w:val="auto"/>
          <w:sz w:val="24"/>
          <w:szCs w:val="24"/>
        </w:rPr>
        <w:t>）中标确认</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_Toc27875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1D4D6DB">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_Toc14875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九</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合同授予</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_Toc14875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EE52723">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_Toc20904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）电子管理规定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_Toc20904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36CDDF3">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_Toc27282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其他</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_Toc27282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34A2588">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_Toc10646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第三章   评标</w:t>
      </w:r>
      <w:r>
        <w:rPr>
          <w:rFonts w:hint="eastAsia" w:ascii="宋体" w:hAnsi="宋体" w:eastAsia="宋体" w:cs="宋体"/>
          <w:b w:val="0"/>
          <w:bCs w:val="0"/>
          <w:color w:val="auto"/>
          <w:sz w:val="24"/>
          <w:szCs w:val="24"/>
          <w:lang w:eastAsia="zh-CN"/>
        </w:rPr>
        <w:t>定标</w:t>
      </w:r>
      <w:r>
        <w:rPr>
          <w:rFonts w:hint="eastAsia" w:ascii="宋体" w:hAnsi="宋体" w:eastAsia="宋体" w:cs="宋体"/>
          <w:b w:val="0"/>
          <w:bCs w:val="0"/>
          <w:color w:val="auto"/>
          <w:sz w:val="24"/>
          <w:szCs w:val="24"/>
        </w:rPr>
        <w:t>办法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_Toc10646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E71A97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_Toc5619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一、评标</w:t>
      </w:r>
      <w:r>
        <w:rPr>
          <w:rFonts w:hint="eastAsia" w:ascii="宋体" w:hAnsi="宋体" w:eastAsia="宋体" w:cs="宋体"/>
          <w:b w:val="0"/>
          <w:bCs w:val="0"/>
          <w:color w:val="auto"/>
          <w:sz w:val="24"/>
          <w:szCs w:val="24"/>
          <w:lang w:eastAsia="zh-CN"/>
        </w:rPr>
        <w:t>定标</w:t>
      </w:r>
      <w:r>
        <w:rPr>
          <w:rFonts w:hint="eastAsia" w:ascii="宋体" w:hAnsi="宋体" w:eastAsia="宋体" w:cs="宋体"/>
          <w:b w:val="0"/>
          <w:bCs w:val="0"/>
          <w:color w:val="auto"/>
          <w:sz w:val="24"/>
          <w:szCs w:val="24"/>
        </w:rPr>
        <w:t>原则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_Toc5619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66DF474">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_Toc16526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、评标</w:t>
      </w:r>
      <w:r>
        <w:rPr>
          <w:rFonts w:hint="eastAsia" w:ascii="宋体" w:hAnsi="宋体" w:eastAsia="宋体" w:cs="宋体"/>
          <w:b w:val="0"/>
          <w:bCs w:val="0"/>
          <w:color w:val="auto"/>
          <w:sz w:val="24"/>
          <w:szCs w:val="24"/>
          <w:lang w:val="en-US" w:eastAsia="zh-CN"/>
        </w:rPr>
        <w:t>定标</w:t>
      </w:r>
      <w:r>
        <w:rPr>
          <w:rFonts w:hint="eastAsia" w:ascii="宋体" w:hAnsi="宋体" w:eastAsia="宋体" w:cs="宋体"/>
          <w:b w:val="0"/>
          <w:bCs w:val="0"/>
          <w:color w:val="auto"/>
          <w:sz w:val="24"/>
          <w:szCs w:val="24"/>
          <w:lang w:eastAsia="zh-CN"/>
        </w:rPr>
        <w:t>规则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_Toc16526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46ABE62">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_Toc28121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三、评标细则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_Toc28121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22466F9">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_Toc10771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四、定标细则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_Toc10771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F87BF73">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_Toc1729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第四章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投标文件格式</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_Toc1729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ED40AC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_Toc25489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格式一</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封面</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_Toc25489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DE29140">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_Toc16328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格式二</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投标函</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_Toc16328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E2AE49A">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_Toc12708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格式三</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各项承诺一览表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_Toc12708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8B63F83">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_Toc27962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格式四   法定代表人身份证明</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_Toc27962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4F21C55">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_Toc22756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格式五   授权委托书</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_Toc22756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9CC46FC">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_Toc1232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格式六   投标人基本情况表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_Toc1232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9507C15">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_Toc5569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格式七   项目经理简历表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_Toc5569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51</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1E9BAB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_Toc16516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格式八   项目经理任职声明</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_Toc16516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A2D13FB">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_Toc5223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格式九   项目技术负责人简历表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_Toc5223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53</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7A7929D">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_Toc5480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   专职安全员简历表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_Toc5480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4E218F7">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_Toc28886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格式十一   项目管理机构组成表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_Toc28886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349BE3E">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_Toc1515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格式十二   建造师查询页（有效期+建造师签字）</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_Toc1515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55921E6">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_Toc18564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格式十三   危险性较大的分部分项工程清单及超过一定规模的危险性较大的分部分项工程清单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_Toc18564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BA3BDB2">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_Toc21344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格式十四   履约保函</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_Toc21344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6E72D67">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_Toc29254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格式十五   原件一览表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_Toc29254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63</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FB19A2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_Toc28885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格式十六   定标因素评审资料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_Toc28885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805D8C8">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_Toc22102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第五章</w:t>
      </w:r>
      <w:r>
        <w:rPr>
          <w:rFonts w:hint="eastAsia" w:ascii="宋体" w:hAnsi="宋体" w:eastAsia="宋体" w:cs="宋体"/>
          <w:b w:val="0"/>
          <w:bCs w:val="0"/>
          <w:color w:val="auto"/>
          <w:sz w:val="24"/>
          <w:szCs w:val="24"/>
          <w:lang w:val="en-US" w:eastAsia="zh-CN"/>
        </w:rPr>
        <w:t xml:space="preserve">   合同条款及</w:t>
      </w:r>
      <w:r>
        <w:rPr>
          <w:rFonts w:hint="eastAsia" w:ascii="宋体" w:hAnsi="宋体" w:eastAsia="宋体" w:cs="宋体"/>
          <w:b w:val="0"/>
          <w:bCs w:val="0"/>
          <w:color w:val="auto"/>
          <w:sz w:val="24"/>
          <w:szCs w:val="24"/>
        </w:rPr>
        <w:t>合同文件格式</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_Toc22102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728DE4A">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_Toc26994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施工图纸</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_Toc26994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77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0A51A04">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_Toc28591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第七章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工程量清单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_Toc28591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78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FD80A6A">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_Toc16120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第八章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最高投标限</w:t>
      </w:r>
      <w:r>
        <w:rPr>
          <w:rFonts w:hint="eastAsia" w:ascii="宋体" w:hAnsi="宋体" w:eastAsia="宋体" w:cs="宋体"/>
          <w:b w:val="0"/>
          <w:bCs w:val="0"/>
          <w:color w:val="auto"/>
          <w:sz w:val="24"/>
          <w:szCs w:val="24"/>
        </w:rPr>
        <w:t>价</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_Toc16120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79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4290BB7">
      <w:pPr>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rPr>
        <w:fldChar w:fldCharType="end"/>
      </w:r>
    </w:p>
    <w:p w14:paraId="08BB4BAF">
      <w:pPr>
        <w:pStyle w:val="3"/>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Cs/>
          <w:color w:val="auto"/>
          <w:sz w:val="32"/>
          <w:szCs w:val="32"/>
          <w:highlight w:val="none"/>
        </w:rPr>
      </w:pPr>
      <w:bookmarkStart w:id="0" w:name="_Toc30297"/>
      <w:r>
        <w:rPr>
          <w:rFonts w:hint="eastAsia" w:ascii="宋体" w:hAnsi="宋体" w:eastAsia="宋体" w:cs="宋体"/>
          <w:color w:val="auto"/>
          <w:sz w:val="32"/>
          <w:szCs w:val="32"/>
          <w:highlight w:val="none"/>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招标公告</w:t>
      </w:r>
      <w:bookmarkEnd w:id="0"/>
    </w:p>
    <w:p w14:paraId="7D70B6EB">
      <w:pPr>
        <w:shd w:val="clear" w:color="auto" w:fill="auto"/>
        <w:jc w:val="center"/>
        <w:rPr>
          <w:rFonts w:hint="eastAsia" w:ascii="宋体" w:hAnsi="宋体" w:eastAsia="宋体" w:cs="宋体"/>
          <w:b/>
          <w:bCs w:val="0"/>
          <w:i w:val="0"/>
          <w:color w:val="auto"/>
          <w:kern w:val="0"/>
          <w:sz w:val="30"/>
          <w:szCs w:val="30"/>
          <w:highlight w:val="none"/>
          <w:u w:val="none"/>
          <w:lang w:val="en-US" w:eastAsia="zh-CN" w:bidi="ar"/>
        </w:rPr>
      </w:pPr>
      <w:r>
        <w:rPr>
          <w:rFonts w:hint="eastAsia" w:ascii="宋体" w:hAnsi="宋体" w:eastAsia="宋体" w:cs="宋体"/>
          <w:b/>
          <w:bCs w:val="0"/>
          <w:i w:val="0"/>
          <w:color w:val="auto"/>
          <w:kern w:val="0"/>
          <w:sz w:val="30"/>
          <w:szCs w:val="30"/>
          <w:highlight w:val="none"/>
          <w:u w:val="none"/>
          <w:lang w:val="en-US" w:eastAsia="zh-CN" w:bidi="ar"/>
        </w:rPr>
        <w:t>寮浈共建标准厂房及其配套项目二期6#楼改造项目施工招标公告</w:t>
      </w:r>
    </w:p>
    <w:tbl>
      <w:tblPr>
        <w:tblStyle w:val="23"/>
        <w:tblW w:w="9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2221"/>
        <w:gridCol w:w="717"/>
        <w:gridCol w:w="867"/>
        <w:gridCol w:w="486"/>
        <w:gridCol w:w="542"/>
        <w:gridCol w:w="255"/>
        <w:gridCol w:w="214"/>
        <w:gridCol w:w="1402"/>
        <w:gridCol w:w="1396"/>
      </w:tblGrid>
      <w:tr w14:paraId="028A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4B6E0750">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投资项目代码/</w:t>
            </w:r>
          </w:p>
          <w:p w14:paraId="542345CF">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lang w:val="en-US"/>
              </w:rPr>
            </w:pPr>
            <w:r>
              <w:rPr>
                <w:rFonts w:hint="eastAsia" w:ascii="宋体" w:hAnsi="宋体" w:eastAsia="宋体" w:cs="宋体"/>
                <w:b w:val="0"/>
                <w:bCs w:val="0"/>
                <w:i w:val="0"/>
                <w:color w:val="auto"/>
                <w:kern w:val="0"/>
                <w:sz w:val="24"/>
                <w:szCs w:val="24"/>
                <w:highlight w:val="none"/>
                <w:u w:val="none"/>
                <w:lang w:val="en-US" w:eastAsia="zh-CN" w:bidi="ar"/>
              </w:rPr>
              <w:t>项目备案号</w:t>
            </w:r>
          </w:p>
        </w:tc>
        <w:tc>
          <w:tcPr>
            <w:tcW w:w="8100" w:type="dxa"/>
            <w:gridSpan w:val="9"/>
            <w:tcBorders>
              <w:top w:val="single" w:color="auto" w:sz="4" w:space="0"/>
              <w:left w:val="single" w:color="auto" w:sz="4" w:space="0"/>
              <w:bottom w:val="single" w:color="auto" w:sz="4" w:space="0"/>
              <w:right w:val="single" w:color="auto" w:sz="4" w:space="0"/>
            </w:tcBorders>
            <w:noWrap w:val="0"/>
            <w:vAlign w:val="center"/>
          </w:tcPr>
          <w:p w14:paraId="20AE8157">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2510-440204-04-01-398908</w:t>
            </w:r>
          </w:p>
        </w:tc>
      </w:tr>
      <w:tr w14:paraId="15AF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41CD1F6D">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投资项目名称</w:t>
            </w:r>
          </w:p>
        </w:tc>
        <w:tc>
          <w:tcPr>
            <w:tcW w:w="8100" w:type="dxa"/>
            <w:gridSpan w:val="9"/>
            <w:tcBorders>
              <w:top w:val="single" w:color="auto" w:sz="4" w:space="0"/>
              <w:left w:val="single" w:color="auto" w:sz="4" w:space="0"/>
              <w:bottom w:val="single" w:color="auto" w:sz="4" w:space="0"/>
              <w:right w:val="single" w:color="auto" w:sz="4" w:space="0"/>
            </w:tcBorders>
            <w:noWrap w:val="0"/>
            <w:vAlign w:val="center"/>
          </w:tcPr>
          <w:p w14:paraId="4F6B92CF">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寮浈共建标准厂房及其配套项目二期6#楼改造项目</w:t>
            </w:r>
          </w:p>
        </w:tc>
      </w:tr>
      <w:tr w14:paraId="404D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0A8B0F81">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招标项目名称</w:t>
            </w:r>
          </w:p>
        </w:tc>
        <w:tc>
          <w:tcPr>
            <w:tcW w:w="8100" w:type="dxa"/>
            <w:gridSpan w:val="9"/>
            <w:tcBorders>
              <w:top w:val="single" w:color="auto" w:sz="4" w:space="0"/>
              <w:left w:val="single" w:color="auto" w:sz="4" w:space="0"/>
              <w:bottom w:val="single" w:color="auto" w:sz="4" w:space="0"/>
              <w:right w:val="single" w:color="auto" w:sz="4" w:space="0"/>
            </w:tcBorders>
            <w:noWrap w:val="0"/>
            <w:vAlign w:val="center"/>
          </w:tcPr>
          <w:p w14:paraId="478822A2">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寮浈共建标准厂房及其配套项目二期6#楼改造项目施工</w:t>
            </w:r>
          </w:p>
        </w:tc>
      </w:tr>
      <w:tr w14:paraId="1248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auto" w:sz="4" w:space="0"/>
              <w:left w:val="single" w:color="000000" w:sz="4" w:space="0"/>
              <w:bottom w:val="single" w:color="000000" w:sz="4" w:space="0"/>
              <w:right w:val="single" w:color="000000" w:sz="4" w:space="0"/>
            </w:tcBorders>
            <w:noWrap w:val="0"/>
            <w:vAlign w:val="center"/>
          </w:tcPr>
          <w:p w14:paraId="299D24BF">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标段名称</w:t>
            </w:r>
          </w:p>
        </w:tc>
        <w:tc>
          <w:tcPr>
            <w:tcW w:w="5302" w:type="dxa"/>
            <w:gridSpan w:val="7"/>
            <w:tcBorders>
              <w:top w:val="single" w:color="auto" w:sz="4" w:space="0"/>
              <w:left w:val="single" w:color="000000" w:sz="4" w:space="0"/>
              <w:bottom w:val="single" w:color="000000" w:sz="4" w:space="0"/>
              <w:right w:val="single" w:color="000000" w:sz="4" w:space="0"/>
            </w:tcBorders>
            <w:noWrap w:val="0"/>
            <w:vAlign w:val="center"/>
          </w:tcPr>
          <w:p w14:paraId="026F82F2">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寮浈共建标准厂房及其配套项目二期6#楼改造项目施工</w:t>
            </w:r>
          </w:p>
        </w:tc>
        <w:tc>
          <w:tcPr>
            <w:tcW w:w="1402" w:type="dxa"/>
            <w:tcBorders>
              <w:top w:val="single" w:color="auto" w:sz="4" w:space="0"/>
              <w:left w:val="single" w:color="000000" w:sz="4" w:space="0"/>
              <w:bottom w:val="single" w:color="000000" w:sz="4" w:space="0"/>
              <w:right w:val="single" w:color="auto" w:sz="4" w:space="0"/>
            </w:tcBorders>
            <w:noWrap w:val="0"/>
            <w:vAlign w:val="center"/>
          </w:tcPr>
          <w:p w14:paraId="052BFB25">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公告性质</w:t>
            </w:r>
          </w:p>
        </w:tc>
        <w:tc>
          <w:tcPr>
            <w:tcW w:w="1396" w:type="dxa"/>
            <w:tcBorders>
              <w:top w:val="single" w:color="auto" w:sz="4" w:space="0"/>
              <w:left w:val="single" w:color="auto" w:sz="4" w:space="0"/>
              <w:bottom w:val="single" w:color="000000" w:sz="4" w:space="0"/>
              <w:right w:val="single" w:color="000000" w:sz="4" w:space="0"/>
            </w:tcBorders>
            <w:noWrap w:val="0"/>
            <w:vAlign w:val="center"/>
          </w:tcPr>
          <w:p w14:paraId="3E9BB92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正常</w:t>
            </w:r>
          </w:p>
        </w:tc>
      </w:tr>
      <w:tr w14:paraId="343F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86" w:type="dxa"/>
            <w:tcBorders>
              <w:top w:val="single" w:color="auto" w:sz="4" w:space="0"/>
              <w:left w:val="single" w:color="000000" w:sz="4" w:space="0"/>
              <w:bottom w:val="single" w:color="000000" w:sz="4" w:space="0"/>
              <w:right w:val="single" w:color="000000" w:sz="4" w:space="0"/>
            </w:tcBorders>
            <w:noWrap w:val="0"/>
            <w:vAlign w:val="center"/>
          </w:tcPr>
          <w:p w14:paraId="05E70CB0">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资格审查方式</w:t>
            </w:r>
          </w:p>
        </w:tc>
        <w:tc>
          <w:tcPr>
            <w:tcW w:w="8100" w:type="dxa"/>
            <w:gridSpan w:val="9"/>
            <w:tcBorders>
              <w:top w:val="single" w:color="auto" w:sz="4" w:space="0"/>
              <w:left w:val="single" w:color="000000" w:sz="4" w:space="0"/>
              <w:bottom w:val="single" w:color="000000" w:sz="4" w:space="0"/>
              <w:right w:val="single" w:color="000000" w:sz="4" w:space="0"/>
            </w:tcBorders>
            <w:noWrap w:val="0"/>
            <w:vAlign w:val="center"/>
          </w:tcPr>
          <w:p w14:paraId="6B98AE92">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资格后审</w:t>
            </w:r>
          </w:p>
        </w:tc>
      </w:tr>
      <w:tr w14:paraId="533B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413B01C">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招标项目</w:t>
            </w:r>
          </w:p>
          <w:p w14:paraId="6A3CA3DE">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实施地点</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39829DAD">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bCs/>
                <w:snapToGrid w:val="0"/>
                <w:color w:val="auto"/>
                <w:kern w:val="0"/>
                <w:sz w:val="24"/>
                <w:szCs w:val="24"/>
                <w:highlight w:val="none"/>
                <w:lang w:val="en-US" w:eastAsia="zh-CN"/>
              </w:rPr>
              <w:t>韶关市浈江区犁市镇浈江产业转移工业园协同路36号</w:t>
            </w:r>
          </w:p>
        </w:tc>
      </w:tr>
      <w:tr w14:paraId="5D65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608A4A3">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资金来源</w:t>
            </w:r>
          </w:p>
        </w:tc>
        <w:tc>
          <w:tcPr>
            <w:tcW w:w="2938" w:type="dxa"/>
            <w:gridSpan w:val="2"/>
            <w:tcBorders>
              <w:top w:val="single" w:color="000000" w:sz="4" w:space="0"/>
              <w:left w:val="single" w:color="000000" w:sz="4" w:space="0"/>
              <w:bottom w:val="single" w:color="000000" w:sz="4" w:space="0"/>
              <w:right w:val="nil"/>
            </w:tcBorders>
            <w:noWrap w:val="0"/>
            <w:vAlign w:val="center"/>
          </w:tcPr>
          <w:p w14:paraId="5A994398">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Cs/>
                <w:snapToGrid w:val="0"/>
                <w:color w:val="auto"/>
                <w:kern w:val="0"/>
                <w:sz w:val="24"/>
                <w:szCs w:val="24"/>
                <w:highlight w:val="none"/>
                <w:lang w:val="en-US" w:eastAsia="zh-CN"/>
              </w:rPr>
              <w:t>由地方配套安排解决</w:t>
            </w:r>
          </w:p>
        </w:tc>
        <w:tc>
          <w:tcPr>
            <w:tcW w:w="1353" w:type="dxa"/>
            <w:gridSpan w:val="2"/>
            <w:tcBorders>
              <w:top w:val="single" w:color="000000" w:sz="4" w:space="0"/>
              <w:left w:val="single" w:color="000000" w:sz="4" w:space="0"/>
              <w:bottom w:val="single" w:color="000000" w:sz="4" w:space="0"/>
              <w:right w:val="single" w:color="000000" w:sz="4" w:space="0"/>
            </w:tcBorders>
            <w:noWrap w:val="0"/>
            <w:vAlign w:val="center"/>
          </w:tcPr>
          <w:p w14:paraId="731D7B9A">
            <w:pPr>
              <w:keepNext w:val="0"/>
              <w:keepLines w:val="0"/>
              <w:widowControl/>
              <w:suppressLineNumbers w:val="0"/>
              <w:shd w:val="clear" w:color="auto" w:fill="auto"/>
              <w:jc w:val="center"/>
              <w:textAlignment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资金到位情况</w:t>
            </w:r>
          </w:p>
        </w:tc>
        <w:tc>
          <w:tcPr>
            <w:tcW w:w="3809" w:type="dxa"/>
            <w:gridSpan w:val="5"/>
            <w:tcBorders>
              <w:top w:val="single" w:color="000000" w:sz="4" w:space="0"/>
              <w:left w:val="nil"/>
              <w:bottom w:val="single" w:color="000000" w:sz="4" w:space="0"/>
              <w:right w:val="single" w:color="000000" w:sz="4" w:space="0"/>
            </w:tcBorders>
            <w:noWrap w:val="0"/>
            <w:vAlign w:val="center"/>
          </w:tcPr>
          <w:p w14:paraId="1FAD4D92">
            <w:pPr>
              <w:keepNext w:val="0"/>
              <w:keepLines w:val="0"/>
              <w:widowControl/>
              <w:suppressLineNumbers w:val="0"/>
              <w:shd w:val="clear" w:color="auto" w:fill="auto"/>
              <w:jc w:val="center"/>
              <w:textAlignment w:val="center"/>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已落实</w:t>
            </w:r>
          </w:p>
        </w:tc>
      </w:tr>
      <w:tr w14:paraId="5B7E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95B7A0C">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招标范围及规模</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4ABB029C">
            <w:pPr>
              <w:pStyle w:val="7"/>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按审查合格的施工图纸及工程量清单内容施工。</w:t>
            </w:r>
          </w:p>
          <w:p w14:paraId="474515DD">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项目估算总投资766.96万元，其中：工程费653.00万元、工程建设其他费用77.44万元、预备费36.52万元。</w:t>
            </w:r>
          </w:p>
        </w:tc>
      </w:tr>
      <w:tr w14:paraId="6B2C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4FA1FF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招标内容</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69CF8F8D">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对浈江区犁市镇浈江产业转移工业园协同路36号6#办公楼3-6层进行改造，建筑面积约4000平方米。</w:t>
            </w:r>
          </w:p>
        </w:tc>
      </w:tr>
      <w:tr w14:paraId="13BF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2429019">
            <w:pPr>
              <w:keepNext w:val="0"/>
              <w:keepLines w:val="0"/>
              <w:widowControl/>
              <w:suppressLineNumbers w:val="0"/>
              <w:shd w:val="clear" w:color="auto" w:fill="auto"/>
              <w:jc w:val="center"/>
              <w:textAlignment w:val="center"/>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工期</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1EDC0C37">
            <w:pPr>
              <w:pStyle w:val="7"/>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本项目施工招标工期为180个日历天</w:t>
            </w:r>
          </w:p>
        </w:tc>
      </w:tr>
      <w:tr w14:paraId="425F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552CC83">
            <w:pPr>
              <w:keepNext w:val="0"/>
              <w:keepLines w:val="0"/>
              <w:widowControl/>
              <w:suppressLineNumbers w:val="0"/>
              <w:shd w:val="clear" w:color="auto" w:fill="auto"/>
              <w:jc w:val="center"/>
              <w:textAlignment w:val="center"/>
              <w:rPr>
                <w:rFonts w:hint="eastAsia" w:ascii="宋体" w:hAnsi="宋体" w:eastAsia="宋体" w:cs="宋体"/>
                <w:b w:val="0"/>
                <w:bCs/>
                <w:i w:val="0"/>
                <w:iCs/>
                <w:color w:val="auto"/>
                <w:kern w:val="2"/>
                <w:sz w:val="24"/>
                <w:szCs w:val="24"/>
                <w:highlight w:val="none"/>
                <w:lang w:val="en-US" w:eastAsia="zh-CN" w:bidi="ar-SA"/>
              </w:rPr>
            </w:pPr>
            <w:bookmarkStart w:id="1" w:name="OLE_LINK3"/>
            <w:bookmarkStart w:id="2" w:name="OLE_LINK4"/>
            <w:bookmarkStart w:id="3" w:name="OLE_LINK1"/>
            <w:r>
              <w:rPr>
                <w:rFonts w:hint="eastAsia" w:ascii="宋体" w:hAnsi="宋体" w:eastAsia="宋体" w:cs="宋体"/>
                <w:b w:val="0"/>
                <w:bCs/>
                <w:i w:val="0"/>
                <w:iCs/>
                <w:color w:val="auto"/>
                <w:kern w:val="2"/>
                <w:sz w:val="24"/>
                <w:szCs w:val="24"/>
                <w:highlight w:val="none"/>
                <w:lang w:val="en-US" w:eastAsia="zh-CN" w:bidi="ar-SA"/>
              </w:rPr>
              <w:t>最高投标限价</w:t>
            </w:r>
            <w:bookmarkEnd w:id="1"/>
            <w:bookmarkEnd w:id="2"/>
            <w:bookmarkEnd w:id="3"/>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1BFDC2F4">
            <w:pPr>
              <w:pStyle w:val="7"/>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人民币（大写）：</w:t>
            </w:r>
            <w:r>
              <w:rPr>
                <w:rFonts w:hint="eastAsia" w:ascii="宋体" w:hAnsi="宋体" w:eastAsia="宋体" w:cs="宋体"/>
                <w:bCs/>
                <w:snapToGrid w:val="0"/>
                <w:color w:val="auto"/>
                <w:kern w:val="0"/>
                <w:sz w:val="24"/>
                <w:szCs w:val="24"/>
                <w:highlight w:val="none"/>
                <w:lang w:val="en-US" w:eastAsia="zh-CN"/>
              </w:rPr>
              <w:t>陆佰壹拾壹万壹仟壹佰叁拾陆元肆角玖分（¥6,111,136.49元）。</w:t>
            </w:r>
          </w:p>
        </w:tc>
      </w:tr>
      <w:tr w14:paraId="004F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29D58EE">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成本警示价</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39EC34EC">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投标报价要求：</w:t>
            </w:r>
          </w:p>
          <w:p w14:paraId="452E0D79">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⑴投标人的投标报价不得高于招标人设置的最高投标限价，否则作无效投标处理；</w:t>
            </w:r>
          </w:p>
          <w:p w14:paraId="72A87653">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⑵投标人的投标报价如低于招标项目的成本警示价的，需提供成本分析资料等报价依据。（成本警示价＝最高投标限价×85%）</w:t>
            </w:r>
          </w:p>
        </w:tc>
      </w:tr>
      <w:tr w14:paraId="62EB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2AB4341">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是否接受联合体投标</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38ACA656">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否</w:t>
            </w:r>
          </w:p>
        </w:tc>
      </w:tr>
      <w:tr w14:paraId="40AB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1786" w:type="dxa"/>
            <w:tcBorders>
              <w:top w:val="single" w:color="000000" w:sz="4" w:space="0"/>
              <w:left w:val="single" w:color="000000" w:sz="4" w:space="0"/>
              <w:bottom w:val="single" w:color="auto" w:sz="4" w:space="0"/>
              <w:right w:val="single" w:color="000000" w:sz="4" w:space="0"/>
            </w:tcBorders>
            <w:noWrap w:val="0"/>
            <w:vAlign w:val="center"/>
          </w:tcPr>
          <w:p w14:paraId="0D39AB53">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投标人及相关人员资格要</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2E684C76">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投标人资格要求：①须持有建设行政主管部门颁发的建筑工程施工总承包三级以上（含三级）资质证书及安全生产许可证。</w:t>
            </w:r>
          </w:p>
          <w:p w14:paraId="6F273B36">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40577FB0">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资格要求：即项目经理为建筑工程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在项目开标时间仍在建筑市场监管平台被“锁定”无法报建的）建设工程项目的项目经理；</w:t>
            </w:r>
          </w:p>
          <w:p w14:paraId="7D0FEDC4">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项目技术负责人资格要求：须具备建筑工程相关专</w:t>
            </w:r>
            <w:r>
              <w:rPr>
                <w:rFonts w:hint="eastAsia" w:ascii="宋体" w:hAnsi="宋体" w:eastAsia="宋体" w:cs="宋体"/>
                <w:snapToGrid w:val="0"/>
                <w:color w:val="auto"/>
                <w:kern w:val="0"/>
                <w:sz w:val="24"/>
                <w:szCs w:val="24"/>
                <w:highlight w:val="none"/>
                <w:lang w:eastAsia="zh-CN"/>
              </w:rPr>
              <w:t>业</w:t>
            </w:r>
            <w:r>
              <w:rPr>
                <w:rFonts w:hint="eastAsia" w:ascii="宋体" w:hAnsi="宋体" w:eastAsia="宋体" w:cs="宋体"/>
                <w:color w:val="auto"/>
                <w:sz w:val="24"/>
                <w:szCs w:val="24"/>
                <w:highlight w:val="none"/>
                <w:lang w:val="en-US" w:eastAsia="zh-CN"/>
              </w:rPr>
              <w:t>中级以上（含中级）技术职称；</w:t>
            </w:r>
          </w:p>
          <w:p w14:paraId="785F7D5A">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项目专职安全员资格要求：须具备有效安全生产考核合格证明（C证），且不少于1人。</w:t>
            </w:r>
          </w:p>
        </w:tc>
      </w:tr>
      <w:tr w14:paraId="2923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1786" w:type="dxa"/>
            <w:tcBorders>
              <w:top w:val="single" w:color="auto" w:sz="4" w:space="0"/>
              <w:left w:val="single" w:color="000000" w:sz="4" w:space="0"/>
              <w:bottom w:val="single" w:color="auto" w:sz="4" w:space="0"/>
              <w:right w:val="single" w:color="000000" w:sz="4" w:space="0"/>
            </w:tcBorders>
            <w:noWrap w:val="0"/>
            <w:vAlign w:val="center"/>
          </w:tcPr>
          <w:p w14:paraId="38CE2D7A">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是否采用电子</w:t>
            </w:r>
            <w:r>
              <w:rPr>
                <w:rFonts w:hint="eastAsia" w:ascii="宋体" w:hAnsi="宋体" w:eastAsia="宋体" w:cs="宋体"/>
                <w:b w:val="0"/>
                <w:bCs w:val="0"/>
                <w:i w:val="0"/>
                <w:color w:val="auto"/>
                <w:kern w:val="0"/>
                <w:sz w:val="24"/>
                <w:szCs w:val="24"/>
                <w:highlight w:val="none"/>
                <w:u w:val="none"/>
                <w:lang w:val="en-US" w:eastAsia="zh-CN" w:bidi="ar"/>
              </w:rPr>
              <w:br w:type="textWrapping"/>
            </w:r>
            <w:r>
              <w:rPr>
                <w:rFonts w:hint="eastAsia" w:ascii="宋体" w:hAnsi="宋体" w:eastAsia="宋体" w:cs="宋体"/>
                <w:b w:val="0"/>
                <w:bCs w:val="0"/>
                <w:i w:val="0"/>
                <w:color w:val="auto"/>
                <w:kern w:val="0"/>
                <w:sz w:val="24"/>
                <w:szCs w:val="24"/>
                <w:highlight w:val="none"/>
                <w:u w:val="none"/>
                <w:lang w:val="en-US" w:eastAsia="zh-CN" w:bidi="ar"/>
              </w:rPr>
              <w:t>招标投标方式</w:t>
            </w:r>
          </w:p>
        </w:tc>
        <w:tc>
          <w:tcPr>
            <w:tcW w:w="2221" w:type="dxa"/>
            <w:tcBorders>
              <w:top w:val="single" w:color="000000" w:sz="4" w:space="0"/>
              <w:left w:val="single" w:color="000000" w:sz="4" w:space="0"/>
              <w:bottom w:val="single" w:color="auto" w:sz="4" w:space="0"/>
              <w:right w:val="single" w:color="000000" w:sz="4" w:space="0"/>
            </w:tcBorders>
            <w:noWrap w:val="0"/>
            <w:vAlign w:val="center"/>
          </w:tcPr>
          <w:p w14:paraId="6EF5C6C8">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w:t>
            </w:r>
          </w:p>
        </w:tc>
        <w:tc>
          <w:tcPr>
            <w:tcW w:w="1584" w:type="dxa"/>
            <w:gridSpan w:val="2"/>
            <w:tcBorders>
              <w:top w:val="single" w:color="000000" w:sz="4" w:space="0"/>
              <w:left w:val="single" w:color="000000" w:sz="4" w:space="0"/>
              <w:bottom w:val="single" w:color="auto" w:sz="4" w:space="0"/>
              <w:right w:val="single" w:color="000000" w:sz="4" w:space="0"/>
            </w:tcBorders>
            <w:noWrap w:val="0"/>
            <w:vAlign w:val="center"/>
          </w:tcPr>
          <w:p w14:paraId="42C6601D">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获取招标文件的方式</w:t>
            </w:r>
          </w:p>
        </w:tc>
        <w:tc>
          <w:tcPr>
            <w:tcW w:w="1028" w:type="dxa"/>
            <w:gridSpan w:val="2"/>
            <w:tcBorders>
              <w:top w:val="single" w:color="000000" w:sz="4" w:space="0"/>
              <w:left w:val="single" w:color="000000" w:sz="4" w:space="0"/>
              <w:bottom w:val="single" w:color="auto" w:sz="4" w:space="0"/>
              <w:right w:val="single" w:color="000000" w:sz="4" w:space="0"/>
            </w:tcBorders>
            <w:noWrap w:val="0"/>
            <w:vAlign w:val="center"/>
          </w:tcPr>
          <w:p w14:paraId="39973704">
            <w:pPr>
              <w:keepNext w:val="0"/>
              <w:keepLines w:val="0"/>
              <w:pageBreakBefore w:val="0"/>
              <w:widowControl/>
              <w:suppressLineNumbers w:val="0"/>
              <w:shd w:val="clear" w:color="auto" w:fill="auto"/>
              <w:kinsoku w:val="0"/>
              <w:wordWrap w:val="0"/>
              <w:overflowPunct/>
              <w:topLinePunct w:val="0"/>
              <w:autoSpaceDE/>
              <w:autoSpaceDN/>
              <w:bidi w:val="0"/>
              <w:adjustRightInd/>
              <w:snapToGrid/>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下载招标文件的网络地址</w:t>
            </w:r>
          </w:p>
        </w:tc>
        <w:tc>
          <w:tcPr>
            <w:tcW w:w="3267" w:type="dxa"/>
            <w:gridSpan w:val="4"/>
            <w:tcBorders>
              <w:top w:val="single" w:color="000000" w:sz="4" w:space="0"/>
              <w:left w:val="single" w:color="000000" w:sz="4" w:space="0"/>
              <w:bottom w:val="single" w:color="000000" w:sz="4" w:space="0"/>
              <w:right w:val="single" w:color="000000" w:sz="4" w:space="0"/>
            </w:tcBorders>
            <w:noWrap w:val="0"/>
            <w:vAlign w:val="center"/>
          </w:tcPr>
          <w:p w14:paraId="0221B67A">
            <w:pPr>
              <w:keepNext w:val="0"/>
              <w:keepLines w:val="0"/>
              <w:pageBreakBefore w:val="0"/>
              <w:widowControl/>
              <w:suppressLineNumbers w:val="0"/>
              <w:shd w:val="clear" w:color="auto" w:fill="auto"/>
              <w:kinsoku w:val="0"/>
              <w:wordWrap w:val="0"/>
              <w:overflowPunct/>
              <w:topLinePunct w:val="0"/>
              <w:autoSpaceDE/>
              <w:autoSpaceDN/>
              <w:bidi w:val="0"/>
              <w:adjustRightInd/>
              <w:snapToGrid/>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登录全国公共资源交易平台（广东省·韶关市）（https://ygp.gdzwfw.gov.cn/#/440200/index），或者广东省招标投标监管网（http://zbtb.gd.gov.cn/#/index），使用新建设工程交易系统进行下载招标文件及相关附件。</w:t>
            </w:r>
          </w:p>
        </w:tc>
      </w:tr>
      <w:tr w14:paraId="37E4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D753596">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w:t>
            </w:r>
          </w:p>
          <w:p w14:paraId="6E441CD6">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开始时间</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B9CE513">
            <w:pPr>
              <w:jc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color w:val="auto"/>
                <w:kern w:val="2"/>
                <w:sz w:val="24"/>
                <w:szCs w:val="24"/>
                <w:highlight w:val="none"/>
                <w:lang w:val="en-US" w:eastAsia="zh-CN" w:bidi="ar"/>
              </w:rPr>
              <w:t>2026年06月30日17时00分</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2519E469">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获取招标文件截止时间</w:t>
            </w:r>
          </w:p>
        </w:tc>
        <w:tc>
          <w:tcPr>
            <w:tcW w:w="4295" w:type="dxa"/>
            <w:gridSpan w:val="6"/>
            <w:tcBorders>
              <w:top w:val="single" w:color="000000" w:sz="4" w:space="0"/>
              <w:left w:val="single" w:color="000000" w:sz="4" w:space="0"/>
              <w:bottom w:val="single" w:color="000000" w:sz="4" w:space="0"/>
              <w:right w:val="single" w:color="000000" w:sz="4" w:space="0"/>
            </w:tcBorders>
            <w:noWrap w:val="0"/>
            <w:vAlign w:val="center"/>
          </w:tcPr>
          <w:p w14:paraId="31792CAF">
            <w:pPr>
              <w:keepNext w:val="0"/>
              <w:keepLines w:val="0"/>
              <w:pageBreakBefore w:val="0"/>
              <w:widowControl/>
              <w:suppressLineNumbers w:val="0"/>
              <w:shd w:val="clear" w:color="auto" w:fill="auto"/>
              <w:kinsoku w:val="0"/>
              <w:wordWrap w:val="0"/>
              <w:overflowPunct/>
              <w:topLinePunct w:val="0"/>
              <w:autoSpaceDE/>
              <w:autoSpaceDN/>
              <w:bidi w:val="0"/>
              <w:adjustRightInd/>
              <w:snapToGrid/>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2026年07月21日09时30分</w:t>
            </w:r>
          </w:p>
        </w:tc>
      </w:tr>
      <w:tr w14:paraId="0D1F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146214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递交投标文件</w:t>
            </w:r>
          </w:p>
          <w:p w14:paraId="4BD69DA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截止时间</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9E9D042">
            <w:pPr>
              <w:jc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
              </w:rPr>
              <w:t>2026年07月21日09时30分</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6078FA15">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投标文件</w:t>
            </w:r>
          </w:p>
          <w:p w14:paraId="7911252F">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递交方式</w:t>
            </w:r>
          </w:p>
        </w:tc>
        <w:tc>
          <w:tcPr>
            <w:tcW w:w="4295" w:type="dxa"/>
            <w:gridSpan w:val="6"/>
            <w:tcBorders>
              <w:top w:val="single" w:color="000000" w:sz="4" w:space="0"/>
              <w:left w:val="single" w:color="000000" w:sz="4" w:space="0"/>
              <w:bottom w:val="single" w:color="000000" w:sz="4" w:space="0"/>
              <w:right w:val="single" w:color="000000" w:sz="4" w:space="0"/>
            </w:tcBorders>
            <w:noWrap w:val="0"/>
            <w:vAlign w:val="center"/>
          </w:tcPr>
          <w:p w14:paraId="3C3CC065">
            <w:pPr>
              <w:keepNext w:val="0"/>
              <w:keepLines w:val="0"/>
              <w:pageBreakBefore w:val="0"/>
              <w:widowControl/>
              <w:suppressLineNumbers w:val="0"/>
              <w:shd w:val="clear" w:color="auto" w:fill="auto"/>
              <w:kinsoku w:val="0"/>
              <w:wordWrap w:val="0"/>
              <w:overflowPunct/>
              <w:topLinePunct w:val="0"/>
              <w:autoSpaceDE/>
              <w:autoSpaceDN/>
              <w:bidi w:val="0"/>
              <w:adjustRightInd/>
              <w:snapToGrid/>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投标人应在招标文件规定的时间前，登陆全国公共资源交易平台（广东省·韶关市） 办理网上投标登记手续，并在递交投标文件截止时间前，通过全国公共资源交易平台（广东省·韶关市） 递交电子投标文件,按照全国公共资源交易平台（广东省·韶关市） 关于全流程电子化项目的相关指南进行操作。</w:t>
            </w:r>
          </w:p>
        </w:tc>
      </w:tr>
      <w:tr w14:paraId="30C7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AC26D5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开标时间</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BFE1C10">
            <w:pPr>
              <w:keepNext w:val="0"/>
              <w:keepLines w:val="0"/>
              <w:widowControl/>
              <w:suppressLineNumbers w:val="0"/>
              <w:jc w:val="center"/>
              <w:textAlignment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
              </w:rPr>
              <w:t>2026年07月21日09时30分</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29C9E35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开标地点</w:t>
            </w:r>
          </w:p>
        </w:tc>
        <w:tc>
          <w:tcPr>
            <w:tcW w:w="4295" w:type="dxa"/>
            <w:gridSpan w:val="6"/>
            <w:tcBorders>
              <w:top w:val="single" w:color="000000" w:sz="4" w:space="0"/>
              <w:left w:val="single" w:color="000000" w:sz="4" w:space="0"/>
              <w:bottom w:val="single" w:color="000000" w:sz="4" w:space="0"/>
              <w:right w:val="single" w:color="000000" w:sz="4" w:space="0"/>
            </w:tcBorders>
            <w:noWrap w:val="0"/>
            <w:vAlign w:val="center"/>
          </w:tcPr>
          <w:p w14:paraId="1ABA8F17">
            <w:pPr>
              <w:keepNext w:val="0"/>
              <w:keepLines w:val="0"/>
              <w:pageBreakBefore w:val="0"/>
              <w:widowControl/>
              <w:suppressLineNumbers w:val="0"/>
              <w:shd w:val="clear" w:color="auto" w:fill="auto"/>
              <w:kinsoku w:val="0"/>
              <w:wordWrap w:val="0"/>
              <w:overflowPunct/>
              <w:topLinePunct w:val="0"/>
              <w:autoSpaceDE/>
              <w:autoSpaceDN/>
              <w:bidi w:val="0"/>
              <w:adjustRightInd/>
              <w:snapToGrid/>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韶关市公共资源交易中心（地址：广东省韶关市武江区西联镇），具体开标室以当日现场通知为准。</w:t>
            </w:r>
          </w:p>
        </w:tc>
      </w:tr>
      <w:tr w14:paraId="5582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5FD3843">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发布公告媒介</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6034BBFC">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1.全国公共资源交易平台（广东省·韶关市）</w:t>
            </w:r>
          </w:p>
          <w:p w14:paraId="7C672860">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（https://ygp.gdzwfw.gov.cn/#/440200/index）</w:t>
            </w:r>
          </w:p>
          <w:p w14:paraId="34E9F312">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2.广东省招标投标监管网（http://zbtb.gd.gov.cn/#/index）</w:t>
            </w:r>
          </w:p>
        </w:tc>
      </w:tr>
      <w:tr w14:paraId="08B5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990A4C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w:t>
            </w:r>
          </w:p>
        </w:tc>
        <w:tc>
          <w:tcPr>
            <w:tcW w:w="3805" w:type="dxa"/>
            <w:gridSpan w:val="3"/>
            <w:tcBorders>
              <w:top w:val="single" w:color="000000" w:sz="4" w:space="0"/>
              <w:left w:val="single" w:color="000000" w:sz="4" w:space="0"/>
              <w:bottom w:val="single" w:color="000000" w:sz="4" w:space="0"/>
              <w:right w:val="single" w:color="000000" w:sz="4" w:space="0"/>
            </w:tcBorders>
            <w:noWrap w:val="0"/>
            <w:vAlign w:val="center"/>
          </w:tcPr>
          <w:p w14:paraId="5BEF6EA3">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韶关一方投资开发有限公司</w:t>
            </w:r>
          </w:p>
        </w:tc>
        <w:tc>
          <w:tcPr>
            <w:tcW w:w="1283" w:type="dxa"/>
            <w:gridSpan w:val="3"/>
            <w:tcBorders>
              <w:top w:val="single" w:color="000000" w:sz="4" w:space="0"/>
              <w:left w:val="single" w:color="000000" w:sz="4" w:space="0"/>
              <w:bottom w:val="single" w:color="000000" w:sz="4" w:space="0"/>
              <w:right w:val="single" w:color="auto" w:sz="4" w:space="0"/>
            </w:tcBorders>
            <w:noWrap w:val="0"/>
            <w:vAlign w:val="center"/>
          </w:tcPr>
          <w:p w14:paraId="5D9A85D0">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3012" w:type="dxa"/>
            <w:gridSpan w:val="3"/>
            <w:tcBorders>
              <w:top w:val="single" w:color="000000" w:sz="4" w:space="0"/>
              <w:left w:val="single" w:color="auto" w:sz="4" w:space="0"/>
              <w:bottom w:val="single" w:color="000000" w:sz="4" w:space="0"/>
              <w:right w:val="single" w:color="000000" w:sz="4" w:space="0"/>
            </w:tcBorders>
            <w:noWrap w:val="0"/>
            <w:vAlign w:val="center"/>
          </w:tcPr>
          <w:p w14:paraId="66E67F3A">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韶关市浈江区产业转移工业园管委会</w:t>
            </w:r>
          </w:p>
        </w:tc>
      </w:tr>
      <w:tr w14:paraId="1270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DC398FD">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招标人联系人</w:t>
            </w:r>
          </w:p>
        </w:tc>
        <w:tc>
          <w:tcPr>
            <w:tcW w:w="3805" w:type="dxa"/>
            <w:gridSpan w:val="3"/>
            <w:tcBorders>
              <w:top w:val="single" w:color="000000" w:sz="4" w:space="0"/>
              <w:left w:val="single" w:color="000000" w:sz="4" w:space="0"/>
              <w:bottom w:val="single" w:color="000000" w:sz="4" w:space="0"/>
              <w:right w:val="single" w:color="000000" w:sz="4" w:space="0"/>
            </w:tcBorders>
            <w:noWrap w:val="0"/>
            <w:vAlign w:val="center"/>
          </w:tcPr>
          <w:p w14:paraId="50253E37">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梁工</w:t>
            </w:r>
          </w:p>
        </w:tc>
        <w:tc>
          <w:tcPr>
            <w:tcW w:w="1283" w:type="dxa"/>
            <w:gridSpan w:val="3"/>
            <w:tcBorders>
              <w:top w:val="single" w:color="000000" w:sz="4" w:space="0"/>
              <w:left w:val="single" w:color="000000" w:sz="4" w:space="0"/>
              <w:bottom w:val="single" w:color="000000" w:sz="4" w:space="0"/>
              <w:right w:val="single" w:color="auto" w:sz="4" w:space="0"/>
            </w:tcBorders>
            <w:noWrap w:val="0"/>
            <w:vAlign w:val="center"/>
          </w:tcPr>
          <w:p w14:paraId="2A885183">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3012" w:type="dxa"/>
            <w:gridSpan w:val="3"/>
            <w:tcBorders>
              <w:top w:val="single" w:color="000000" w:sz="4" w:space="0"/>
              <w:left w:val="single" w:color="auto" w:sz="4" w:space="0"/>
              <w:bottom w:val="single" w:color="000000" w:sz="4" w:space="0"/>
              <w:right w:val="single" w:color="000000" w:sz="4" w:space="0"/>
            </w:tcBorders>
            <w:noWrap w:val="0"/>
            <w:vAlign w:val="center"/>
          </w:tcPr>
          <w:p w14:paraId="78D569EF">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13076209693</w:t>
            </w:r>
          </w:p>
        </w:tc>
      </w:tr>
      <w:tr w14:paraId="0A32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B2FDBC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招标代理机构</w:t>
            </w:r>
          </w:p>
        </w:tc>
        <w:tc>
          <w:tcPr>
            <w:tcW w:w="3805" w:type="dxa"/>
            <w:gridSpan w:val="3"/>
            <w:tcBorders>
              <w:top w:val="single" w:color="000000" w:sz="4" w:space="0"/>
              <w:left w:val="single" w:color="000000" w:sz="4" w:space="0"/>
              <w:bottom w:val="single" w:color="000000" w:sz="4" w:space="0"/>
              <w:right w:val="single" w:color="000000" w:sz="4" w:space="0"/>
            </w:tcBorders>
            <w:noWrap w:val="0"/>
            <w:vAlign w:val="center"/>
          </w:tcPr>
          <w:p w14:paraId="65FD738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广东明正项目管理有限公司</w:t>
            </w:r>
          </w:p>
        </w:tc>
        <w:tc>
          <w:tcPr>
            <w:tcW w:w="1283" w:type="dxa"/>
            <w:gridSpan w:val="3"/>
            <w:tcBorders>
              <w:top w:val="single" w:color="000000" w:sz="4" w:space="0"/>
              <w:left w:val="single" w:color="000000" w:sz="4" w:space="0"/>
              <w:bottom w:val="single" w:color="000000" w:sz="4" w:space="0"/>
              <w:right w:val="single" w:color="auto" w:sz="4" w:space="0"/>
            </w:tcBorders>
            <w:noWrap w:val="0"/>
            <w:vAlign w:val="center"/>
          </w:tcPr>
          <w:p w14:paraId="66C2EC4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3012" w:type="dxa"/>
            <w:gridSpan w:val="3"/>
            <w:tcBorders>
              <w:top w:val="single" w:color="000000" w:sz="4" w:space="0"/>
              <w:left w:val="single" w:color="auto" w:sz="4" w:space="0"/>
              <w:bottom w:val="single" w:color="000000" w:sz="4" w:space="0"/>
              <w:right w:val="single" w:color="000000" w:sz="4" w:space="0"/>
            </w:tcBorders>
            <w:noWrap w:val="0"/>
            <w:vAlign w:val="center"/>
          </w:tcPr>
          <w:p w14:paraId="12F51851">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韶关市武江区惠民北路428号7楼</w:t>
            </w:r>
          </w:p>
        </w:tc>
      </w:tr>
      <w:tr w14:paraId="171B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86" w:type="dxa"/>
            <w:tcBorders>
              <w:top w:val="single" w:color="000000" w:sz="4" w:space="0"/>
              <w:left w:val="single" w:color="000000" w:sz="4" w:space="0"/>
              <w:right w:val="single" w:color="000000" w:sz="4" w:space="0"/>
            </w:tcBorders>
            <w:noWrap w:val="0"/>
            <w:vAlign w:val="center"/>
          </w:tcPr>
          <w:p w14:paraId="373085D7">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招标代理联系人</w:t>
            </w:r>
          </w:p>
        </w:tc>
        <w:tc>
          <w:tcPr>
            <w:tcW w:w="3805" w:type="dxa"/>
            <w:gridSpan w:val="3"/>
            <w:tcBorders>
              <w:top w:val="single" w:color="000000" w:sz="4" w:space="0"/>
              <w:left w:val="single" w:color="000000" w:sz="4" w:space="0"/>
              <w:bottom w:val="single" w:color="000000" w:sz="4" w:space="0"/>
              <w:right w:val="single" w:color="000000" w:sz="4" w:space="0"/>
            </w:tcBorders>
            <w:noWrap w:val="0"/>
            <w:vAlign w:val="center"/>
          </w:tcPr>
          <w:p w14:paraId="56EF24E4">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杨工、潘工</w:t>
            </w:r>
          </w:p>
        </w:tc>
        <w:tc>
          <w:tcPr>
            <w:tcW w:w="1283" w:type="dxa"/>
            <w:gridSpan w:val="3"/>
            <w:tcBorders>
              <w:top w:val="single" w:color="000000" w:sz="4" w:space="0"/>
              <w:left w:val="single" w:color="000000" w:sz="4" w:space="0"/>
              <w:right w:val="single" w:color="auto" w:sz="4" w:space="0"/>
            </w:tcBorders>
            <w:noWrap w:val="0"/>
            <w:vAlign w:val="center"/>
          </w:tcPr>
          <w:p w14:paraId="1D491E69">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3012" w:type="dxa"/>
            <w:gridSpan w:val="3"/>
            <w:tcBorders>
              <w:top w:val="single" w:color="000000" w:sz="4" w:space="0"/>
              <w:left w:val="single" w:color="auto" w:sz="4" w:space="0"/>
              <w:right w:val="single" w:color="000000" w:sz="4" w:space="0"/>
            </w:tcBorders>
            <w:noWrap w:val="0"/>
            <w:vAlign w:val="center"/>
          </w:tcPr>
          <w:p w14:paraId="2EAB40E5">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0751-8606998</w:t>
            </w:r>
          </w:p>
        </w:tc>
      </w:tr>
      <w:tr w14:paraId="7732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8AA99E2">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招标投标</w:t>
            </w:r>
          </w:p>
          <w:p w14:paraId="12BB34BE">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监督机构</w:t>
            </w:r>
          </w:p>
        </w:tc>
        <w:tc>
          <w:tcPr>
            <w:tcW w:w="3805" w:type="dxa"/>
            <w:gridSpan w:val="3"/>
            <w:tcBorders>
              <w:top w:val="single" w:color="000000" w:sz="4" w:space="0"/>
              <w:left w:val="single" w:color="000000" w:sz="4" w:space="0"/>
              <w:bottom w:val="single" w:color="000000" w:sz="4" w:space="0"/>
              <w:right w:val="single" w:color="000000" w:sz="4" w:space="0"/>
            </w:tcBorders>
            <w:noWrap w:val="0"/>
            <w:vAlign w:val="center"/>
          </w:tcPr>
          <w:p w14:paraId="076C42E7">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韶关高新技术产业开发区管理委员会</w:t>
            </w:r>
          </w:p>
        </w:tc>
        <w:tc>
          <w:tcPr>
            <w:tcW w:w="1283" w:type="dxa"/>
            <w:gridSpan w:val="3"/>
            <w:tcBorders>
              <w:top w:val="single" w:color="000000" w:sz="4" w:space="0"/>
              <w:left w:val="single" w:color="000000" w:sz="4" w:space="0"/>
              <w:bottom w:val="single" w:color="000000" w:sz="4" w:space="0"/>
              <w:right w:val="single" w:color="auto" w:sz="4" w:space="0"/>
            </w:tcBorders>
            <w:noWrap w:val="0"/>
            <w:vAlign w:val="center"/>
          </w:tcPr>
          <w:p w14:paraId="6FC72438">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3012" w:type="dxa"/>
            <w:gridSpan w:val="3"/>
            <w:tcBorders>
              <w:top w:val="single" w:color="000000" w:sz="4" w:space="0"/>
              <w:left w:val="single" w:color="auto" w:sz="4" w:space="0"/>
              <w:bottom w:val="single" w:color="000000" w:sz="4" w:space="0"/>
              <w:right w:val="single" w:color="000000" w:sz="4" w:space="0"/>
            </w:tcBorders>
            <w:noWrap w:val="0"/>
            <w:vAlign w:val="center"/>
          </w:tcPr>
          <w:p w14:paraId="7F0FF638">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0751-8175926</w:t>
            </w:r>
          </w:p>
        </w:tc>
      </w:tr>
      <w:tr w14:paraId="3E0C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1D10505">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其他依法应当</w:t>
            </w:r>
          </w:p>
          <w:p w14:paraId="1B8A673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载明的内容</w:t>
            </w:r>
          </w:p>
        </w:tc>
        <w:tc>
          <w:tcPr>
            <w:tcW w:w="8100" w:type="dxa"/>
            <w:gridSpan w:val="9"/>
            <w:tcBorders>
              <w:top w:val="single" w:color="000000" w:sz="4" w:space="0"/>
              <w:left w:val="single" w:color="000000" w:sz="4" w:space="0"/>
              <w:bottom w:val="single" w:color="000000" w:sz="4" w:space="0"/>
              <w:right w:val="single" w:color="000000" w:sz="4" w:space="0"/>
            </w:tcBorders>
            <w:noWrap w:val="0"/>
            <w:vAlign w:val="center"/>
          </w:tcPr>
          <w:p w14:paraId="7044F56B">
            <w:pPr>
              <w:keepNext w:val="0"/>
              <w:keepLines w:val="0"/>
              <w:widowControl/>
              <w:suppressLineNumbers w:val="0"/>
              <w:shd w:val="clear" w:color="auto" w:fill="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无</w:t>
            </w:r>
          </w:p>
        </w:tc>
      </w:tr>
    </w:tbl>
    <w:p w14:paraId="551F1FF4">
      <w:pPr>
        <w:rPr>
          <w:rFonts w:hint="eastAsia" w:ascii="宋体" w:hAnsi="宋体" w:eastAsia="宋体" w:cs="宋体"/>
          <w:color w:val="auto"/>
          <w:lang w:val="en-US" w:eastAsia="zh-CN"/>
        </w:rPr>
      </w:pPr>
    </w:p>
    <w:p w14:paraId="7E4859F0">
      <w:pPr>
        <w:rPr>
          <w:rFonts w:hint="eastAsia" w:ascii="宋体" w:hAnsi="宋体" w:eastAsia="宋体" w:cs="宋体"/>
          <w:color w:val="auto"/>
          <w:lang w:val="en-US" w:eastAsia="zh-CN"/>
        </w:rPr>
      </w:pPr>
    </w:p>
    <w:p w14:paraId="09031A94">
      <w:pPr>
        <w:rPr>
          <w:rFonts w:hint="eastAsia" w:ascii="宋体" w:hAnsi="宋体" w:eastAsia="宋体" w:cs="宋体"/>
          <w:color w:val="auto"/>
          <w:lang w:val="en-US" w:eastAsia="zh-CN"/>
        </w:rPr>
      </w:pPr>
    </w:p>
    <w:p w14:paraId="2475D873">
      <w:pPr>
        <w:rPr>
          <w:rFonts w:hint="eastAsia" w:ascii="宋体" w:hAnsi="宋体" w:eastAsia="宋体" w:cs="宋体"/>
          <w:color w:val="auto"/>
          <w:lang w:val="en-US" w:eastAsia="zh-CN"/>
        </w:rPr>
      </w:pPr>
    </w:p>
    <w:p w14:paraId="5DC1B335">
      <w:pPr>
        <w:pStyle w:val="3"/>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color w:val="auto"/>
          <w:sz w:val="32"/>
          <w:szCs w:val="32"/>
          <w:highlight w:val="none"/>
        </w:rPr>
      </w:pPr>
      <w:bookmarkStart w:id="4" w:name="_Toc13125"/>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投标人须知</w:t>
      </w:r>
      <w:bookmarkEnd w:id="4"/>
    </w:p>
    <w:p w14:paraId="647D5E21">
      <w:pPr>
        <w:pStyle w:val="4"/>
        <w:bidi w:val="0"/>
        <w:ind w:left="0" w:leftChars="0" w:firstLine="0" w:firstLineChars="0"/>
        <w:rPr>
          <w:rFonts w:hint="eastAsia" w:ascii="宋体" w:hAnsi="宋体" w:eastAsia="宋体" w:cs="宋体"/>
          <w:color w:val="auto"/>
          <w:lang w:val="en-US" w:eastAsia="zh-CN"/>
        </w:rPr>
      </w:pPr>
      <w:bookmarkStart w:id="5" w:name="_Toc29899"/>
      <w:r>
        <w:rPr>
          <w:rFonts w:hint="eastAsia" w:ascii="宋体" w:hAnsi="宋体" w:eastAsia="宋体" w:cs="宋体"/>
          <w:color w:val="auto"/>
          <w:lang w:val="en-US" w:eastAsia="zh-CN"/>
        </w:rPr>
        <w:t>一、投标人须知前附表</w:t>
      </w:r>
      <w:bookmarkEnd w:id="5"/>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60"/>
        <w:gridCol w:w="1258"/>
        <w:gridCol w:w="7049"/>
      </w:tblGrid>
      <w:tr w14:paraId="4F56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FED40A3">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71" w:type="pct"/>
            <w:gridSpan w:val="2"/>
            <w:noWrap w:val="0"/>
            <w:vAlign w:val="center"/>
          </w:tcPr>
          <w:p w14:paraId="0F4A5E39">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条款内容</w:t>
            </w:r>
          </w:p>
        </w:tc>
        <w:tc>
          <w:tcPr>
            <w:tcW w:w="3576" w:type="pct"/>
            <w:noWrap w:val="0"/>
            <w:vAlign w:val="center"/>
          </w:tcPr>
          <w:p w14:paraId="0CA19DA6">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编列内容</w:t>
            </w:r>
          </w:p>
        </w:tc>
      </w:tr>
      <w:tr w14:paraId="0FE6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EDF437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871" w:type="pct"/>
            <w:gridSpan w:val="2"/>
            <w:noWrap w:val="0"/>
            <w:vAlign w:val="center"/>
          </w:tcPr>
          <w:p w14:paraId="0247E8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建设单位</w:t>
            </w:r>
          </w:p>
          <w:p w14:paraId="00B508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（项目业主）</w:t>
            </w:r>
          </w:p>
        </w:tc>
        <w:tc>
          <w:tcPr>
            <w:tcW w:w="3576" w:type="pct"/>
            <w:noWrap w:val="0"/>
            <w:vAlign w:val="center"/>
          </w:tcPr>
          <w:p w14:paraId="471FFC1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韶关一方投资开发有限公司</w:t>
            </w:r>
          </w:p>
        </w:tc>
      </w:tr>
      <w:tr w14:paraId="7D5D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51" w:type="pct"/>
            <w:noWrap w:val="0"/>
            <w:vAlign w:val="center"/>
          </w:tcPr>
          <w:p w14:paraId="2308D8C3">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71" w:type="pct"/>
            <w:gridSpan w:val="2"/>
            <w:noWrap w:val="0"/>
            <w:vAlign w:val="center"/>
          </w:tcPr>
          <w:p w14:paraId="7BC238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招标人</w:t>
            </w:r>
          </w:p>
        </w:tc>
        <w:tc>
          <w:tcPr>
            <w:tcW w:w="3576" w:type="pct"/>
            <w:noWrap w:val="0"/>
            <w:vAlign w:val="center"/>
          </w:tcPr>
          <w:p w14:paraId="70593A6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韶关一方投资开发有限公司</w:t>
            </w:r>
          </w:p>
        </w:tc>
      </w:tr>
      <w:tr w14:paraId="024E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1" w:type="pct"/>
            <w:noWrap w:val="0"/>
            <w:vAlign w:val="center"/>
          </w:tcPr>
          <w:p w14:paraId="58046597">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871" w:type="pct"/>
            <w:gridSpan w:val="2"/>
            <w:noWrap w:val="0"/>
            <w:vAlign w:val="center"/>
          </w:tcPr>
          <w:p w14:paraId="02FDC4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招标代理机构</w:t>
            </w:r>
          </w:p>
        </w:tc>
        <w:tc>
          <w:tcPr>
            <w:tcW w:w="3576" w:type="pct"/>
            <w:noWrap w:val="0"/>
            <w:vAlign w:val="center"/>
          </w:tcPr>
          <w:p w14:paraId="192B3E0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i w:val="0"/>
                <w:color w:val="auto"/>
                <w:sz w:val="24"/>
                <w:szCs w:val="24"/>
                <w:highlight w:val="none"/>
                <w:u w:val="none"/>
                <w:lang w:val="en-US" w:eastAsia="zh-CN"/>
              </w:rPr>
              <w:t>广东明正项目管理有限公司</w:t>
            </w:r>
          </w:p>
        </w:tc>
      </w:tr>
      <w:tr w14:paraId="37A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1" w:type="pct"/>
            <w:noWrap w:val="0"/>
            <w:vAlign w:val="center"/>
          </w:tcPr>
          <w:p w14:paraId="57F9FFF3">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871" w:type="pct"/>
            <w:gridSpan w:val="2"/>
            <w:noWrap w:val="0"/>
            <w:vAlign w:val="center"/>
          </w:tcPr>
          <w:p w14:paraId="4A1582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招标项目名称</w:t>
            </w:r>
          </w:p>
        </w:tc>
        <w:tc>
          <w:tcPr>
            <w:tcW w:w="3576" w:type="pct"/>
            <w:noWrap w:val="0"/>
            <w:vAlign w:val="center"/>
          </w:tcPr>
          <w:p w14:paraId="6C5887B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寮浈共建标准厂房及其配套项目二期6#楼改造项目施工</w:t>
            </w:r>
          </w:p>
        </w:tc>
      </w:tr>
      <w:tr w14:paraId="599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7206FA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871" w:type="pct"/>
            <w:gridSpan w:val="2"/>
            <w:noWrap w:val="0"/>
            <w:vAlign w:val="center"/>
          </w:tcPr>
          <w:p w14:paraId="534EEF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项目批准部门及项目批准文号</w:t>
            </w:r>
          </w:p>
        </w:tc>
        <w:tc>
          <w:tcPr>
            <w:tcW w:w="3576" w:type="pct"/>
            <w:noWrap w:val="0"/>
            <w:vAlign w:val="center"/>
          </w:tcPr>
          <w:p w14:paraId="5AABDB1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snapToGrid w:val="0"/>
                <w:color w:val="auto"/>
                <w:kern w:val="0"/>
                <w:sz w:val="24"/>
                <w:szCs w:val="24"/>
                <w:highlight w:val="none"/>
                <w:lang w:val="en-US" w:eastAsia="zh-CN"/>
              </w:rPr>
              <w:t>韶关市浈江区发展和改革局、韶浈发改投审〔2026〕3号</w:t>
            </w:r>
          </w:p>
        </w:tc>
      </w:tr>
      <w:tr w14:paraId="5290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1" w:type="pct"/>
            <w:noWrap w:val="0"/>
            <w:vAlign w:val="center"/>
          </w:tcPr>
          <w:p w14:paraId="781FC21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p>
        </w:tc>
        <w:tc>
          <w:tcPr>
            <w:tcW w:w="871" w:type="pct"/>
            <w:gridSpan w:val="2"/>
            <w:noWrap w:val="0"/>
            <w:vAlign w:val="center"/>
          </w:tcPr>
          <w:p w14:paraId="5643D5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项目代码</w:t>
            </w:r>
          </w:p>
        </w:tc>
        <w:tc>
          <w:tcPr>
            <w:tcW w:w="3576" w:type="pct"/>
            <w:noWrap w:val="0"/>
            <w:vAlign w:val="center"/>
          </w:tcPr>
          <w:p w14:paraId="2BDF8DC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2510-440204-04-01-398908</w:t>
            </w:r>
          </w:p>
        </w:tc>
      </w:tr>
      <w:tr w14:paraId="294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1" w:type="pct"/>
            <w:noWrap w:val="0"/>
            <w:vAlign w:val="center"/>
          </w:tcPr>
          <w:p w14:paraId="6FF93BF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871" w:type="pct"/>
            <w:gridSpan w:val="2"/>
            <w:noWrap w:val="0"/>
            <w:vAlign w:val="center"/>
          </w:tcPr>
          <w:p w14:paraId="10080E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建设地点</w:t>
            </w:r>
          </w:p>
        </w:tc>
        <w:tc>
          <w:tcPr>
            <w:tcW w:w="3576" w:type="pct"/>
            <w:noWrap w:val="0"/>
            <w:vAlign w:val="center"/>
          </w:tcPr>
          <w:p w14:paraId="478DA8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snapToGrid w:val="0"/>
                <w:color w:val="auto"/>
                <w:kern w:val="0"/>
                <w:sz w:val="24"/>
                <w:szCs w:val="24"/>
                <w:highlight w:val="none"/>
                <w:lang w:val="en-US" w:eastAsia="zh-CN"/>
              </w:rPr>
              <w:t>韶关市浈江区犁市镇浈江产业转移工业园协同路36号</w:t>
            </w:r>
          </w:p>
        </w:tc>
      </w:tr>
      <w:tr w14:paraId="190B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51" w:type="pct"/>
            <w:noWrap w:val="0"/>
            <w:vAlign w:val="center"/>
          </w:tcPr>
          <w:p w14:paraId="70086E2E">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7</w:t>
            </w:r>
          </w:p>
        </w:tc>
        <w:tc>
          <w:tcPr>
            <w:tcW w:w="871" w:type="pct"/>
            <w:gridSpan w:val="2"/>
            <w:noWrap w:val="0"/>
            <w:vAlign w:val="center"/>
          </w:tcPr>
          <w:p w14:paraId="3A50AF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建设规模</w:t>
            </w:r>
          </w:p>
        </w:tc>
        <w:tc>
          <w:tcPr>
            <w:tcW w:w="3576" w:type="pct"/>
            <w:noWrap w:val="0"/>
            <w:vAlign w:val="center"/>
          </w:tcPr>
          <w:p w14:paraId="374C2F69">
            <w:pPr>
              <w:keepNext w:val="0"/>
              <w:keepLines w:val="0"/>
              <w:widowControl/>
              <w:suppressLineNumbers w:val="0"/>
              <w:shd w:val="clear" w:color="auto" w:fill="auto"/>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bCs/>
                <w:snapToGrid w:val="0"/>
                <w:color w:val="auto"/>
                <w:kern w:val="0"/>
                <w:sz w:val="24"/>
                <w:szCs w:val="24"/>
                <w:highlight w:val="none"/>
                <w:lang w:val="en-US" w:eastAsia="zh-CN"/>
              </w:rPr>
              <w:t>对浈江区犁市镇浈江产业转移工业园协同路36号6#办公楼3-6层进行改造，建筑面积约4000平方米。</w:t>
            </w:r>
          </w:p>
        </w:tc>
      </w:tr>
      <w:tr w14:paraId="6D27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 w:type="pct"/>
            <w:noWrap w:val="0"/>
            <w:vAlign w:val="center"/>
          </w:tcPr>
          <w:p w14:paraId="6FF77B3D">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71" w:type="pct"/>
            <w:gridSpan w:val="2"/>
            <w:noWrap w:val="0"/>
            <w:vAlign w:val="center"/>
          </w:tcPr>
          <w:p w14:paraId="667721F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资金来源情况</w:t>
            </w:r>
          </w:p>
        </w:tc>
        <w:tc>
          <w:tcPr>
            <w:tcW w:w="3576" w:type="pct"/>
            <w:noWrap w:val="0"/>
            <w:vAlign w:val="center"/>
          </w:tcPr>
          <w:p w14:paraId="4489B0B1">
            <w:pPr>
              <w:pStyle w:val="19"/>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lang w:val="en-US" w:eastAsia="zh-CN"/>
              </w:rPr>
              <w:t>由地方配套安排解决。</w:t>
            </w:r>
          </w:p>
        </w:tc>
      </w:tr>
      <w:tr w14:paraId="54B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 w:type="pct"/>
            <w:noWrap w:val="0"/>
            <w:vAlign w:val="center"/>
          </w:tcPr>
          <w:p w14:paraId="600BC5A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71" w:type="pct"/>
            <w:gridSpan w:val="2"/>
            <w:noWrap w:val="0"/>
            <w:vAlign w:val="center"/>
          </w:tcPr>
          <w:p w14:paraId="09E5FA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资金到位情况</w:t>
            </w:r>
          </w:p>
        </w:tc>
        <w:tc>
          <w:tcPr>
            <w:tcW w:w="3576" w:type="pct"/>
            <w:noWrap w:val="0"/>
            <w:vAlign w:val="center"/>
          </w:tcPr>
          <w:p w14:paraId="24227E01">
            <w:pPr>
              <w:pStyle w:val="19"/>
              <w:keepNext w:val="0"/>
              <w:keepLines w:val="0"/>
              <w:pageBreakBefore w:val="0"/>
              <w:kinsoku/>
              <w:wordWrap/>
              <w:overflowPunct/>
              <w:topLinePunct w:val="0"/>
              <w:autoSpaceDE/>
              <w:autoSpaceDN/>
              <w:bidi w:val="0"/>
              <w:adjustRightInd/>
              <w:snapToGrid/>
              <w:spacing w:before="0" w:beforeLines="0" w:after="0" w:afterLines="0" w:line="360" w:lineRule="auto"/>
              <w:jc w:val="both"/>
              <w:textAlignment w:val="auto"/>
              <w:rPr>
                <w:rStyle w:val="26"/>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bidi="ar-SA"/>
              </w:rPr>
              <w:t>已落实。</w:t>
            </w:r>
          </w:p>
        </w:tc>
      </w:tr>
      <w:tr w14:paraId="2840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51" w:type="pct"/>
            <w:vMerge w:val="restart"/>
            <w:noWrap w:val="0"/>
            <w:vAlign w:val="center"/>
          </w:tcPr>
          <w:p w14:paraId="07348FCB">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p w14:paraId="59D5C16C">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33" w:type="pct"/>
            <w:vMerge w:val="restart"/>
            <w:noWrap w:val="0"/>
            <w:vAlign w:val="center"/>
          </w:tcPr>
          <w:p w14:paraId="217F2D04">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工程类型及招标范围</w:t>
            </w:r>
          </w:p>
        </w:tc>
        <w:tc>
          <w:tcPr>
            <w:tcW w:w="638" w:type="pct"/>
            <w:noWrap w:val="0"/>
            <w:vAlign w:val="center"/>
          </w:tcPr>
          <w:p w14:paraId="516FABC1">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w:t>
            </w:r>
          </w:p>
        </w:tc>
        <w:tc>
          <w:tcPr>
            <w:tcW w:w="3576" w:type="pct"/>
            <w:noWrap w:val="0"/>
            <w:vAlign w:val="center"/>
          </w:tcPr>
          <w:p w14:paraId="5ECB5A10">
            <w:pPr>
              <w:pStyle w:val="19"/>
              <w:keepNext w:val="0"/>
              <w:keepLines w:val="0"/>
              <w:pageBreakBefore w:val="0"/>
              <w:overflowPunct/>
              <w:topLinePunct w:val="0"/>
              <w:bidi w:val="0"/>
              <w:spacing w:before="0" w:beforeLines="0" w:after="0" w:afterLines="0" w:line="360" w:lineRule="auto"/>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☑房屋建筑工程  □市政基础设施工程  □绿化工程（园林）</w:t>
            </w:r>
          </w:p>
          <w:p w14:paraId="5B810317">
            <w:pPr>
              <w:pStyle w:val="19"/>
              <w:keepNext w:val="0"/>
              <w:keepLines w:val="0"/>
              <w:pageBreakBefore w:val="0"/>
              <w:overflowPunct/>
              <w:topLinePunct w:val="0"/>
              <w:bidi w:val="0"/>
              <w:spacing w:before="0" w:beforeLines="0" w:after="0" w:afterLines="0" w:line="360" w:lineRule="auto"/>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 xml:space="preserve">□人防工程       □其他 </w:t>
            </w:r>
            <w:r>
              <w:rPr>
                <w:rFonts w:hint="eastAsia" w:ascii="宋体" w:hAnsi="宋体" w:eastAsia="宋体" w:cs="宋体"/>
                <w:bCs/>
                <w:snapToGrid w:val="0"/>
                <w:color w:val="auto"/>
                <w:kern w:val="0"/>
                <w:sz w:val="24"/>
                <w:szCs w:val="24"/>
                <w:highlight w:val="none"/>
                <w:u w:val="single"/>
                <w:lang w:val="en-US" w:eastAsia="zh-CN" w:bidi="ar-SA"/>
              </w:rPr>
              <w:t xml:space="preserve">      </w:t>
            </w:r>
            <w:r>
              <w:rPr>
                <w:rFonts w:hint="eastAsia" w:ascii="宋体" w:hAnsi="宋体" w:eastAsia="宋体" w:cs="宋体"/>
                <w:bCs/>
                <w:snapToGrid w:val="0"/>
                <w:color w:val="auto"/>
                <w:kern w:val="0"/>
                <w:sz w:val="24"/>
                <w:szCs w:val="24"/>
                <w:highlight w:val="none"/>
                <w:lang w:val="en-US" w:eastAsia="zh-CN" w:bidi="ar-SA"/>
              </w:rPr>
              <w:t>。</w:t>
            </w:r>
          </w:p>
        </w:tc>
      </w:tr>
      <w:tr w14:paraId="1E3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51" w:type="pct"/>
            <w:vMerge w:val="continue"/>
            <w:noWrap w:val="0"/>
            <w:vAlign w:val="center"/>
          </w:tcPr>
          <w:p w14:paraId="7F33487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c>
          <w:tcPr>
            <w:tcW w:w="233" w:type="pct"/>
            <w:vMerge w:val="continue"/>
            <w:noWrap w:val="0"/>
            <w:vAlign w:val="center"/>
          </w:tcPr>
          <w:p w14:paraId="008FD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napToGrid w:val="0"/>
                <w:color w:val="auto"/>
                <w:kern w:val="0"/>
                <w:sz w:val="24"/>
                <w:szCs w:val="24"/>
                <w:highlight w:val="none"/>
                <w:lang w:val="en-US" w:eastAsia="zh-CN"/>
              </w:rPr>
            </w:pPr>
          </w:p>
        </w:tc>
        <w:tc>
          <w:tcPr>
            <w:tcW w:w="638" w:type="pct"/>
            <w:noWrap w:val="0"/>
            <w:vAlign w:val="center"/>
          </w:tcPr>
          <w:p w14:paraId="70376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工程建设内容及招标范围（含标段划分）</w:t>
            </w:r>
          </w:p>
        </w:tc>
        <w:tc>
          <w:tcPr>
            <w:tcW w:w="3576" w:type="pct"/>
            <w:noWrap w:val="0"/>
            <w:vAlign w:val="center"/>
          </w:tcPr>
          <w:p w14:paraId="020CE9D9">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1.主要建设内容：对浈江区犁市镇浈江产业转移工业园协同路36号6#办公楼3-6层进行改造，建筑面积约4000平方米。</w:t>
            </w:r>
          </w:p>
          <w:p w14:paraId="031F8B46">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2.招标范围：按审查合格的施工图纸及工程量清单内容施工。</w:t>
            </w:r>
          </w:p>
          <w:p w14:paraId="7E5BE04B">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3.标段划分：本招标项目不划分标段。</w:t>
            </w:r>
          </w:p>
        </w:tc>
      </w:tr>
      <w:tr w14:paraId="672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A69A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4.1</w:t>
            </w:r>
          </w:p>
        </w:tc>
        <w:tc>
          <w:tcPr>
            <w:tcW w:w="871" w:type="pct"/>
            <w:gridSpan w:val="2"/>
            <w:noWrap w:val="0"/>
            <w:vAlign w:val="center"/>
          </w:tcPr>
          <w:p w14:paraId="1EA912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投标人资格要求</w:t>
            </w:r>
          </w:p>
        </w:tc>
        <w:tc>
          <w:tcPr>
            <w:tcW w:w="3576" w:type="pct"/>
            <w:noWrap w:val="0"/>
            <w:vAlign w:val="center"/>
          </w:tcPr>
          <w:p w14:paraId="518DB6A2">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投标人资格要求：</w:t>
            </w:r>
          </w:p>
          <w:p w14:paraId="397E2621">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①须持有建设行政主管部门颁发的建筑工程施工总承包三级以上（含三级）资质证书及安全生产许可证。</w:t>
            </w:r>
          </w:p>
          <w:p w14:paraId="42DD6136">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②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0D9F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7CFD5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4.2</w:t>
            </w:r>
          </w:p>
        </w:tc>
        <w:tc>
          <w:tcPr>
            <w:tcW w:w="871" w:type="pct"/>
            <w:gridSpan w:val="2"/>
            <w:noWrap w:val="0"/>
            <w:vAlign w:val="center"/>
          </w:tcPr>
          <w:p w14:paraId="39321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是否接受</w:t>
            </w:r>
          </w:p>
          <w:p w14:paraId="7C6FB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联合体投标</w:t>
            </w:r>
          </w:p>
        </w:tc>
        <w:tc>
          <w:tcPr>
            <w:tcW w:w="3576" w:type="pct"/>
            <w:noWrap w:val="0"/>
            <w:vAlign w:val="center"/>
          </w:tcPr>
          <w:p w14:paraId="573B7E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☑不接受</w:t>
            </w:r>
          </w:p>
          <w:p w14:paraId="0EF051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□接受</w:t>
            </w:r>
          </w:p>
        </w:tc>
      </w:tr>
      <w:tr w14:paraId="286A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A760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4.3</w:t>
            </w:r>
          </w:p>
        </w:tc>
        <w:tc>
          <w:tcPr>
            <w:tcW w:w="871" w:type="pct"/>
            <w:gridSpan w:val="2"/>
            <w:noWrap w:val="0"/>
            <w:vAlign w:val="center"/>
          </w:tcPr>
          <w:p w14:paraId="3A493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相关人员资格要求</w:t>
            </w:r>
          </w:p>
        </w:tc>
        <w:tc>
          <w:tcPr>
            <w:tcW w:w="3576" w:type="pct"/>
            <w:noWrap w:val="0"/>
            <w:vAlign w:val="center"/>
          </w:tcPr>
          <w:p w14:paraId="6F570F60">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项目负责人资格要求：即项目经理为建筑工程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在项目开标时间仍在建筑市场监管平台被“锁定”无法报建的）建设工程项目的项目经理；</w:t>
            </w:r>
          </w:p>
          <w:p w14:paraId="384AFA52">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2.项目技术负责人资格要求：须具备建筑工程相关专业中级以上（含中级）技术职称；</w:t>
            </w:r>
          </w:p>
          <w:p w14:paraId="6448CFD6">
            <w:pPr>
              <w:keepNext w:val="0"/>
              <w:keepLines w:val="0"/>
              <w:widowControl/>
              <w:suppressLineNumbers w:val="0"/>
              <w:shd w:val="clear" w:color="auto" w:fill="auto"/>
              <w:jc w:val="left"/>
              <w:textAlignment w:val="center"/>
              <w:rPr>
                <w:rFonts w:hint="eastAsia" w:ascii="宋体" w:hAnsi="宋体" w:eastAsia="宋体" w:cs="宋体"/>
                <w:bCs/>
                <w:i/>
                <w:i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3.项目专职安全员资格要求：须具备有效安全生产考核合格证明（C证），且不少于1人。</w:t>
            </w:r>
          </w:p>
        </w:tc>
      </w:tr>
      <w:tr w14:paraId="5B2A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41A101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871" w:type="pct"/>
            <w:gridSpan w:val="2"/>
            <w:noWrap w:val="0"/>
            <w:vAlign w:val="center"/>
          </w:tcPr>
          <w:p w14:paraId="59F9F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资格审查方式</w:t>
            </w:r>
          </w:p>
        </w:tc>
        <w:tc>
          <w:tcPr>
            <w:tcW w:w="3576" w:type="pct"/>
            <w:noWrap w:val="0"/>
            <w:vAlign w:val="center"/>
          </w:tcPr>
          <w:p w14:paraId="2AD5CB82">
            <w:pPr>
              <w:keepNext w:val="0"/>
              <w:keepLines w:val="0"/>
              <w:pageBreakBefore w:val="0"/>
              <w:overflowPunct/>
              <w:topLinePunct w:val="0"/>
              <w:bidi w:val="0"/>
              <w:spacing w:line="360" w:lineRule="auto"/>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资格后审</w:t>
            </w:r>
          </w:p>
        </w:tc>
      </w:tr>
      <w:tr w14:paraId="1C6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1" w:type="pct"/>
            <w:noWrap w:val="0"/>
            <w:vAlign w:val="center"/>
          </w:tcPr>
          <w:p w14:paraId="5132E3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5</w:t>
            </w:r>
          </w:p>
          <w:p w14:paraId="0350800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7</w:t>
            </w:r>
          </w:p>
        </w:tc>
        <w:tc>
          <w:tcPr>
            <w:tcW w:w="871" w:type="pct"/>
            <w:gridSpan w:val="2"/>
            <w:noWrap w:val="0"/>
            <w:vAlign w:val="center"/>
          </w:tcPr>
          <w:p w14:paraId="04EBC83C">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电子开标评标方式</w:t>
            </w:r>
          </w:p>
        </w:tc>
        <w:tc>
          <w:tcPr>
            <w:tcW w:w="3576" w:type="pct"/>
            <w:noWrap w:val="0"/>
            <w:vAlign w:val="center"/>
          </w:tcPr>
          <w:p w14:paraId="2376B4DE">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本项目为韶关市建设工程交易系统全流程电子开标评标定标方式。</w:t>
            </w:r>
          </w:p>
        </w:tc>
      </w:tr>
      <w:tr w14:paraId="2474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1" w:type="pct"/>
            <w:noWrap w:val="0"/>
            <w:vAlign w:val="center"/>
          </w:tcPr>
          <w:p w14:paraId="6D833BAA">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12.1</w:t>
            </w:r>
          </w:p>
        </w:tc>
        <w:tc>
          <w:tcPr>
            <w:tcW w:w="871" w:type="pct"/>
            <w:gridSpan w:val="2"/>
            <w:noWrap w:val="0"/>
            <w:vAlign w:val="center"/>
          </w:tcPr>
          <w:p w14:paraId="6DB470E6">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承包方式</w:t>
            </w:r>
          </w:p>
        </w:tc>
        <w:tc>
          <w:tcPr>
            <w:tcW w:w="3576" w:type="pct"/>
            <w:noWrap w:val="0"/>
            <w:vAlign w:val="center"/>
          </w:tcPr>
          <w:p w14:paraId="4452A1C7">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本招标工程采用单价合同承包方式。</w:t>
            </w:r>
          </w:p>
        </w:tc>
      </w:tr>
      <w:tr w14:paraId="07FF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1" w:type="pct"/>
            <w:noWrap w:val="0"/>
            <w:vAlign w:val="center"/>
          </w:tcPr>
          <w:p w14:paraId="5D5C7BAA">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w:t>
            </w:r>
          </w:p>
          <w:p w14:paraId="2DD17AF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w:t>
            </w:r>
          </w:p>
        </w:tc>
        <w:tc>
          <w:tcPr>
            <w:tcW w:w="871" w:type="pct"/>
            <w:gridSpan w:val="2"/>
            <w:noWrap w:val="0"/>
            <w:vAlign w:val="center"/>
          </w:tcPr>
          <w:p w14:paraId="423CD2E7">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质量标准</w:t>
            </w:r>
          </w:p>
        </w:tc>
        <w:tc>
          <w:tcPr>
            <w:tcW w:w="3576" w:type="pct"/>
            <w:noWrap w:val="0"/>
            <w:vAlign w:val="center"/>
          </w:tcPr>
          <w:p w14:paraId="7D6D9C21">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本工程验收达到国家合格或以上标准。</w:t>
            </w:r>
          </w:p>
        </w:tc>
      </w:tr>
      <w:tr w14:paraId="3CFD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F0019C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w:t>
            </w:r>
          </w:p>
        </w:tc>
        <w:tc>
          <w:tcPr>
            <w:tcW w:w="871" w:type="pct"/>
            <w:gridSpan w:val="2"/>
            <w:noWrap w:val="0"/>
            <w:vAlign w:val="center"/>
          </w:tcPr>
          <w:p w14:paraId="245D955A">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工期要求</w:t>
            </w:r>
          </w:p>
        </w:tc>
        <w:tc>
          <w:tcPr>
            <w:tcW w:w="3576" w:type="pct"/>
            <w:noWrap w:val="0"/>
            <w:vAlign w:val="center"/>
          </w:tcPr>
          <w:p w14:paraId="6F33210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本工程施工招标工期为180个日历天。</w:t>
            </w:r>
          </w:p>
        </w:tc>
      </w:tr>
      <w:tr w14:paraId="7534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F2A0ED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.0</w:t>
            </w:r>
          </w:p>
        </w:tc>
        <w:tc>
          <w:tcPr>
            <w:tcW w:w="871" w:type="pct"/>
            <w:gridSpan w:val="2"/>
            <w:noWrap w:val="0"/>
            <w:vAlign w:val="center"/>
          </w:tcPr>
          <w:p w14:paraId="6835D4EE">
            <w:pPr>
              <w:pStyle w:val="6"/>
              <w:keepNext w:val="0"/>
              <w:keepLines w:val="0"/>
              <w:pageBreakBefore w:val="0"/>
              <w:shd w:val="clear" w:color="auto" w:fill="auto"/>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3576" w:type="pct"/>
            <w:noWrap w:val="0"/>
            <w:vAlign w:val="center"/>
          </w:tcPr>
          <w:p w14:paraId="7F733E6D">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投标人须上传（递交）投标文件：</w:t>
            </w:r>
          </w:p>
          <w:p w14:paraId="0238A10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1.电子投标文件一套：</w:t>
            </w:r>
          </w:p>
          <w:p w14:paraId="1D4C224A">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（1）商务标书1份；</w:t>
            </w:r>
          </w:p>
          <w:p w14:paraId="0DCC5087">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（2）经济标书1份；</w:t>
            </w:r>
          </w:p>
          <w:p w14:paraId="5BA32ADC">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（3）施工组织设计1份；</w:t>
            </w:r>
          </w:p>
          <w:p w14:paraId="3FC6F30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（4）定标文件1份；</w:t>
            </w:r>
          </w:p>
          <w:p w14:paraId="479E4BB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2.对应评审要求的分项响应文件（如有）。</w:t>
            </w:r>
          </w:p>
          <w:p w14:paraId="29CD3FF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7576FDD6">
            <w:pPr>
              <w:keepNext w:val="0"/>
              <w:keepLines w:val="0"/>
              <w:widowControl/>
              <w:suppressLineNumbers w:val="0"/>
              <w:shd w:val="clear" w:color="auto" w:fill="auto"/>
              <w:jc w:val="lef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7CB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51" w:type="pct"/>
            <w:noWrap w:val="0"/>
            <w:vAlign w:val="center"/>
          </w:tcPr>
          <w:p w14:paraId="577553B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w:t>
            </w:r>
          </w:p>
        </w:tc>
        <w:tc>
          <w:tcPr>
            <w:tcW w:w="871" w:type="pct"/>
            <w:gridSpan w:val="2"/>
            <w:noWrap w:val="0"/>
            <w:vAlign w:val="center"/>
          </w:tcPr>
          <w:p w14:paraId="60DAF4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最高投标</w:t>
            </w:r>
          </w:p>
          <w:p w14:paraId="00228D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限价</w:t>
            </w:r>
          </w:p>
        </w:tc>
        <w:tc>
          <w:tcPr>
            <w:tcW w:w="3576" w:type="pct"/>
            <w:noWrap w:val="0"/>
            <w:vAlign w:val="center"/>
          </w:tcPr>
          <w:p w14:paraId="6A5D6B05">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本招标项目最高投标限价为人民币（大写）：陆佰壹拾壹万壹仟壹佰叁拾陆元肆角玖分（¥6,111,136.49元）。</w:t>
            </w:r>
          </w:p>
          <w:p w14:paraId="0386609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具体详见招标文件“第八章   最高投标限价”。</w:t>
            </w:r>
          </w:p>
        </w:tc>
      </w:tr>
      <w:tr w14:paraId="4684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C94BD5D">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w:t>
            </w:r>
          </w:p>
        </w:tc>
        <w:tc>
          <w:tcPr>
            <w:tcW w:w="871" w:type="pct"/>
            <w:gridSpan w:val="2"/>
            <w:noWrap w:val="0"/>
            <w:vAlign w:val="center"/>
          </w:tcPr>
          <w:p w14:paraId="11D9F6A1">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投标有效期</w:t>
            </w:r>
          </w:p>
        </w:tc>
        <w:tc>
          <w:tcPr>
            <w:tcW w:w="3576" w:type="pct"/>
            <w:noWrap w:val="0"/>
            <w:vAlign w:val="center"/>
          </w:tcPr>
          <w:p w14:paraId="2D7E37F4">
            <w:pPr>
              <w:pStyle w:val="19"/>
              <w:keepNext w:val="0"/>
              <w:keepLines w:val="0"/>
              <w:pageBreakBefore w:val="0"/>
              <w:kinsoku/>
              <w:wordWrap/>
              <w:overflowPunct/>
              <w:topLinePunct w:val="0"/>
              <w:autoSpaceDE/>
              <w:autoSpaceDN/>
              <w:bidi w:val="0"/>
              <w:adjustRightInd/>
              <w:snapToGrid/>
              <w:spacing w:before="0" w:beforeLines="0" w:after="0" w:afterLines="0" w:line="240" w:lineRule="auto"/>
              <w:ind w:left="2891" w:hanging="2880" w:hangingChars="1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90天（从投标截止之日算起）</w:t>
            </w:r>
          </w:p>
          <w:p w14:paraId="0C257EC2">
            <w:pPr>
              <w:pStyle w:val="19"/>
              <w:keepNext w:val="0"/>
              <w:keepLines w:val="0"/>
              <w:pageBreakBefore w:val="0"/>
              <w:kinsoku/>
              <w:wordWrap/>
              <w:overflowPunct/>
              <w:topLinePunct w:val="0"/>
              <w:autoSpaceDE/>
              <w:autoSpaceDN/>
              <w:bidi w:val="0"/>
              <w:adjustRightInd/>
              <w:snapToGrid/>
              <w:spacing w:before="0" w:beforeLines="0" w:after="0" w:afterLines="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在投标有效期结束前出现特殊情况的，招标人可以书面形式要求所有投标人延长投标有效期。</w:t>
            </w:r>
          </w:p>
        </w:tc>
      </w:tr>
      <w:tr w14:paraId="4D9F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4B9AC7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w:t>
            </w:r>
          </w:p>
        </w:tc>
        <w:tc>
          <w:tcPr>
            <w:tcW w:w="871" w:type="pct"/>
            <w:gridSpan w:val="2"/>
            <w:noWrap w:val="0"/>
            <w:vAlign w:val="center"/>
          </w:tcPr>
          <w:p w14:paraId="36D9CA36">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房屋建筑工程绿色建筑标准</w:t>
            </w:r>
          </w:p>
        </w:tc>
        <w:tc>
          <w:tcPr>
            <w:tcW w:w="3576" w:type="pct"/>
            <w:noWrap w:val="0"/>
            <w:vAlign w:val="center"/>
          </w:tcPr>
          <w:p w14:paraId="74FAA3D4">
            <w:pPr>
              <w:keepNext w:val="0"/>
              <w:keepLines w:val="0"/>
              <w:pageBreakBefore w:val="0"/>
              <w:widowControl w:val="0"/>
              <w:suppressLineNumbers w:val="0"/>
              <w:wordWrap w:val="0"/>
              <w:overflowPunct/>
              <w:topLinePunct w:val="0"/>
              <w:bidi w:val="0"/>
              <w:spacing w:beforeAutospacing="0" w:afterAutospacing="0" w:line="24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本招标项目</w:t>
            </w:r>
            <w:r>
              <w:rPr>
                <w:rFonts w:hint="eastAsia" w:ascii="宋体" w:hAnsi="宋体" w:eastAsia="宋体" w:cs="宋体"/>
                <w:snapToGrid w:val="0"/>
                <w:color w:val="auto"/>
                <w:kern w:val="0"/>
                <w:sz w:val="24"/>
                <w:szCs w:val="24"/>
                <w:highlight w:val="none"/>
                <w:u w:val="single"/>
                <w:lang w:eastAsia="zh-CN"/>
              </w:rPr>
              <w:t>不纳入</w:t>
            </w:r>
            <w:r>
              <w:rPr>
                <w:rFonts w:hint="eastAsia" w:ascii="宋体" w:hAnsi="宋体" w:eastAsia="宋体" w:cs="宋体"/>
                <w:snapToGrid w:val="0"/>
                <w:color w:val="auto"/>
                <w:kern w:val="0"/>
                <w:sz w:val="24"/>
                <w:szCs w:val="24"/>
                <w:highlight w:val="none"/>
                <w:lang w:eastAsia="zh-CN"/>
              </w:rPr>
              <w:t>绿色建设实施范围。</w:t>
            </w:r>
          </w:p>
        </w:tc>
      </w:tr>
      <w:tr w14:paraId="7504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DDA7A30">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w:t>
            </w:r>
          </w:p>
        </w:tc>
        <w:tc>
          <w:tcPr>
            <w:tcW w:w="871" w:type="pct"/>
            <w:gridSpan w:val="2"/>
            <w:noWrap w:val="0"/>
            <w:vAlign w:val="center"/>
          </w:tcPr>
          <w:p w14:paraId="43539AD9">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
              </w:rPr>
              <w:t>装配式建筑标准</w:t>
            </w:r>
          </w:p>
        </w:tc>
        <w:tc>
          <w:tcPr>
            <w:tcW w:w="3576" w:type="pct"/>
            <w:noWrap w:val="0"/>
            <w:vAlign w:val="center"/>
          </w:tcPr>
          <w:p w14:paraId="4DF296EE">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color w:val="auto"/>
                <w:sz w:val="24"/>
                <w:szCs w:val="24"/>
                <w:highlight w:val="none"/>
                <w:lang w:val="en-US" w:eastAsia="zh-CN" w:bidi="ar"/>
              </w:rPr>
            </w:pP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u w:val="single"/>
                <w:lang w:val="en-US" w:eastAsia="zh-CN"/>
              </w:rPr>
              <w:t>不</w:t>
            </w:r>
            <w:r>
              <w:rPr>
                <w:rFonts w:hint="eastAsia" w:ascii="宋体" w:hAnsi="宋体" w:eastAsia="宋体" w:cs="宋体"/>
                <w:snapToGrid w:val="0"/>
                <w:color w:val="auto"/>
                <w:kern w:val="0"/>
                <w:sz w:val="24"/>
                <w:szCs w:val="24"/>
                <w:highlight w:val="none"/>
                <w:u w:val="single"/>
                <w:lang w:eastAsia="zh-CN"/>
              </w:rPr>
              <w:t>纳入</w:t>
            </w:r>
            <w:r>
              <w:rPr>
                <w:rFonts w:hint="eastAsia" w:ascii="宋体" w:hAnsi="宋体" w:eastAsia="宋体" w:cs="宋体"/>
                <w:snapToGrid w:val="0"/>
                <w:color w:val="auto"/>
                <w:kern w:val="0"/>
                <w:sz w:val="24"/>
                <w:szCs w:val="24"/>
                <w:highlight w:val="none"/>
                <w:lang w:eastAsia="zh-CN"/>
              </w:rPr>
              <w:t>装配式建造建设实施范围。</w:t>
            </w:r>
          </w:p>
        </w:tc>
      </w:tr>
      <w:tr w14:paraId="6646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DD2BE5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71" w:type="pct"/>
            <w:gridSpan w:val="2"/>
            <w:noWrap w:val="0"/>
            <w:vAlign w:val="center"/>
          </w:tcPr>
          <w:p w14:paraId="0D8771C1">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投标保证</w:t>
            </w:r>
          </w:p>
        </w:tc>
        <w:tc>
          <w:tcPr>
            <w:tcW w:w="3576" w:type="pct"/>
            <w:noWrap w:val="0"/>
            <w:vAlign w:val="center"/>
          </w:tcPr>
          <w:p w14:paraId="45174820">
            <w:pPr>
              <w:keepNext w:val="0"/>
              <w:keepLines w:val="0"/>
              <w:pageBreakBefore w:val="0"/>
              <w:widowControl w:val="0"/>
              <w:numPr>
                <w:ilvl w:val="0"/>
                <w:numId w:val="1"/>
              </w:numPr>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投标人须缴纳金额为人民币</w:t>
            </w:r>
            <w:r>
              <w:rPr>
                <w:rFonts w:hint="eastAsia" w:ascii="宋体" w:hAnsi="宋体" w:eastAsia="宋体" w:cs="宋体"/>
                <w:b/>
                <w:bCs w:val="0"/>
                <w:i w:val="0"/>
                <w:iCs w:val="0"/>
                <w:color w:val="auto"/>
                <w:sz w:val="24"/>
                <w:szCs w:val="24"/>
                <w:highlight w:val="none"/>
                <w:u w:val="single"/>
                <w:lang w:val="en-US" w:eastAsia="zh-CN" w:bidi="ar"/>
              </w:rPr>
              <w:t>6万元</w:t>
            </w:r>
            <w:r>
              <w:rPr>
                <w:rFonts w:hint="eastAsia" w:ascii="宋体" w:hAnsi="宋体" w:eastAsia="宋体" w:cs="宋体"/>
                <w:bCs/>
                <w:i w:val="0"/>
                <w:iCs w:val="0"/>
                <w:color w:val="auto"/>
                <w:sz w:val="24"/>
                <w:szCs w:val="24"/>
                <w:highlight w:val="none"/>
                <w:lang w:val="en-US" w:eastAsia="zh-CN" w:bidi="ar"/>
              </w:rPr>
              <w:t>的投标保证。</w:t>
            </w:r>
          </w:p>
          <w:p w14:paraId="0DEADA59">
            <w:pPr>
              <w:keepNext w:val="0"/>
              <w:keepLines w:val="0"/>
              <w:pageBreakBefore w:val="0"/>
              <w:widowControl w:val="0"/>
              <w:numPr>
                <w:ilvl w:val="0"/>
                <w:numId w:val="1"/>
              </w:numPr>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投标保证的形式包括投标保证金、投标保证担保、投标保证保险三种，由投标人自主选择。</w:t>
            </w:r>
          </w:p>
          <w:p w14:paraId="055A8A67">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06F02E88">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EF3D104">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706D02C1">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iCs/>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8E4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379323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21.4</w:t>
            </w:r>
          </w:p>
        </w:tc>
        <w:tc>
          <w:tcPr>
            <w:tcW w:w="871" w:type="pct"/>
            <w:gridSpan w:val="2"/>
            <w:noWrap w:val="0"/>
            <w:vAlign w:val="center"/>
          </w:tcPr>
          <w:p w14:paraId="3D72240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投标文件提交</w:t>
            </w:r>
          </w:p>
        </w:tc>
        <w:tc>
          <w:tcPr>
            <w:tcW w:w="3576" w:type="pct"/>
            <w:noWrap w:val="0"/>
            <w:vAlign w:val="center"/>
          </w:tcPr>
          <w:p w14:paraId="6DAFAAB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4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vMerge w:val="restart"/>
            <w:noWrap w:val="0"/>
            <w:vAlign w:val="center"/>
          </w:tcPr>
          <w:p w14:paraId="4BFC161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p w14:paraId="3B4181D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29.0</w:t>
            </w:r>
          </w:p>
        </w:tc>
        <w:tc>
          <w:tcPr>
            <w:tcW w:w="871" w:type="pct"/>
            <w:gridSpan w:val="2"/>
            <w:noWrap w:val="0"/>
            <w:vAlign w:val="center"/>
          </w:tcPr>
          <w:p w14:paraId="139A2CA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tc>
        <w:tc>
          <w:tcPr>
            <w:tcW w:w="3576" w:type="pct"/>
            <w:noWrap w:val="0"/>
            <w:vAlign w:val="center"/>
          </w:tcPr>
          <w:p w14:paraId="3FB7E2D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0</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w:t>
            </w:r>
            <w:r>
              <w:rPr>
                <w:rFonts w:hint="eastAsia" w:ascii="宋体" w:hAnsi="宋体" w:eastAsia="宋体" w:cs="宋体"/>
                <w:strike w:val="0"/>
                <w:dstrike w:val="0"/>
                <w:snapToGrid w:val="0"/>
                <w:color w:val="auto"/>
                <w:kern w:val="0"/>
                <w:sz w:val="24"/>
                <w:szCs w:val="24"/>
                <w:highlight w:val="none"/>
                <w:u w:val="single"/>
              </w:rPr>
              <w:t>家库</w:t>
            </w:r>
            <w:r>
              <w:rPr>
                <w:rFonts w:hint="eastAsia" w:ascii="宋体" w:hAnsi="宋体" w:eastAsia="宋体" w:cs="宋体"/>
                <w:strike w:val="0"/>
                <w:dstrike w:val="0"/>
                <w:snapToGrid w:val="0"/>
                <w:color w:val="auto"/>
                <w:kern w:val="0"/>
                <w:sz w:val="24"/>
                <w:szCs w:val="24"/>
                <w:highlight w:val="none"/>
                <w:u w:val="single"/>
                <w:lang w:eastAsia="zh-CN"/>
              </w:rPr>
              <w:t>—韶关区域中</w:t>
            </w:r>
            <w:r>
              <w:rPr>
                <w:rFonts w:hint="eastAsia" w:ascii="宋体" w:hAnsi="宋体" w:eastAsia="宋体" w:cs="宋体"/>
                <w:snapToGrid w:val="0"/>
                <w:color w:val="auto"/>
                <w:kern w:val="0"/>
                <w:sz w:val="24"/>
                <w:szCs w:val="24"/>
                <w:highlight w:val="none"/>
              </w:rPr>
              <w:t>随机抽取，其中技术类专家</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人。</w:t>
            </w:r>
          </w:p>
          <w:p w14:paraId="488EEE2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注意：</w:t>
            </w:r>
            <w:r>
              <w:rPr>
                <w:rFonts w:hint="eastAsia" w:ascii="宋体" w:hAnsi="宋体" w:eastAsia="宋体" w:cs="宋体"/>
                <w:b/>
                <w:bCs/>
                <w:strike w:val="0"/>
                <w:dstrike w:val="0"/>
                <w:color w:val="auto"/>
                <w:sz w:val="24"/>
                <w:szCs w:val="24"/>
                <w:highlight w:val="none"/>
                <w:lang w:eastAsia="zh-CN"/>
              </w:rPr>
              <w:t>远程异地评标的项目，</w:t>
            </w:r>
            <w:r>
              <w:rPr>
                <w:rFonts w:hint="eastAsia" w:ascii="宋体" w:hAnsi="宋体" w:eastAsia="宋体" w:cs="宋体"/>
                <w:b/>
                <w:bCs/>
                <w:color w:val="auto"/>
                <w:sz w:val="24"/>
                <w:szCs w:val="24"/>
                <w:highlight w:val="none"/>
                <w:lang w:eastAsia="zh-CN"/>
              </w:rPr>
              <w:t>主场、副场评标专家抽取应当符合相关</w:t>
            </w:r>
            <w:r>
              <w:rPr>
                <w:rFonts w:hint="eastAsia" w:ascii="宋体" w:hAnsi="宋体" w:eastAsia="宋体" w:cs="宋体"/>
                <w:b/>
                <w:bCs/>
                <w:color w:val="auto"/>
                <w:sz w:val="24"/>
                <w:szCs w:val="24"/>
                <w:highlight w:val="none"/>
                <w:lang w:val="en-US" w:eastAsia="zh-CN"/>
              </w:rPr>
              <w:t>规定。</w:t>
            </w:r>
          </w:p>
        </w:tc>
      </w:tr>
      <w:tr w14:paraId="6211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Merge w:val="continue"/>
            <w:noWrap w:val="0"/>
            <w:vAlign w:val="center"/>
          </w:tcPr>
          <w:p w14:paraId="0AC142B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c>
          <w:tcPr>
            <w:tcW w:w="871" w:type="pct"/>
            <w:gridSpan w:val="2"/>
            <w:noWrap w:val="0"/>
            <w:vAlign w:val="center"/>
          </w:tcPr>
          <w:p w14:paraId="4F7A3C0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3576" w:type="pct"/>
            <w:noWrap w:val="0"/>
            <w:vAlign w:val="center"/>
          </w:tcPr>
          <w:p w14:paraId="1C714E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1AEE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2A9F2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.0</w:t>
            </w:r>
          </w:p>
        </w:tc>
        <w:tc>
          <w:tcPr>
            <w:tcW w:w="871" w:type="pct"/>
            <w:gridSpan w:val="2"/>
            <w:noWrap w:val="0"/>
            <w:vAlign w:val="center"/>
          </w:tcPr>
          <w:p w14:paraId="7778A63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评标办法</w:t>
            </w:r>
          </w:p>
        </w:tc>
        <w:tc>
          <w:tcPr>
            <w:tcW w:w="3576" w:type="pct"/>
            <w:noWrap w:val="0"/>
            <w:vAlign w:val="center"/>
          </w:tcPr>
          <w:p w14:paraId="08348C9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综合评估法</w:t>
            </w:r>
          </w:p>
        </w:tc>
      </w:tr>
      <w:tr w14:paraId="25B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62BB266">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6"/>
                <w:rFonts w:hint="eastAsia" w:ascii="宋体" w:hAnsi="宋体" w:eastAsia="宋体" w:cs="宋体"/>
                <w:b w:val="0"/>
                <w:bCs w:val="0"/>
                <w:color w:val="auto"/>
                <w:sz w:val="24"/>
                <w:szCs w:val="24"/>
                <w:highlight w:val="none"/>
                <w:lang w:val="en-US" w:eastAsia="zh-CN"/>
              </w:rPr>
              <w:t>30.0</w:t>
            </w:r>
          </w:p>
        </w:tc>
        <w:tc>
          <w:tcPr>
            <w:tcW w:w="871" w:type="pct"/>
            <w:gridSpan w:val="2"/>
            <w:noWrap w:val="0"/>
            <w:vAlign w:val="center"/>
          </w:tcPr>
          <w:p w14:paraId="19FE45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3576" w:type="pct"/>
            <w:noWrap w:val="0"/>
            <w:vAlign w:val="center"/>
          </w:tcPr>
          <w:p w14:paraId="66888A1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6822FBF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1E6B3B4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0D2143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472AFB2A">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4DD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7417908">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26"/>
                <w:rFonts w:hint="eastAsia" w:ascii="宋体" w:hAnsi="宋体" w:eastAsia="宋体" w:cs="宋体"/>
                <w:b w:val="0"/>
                <w:bCs w:val="0"/>
                <w:color w:val="auto"/>
                <w:sz w:val="24"/>
                <w:szCs w:val="24"/>
                <w:highlight w:val="none"/>
                <w:lang w:val="en-US" w:eastAsia="zh-CN"/>
              </w:rPr>
            </w:pPr>
            <w:r>
              <w:rPr>
                <w:rStyle w:val="26"/>
                <w:rFonts w:hint="eastAsia" w:ascii="宋体" w:hAnsi="宋体" w:eastAsia="宋体" w:cs="宋体"/>
                <w:b w:val="0"/>
                <w:bCs w:val="0"/>
                <w:color w:val="auto"/>
                <w:sz w:val="24"/>
                <w:szCs w:val="24"/>
                <w:highlight w:val="none"/>
                <w:lang w:val="en-US" w:eastAsia="zh-CN"/>
              </w:rPr>
              <w:t>29</w:t>
            </w:r>
            <w:r>
              <w:rPr>
                <w:rStyle w:val="26"/>
                <w:rFonts w:hint="eastAsia" w:ascii="宋体" w:hAnsi="宋体" w:eastAsia="宋体" w:cs="宋体"/>
                <w:b w:val="0"/>
                <w:bCs w:val="0"/>
                <w:color w:val="auto"/>
                <w:sz w:val="24"/>
                <w:szCs w:val="24"/>
                <w:highlight w:val="none"/>
              </w:rPr>
              <w:t>.0</w:t>
            </w:r>
          </w:p>
        </w:tc>
        <w:tc>
          <w:tcPr>
            <w:tcW w:w="871" w:type="pct"/>
            <w:gridSpan w:val="2"/>
            <w:noWrap w:val="0"/>
            <w:vAlign w:val="center"/>
          </w:tcPr>
          <w:p w14:paraId="1180F4CD">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kern w:val="2"/>
                <w:sz w:val="24"/>
                <w:szCs w:val="24"/>
                <w:highlight w:val="none"/>
                <w:lang w:val="en-US" w:eastAsia="zh-CN" w:bidi="ar-SA"/>
              </w:rPr>
            </w:pPr>
            <w:r>
              <w:rPr>
                <w:rStyle w:val="26"/>
                <w:rFonts w:hint="eastAsia" w:ascii="宋体" w:hAnsi="宋体" w:eastAsia="宋体" w:cs="宋体"/>
                <w:b w:val="0"/>
                <w:color w:val="auto"/>
                <w:sz w:val="24"/>
                <w:szCs w:val="24"/>
                <w:highlight w:val="none"/>
              </w:rPr>
              <w:t>项目评标方式</w:t>
            </w:r>
          </w:p>
        </w:tc>
        <w:tc>
          <w:tcPr>
            <w:tcW w:w="3576" w:type="pct"/>
            <w:noWrap w:val="0"/>
            <w:vAlign w:val="center"/>
          </w:tcPr>
          <w:p w14:paraId="7DBE648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本招标项目</w:t>
            </w:r>
            <w:r>
              <w:rPr>
                <w:rFonts w:hint="eastAsia" w:ascii="宋体" w:hAnsi="宋体" w:eastAsia="宋体" w:cs="宋体"/>
                <w:b w:val="0"/>
                <w:bCs w:val="0"/>
                <w:color w:val="auto"/>
                <w:sz w:val="24"/>
                <w:szCs w:val="24"/>
                <w:highlight w:val="none"/>
              </w:rPr>
              <w:t>所有投标文件均采用明标评标方式。</w:t>
            </w:r>
          </w:p>
        </w:tc>
      </w:tr>
      <w:tr w14:paraId="3D93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D827DD4">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6"/>
                <w:rFonts w:hint="eastAsia" w:ascii="宋体" w:hAnsi="宋体" w:eastAsia="宋体" w:cs="宋体"/>
                <w:b w:val="0"/>
                <w:bCs w:val="0"/>
                <w:color w:val="auto"/>
                <w:sz w:val="24"/>
                <w:szCs w:val="24"/>
                <w:highlight w:val="none"/>
                <w:lang w:val="en-US" w:eastAsia="zh-CN"/>
              </w:rPr>
              <w:t>33</w:t>
            </w:r>
            <w:r>
              <w:rPr>
                <w:rStyle w:val="26"/>
                <w:rFonts w:hint="eastAsia" w:ascii="宋体" w:hAnsi="宋体" w:eastAsia="宋体" w:cs="宋体"/>
                <w:b w:val="0"/>
                <w:bCs w:val="0"/>
                <w:color w:val="auto"/>
                <w:sz w:val="24"/>
                <w:szCs w:val="24"/>
                <w:highlight w:val="none"/>
              </w:rPr>
              <w:t>.2</w:t>
            </w:r>
          </w:p>
        </w:tc>
        <w:tc>
          <w:tcPr>
            <w:tcW w:w="871" w:type="pct"/>
            <w:gridSpan w:val="2"/>
            <w:noWrap w:val="0"/>
            <w:vAlign w:val="center"/>
          </w:tcPr>
          <w:p w14:paraId="50BB24EA">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26"/>
                <w:rFonts w:hint="eastAsia" w:ascii="宋体" w:hAnsi="宋体" w:eastAsia="宋体" w:cs="宋体"/>
                <w:b w:val="0"/>
                <w:color w:val="auto"/>
                <w:sz w:val="24"/>
                <w:szCs w:val="24"/>
                <w:highlight w:val="none"/>
              </w:rPr>
            </w:pPr>
            <w:r>
              <w:rPr>
                <w:rStyle w:val="26"/>
                <w:rFonts w:hint="eastAsia" w:ascii="宋体" w:hAnsi="宋体" w:eastAsia="宋体" w:cs="宋体"/>
                <w:b w:val="0"/>
                <w:color w:val="auto"/>
                <w:sz w:val="24"/>
                <w:szCs w:val="24"/>
                <w:highlight w:val="none"/>
              </w:rPr>
              <w:t>中标通知书</w:t>
            </w:r>
          </w:p>
          <w:p w14:paraId="107CEDF7">
            <w:pPr>
              <w:pStyle w:val="1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6"/>
                <w:rFonts w:hint="eastAsia" w:ascii="宋体" w:hAnsi="宋体" w:eastAsia="宋体" w:cs="宋体"/>
                <w:b w:val="0"/>
                <w:color w:val="auto"/>
                <w:sz w:val="24"/>
                <w:szCs w:val="24"/>
                <w:highlight w:val="none"/>
              </w:rPr>
              <w:t>发放</w:t>
            </w:r>
          </w:p>
        </w:tc>
        <w:tc>
          <w:tcPr>
            <w:tcW w:w="3576" w:type="pct"/>
            <w:noWrap w:val="0"/>
            <w:vAlign w:val="center"/>
          </w:tcPr>
          <w:p w14:paraId="7FB06E62">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中标人确定后，招标人应当在7日内向中标人发出中标通知书。</w:t>
            </w:r>
          </w:p>
          <w:p w14:paraId="007B9C9F">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招标人最迟应当在投标有效期届满30日前发出中标通知书，否则，应当按照本投标人须知的规定延长投标有效期。</w:t>
            </w:r>
          </w:p>
        </w:tc>
      </w:tr>
      <w:tr w14:paraId="69A9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0DA253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6"/>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37</w:t>
            </w:r>
          </w:p>
        </w:tc>
        <w:tc>
          <w:tcPr>
            <w:tcW w:w="871" w:type="pct"/>
            <w:gridSpan w:val="2"/>
            <w:noWrap w:val="0"/>
            <w:vAlign w:val="center"/>
          </w:tcPr>
          <w:p w14:paraId="0679C59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p w14:paraId="5A84CC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要求</w:t>
            </w:r>
          </w:p>
        </w:tc>
        <w:tc>
          <w:tcPr>
            <w:tcW w:w="3576" w:type="pct"/>
            <w:noWrap w:val="0"/>
            <w:vAlign w:val="center"/>
          </w:tcPr>
          <w:p w14:paraId="4CCC8251">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中标人须在领取中标通知书之日起</w:t>
            </w:r>
            <w:r>
              <w:rPr>
                <w:rFonts w:hint="eastAsia" w:ascii="宋体" w:hAnsi="宋体" w:eastAsia="宋体" w:cs="宋体"/>
                <w:snapToGrid w:val="0"/>
                <w:color w:val="auto"/>
                <w:kern w:val="0"/>
                <w:sz w:val="24"/>
                <w:szCs w:val="24"/>
                <w:highlight w:val="none"/>
                <w:u w:val="single"/>
              </w:rPr>
              <w:t>10</w:t>
            </w:r>
            <w:r>
              <w:rPr>
                <w:rFonts w:hint="eastAsia" w:ascii="宋体" w:hAnsi="宋体" w:eastAsia="宋体" w:cs="宋体"/>
                <w:snapToGrid w:val="0"/>
                <w:color w:val="auto"/>
                <w:kern w:val="0"/>
                <w:sz w:val="24"/>
                <w:szCs w:val="24"/>
                <w:highlight w:val="none"/>
              </w:rPr>
              <w:t>个工作日内、签订合同前提交金额为中标价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6D196743">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宋体" w:hAnsi="宋体" w:eastAsia="宋体" w:cs="宋体"/>
                <w:snapToGrid w:val="0"/>
                <w:color w:val="auto"/>
                <w:kern w:val="0"/>
                <w:sz w:val="24"/>
                <w:szCs w:val="24"/>
                <w:highlight w:val="none"/>
                <w:u w:val="single"/>
              </w:rPr>
              <w:t xml:space="preserve"> 28 </w:t>
            </w:r>
            <w:r>
              <w:rPr>
                <w:rFonts w:hint="eastAsia" w:ascii="宋体" w:hAnsi="宋体" w:eastAsia="宋体" w:cs="宋体"/>
                <w:snapToGrid w:val="0"/>
                <w:color w:val="auto"/>
                <w:kern w:val="0"/>
                <w:sz w:val="24"/>
                <w:szCs w:val="24"/>
                <w:highlight w:val="none"/>
              </w:rPr>
              <w:t>天止。</w:t>
            </w:r>
          </w:p>
          <w:p w14:paraId="2D2DEB86">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如中标人未及时主动办理续期手续或提交新的银行保函或保险合同，招标人有权扣留与履约保证金等额的施工进度款，直至中标人完成续期手续或提交新的银行保函或保险合同止。</w:t>
            </w:r>
          </w:p>
          <w:p w14:paraId="78E5D6E1">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7AA08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项目通过竣工验收之日后28天内，发包人将履约保证（履约保证金不计利息）退还给承包人。</w:t>
            </w:r>
          </w:p>
        </w:tc>
      </w:tr>
      <w:tr w14:paraId="35E0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0A569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.0</w:t>
            </w:r>
          </w:p>
        </w:tc>
        <w:tc>
          <w:tcPr>
            <w:tcW w:w="871" w:type="pct"/>
            <w:gridSpan w:val="2"/>
            <w:noWrap w:val="0"/>
            <w:vAlign w:val="center"/>
          </w:tcPr>
          <w:p w14:paraId="407715E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存档</w:t>
            </w:r>
          </w:p>
        </w:tc>
        <w:tc>
          <w:tcPr>
            <w:tcW w:w="3576" w:type="pct"/>
            <w:noWrap w:val="0"/>
            <w:vAlign w:val="center"/>
          </w:tcPr>
          <w:p w14:paraId="666D102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详见投标人须知第</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条款</w:t>
            </w:r>
          </w:p>
        </w:tc>
      </w:tr>
      <w:tr w14:paraId="226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23" w:type="pct"/>
            <w:gridSpan w:val="3"/>
            <w:noWrap w:val="0"/>
            <w:vAlign w:val="center"/>
          </w:tcPr>
          <w:p w14:paraId="469FB30B">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招标人</w:t>
            </w:r>
          </w:p>
          <w:p w14:paraId="6FCF61B4">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4D3B27A1">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单位名称：韶关一方投资开发有限公司</w:t>
            </w:r>
          </w:p>
          <w:p w14:paraId="40204E38">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办公地址：韶关市浈江区产业转移工业园管委会</w:t>
            </w:r>
          </w:p>
          <w:p w14:paraId="4DADECD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联系人（部门）：梁工</w:t>
            </w:r>
          </w:p>
          <w:p w14:paraId="4FB77C82">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联系电话：13076209693</w:t>
            </w:r>
          </w:p>
        </w:tc>
      </w:tr>
      <w:tr w14:paraId="6A70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5839C2EA">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招标代理机构</w:t>
            </w:r>
          </w:p>
          <w:p w14:paraId="74A63D9C">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372713DF">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单位名称：广东明正项目管理有限公司</w:t>
            </w:r>
          </w:p>
          <w:p w14:paraId="68197B6D">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办公地址：韶关市武江区惠民北路428号7楼</w:t>
            </w:r>
          </w:p>
          <w:p w14:paraId="6C5F4EB0">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联系人：杨工、潘工</w:t>
            </w:r>
          </w:p>
          <w:p w14:paraId="3B22D027">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联系电话：0751-8606998</w:t>
            </w:r>
          </w:p>
        </w:tc>
      </w:tr>
      <w:tr w14:paraId="5BC8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272D88D1">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交易场所</w:t>
            </w:r>
          </w:p>
          <w:p w14:paraId="01CA9789">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1297DEFB">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单位名称：韶关市公共资源交易中心</w:t>
            </w:r>
          </w:p>
          <w:p w14:paraId="5C9B1B4F">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办公地址：广东省韶关市武江区西联镇</w:t>
            </w:r>
          </w:p>
          <w:p w14:paraId="24FDC6A0">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联系人（部门）：工程交易部</w:t>
            </w:r>
          </w:p>
          <w:p w14:paraId="10BDF80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联系电话：0751-8633211</w:t>
            </w:r>
          </w:p>
        </w:tc>
      </w:tr>
      <w:tr w14:paraId="430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7F212D48">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行政监督部门</w:t>
            </w:r>
          </w:p>
          <w:p w14:paraId="5FB842CB">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52B85D2C">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单位名称：韶关高新技术产业开发区管理委员会</w:t>
            </w:r>
          </w:p>
          <w:p w14:paraId="3FE36687">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办公地址：韶关市武江区粤港澳大湾区数据应用产业园E栋</w:t>
            </w:r>
          </w:p>
          <w:p w14:paraId="6FBFDAC1">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联系人（部门）：郑工</w:t>
            </w:r>
          </w:p>
          <w:p w14:paraId="5E94393D">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联系电话：0751-8175926</w:t>
            </w:r>
          </w:p>
        </w:tc>
      </w:tr>
    </w:tbl>
    <w:p w14:paraId="45416124">
      <w:pPr>
        <w:rPr>
          <w:rFonts w:hint="eastAsia" w:ascii="宋体" w:hAnsi="宋体" w:eastAsia="宋体" w:cs="宋体"/>
          <w:color w:val="auto"/>
        </w:rPr>
      </w:pPr>
    </w:p>
    <w:p w14:paraId="51466C24">
      <w:pPr>
        <w:rPr>
          <w:rFonts w:hint="eastAsia" w:ascii="宋体" w:hAnsi="宋体" w:eastAsia="宋体" w:cs="宋体"/>
          <w:color w:val="auto"/>
        </w:rPr>
      </w:pPr>
    </w:p>
    <w:p w14:paraId="31E77E95">
      <w:pPr>
        <w:rPr>
          <w:rFonts w:hint="eastAsia" w:ascii="宋体" w:hAnsi="宋体" w:eastAsia="宋体" w:cs="宋体"/>
          <w:color w:val="auto"/>
        </w:rPr>
      </w:pPr>
    </w:p>
    <w:p w14:paraId="5F1C6145">
      <w:pPr>
        <w:rPr>
          <w:rFonts w:hint="eastAsia" w:ascii="宋体" w:hAnsi="宋体" w:eastAsia="宋体" w:cs="宋体"/>
          <w:color w:val="auto"/>
        </w:rPr>
      </w:pPr>
    </w:p>
    <w:p w14:paraId="64C9351A">
      <w:pPr>
        <w:rPr>
          <w:rFonts w:hint="eastAsia" w:ascii="宋体" w:hAnsi="宋体" w:eastAsia="宋体" w:cs="宋体"/>
          <w:color w:val="auto"/>
        </w:rPr>
      </w:pPr>
    </w:p>
    <w:p w14:paraId="13E29BC4">
      <w:pPr>
        <w:rPr>
          <w:rFonts w:hint="eastAsia" w:ascii="宋体" w:hAnsi="宋体" w:eastAsia="宋体" w:cs="宋体"/>
          <w:color w:val="auto"/>
        </w:rPr>
      </w:pPr>
    </w:p>
    <w:p w14:paraId="72D3A514">
      <w:pPr>
        <w:rPr>
          <w:rFonts w:hint="eastAsia" w:ascii="宋体" w:hAnsi="宋体" w:eastAsia="宋体" w:cs="宋体"/>
          <w:color w:val="auto"/>
        </w:rPr>
      </w:pPr>
    </w:p>
    <w:p w14:paraId="35472F00">
      <w:pPr>
        <w:rPr>
          <w:rFonts w:hint="eastAsia" w:ascii="宋体" w:hAnsi="宋体" w:eastAsia="宋体" w:cs="宋体"/>
          <w:color w:val="auto"/>
        </w:rPr>
      </w:pPr>
    </w:p>
    <w:p w14:paraId="3175EC0D">
      <w:pPr>
        <w:rPr>
          <w:rFonts w:hint="eastAsia" w:ascii="宋体" w:hAnsi="宋体" w:eastAsia="宋体" w:cs="宋体"/>
          <w:color w:val="auto"/>
        </w:rPr>
      </w:pPr>
    </w:p>
    <w:p w14:paraId="27017B16">
      <w:pPr>
        <w:rPr>
          <w:rFonts w:hint="eastAsia" w:ascii="宋体" w:hAnsi="宋体" w:eastAsia="宋体" w:cs="宋体"/>
          <w:color w:val="auto"/>
        </w:rPr>
      </w:pPr>
    </w:p>
    <w:p w14:paraId="5C8B0795">
      <w:pPr>
        <w:rPr>
          <w:rFonts w:hint="eastAsia" w:ascii="宋体" w:hAnsi="宋体" w:eastAsia="宋体" w:cs="宋体"/>
          <w:color w:val="auto"/>
        </w:rPr>
      </w:pPr>
    </w:p>
    <w:p w14:paraId="1C4C11A3">
      <w:pPr>
        <w:rPr>
          <w:rFonts w:hint="eastAsia" w:ascii="宋体" w:hAnsi="宋体" w:eastAsia="宋体" w:cs="宋体"/>
          <w:color w:val="auto"/>
        </w:rPr>
      </w:pPr>
    </w:p>
    <w:p w14:paraId="62B124EA">
      <w:pPr>
        <w:rPr>
          <w:rFonts w:hint="eastAsia" w:ascii="宋体" w:hAnsi="宋体" w:eastAsia="宋体" w:cs="宋体"/>
          <w:color w:val="auto"/>
        </w:rPr>
      </w:pPr>
    </w:p>
    <w:p w14:paraId="3725C230">
      <w:pPr>
        <w:rPr>
          <w:rFonts w:hint="eastAsia" w:ascii="宋体" w:hAnsi="宋体" w:eastAsia="宋体" w:cs="宋体"/>
          <w:color w:val="auto"/>
        </w:rPr>
      </w:pPr>
    </w:p>
    <w:p w14:paraId="5BB78A13">
      <w:pPr>
        <w:rPr>
          <w:rFonts w:hint="eastAsia" w:ascii="宋体" w:hAnsi="宋体" w:eastAsia="宋体" w:cs="宋体"/>
          <w:color w:val="auto"/>
        </w:rPr>
      </w:pPr>
    </w:p>
    <w:p w14:paraId="76088601">
      <w:pPr>
        <w:rPr>
          <w:rFonts w:hint="eastAsia" w:ascii="宋体" w:hAnsi="宋体" w:eastAsia="宋体" w:cs="宋体"/>
          <w:color w:val="auto"/>
        </w:rPr>
      </w:pPr>
    </w:p>
    <w:p w14:paraId="2E09640D">
      <w:pPr>
        <w:rPr>
          <w:rFonts w:hint="eastAsia" w:ascii="宋体" w:hAnsi="宋体" w:eastAsia="宋体" w:cs="宋体"/>
          <w:color w:val="auto"/>
        </w:rPr>
      </w:pPr>
    </w:p>
    <w:p w14:paraId="23CC8A99">
      <w:pPr>
        <w:rPr>
          <w:rFonts w:hint="eastAsia" w:ascii="宋体" w:hAnsi="宋体" w:eastAsia="宋体" w:cs="宋体"/>
          <w:color w:val="auto"/>
        </w:rPr>
      </w:pPr>
    </w:p>
    <w:p w14:paraId="6273C16C">
      <w:pPr>
        <w:rPr>
          <w:rFonts w:hint="eastAsia" w:ascii="宋体" w:hAnsi="宋体" w:eastAsia="宋体" w:cs="宋体"/>
          <w:color w:val="auto"/>
        </w:rPr>
      </w:pPr>
    </w:p>
    <w:p w14:paraId="2168DFB2">
      <w:pPr>
        <w:rPr>
          <w:rFonts w:hint="eastAsia" w:ascii="宋体" w:hAnsi="宋体" w:eastAsia="宋体" w:cs="宋体"/>
          <w:color w:val="auto"/>
        </w:rPr>
      </w:pPr>
    </w:p>
    <w:p w14:paraId="49B3E6D7">
      <w:pPr>
        <w:rPr>
          <w:rFonts w:hint="eastAsia" w:ascii="宋体" w:hAnsi="宋体" w:eastAsia="宋体" w:cs="宋体"/>
          <w:color w:val="auto"/>
        </w:rPr>
      </w:pPr>
    </w:p>
    <w:p w14:paraId="7EB3E6F4">
      <w:pPr>
        <w:rPr>
          <w:rFonts w:hint="eastAsia" w:ascii="宋体" w:hAnsi="宋体" w:eastAsia="宋体" w:cs="宋体"/>
          <w:color w:val="auto"/>
        </w:rPr>
      </w:pPr>
    </w:p>
    <w:p w14:paraId="14FFA7EE">
      <w:pPr>
        <w:rPr>
          <w:rFonts w:hint="eastAsia" w:ascii="宋体" w:hAnsi="宋体" w:eastAsia="宋体" w:cs="宋体"/>
          <w:color w:val="auto"/>
        </w:rPr>
      </w:pPr>
    </w:p>
    <w:p w14:paraId="7BAFC2F3">
      <w:pPr>
        <w:rPr>
          <w:rFonts w:hint="eastAsia" w:ascii="宋体" w:hAnsi="宋体" w:eastAsia="宋体" w:cs="宋体"/>
          <w:color w:val="auto"/>
        </w:rPr>
      </w:pPr>
    </w:p>
    <w:p w14:paraId="58F85DBA">
      <w:pPr>
        <w:rPr>
          <w:rFonts w:hint="eastAsia" w:ascii="宋体" w:hAnsi="宋体" w:eastAsia="宋体" w:cs="宋体"/>
          <w:color w:val="auto"/>
        </w:rPr>
      </w:pPr>
    </w:p>
    <w:p w14:paraId="59AF13B5">
      <w:pPr>
        <w:rPr>
          <w:rFonts w:hint="eastAsia" w:ascii="宋体" w:hAnsi="宋体" w:eastAsia="宋体" w:cs="宋体"/>
          <w:color w:val="auto"/>
        </w:rPr>
      </w:pPr>
    </w:p>
    <w:p w14:paraId="251EFC90">
      <w:pPr>
        <w:rPr>
          <w:rFonts w:hint="eastAsia" w:ascii="宋体" w:hAnsi="宋体" w:eastAsia="宋体" w:cs="宋体"/>
          <w:color w:val="auto"/>
        </w:rPr>
      </w:pPr>
    </w:p>
    <w:p w14:paraId="2449FA71">
      <w:pPr>
        <w:rPr>
          <w:rFonts w:hint="eastAsia" w:ascii="宋体" w:hAnsi="宋体" w:eastAsia="宋体" w:cs="宋体"/>
          <w:color w:val="auto"/>
        </w:rPr>
      </w:pPr>
    </w:p>
    <w:p w14:paraId="724371DC">
      <w:pPr>
        <w:rPr>
          <w:rFonts w:hint="eastAsia" w:ascii="宋体" w:hAnsi="宋体" w:eastAsia="宋体" w:cs="宋体"/>
          <w:color w:val="auto"/>
        </w:rPr>
      </w:pPr>
    </w:p>
    <w:p w14:paraId="6F209093">
      <w:pPr>
        <w:rPr>
          <w:rFonts w:hint="eastAsia" w:ascii="宋体" w:hAnsi="宋体" w:eastAsia="宋体" w:cs="宋体"/>
          <w:color w:val="auto"/>
        </w:rPr>
      </w:pPr>
    </w:p>
    <w:p w14:paraId="44C7200A">
      <w:pPr>
        <w:rPr>
          <w:rFonts w:hint="eastAsia" w:ascii="宋体" w:hAnsi="宋体" w:eastAsia="宋体" w:cs="宋体"/>
          <w:color w:val="auto"/>
        </w:rPr>
      </w:pPr>
    </w:p>
    <w:p w14:paraId="0FED8049">
      <w:pPr>
        <w:rPr>
          <w:rFonts w:hint="eastAsia" w:ascii="宋体" w:hAnsi="宋体" w:eastAsia="宋体" w:cs="宋体"/>
          <w:color w:val="auto"/>
        </w:rPr>
      </w:pPr>
    </w:p>
    <w:p w14:paraId="05E2486A">
      <w:pPr>
        <w:rPr>
          <w:rFonts w:hint="eastAsia" w:ascii="宋体" w:hAnsi="宋体" w:eastAsia="宋体" w:cs="宋体"/>
          <w:color w:val="auto"/>
        </w:rPr>
      </w:pPr>
    </w:p>
    <w:p w14:paraId="7EE5EA91">
      <w:pPr>
        <w:rPr>
          <w:rFonts w:hint="eastAsia" w:ascii="宋体" w:hAnsi="宋体" w:eastAsia="宋体" w:cs="宋体"/>
          <w:color w:val="auto"/>
        </w:rPr>
      </w:pPr>
    </w:p>
    <w:p w14:paraId="6D453B93">
      <w:pPr>
        <w:rPr>
          <w:rFonts w:hint="eastAsia" w:ascii="宋体" w:hAnsi="宋体" w:eastAsia="宋体" w:cs="宋体"/>
          <w:color w:val="auto"/>
        </w:rPr>
      </w:pPr>
    </w:p>
    <w:p w14:paraId="67602F08">
      <w:pPr>
        <w:rPr>
          <w:rFonts w:hint="eastAsia" w:ascii="宋体" w:hAnsi="宋体" w:eastAsia="宋体" w:cs="宋体"/>
          <w:color w:val="auto"/>
        </w:rPr>
      </w:pPr>
    </w:p>
    <w:p w14:paraId="784B91AE">
      <w:pPr>
        <w:rPr>
          <w:rFonts w:hint="eastAsia" w:ascii="宋体" w:hAnsi="宋体" w:eastAsia="宋体" w:cs="宋体"/>
          <w:color w:val="auto"/>
        </w:rPr>
      </w:pPr>
    </w:p>
    <w:p w14:paraId="69C15D44">
      <w:pPr>
        <w:rPr>
          <w:rFonts w:hint="eastAsia" w:ascii="宋体" w:hAnsi="宋体" w:eastAsia="宋体" w:cs="宋体"/>
          <w:color w:val="auto"/>
        </w:rPr>
      </w:pPr>
    </w:p>
    <w:p w14:paraId="096EB6A3">
      <w:pPr>
        <w:pStyle w:val="4"/>
        <w:bidi w:val="0"/>
        <w:ind w:left="0" w:leftChars="0" w:firstLine="0" w:firstLineChars="0"/>
        <w:rPr>
          <w:rFonts w:hint="eastAsia" w:ascii="宋体" w:hAnsi="宋体" w:eastAsia="宋体" w:cs="宋体"/>
          <w:color w:val="auto"/>
          <w:lang w:val="en-US" w:eastAsia="zh-CN"/>
        </w:rPr>
      </w:pPr>
      <w:bookmarkStart w:id="6" w:name="_Toc26506"/>
      <w:r>
        <w:rPr>
          <w:rFonts w:hint="eastAsia" w:ascii="宋体" w:hAnsi="宋体" w:eastAsia="宋体" w:cs="宋体"/>
          <w:color w:val="auto"/>
          <w:lang w:val="en-US" w:eastAsia="zh-CN"/>
        </w:rPr>
        <w:t>二、重要事项时间地点一览表</w:t>
      </w:r>
      <w:bookmarkEnd w:id="6"/>
    </w:p>
    <w:tbl>
      <w:tblPr>
        <w:tblStyle w:val="23"/>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60"/>
        <w:gridCol w:w="1470"/>
        <w:gridCol w:w="7466"/>
      </w:tblGrid>
      <w:tr w14:paraId="69C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1ECD1777">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w:t>
            </w:r>
          </w:p>
        </w:tc>
        <w:tc>
          <w:tcPr>
            <w:tcW w:w="1470" w:type="dxa"/>
            <w:shd w:val="clear" w:color="auto" w:fill="FFFFFF"/>
            <w:noWrap w:val="0"/>
            <w:vAlign w:val="center"/>
          </w:tcPr>
          <w:p w14:paraId="75E600E5">
            <w:pPr>
              <w:pStyle w:val="3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2159B1FB">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发布时间</w:t>
            </w:r>
          </w:p>
        </w:tc>
        <w:tc>
          <w:tcPr>
            <w:tcW w:w="7466" w:type="dxa"/>
            <w:shd w:val="clear" w:color="auto" w:fill="FFFFFF"/>
            <w:noWrap w:val="0"/>
            <w:vAlign w:val="center"/>
          </w:tcPr>
          <w:p w14:paraId="602DC850">
            <w:pPr>
              <w:pStyle w:val="31"/>
              <w:wordWrap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cs="宋体"/>
                <w:snapToGrid w:val="0"/>
                <w:color w:val="auto"/>
                <w:kern w:val="0"/>
                <w:sz w:val="24"/>
                <w:szCs w:val="24"/>
                <w:highlight w:val="none"/>
                <w:u w:val="none"/>
                <w:lang w:val="en-US" w:eastAsia="zh-CN"/>
              </w:rPr>
              <w:t>2026</w:t>
            </w:r>
            <w:r>
              <w:rPr>
                <w:rFonts w:hint="eastAsia" w:ascii="宋体" w:hAnsi="宋体" w:eastAsia="宋体" w:cs="宋体"/>
                <w:snapToGrid w:val="0"/>
                <w:color w:val="auto"/>
                <w:kern w:val="0"/>
                <w:sz w:val="24"/>
                <w:szCs w:val="24"/>
                <w:highlight w:val="none"/>
                <w:u w:val="none"/>
              </w:rPr>
              <w:t>年</w:t>
            </w:r>
            <w:r>
              <w:rPr>
                <w:rFonts w:hint="eastAsia" w:ascii="宋体" w:hAnsi="宋体" w:cs="宋体"/>
                <w:snapToGrid w:val="0"/>
                <w:color w:val="auto"/>
                <w:kern w:val="0"/>
                <w:sz w:val="24"/>
                <w:szCs w:val="24"/>
                <w:highlight w:val="none"/>
                <w:u w:val="none"/>
                <w:lang w:val="en-US" w:eastAsia="zh-CN"/>
              </w:rPr>
              <w:t>06</w:t>
            </w:r>
            <w:r>
              <w:rPr>
                <w:rFonts w:hint="eastAsia" w:ascii="宋体" w:hAnsi="宋体" w:eastAsia="宋体" w:cs="宋体"/>
                <w:snapToGrid w:val="0"/>
                <w:color w:val="auto"/>
                <w:kern w:val="0"/>
                <w:sz w:val="24"/>
                <w:szCs w:val="24"/>
                <w:highlight w:val="none"/>
                <w:u w:val="none"/>
              </w:rPr>
              <w:t>月</w:t>
            </w:r>
            <w:r>
              <w:rPr>
                <w:rFonts w:hint="eastAsia" w:ascii="宋体" w:hAnsi="宋体" w:cs="宋体"/>
                <w:snapToGrid w:val="0"/>
                <w:color w:val="auto"/>
                <w:kern w:val="0"/>
                <w:sz w:val="24"/>
                <w:szCs w:val="24"/>
                <w:highlight w:val="none"/>
                <w:u w:val="none"/>
                <w:lang w:val="en-US" w:eastAsia="zh-CN"/>
              </w:rPr>
              <w:t>30</w:t>
            </w:r>
            <w:r>
              <w:rPr>
                <w:rFonts w:hint="eastAsia" w:ascii="宋体" w:hAnsi="宋体" w:eastAsia="宋体" w:cs="宋体"/>
                <w:snapToGrid w:val="0"/>
                <w:color w:val="auto"/>
                <w:kern w:val="0"/>
                <w:sz w:val="24"/>
                <w:szCs w:val="24"/>
                <w:highlight w:val="none"/>
                <w:u w:val="none"/>
              </w:rPr>
              <w:t>日</w:t>
            </w:r>
            <w:r>
              <w:rPr>
                <w:rFonts w:hint="eastAsia" w:ascii="宋体" w:hAnsi="宋体" w:cs="宋体"/>
                <w:snapToGrid w:val="0"/>
                <w:color w:val="auto"/>
                <w:kern w:val="0"/>
                <w:sz w:val="24"/>
                <w:szCs w:val="24"/>
                <w:highlight w:val="none"/>
                <w:u w:val="none"/>
                <w:lang w:val="en-US" w:eastAsia="zh-CN"/>
              </w:rPr>
              <w:t>17</w:t>
            </w:r>
            <w:r>
              <w:rPr>
                <w:rFonts w:hint="eastAsia" w:ascii="宋体" w:hAnsi="宋体" w:eastAsia="宋体" w:cs="宋体"/>
                <w:snapToGrid w:val="0"/>
                <w:color w:val="auto"/>
                <w:kern w:val="0"/>
                <w:sz w:val="24"/>
                <w:szCs w:val="24"/>
                <w:highlight w:val="none"/>
                <w:u w:val="none"/>
              </w:rPr>
              <w:t>时</w:t>
            </w:r>
            <w:r>
              <w:rPr>
                <w:rFonts w:hint="eastAsia" w:ascii="宋体" w:hAnsi="宋体" w:cs="宋体"/>
                <w:snapToGrid w:val="0"/>
                <w:color w:val="auto"/>
                <w:kern w:val="0"/>
                <w:sz w:val="24"/>
                <w:szCs w:val="24"/>
                <w:highlight w:val="none"/>
                <w:u w:val="none"/>
                <w:lang w:val="en-US" w:eastAsia="zh-CN"/>
              </w:rPr>
              <w:t>00</w:t>
            </w:r>
            <w:r>
              <w:rPr>
                <w:rFonts w:hint="eastAsia" w:ascii="宋体" w:hAnsi="宋体" w:eastAsia="宋体" w:cs="宋体"/>
                <w:snapToGrid w:val="0"/>
                <w:color w:val="auto"/>
                <w:kern w:val="0"/>
                <w:sz w:val="24"/>
                <w:szCs w:val="24"/>
                <w:highlight w:val="none"/>
              </w:rPr>
              <w:t>分</w:t>
            </w:r>
          </w:p>
        </w:tc>
      </w:tr>
      <w:tr w14:paraId="381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64D294D9">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w:t>
            </w:r>
          </w:p>
        </w:tc>
        <w:tc>
          <w:tcPr>
            <w:tcW w:w="1470" w:type="dxa"/>
            <w:shd w:val="clear" w:color="auto" w:fill="FFFFFF"/>
            <w:noWrap w:val="0"/>
            <w:vAlign w:val="center"/>
          </w:tcPr>
          <w:p w14:paraId="05F0BCC8">
            <w:pPr>
              <w:pStyle w:val="3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获取招标文件</w:t>
            </w:r>
          </w:p>
          <w:p w14:paraId="4C5265B2">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截止时间</w:t>
            </w:r>
          </w:p>
        </w:tc>
        <w:tc>
          <w:tcPr>
            <w:tcW w:w="7466" w:type="dxa"/>
            <w:shd w:val="clear" w:color="auto" w:fill="FFFFFF"/>
            <w:noWrap w:val="0"/>
            <w:vAlign w:val="center"/>
          </w:tcPr>
          <w:p w14:paraId="6F173737">
            <w:pPr>
              <w:pStyle w:val="31"/>
              <w:wordWrap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2026年07月21日09时30分</w:t>
            </w:r>
          </w:p>
        </w:tc>
      </w:tr>
      <w:tr w14:paraId="0CCD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1B1CBC0E">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w:t>
            </w:r>
          </w:p>
        </w:tc>
        <w:tc>
          <w:tcPr>
            <w:tcW w:w="1470" w:type="dxa"/>
            <w:shd w:val="clear" w:color="auto" w:fill="FFFFFF"/>
            <w:noWrap w:val="0"/>
            <w:vAlign w:val="center"/>
          </w:tcPr>
          <w:p w14:paraId="6D42F957">
            <w:pPr>
              <w:pStyle w:val="3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5E030563">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截止时间</w:t>
            </w:r>
          </w:p>
        </w:tc>
        <w:tc>
          <w:tcPr>
            <w:tcW w:w="7466" w:type="dxa"/>
            <w:shd w:val="clear" w:color="auto" w:fill="FFFFFF"/>
            <w:noWrap w:val="0"/>
            <w:vAlign w:val="center"/>
          </w:tcPr>
          <w:p w14:paraId="5558025F">
            <w:pPr>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
              </w:rPr>
              <w:t>2026年07月11日</w:t>
            </w:r>
            <w:r>
              <w:rPr>
                <w:rFonts w:hint="eastAsia" w:ascii="宋体" w:hAnsi="宋体" w:eastAsia="宋体" w:cs="宋体"/>
                <w:snapToGrid w:val="0"/>
                <w:color w:val="auto"/>
                <w:kern w:val="0"/>
                <w:sz w:val="24"/>
                <w:szCs w:val="24"/>
                <w:highlight w:val="none"/>
                <w:u w:val="none"/>
                <w:lang w:val="en-US" w:eastAsia="zh-CN" w:bidi="ar"/>
              </w:rPr>
              <w:t>16时00分</w:t>
            </w:r>
          </w:p>
        </w:tc>
      </w:tr>
      <w:tr w14:paraId="783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2136CF13">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4</w:t>
            </w:r>
          </w:p>
        </w:tc>
        <w:tc>
          <w:tcPr>
            <w:tcW w:w="1470" w:type="dxa"/>
            <w:shd w:val="clear" w:color="auto" w:fill="FFFFFF"/>
            <w:noWrap w:val="0"/>
            <w:vAlign w:val="center"/>
          </w:tcPr>
          <w:p w14:paraId="7E595664">
            <w:pPr>
              <w:pStyle w:val="3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93EB79D">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时间</w:t>
            </w:r>
          </w:p>
        </w:tc>
        <w:tc>
          <w:tcPr>
            <w:tcW w:w="7466" w:type="dxa"/>
            <w:shd w:val="clear" w:color="auto" w:fill="FFFFFF"/>
            <w:noWrap w:val="0"/>
            <w:vAlign w:val="center"/>
          </w:tcPr>
          <w:p w14:paraId="0BC510C8">
            <w:pPr>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
              </w:rPr>
              <w:t>2026年07月11日</w:t>
            </w:r>
            <w:r>
              <w:rPr>
                <w:rFonts w:hint="eastAsia" w:ascii="宋体" w:hAnsi="宋体" w:eastAsia="宋体" w:cs="宋体"/>
                <w:snapToGrid w:val="0"/>
                <w:color w:val="auto"/>
                <w:kern w:val="0"/>
                <w:sz w:val="24"/>
                <w:szCs w:val="24"/>
                <w:highlight w:val="none"/>
                <w:u w:val="none"/>
                <w:lang w:val="en-US" w:eastAsia="zh-CN" w:bidi="ar"/>
              </w:rPr>
              <w:t>16时30分至</w:t>
            </w:r>
            <w:r>
              <w:rPr>
                <w:rFonts w:hint="eastAsia" w:ascii="宋体" w:hAnsi="宋体" w:eastAsia="宋体" w:cs="宋体"/>
                <w:color w:val="auto"/>
                <w:kern w:val="2"/>
                <w:sz w:val="24"/>
                <w:szCs w:val="24"/>
                <w:highlight w:val="none"/>
                <w:lang w:val="en-US" w:eastAsia="zh-CN" w:bidi="ar"/>
              </w:rPr>
              <w:t>2026年07月14日</w:t>
            </w:r>
            <w:r>
              <w:rPr>
                <w:rFonts w:hint="eastAsia" w:ascii="宋体" w:hAnsi="宋体" w:eastAsia="宋体" w:cs="宋体"/>
                <w:snapToGrid w:val="0"/>
                <w:color w:val="auto"/>
                <w:kern w:val="0"/>
                <w:sz w:val="24"/>
                <w:szCs w:val="24"/>
                <w:highlight w:val="none"/>
                <w:u w:val="none"/>
                <w:lang w:val="en-US" w:eastAsia="zh-CN" w:bidi="ar"/>
              </w:rPr>
              <w:t>16时00分</w:t>
            </w:r>
          </w:p>
        </w:tc>
      </w:tr>
      <w:tr w14:paraId="510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60" w:type="dxa"/>
            <w:shd w:val="clear" w:color="auto" w:fill="FFFFFF"/>
            <w:noWrap w:val="0"/>
            <w:vAlign w:val="center"/>
          </w:tcPr>
          <w:p w14:paraId="4490816F">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w:t>
            </w:r>
          </w:p>
        </w:tc>
        <w:tc>
          <w:tcPr>
            <w:tcW w:w="1470" w:type="dxa"/>
            <w:shd w:val="clear" w:color="auto" w:fill="FFFFFF"/>
            <w:noWrap w:val="0"/>
            <w:vAlign w:val="center"/>
          </w:tcPr>
          <w:p w14:paraId="6EA8A05A">
            <w:pPr>
              <w:pStyle w:val="3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4A3C97C7">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466" w:type="dxa"/>
            <w:shd w:val="clear" w:color="auto" w:fill="FFFFFF"/>
            <w:noWrap w:val="0"/>
            <w:vAlign w:val="center"/>
          </w:tcPr>
          <w:p w14:paraId="28C80425">
            <w:pPr>
              <w:pStyle w:val="31"/>
              <w:wordWrap w:val="0"/>
              <w:adjustRightInd w:val="0"/>
              <w:snapToGrid w:val="0"/>
              <w:spacing w:line="360" w:lineRule="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投标保证金到账截止时间：</w:t>
            </w:r>
            <w:r>
              <w:rPr>
                <w:rFonts w:hint="eastAsia" w:ascii="宋体" w:hAnsi="宋体" w:eastAsia="宋体" w:cs="宋体"/>
                <w:color w:val="auto"/>
                <w:kern w:val="2"/>
                <w:sz w:val="24"/>
                <w:szCs w:val="24"/>
                <w:highlight w:val="none"/>
                <w:lang w:val="en-US" w:eastAsia="zh-CN" w:bidi="ar"/>
              </w:rPr>
              <w:t>2026年07月20日09时30分</w:t>
            </w:r>
          </w:p>
          <w:p w14:paraId="187AA88E">
            <w:pPr>
              <w:pStyle w:val="31"/>
              <w:wordWrap w:val="0"/>
              <w:adjustRightInd w:val="0"/>
              <w:snapToGrid w:val="0"/>
              <w:spacing w:line="360" w:lineRule="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投标保证担保上传截止时间：</w:t>
            </w:r>
            <w:r>
              <w:rPr>
                <w:rFonts w:hint="eastAsia" w:ascii="宋体" w:hAnsi="宋体" w:eastAsia="宋体" w:cs="宋体"/>
                <w:color w:val="auto"/>
                <w:kern w:val="2"/>
                <w:sz w:val="24"/>
                <w:szCs w:val="24"/>
                <w:highlight w:val="none"/>
                <w:lang w:val="en-US" w:eastAsia="zh-CN" w:bidi="ar"/>
              </w:rPr>
              <w:t>2026年07月20日09时30分</w:t>
            </w:r>
          </w:p>
          <w:p w14:paraId="49ADAE65">
            <w:pPr>
              <w:pStyle w:val="31"/>
              <w:wordWrap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u w:val="none"/>
              </w:rPr>
              <w:t>投标保证保险投保截止时间：</w:t>
            </w:r>
            <w:r>
              <w:rPr>
                <w:rFonts w:hint="eastAsia" w:ascii="宋体" w:hAnsi="宋体" w:eastAsia="宋体" w:cs="宋体"/>
                <w:color w:val="auto"/>
                <w:kern w:val="2"/>
                <w:sz w:val="24"/>
                <w:szCs w:val="24"/>
                <w:highlight w:val="none"/>
                <w:lang w:val="en-US" w:eastAsia="zh-CN" w:bidi="ar"/>
              </w:rPr>
              <w:t>2026年07月20日09时30分</w:t>
            </w:r>
          </w:p>
        </w:tc>
      </w:tr>
      <w:tr w14:paraId="54CE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60" w:type="dxa"/>
            <w:shd w:val="clear" w:color="auto" w:fill="FFFFFF"/>
            <w:noWrap w:val="0"/>
            <w:vAlign w:val="center"/>
          </w:tcPr>
          <w:p w14:paraId="4430112C">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6</w:t>
            </w:r>
          </w:p>
        </w:tc>
        <w:tc>
          <w:tcPr>
            <w:tcW w:w="1470" w:type="dxa"/>
            <w:shd w:val="clear" w:color="auto" w:fill="FFFFFF"/>
            <w:noWrap w:val="0"/>
            <w:vAlign w:val="center"/>
          </w:tcPr>
          <w:p w14:paraId="5B3C2014">
            <w:pPr>
              <w:pStyle w:val="31"/>
              <w:wordWrap w:val="0"/>
              <w:adjustRightInd w:val="0"/>
              <w:snapToGrid w:val="0"/>
              <w:spacing w:line="360" w:lineRule="auto"/>
              <w:ind w:firstLine="240" w:firstLineChars="100"/>
              <w:jc w:val="both"/>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电子投标</w:t>
            </w:r>
          </w:p>
          <w:p w14:paraId="57BFA074">
            <w:pPr>
              <w:pStyle w:val="31"/>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lang w:val="en-US" w:eastAsia="zh-CN"/>
              </w:rPr>
              <w:t>截止时间</w:t>
            </w:r>
          </w:p>
        </w:tc>
        <w:tc>
          <w:tcPr>
            <w:tcW w:w="7466" w:type="dxa"/>
            <w:shd w:val="clear" w:color="auto" w:fill="FFFFFF"/>
            <w:noWrap w:val="0"/>
            <w:vAlign w:val="center"/>
          </w:tcPr>
          <w:p w14:paraId="31A4E8C4">
            <w:pPr>
              <w:pStyle w:val="31"/>
              <w:wordWrap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2026年07月21日09时30分</w:t>
            </w:r>
          </w:p>
        </w:tc>
      </w:tr>
      <w:tr w14:paraId="313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6FDA8AD6">
            <w:pPr>
              <w:pStyle w:val="31"/>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7</w:t>
            </w:r>
          </w:p>
        </w:tc>
        <w:tc>
          <w:tcPr>
            <w:tcW w:w="1470" w:type="dxa"/>
            <w:shd w:val="clear" w:color="auto" w:fill="FFFFFF"/>
            <w:noWrap w:val="0"/>
            <w:vAlign w:val="center"/>
          </w:tcPr>
          <w:p w14:paraId="6AA26F3E">
            <w:pPr>
              <w:pStyle w:val="31"/>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投标相关资料（如有）递交时间</w:t>
            </w:r>
          </w:p>
        </w:tc>
        <w:tc>
          <w:tcPr>
            <w:tcW w:w="7466" w:type="dxa"/>
            <w:shd w:val="clear" w:color="auto" w:fill="FFFFFF"/>
            <w:noWrap w:val="0"/>
            <w:vAlign w:val="center"/>
          </w:tcPr>
          <w:p w14:paraId="4118D5E6">
            <w:pPr>
              <w:pStyle w:val="31"/>
              <w:wordWrap w:val="0"/>
              <w:adjustRightInd w:val="0"/>
              <w:snapToGrid w:val="0"/>
              <w:spacing w:line="360" w:lineRule="auto"/>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2026年07月21日09时00分</w:t>
            </w:r>
            <w:r>
              <w:rPr>
                <w:rFonts w:hint="eastAsia" w:ascii="宋体" w:hAnsi="宋体" w:eastAsia="宋体" w:cs="宋体"/>
                <w:snapToGrid w:val="0"/>
                <w:color w:val="auto"/>
                <w:kern w:val="0"/>
                <w:sz w:val="24"/>
                <w:szCs w:val="24"/>
                <w:highlight w:val="none"/>
                <w:u w:val="none"/>
              </w:rPr>
              <w:t>至</w:t>
            </w:r>
            <w:r>
              <w:rPr>
                <w:rFonts w:hint="eastAsia" w:ascii="宋体" w:hAnsi="宋体" w:eastAsia="宋体" w:cs="宋体"/>
                <w:color w:val="auto"/>
                <w:kern w:val="2"/>
                <w:sz w:val="24"/>
                <w:szCs w:val="24"/>
                <w:highlight w:val="none"/>
                <w:lang w:val="en-US" w:eastAsia="zh-CN" w:bidi="ar"/>
              </w:rPr>
              <w:t>2026年07月21日09时30分</w:t>
            </w:r>
          </w:p>
        </w:tc>
      </w:tr>
      <w:tr w14:paraId="26D1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0D34D715">
            <w:pPr>
              <w:pStyle w:val="31"/>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w:t>
            </w:r>
          </w:p>
        </w:tc>
        <w:tc>
          <w:tcPr>
            <w:tcW w:w="1470" w:type="dxa"/>
            <w:shd w:val="clear" w:color="auto" w:fill="FFFFFF"/>
            <w:noWrap w:val="0"/>
            <w:vAlign w:val="center"/>
          </w:tcPr>
          <w:p w14:paraId="7B09109B">
            <w:pPr>
              <w:pStyle w:val="31"/>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投标相关资料（如有）递交地点</w:t>
            </w:r>
          </w:p>
        </w:tc>
        <w:tc>
          <w:tcPr>
            <w:tcW w:w="7466" w:type="dxa"/>
            <w:shd w:val="clear" w:color="auto" w:fill="FFFFFF"/>
            <w:noWrap w:val="0"/>
            <w:vAlign w:val="center"/>
          </w:tcPr>
          <w:p w14:paraId="291901A9">
            <w:pPr>
              <w:pStyle w:val="18"/>
              <w:wordWrap w:val="0"/>
              <w:adjustRightInd w:val="0"/>
              <w:snapToGrid w:val="0"/>
              <w:spacing w:line="360" w:lineRule="auto"/>
              <w:ind w:firstLine="240" w:firstLineChars="100"/>
              <w:jc w:val="left"/>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napToGrid w:val="0"/>
                <w:color w:val="auto"/>
                <w:kern w:val="0"/>
                <w:sz w:val="24"/>
                <w:szCs w:val="24"/>
                <w:highlight w:val="none"/>
                <w:u w:val="none"/>
                <w:lang w:eastAsia="zh-CN"/>
              </w:rPr>
              <w:t>递交</w:t>
            </w:r>
            <w:r>
              <w:rPr>
                <w:rFonts w:hint="eastAsia" w:ascii="宋体" w:hAnsi="宋体" w:eastAsia="宋体" w:cs="宋体"/>
                <w:snapToGrid w:val="0"/>
                <w:color w:val="auto"/>
                <w:kern w:val="0"/>
                <w:sz w:val="24"/>
                <w:szCs w:val="24"/>
                <w:highlight w:val="none"/>
                <w:u w:val="none"/>
              </w:rPr>
              <w:t>场所：</w:t>
            </w:r>
            <w:r>
              <w:rPr>
                <w:rFonts w:hint="eastAsia" w:ascii="宋体" w:hAnsi="宋体" w:eastAsia="宋体" w:cs="宋体"/>
                <w:snapToGrid w:val="0"/>
                <w:color w:val="auto"/>
                <w:kern w:val="0"/>
                <w:sz w:val="24"/>
                <w:szCs w:val="24"/>
                <w:highlight w:val="none"/>
                <w:u w:val="none"/>
                <w:lang w:val="en-US" w:eastAsia="zh-CN"/>
              </w:rPr>
              <w:t>韶关市公共资源交易中心</w:t>
            </w:r>
          </w:p>
          <w:p w14:paraId="6E7F3111">
            <w:pPr>
              <w:pStyle w:val="32"/>
              <w:widowControl w:val="0"/>
              <w:wordWrap w:val="0"/>
              <w:snapToGrid w:val="0"/>
              <w:spacing w:before="0" w:beforeAutospacing="0" w:after="0" w:afterAutospacing="0" w:line="360" w:lineRule="auto"/>
              <w:ind w:firstLine="240" w:firstLineChars="100"/>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地址：广东省韶关市武江区西联镇，具体房间号以当日现场通知为准。</w:t>
            </w:r>
          </w:p>
        </w:tc>
      </w:tr>
      <w:tr w14:paraId="7DF7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60" w:type="dxa"/>
            <w:shd w:val="clear" w:color="auto" w:fill="FFFFFF"/>
            <w:noWrap w:val="0"/>
            <w:vAlign w:val="center"/>
          </w:tcPr>
          <w:p w14:paraId="31E3BE7B">
            <w:pPr>
              <w:pStyle w:val="31"/>
              <w:wordWrap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highlight w:val="none"/>
              </w:rPr>
              <w:t>9</w:t>
            </w:r>
          </w:p>
        </w:tc>
        <w:tc>
          <w:tcPr>
            <w:tcW w:w="1470" w:type="dxa"/>
            <w:shd w:val="clear" w:color="auto" w:fill="FFFFFF"/>
            <w:noWrap w:val="0"/>
            <w:vAlign w:val="center"/>
          </w:tcPr>
          <w:p w14:paraId="6F526C1E">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开标时间</w:t>
            </w:r>
          </w:p>
        </w:tc>
        <w:tc>
          <w:tcPr>
            <w:tcW w:w="7466" w:type="dxa"/>
            <w:shd w:val="clear" w:color="auto" w:fill="FFFFFF"/>
            <w:noWrap w:val="0"/>
            <w:vAlign w:val="center"/>
          </w:tcPr>
          <w:p w14:paraId="220196E9">
            <w:pPr>
              <w:pStyle w:val="31"/>
              <w:wordWrap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2026年07月21日09时30分</w:t>
            </w:r>
          </w:p>
        </w:tc>
      </w:tr>
      <w:tr w14:paraId="43FD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2A676CE8">
            <w:pPr>
              <w:pStyle w:val="31"/>
              <w:wordWrap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10</w:t>
            </w:r>
          </w:p>
        </w:tc>
        <w:tc>
          <w:tcPr>
            <w:tcW w:w="1470" w:type="dxa"/>
            <w:shd w:val="clear" w:color="auto" w:fill="FFFFFF"/>
            <w:noWrap w:val="0"/>
            <w:vAlign w:val="center"/>
          </w:tcPr>
          <w:p w14:paraId="2971D890">
            <w:pPr>
              <w:pStyle w:val="31"/>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开标地点</w:t>
            </w:r>
          </w:p>
        </w:tc>
        <w:tc>
          <w:tcPr>
            <w:tcW w:w="7466" w:type="dxa"/>
            <w:shd w:val="clear" w:color="auto" w:fill="FFFFFF"/>
            <w:noWrap w:val="0"/>
            <w:vAlign w:val="center"/>
          </w:tcPr>
          <w:p w14:paraId="16A1BFFA">
            <w:pPr>
              <w:pStyle w:val="18"/>
              <w:wordWrap w:val="0"/>
              <w:adjustRightInd w:val="0"/>
              <w:snapToGrid w:val="0"/>
              <w:spacing w:line="360" w:lineRule="auto"/>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开标场所：</w:t>
            </w:r>
            <w:r>
              <w:rPr>
                <w:rFonts w:hint="eastAsia" w:ascii="宋体" w:hAnsi="宋体" w:eastAsia="宋体" w:cs="宋体"/>
                <w:snapToGrid w:val="0"/>
                <w:color w:val="auto"/>
                <w:kern w:val="0"/>
                <w:sz w:val="24"/>
                <w:szCs w:val="24"/>
                <w:highlight w:val="none"/>
                <w:lang w:val="en-US" w:eastAsia="zh-CN"/>
              </w:rPr>
              <w:t>韶关市公共资源交易中心</w:t>
            </w:r>
          </w:p>
          <w:p w14:paraId="2ED5063C">
            <w:pPr>
              <w:pStyle w:val="32"/>
              <w:widowControl w:val="0"/>
              <w:wordWrap w:val="0"/>
              <w:snapToGrid w:val="0"/>
              <w:spacing w:before="0" w:beforeAutospacing="0" w:after="0" w:afterAutospacing="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地址：广东省韶关市武江区西联镇</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具体房间号以当日现场通知为准。</w:t>
            </w:r>
          </w:p>
        </w:tc>
      </w:tr>
      <w:tr w14:paraId="1C4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18BEC9A9">
            <w:pPr>
              <w:pStyle w:val="31"/>
              <w:wordWrap w:val="0"/>
              <w:adjustRightInd w:val="0"/>
              <w:snapToGrid w:val="0"/>
              <w:spacing w:line="360" w:lineRule="auto"/>
              <w:jc w:val="center"/>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snapToGrid w:val="0"/>
                <w:color w:val="auto"/>
                <w:kern w:val="0"/>
                <w:sz w:val="24"/>
                <w:szCs w:val="24"/>
                <w:highlight w:val="none"/>
              </w:rPr>
              <w:t>11</w:t>
            </w:r>
          </w:p>
        </w:tc>
        <w:tc>
          <w:tcPr>
            <w:tcW w:w="1470" w:type="dxa"/>
            <w:shd w:val="clear" w:color="auto" w:fill="FFFFFF"/>
            <w:noWrap w:val="0"/>
            <w:vAlign w:val="center"/>
          </w:tcPr>
          <w:p w14:paraId="4FC398B1">
            <w:pPr>
              <w:pStyle w:val="31"/>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其他</w:t>
            </w:r>
          </w:p>
        </w:tc>
        <w:tc>
          <w:tcPr>
            <w:tcW w:w="7466" w:type="dxa"/>
            <w:shd w:val="clear" w:color="auto" w:fill="FFFFFF"/>
            <w:noWrap w:val="0"/>
            <w:vAlign w:val="center"/>
          </w:tcPr>
          <w:p w14:paraId="43A57DF3">
            <w:pPr>
              <w:pStyle w:val="18"/>
              <w:wordWrap w:val="0"/>
              <w:adjustRightInd w:val="0"/>
              <w:snapToGrid w:val="0"/>
              <w:spacing w:line="360" w:lineRule="auto"/>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4BC2611">
      <w:pPr>
        <w:rPr>
          <w:rFonts w:hint="eastAsia" w:ascii="宋体" w:hAnsi="宋体" w:eastAsia="宋体" w:cs="宋体"/>
          <w:b/>
          <w:bCs w:val="0"/>
          <w:color w:val="auto"/>
          <w:highlight w:val="none"/>
          <w:lang w:val="en-US" w:eastAsia="zh-CN"/>
        </w:rPr>
      </w:pPr>
    </w:p>
    <w:p w14:paraId="2F8FA2B6">
      <w:pPr>
        <w:rPr>
          <w:rFonts w:hint="eastAsia" w:ascii="宋体" w:hAnsi="宋体" w:eastAsia="宋体" w:cs="宋体"/>
          <w:b/>
          <w:bCs w:val="0"/>
          <w:color w:val="auto"/>
          <w:highlight w:val="none"/>
          <w:lang w:val="en-US" w:eastAsia="zh-CN"/>
        </w:rPr>
      </w:pPr>
    </w:p>
    <w:p w14:paraId="06EE79C4">
      <w:pPr>
        <w:rPr>
          <w:rFonts w:hint="eastAsia" w:ascii="宋体" w:hAnsi="宋体" w:eastAsia="宋体" w:cs="宋体"/>
          <w:b/>
          <w:bCs w:val="0"/>
          <w:color w:val="auto"/>
          <w:highlight w:val="none"/>
          <w:lang w:val="en-US" w:eastAsia="zh-CN"/>
        </w:rPr>
      </w:pPr>
    </w:p>
    <w:p w14:paraId="2EBB3325">
      <w:pPr>
        <w:rPr>
          <w:rFonts w:hint="eastAsia" w:ascii="宋体" w:hAnsi="宋体" w:eastAsia="宋体" w:cs="宋体"/>
          <w:b/>
          <w:bCs w:val="0"/>
          <w:color w:val="auto"/>
          <w:highlight w:val="none"/>
          <w:lang w:val="en-US" w:eastAsia="zh-CN"/>
        </w:rPr>
      </w:pPr>
    </w:p>
    <w:p w14:paraId="54E1342B">
      <w:pPr>
        <w:rPr>
          <w:rFonts w:hint="eastAsia" w:ascii="宋体" w:hAnsi="宋体" w:eastAsia="宋体" w:cs="宋体"/>
          <w:b/>
          <w:bCs w:val="0"/>
          <w:color w:val="auto"/>
          <w:highlight w:val="none"/>
          <w:lang w:val="en-US" w:eastAsia="zh-CN"/>
        </w:rPr>
      </w:pPr>
    </w:p>
    <w:p w14:paraId="24C0A71C">
      <w:pPr>
        <w:pStyle w:val="4"/>
        <w:bidi w:val="0"/>
        <w:ind w:left="0" w:leftChars="0" w:firstLine="0" w:firstLineChars="0"/>
        <w:rPr>
          <w:rFonts w:hint="eastAsia" w:ascii="宋体" w:hAnsi="宋体" w:eastAsia="宋体" w:cs="宋体"/>
          <w:color w:val="auto"/>
          <w:lang w:val="en-US" w:eastAsia="zh-CN"/>
        </w:rPr>
      </w:pPr>
      <w:bookmarkStart w:id="7" w:name="_Toc18634"/>
      <w:r>
        <w:rPr>
          <w:rFonts w:hint="eastAsia" w:ascii="宋体" w:hAnsi="宋体" w:eastAsia="宋体" w:cs="宋体"/>
          <w:color w:val="auto"/>
          <w:lang w:val="en-US" w:eastAsia="zh-CN"/>
        </w:rPr>
        <w:t>三、投标人须知</w:t>
      </w:r>
      <w:bookmarkEnd w:id="7"/>
    </w:p>
    <w:p w14:paraId="3BA111C0">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kern w:val="0"/>
          <w:sz w:val="28"/>
          <w:szCs w:val="28"/>
          <w:highlight w:val="none"/>
        </w:rPr>
      </w:pPr>
      <w:bookmarkStart w:id="8" w:name="_Toc6725"/>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一</w:t>
      </w:r>
      <w:r>
        <w:rPr>
          <w:rFonts w:hint="eastAsia" w:ascii="宋体" w:hAnsi="宋体" w:eastAsia="宋体" w:cs="宋体"/>
          <w:b/>
          <w:bCs/>
          <w:color w:val="auto"/>
          <w:kern w:val="0"/>
          <w:sz w:val="28"/>
          <w:szCs w:val="28"/>
          <w:highlight w:val="none"/>
        </w:rPr>
        <w:t>）总则</w:t>
      </w:r>
      <w:bookmarkEnd w:id="8"/>
    </w:p>
    <w:p w14:paraId="416DECCB">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项目概况</w:t>
      </w:r>
    </w:p>
    <w:p w14:paraId="75F3CD2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.1根据《中华人民共和国招标投标法》等有关法律、法规和规章的规定，本招标项目已具备招标条件，通过招标方式选定承包人。</w:t>
      </w:r>
    </w:p>
    <w:p w14:paraId="79CB891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项目业主：</w:t>
      </w:r>
      <w:r>
        <w:rPr>
          <w:rFonts w:hint="eastAsia" w:ascii="宋体" w:hAnsi="宋体" w:eastAsia="宋体" w:cs="宋体"/>
          <w:color w:val="auto"/>
          <w:sz w:val="24"/>
          <w:szCs w:val="24"/>
          <w:highlight w:val="none"/>
        </w:rPr>
        <w:t>见投标人须知前附表。</w:t>
      </w:r>
    </w:p>
    <w:p w14:paraId="6F4B8F7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.3招标人：见投标人须知前附表</w:t>
      </w:r>
      <w:r>
        <w:rPr>
          <w:rFonts w:hint="eastAsia" w:ascii="宋体" w:hAnsi="宋体" w:eastAsia="宋体" w:cs="宋体"/>
          <w:color w:val="auto"/>
          <w:sz w:val="24"/>
          <w:szCs w:val="24"/>
          <w:highlight w:val="none"/>
          <w:lang w:eastAsia="zh-CN"/>
        </w:rPr>
        <w:t>。</w:t>
      </w:r>
    </w:p>
    <w:p w14:paraId="3F2DDC4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.4招标代理机构：见投标人须知前附表。</w:t>
      </w:r>
    </w:p>
    <w:p w14:paraId="3D35573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名称：见投标人须知前附表。</w:t>
      </w:r>
    </w:p>
    <w:p w14:paraId="379F86E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.6项目建设地点：见投标人须知前附表。</w:t>
      </w:r>
    </w:p>
    <w:p w14:paraId="734A6CE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项目建设规模：见投标人须知前附表。</w:t>
      </w:r>
    </w:p>
    <w:p w14:paraId="212DCF32">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资金来源和落实情况</w:t>
      </w:r>
    </w:p>
    <w:p w14:paraId="5ECA26B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.1资金来源及比例：</w:t>
      </w:r>
      <w:r>
        <w:rPr>
          <w:rFonts w:hint="eastAsia" w:ascii="宋体" w:hAnsi="宋体" w:eastAsia="宋体" w:cs="宋体"/>
          <w:color w:val="auto"/>
          <w:sz w:val="24"/>
          <w:szCs w:val="24"/>
          <w:highlight w:val="none"/>
        </w:rPr>
        <w:t>见投标人须知前附表。</w:t>
      </w:r>
    </w:p>
    <w:p w14:paraId="026A54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.2资金落实情况：见投标人须知前附表。</w:t>
      </w:r>
    </w:p>
    <w:p w14:paraId="1594148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工程类型</w:t>
      </w:r>
      <w:r>
        <w:rPr>
          <w:rFonts w:hint="eastAsia" w:ascii="宋体" w:hAnsi="宋体" w:eastAsia="宋体" w:cs="宋体"/>
          <w:b/>
          <w:bCs/>
          <w:color w:val="auto"/>
          <w:sz w:val="24"/>
          <w:szCs w:val="24"/>
          <w:highlight w:val="none"/>
        </w:rPr>
        <w:t>及招标范围</w:t>
      </w:r>
    </w:p>
    <w:p w14:paraId="4D67544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工程类型</w:t>
      </w:r>
      <w:r>
        <w:rPr>
          <w:rFonts w:hint="eastAsia" w:ascii="宋体" w:hAnsi="宋体" w:eastAsia="宋体" w:cs="宋体"/>
          <w:color w:val="auto"/>
          <w:sz w:val="24"/>
          <w:szCs w:val="24"/>
          <w:highlight w:val="none"/>
        </w:rPr>
        <w:t>：见投标人须知前附表。</w:t>
      </w:r>
    </w:p>
    <w:p w14:paraId="3799EC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工程建设内容及</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：见投标人须知前附表</w:t>
      </w:r>
    </w:p>
    <w:p w14:paraId="0960243F">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.投标人资格要求</w:t>
      </w:r>
    </w:p>
    <w:p w14:paraId="7AB8BBE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.1投标人应具备承担本招标项目资质条件、能力和信誉。</w:t>
      </w:r>
    </w:p>
    <w:p w14:paraId="757E590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1B0CBBF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（2）其他要求：见投标人须知前附表。</w:t>
      </w:r>
    </w:p>
    <w:p w14:paraId="1B681E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投标须知前附表规定接受联合体投标的，除应符合本章第</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款和投标人须知前附表的要求外，还应遵守以下规定：</w:t>
      </w:r>
    </w:p>
    <w:p w14:paraId="5B9861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（1）联合体各方应按照招标文件提供的格式签订联合体共同投标协议书，明确联合体主办人和各方权利义务；</w:t>
      </w:r>
    </w:p>
    <w:p w14:paraId="6AA89D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7E40DD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w:t>
      </w:r>
    </w:p>
    <w:p w14:paraId="0EA0CB1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项目负责人资格要求：具体要求见投标人须知前附表；</w:t>
      </w:r>
    </w:p>
    <w:p w14:paraId="0A0BEEC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w:t>
      </w:r>
      <w:r>
        <w:rPr>
          <w:rFonts w:hint="eastAsia" w:ascii="宋体" w:hAnsi="宋体" w:eastAsia="宋体" w:cs="宋体"/>
          <w:bCs/>
          <w:color w:val="auto"/>
          <w:kern w:val="0"/>
          <w:sz w:val="24"/>
          <w:szCs w:val="24"/>
          <w:highlight w:val="none"/>
        </w:rPr>
        <w:t>投标人拟派的项目负责人从投标截止时间起不得在其他建设工程担任项目负责人。</w:t>
      </w:r>
    </w:p>
    <w:p w14:paraId="22DD8F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本招标项目采用本投标人须知前附表所述的资格后审方式确定合格投标人。</w:t>
      </w:r>
    </w:p>
    <w:p w14:paraId="6746A77F">
      <w:pPr>
        <w:pStyle w:val="31"/>
        <w:wordWrap w:val="0"/>
        <w:adjustRightInd w:val="0"/>
        <w:snapToGrid w:val="0"/>
        <w:spacing w:line="440" w:lineRule="exact"/>
        <w:ind w:firstLine="480"/>
        <w:jc w:val="left"/>
        <w:rPr>
          <w:rFonts w:hint="eastAsia" w:ascii="宋体" w:hAnsi="宋体" w:eastAsia="宋体" w:cs="宋体"/>
          <w:b/>
          <w:bCs/>
          <w:snapToGrid w:val="0"/>
          <w:color w:val="auto"/>
          <w:kern w:val="0"/>
          <w:sz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snapToGrid w:val="0"/>
          <w:color w:val="auto"/>
          <w:kern w:val="0"/>
          <w:sz w:val="24"/>
          <w:highlight w:val="none"/>
        </w:rPr>
        <w:t>禁止投标条款</w:t>
      </w:r>
    </w:p>
    <w:p w14:paraId="7EC5063B">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.1投标人不得存在下列情形之一：</w:t>
      </w:r>
    </w:p>
    <w:p w14:paraId="04DD15C5">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7B661B35">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（2）为本招标项目前期准备提供设计或咨询服务的；</w:t>
      </w:r>
    </w:p>
    <w:p w14:paraId="12ECABF7">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14:paraId="6EC3A00F">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14:paraId="1D2A5500">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（5）为本招标项目的监理人；</w:t>
      </w:r>
    </w:p>
    <w:p w14:paraId="31114652">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（6）为本招标项目的代建人；</w:t>
      </w:r>
    </w:p>
    <w:p w14:paraId="493084D7">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（7）为本招标项目的招标代理机构；</w:t>
      </w:r>
    </w:p>
    <w:p w14:paraId="0B8520E5">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（8）与本招标项目的监理人或代建人或招标代理机构同为一个法定代表人；</w:t>
      </w:r>
    </w:p>
    <w:p w14:paraId="4649E6C0">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（9）与本招标项目的监理人或代建人或招标代理机构存在控股或参股关系；</w:t>
      </w:r>
    </w:p>
    <w:p w14:paraId="3545F9D7">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（10）与本招标项目的监理人或代建人或招标代理机构存在相互任职或工作关系；</w:t>
      </w:r>
    </w:p>
    <w:p w14:paraId="01B4C30E">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（11）被依法暂停或者取消投标资格；</w:t>
      </w:r>
    </w:p>
    <w:p w14:paraId="389ED542">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（12）被责令停产停业、暂扣或者吊销许可证、暂扣或者吊销执照；</w:t>
      </w:r>
    </w:p>
    <w:p w14:paraId="1FE3AFC2">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（13）进入清算程序，或被宣告破产，或其他丧失履约能力的情形；</w:t>
      </w:r>
    </w:p>
    <w:p w14:paraId="63E4F95C">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6446BBE">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（15）被“信用中国”网站（https://www.creditchina.gov.cn）发布的《法人和非法人组织公共信用信息报告》列为严重失信主体名单的。</w:t>
      </w:r>
    </w:p>
    <w:p w14:paraId="649C11A2">
      <w:pPr>
        <w:pStyle w:val="31"/>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招标人拒绝以下名单中的单位参加本次投标：</w:t>
      </w:r>
    </w:p>
    <w:tbl>
      <w:tblPr>
        <w:tblStyle w:val="23"/>
        <w:tblW w:w="0" w:type="auto"/>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4015"/>
        <w:gridCol w:w="3858"/>
      </w:tblGrid>
      <w:tr w14:paraId="32B0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0" w:type="dxa"/>
            <w:noWrap w:val="0"/>
            <w:vAlign w:val="center"/>
          </w:tcPr>
          <w:p w14:paraId="2D8837E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序</w:t>
            </w:r>
            <w:r>
              <w:rPr>
                <w:rFonts w:hint="eastAsia" w:ascii="宋体" w:hAnsi="宋体" w:eastAsia="宋体" w:cs="宋体"/>
                <w:snapToGrid w:val="0"/>
                <w:color w:val="auto"/>
                <w:kern w:val="0"/>
                <w:sz w:val="24"/>
                <w:szCs w:val="24"/>
                <w:highlight w:val="none"/>
              </w:rPr>
              <w:t>号</w:t>
            </w:r>
          </w:p>
        </w:tc>
        <w:tc>
          <w:tcPr>
            <w:tcW w:w="4015" w:type="dxa"/>
            <w:noWrap w:val="0"/>
            <w:vAlign w:val="center"/>
          </w:tcPr>
          <w:p w14:paraId="3FFB1B0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858" w:type="dxa"/>
            <w:noWrap w:val="0"/>
            <w:vAlign w:val="center"/>
          </w:tcPr>
          <w:p w14:paraId="55D71DF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1FDE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0" w:type="dxa"/>
            <w:noWrap w:val="0"/>
            <w:vAlign w:val="center"/>
          </w:tcPr>
          <w:p w14:paraId="08B98370">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p>
        </w:tc>
        <w:tc>
          <w:tcPr>
            <w:tcW w:w="4015" w:type="dxa"/>
            <w:noWrap w:val="0"/>
            <w:vAlign w:val="center"/>
          </w:tcPr>
          <w:p w14:paraId="65102B06">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韶关一方投资开发有限公司</w:t>
            </w:r>
          </w:p>
        </w:tc>
        <w:tc>
          <w:tcPr>
            <w:tcW w:w="3858" w:type="dxa"/>
            <w:noWrap w:val="0"/>
            <w:vAlign w:val="center"/>
          </w:tcPr>
          <w:p w14:paraId="2466662E">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为本项目的项目业主、招标人</w:t>
            </w:r>
          </w:p>
        </w:tc>
      </w:tr>
      <w:tr w14:paraId="07BC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0" w:type="dxa"/>
            <w:noWrap w:val="0"/>
            <w:vAlign w:val="center"/>
          </w:tcPr>
          <w:p w14:paraId="163C32EC">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p>
        </w:tc>
        <w:tc>
          <w:tcPr>
            <w:tcW w:w="4015" w:type="dxa"/>
            <w:noWrap w:val="0"/>
            <w:vAlign w:val="center"/>
          </w:tcPr>
          <w:p w14:paraId="1802E19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广东明正项目管理有限公司</w:t>
            </w:r>
          </w:p>
        </w:tc>
        <w:tc>
          <w:tcPr>
            <w:tcW w:w="3858" w:type="dxa"/>
            <w:noWrap w:val="0"/>
            <w:vAlign w:val="center"/>
          </w:tcPr>
          <w:p w14:paraId="559FADC8">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为本项目的招标代理机构</w:t>
            </w:r>
          </w:p>
        </w:tc>
      </w:tr>
      <w:tr w14:paraId="093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0" w:type="dxa"/>
            <w:noWrap w:val="0"/>
            <w:vAlign w:val="center"/>
          </w:tcPr>
          <w:p w14:paraId="78FAD523">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w:t>
            </w:r>
          </w:p>
        </w:tc>
        <w:tc>
          <w:tcPr>
            <w:tcW w:w="4015" w:type="dxa"/>
            <w:noWrap w:val="0"/>
            <w:vAlign w:val="center"/>
          </w:tcPr>
          <w:p w14:paraId="588EBBCD">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广东人信工程咨询有限公司</w:t>
            </w:r>
          </w:p>
        </w:tc>
        <w:tc>
          <w:tcPr>
            <w:tcW w:w="3858" w:type="dxa"/>
            <w:noWrap w:val="0"/>
            <w:vAlign w:val="center"/>
          </w:tcPr>
          <w:p w14:paraId="3CA3E1E9">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为本项目全过程造价咨询单位</w:t>
            </w:r>
          </w:p>
        </w:tc>
      </w:tr>
      <w:tr w14:paraId="2CB5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0" w:type="dxa"/>
            <w:noWrap w:val="0"/>
            <w:vAlign w:val="center"/>
          </w:tcPr>
          <w:p w14:paraId="06A75A2F">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4015" w:type="dxa"/>
            <w:noWrap w:val="0"/>
            <w:vAlign w:val="center"/>
          </w:tcPr>
          <w:p w14:paraId="58AD6CCE">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广州三合工程咨询有限公司</w:t>
            </w:r>
          </w:p>
        </w:tc>
        <w:tc>
          <w:tcPr>
            <w:tcW w:w="3858" w:type="dxa"/>
            <w:noWrap w:val="0"/>
            <w:vAlign w:val="center"/>
          </w:tcPr>
          <w:p w14:paraId="1EEE6B66">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为本项目施工图设计文件审查单位</w:t>
            </w:r>
          </w:p>
        </w:tc>
      </w:tr>
      <w:tr w14:paraId="1ACC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0" w:type="dxa"/>
            <w:noWrap w:val="0"/>
            <w:vAlign w:val="center"/>
          </w:tcPr>
          <w:p w14:paraId="2F1E34A3">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4015" w:type="dxa"/>
            <w:noWrap w:val="0"/>
            <w:vAlign w:val="center"/>
          </w:tcPr>
          <w:p w14:paraId="72D823B6">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中联合创设计有限公司</w:t>
            </w:r>
          </w:p>
        </w:tc>
        <w:tc>
          <w:tcPr>
            <w:tcW w:w="3858" w:type="dxa"/>
            <w:noWrap w:val="0"/>
            <w:vAlign w:val="center"/>
          </w:tcPr>
          <w:p w14:paraId="08375236">
            <w:pPr>
              <w:pStyle w:val="3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为本项目工程设计单位</w:t>
            </w:r>
          </w:p>
        </w:tc>
      </w:tr>
    </w:tbl>
    <w:p w14:paraId="4BDE4FD5">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分包</w:t>
      </w:r>
    </w:p>
    <w:p w14:paraId="663D78A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.1投标人须知前附表规定允许分包的，招标人不得直接指定分包工程承包人，也不得对依法实施的分包活动进行干预，应当允许</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人将中标项目的部分非主体、非关键性工作进行分包。</w:t>
      </w:r>
    </w:p>
    <w:p w14:paraId="53885F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.2投标人拟将允许分包的中标项目的部分非主体、非关键性工作进行分包的，应当符合有关法律法规规章的规定</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施工总承包的，建筑工程主体结构的施工必须由总承包单位自行完成。禁止总承包单位将工程分包给不具备相应资质条件的单位。禁止分包单位将其承包的工程再分包。</w:t>
      </w:r>
      <w:r>
        <w:rPr>
          <w:rFonts w:hint="eastAsia" w:ascii="宋体" w:hAnsi="宋体" w:eastAsia="宋体" w:cs="宋体"/>
          <w:color w:val="auto"/>
          <w:sz w:val="24"/>
          <w:szCs w:val="24"/>
          <w:highlight w:val="none"/>
          <w:lang w:eastAsia="zh-CN"/>
        </w:rPr>
        <w:t>拟分包工程前，中标人应当将拟分包工程内容、分包金额、分包工程理由、拟分包人名称及分包人资质等情况书面报送招标人同意</w:t>
      </w:r>
      <w:r>
        <w:rPr>
          <w:rFonts w:hint="eastAsia" w:ascii="宋体" w:hAnsi="宋体" w:eastAsia="宋体" w:cs="宋体"/>
          <w:color w:val="auto"/>
          <w:sz w:val="24"/>
          <w:szCs w:val="24"/>
          <w:highlight w:val="none"/>
        </w:rPr>
        <w:t>。</w:t>
      </w:r>
    </w:p>
    <w:p w14:paraId="397DE1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踏勘现场</w:t>
      </w:r>
    </w:p>
    <w:p w14:paraId="036E4F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14:paraId="6D211E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.2招标人向投标人提供的有关现场的数据和资料，是招标人现有的能被投标人利用的资料，招标人对投标人做出的任何推论、理解和结论均不负责任。</w:t>
      </w:r>
    </w:p>
    <w:p w14:paraId="7E5175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.通用规定</w:t>
      </w:r>
    </w:p>
    <w:p w14:paraId="6829FA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语言文字</w:t>
      </w:r>
    </w:p>
    <w:p w14:paraId="6E699AB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0305D33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货币名称</w:t>
      </w:r>
    </w:p>
    <w:p w14:paraId="7152A8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招标投标文件采用的币种为人民币。</w:t>
      </w:r>
    </w:p>
    <w:p w14:paraId="69B6E37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.3计量单位</w:t>
      </w:r>
    </w:p>
    <w:p w14:paraId="41920D3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招标投标文件所有计量均采用中华人民共和国法定计量单位。</w:t>
      </w:r>
    </w:p>
    <w:p w14:paraId="613A472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.4费用承担</w:t>
      </w:r>
    </w:p>
    <w:p w14:paraId="48710EE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投标人准备和参加投标活动发生的费用自理。</w:t>
      </w:r>
    </w:p>
    <w:p w14:paraId="18B2AD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.5保密责任</w:t>
      </w:r>
    </w:p>
    <w:p w14:paraId="388735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01B9FEC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7.6本招标文件中所称网上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交易平台或网站，除特别指明外，是指</w:t>
      </w:r>
      <w:r>
        <w:rPr>
          <w:rFonts w:hint="eastAsia" w:ascii="宋体" w:hAnsi="宋体" w:eastAsia="宋体" w:cs="宋体"/>
          <w:strike w:val="0"/>
          <w:dstrike w:val="0"/>
          <w:color w:val="auto"/>
          <w:sz w:val="24"/>
          <w:highlight w:val="none"/>
        </w:rPr>
        <w:t>全国公共资源交易平台（广东省·韶关市）</w:t>
      </w:r>
      <w:r>
        <w:rPr>
          <w:rFonts w:hint="eastAsia" w:ascii="宋体" w:hAnsi="宋体" w:eastAsia="宋体" w:cs="宋体"/>
          <w:color w:val="auto"/>
          <w:sz w:val="24"/>
          <w:highlight w:val="none"/>
        </w:rPr>
        <w:t>。</w:t>
      </w:r>
    </w:p>
    <w:p w14:paraId="0944BCD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.7本招标文件所指天或日均为日历天，工作日均为国家机关法定工作日，时间均为北京时间。</w:t>
      </w:r>
    </w:p>
    <w:p w14:paraId="74CE1D1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.8本招标文件所称本人身份证是指自然人的《居民身份证》或《临时居民身份证》。</w:t>
      </w:r>
    </w:p>
    <w:p w14:paraId="4B11C8A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.9</w:t>
      </w:r>
      <w:r>
        <w:rPr>
          <w:rFonts w:hint="eastAsia" w:ascii="宋体" w:hAnsi="宋体" w:eastAsia="宋体" w:cs="宋体"/>
          <w:b w:val="0"/>
          <w:bCs/>
          <w:color w:val="auto"/>
          <w:sz w:val="24"/>
          <w:szCs w:val="24"/>
          <w:highlight w:val="none"/>
        </w:rPr>
        <w:t>本招标文件所称的承包人报价浮动率（中标下浮率），其计算公式为：承包人报价浮动率（中标下浮率）=[1-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中标价格-</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最高投标限</w:t>
      </w:r>
      <w:r>
        <w:rPr>
          <w:rFonts w:hint="eastAsia" w:ascii="宋体" w:hAnsi="宋体" w:eastAsia="宋体" w:cs="宋体"/>
          <w:b w:val="0"/>
          <w:bCs/>
          <w:color w:val="auto"/>
          <w:sz w:val="24"/>
          <w:szCs w:val="24"/>
          <w:highlight w:val="none"/>
        </w:rPr>
        <w:t>价-</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]×100%。</w:t>
      </w:r>
      <w:r>
        <w:rPr>
          <w:rFonts w:hint="eastAsia" w:ascii="宋体" w:hAnsi="宋体" w:eastAsia="宋体" w:cs="宋体"/>
          <w:b/>
          <w:bCs w:val="0"/>
          <w:color w:val="auto"/>
          <w:sz w:val="24"/>
          <w:szCs w:val="24"/>
          <w:highlight w:val="none"/>
          <w:lang w:eastAsia="zh-CN"/>
        </w:rPr>
        <w:t>其中，本招标文件所称</w:t>
      </w:r>
      <w:r>
        <w:rPr>
          <w:rFonts w:hint="eastAsia" w:ascii="宋体" w:hAnsi="宋体" w:eastAsia="宋体" w:cs="宋体"/>
          <w:b/>
          <w:bCs w:val="0"/>
          <w:iCs/>
          <w:color w:val="auto"/>
          <w:sz w:val="24"/>
          <w:highlight w:val="none"/>
        </w:rPr>
        <w:t>安</w:t>
      </w:r>
      <w:r>
        <w:rPr>
          <w:rFonts w:hint="eastAsia" w:ascii="宋体" w:hAnsi="宋体" w:eastAsia="宋体" w:cs="宋体"/>
          <w:b/>
          <w:bCs w:val="0"/>
          <w:iCs/>
          <w:color w:val="auto"/>
          <w:sz w:val="24"/>
          <w:szCs w:val="24"/>
          <w:highlight w:val="none"/>
        </w:rPr>
        <w:t>全生产措施费</w:t>
      </w:r>
      <w:r>
        <w:rPr>
          <w:rFonts w:hint="eastAsia" w:ascii="宋体" w:hAnsi="宋体" w:eastAsia="宋体" w:cs="宋体"/>
          <w:b/>
          <w:bCs w:val="0"/>
          <w:iCs/>
          <w:color w:val="auto"/>
          <w:sz w:val="24"/>
          <w:szCs w:val="24"/>
          <w:highlight w:val="none"/>
          <w:lang w:eastAsia="zh-CN"/>
        </w:rPr>
        <w:t>，已</w:t>
      </w:r>
      <w:r>
        <w:rPr>
          <w:rFonts w:hint="eastAsia" w:ascii="宋体" w:hAnsi="宋体" w:eastAsia="宋体" w:cs="宋体"/>
          <w:b/>
          <w:bCs/>
          <w:i w:val="0"/>
          <w:iCs w:val="0"/>
          <w:color w:val="auto"/>
          <w:sz w:val="24"/>
          <w:szCs w:val="24"/>
          <w:highlight w:val="none"/>
        </w:rPr>
        <w:t>含安全生产责任险</w:t>
      </w:r>
      <w:r>
        <w:rPr>
          <w:rFonts w:hint="eastAsia" w:ascii="宋体" w:hAnsi="宋体" w:eastAsia="宋体" w:cs="宋体"/>
          <w:b/>
          <w:bCs/>
          <w:i w:val="0"/>
          <w:iCs w:val="0"/>
          <w:color w:val="auto"/>
          <w:sz w:val="24"/>
          <w:szCs w:val="24"/>
          <w:highlight w:val="none"/>
          <w:lang w:eastAsia="zh-CN"/>
        </w:rPr>
        <w:t>保费。</w:t>
      </w:r>
    </w:p>
    <w:p w14:paraId="5228980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7.10投标文件中的大写金额和小写金额不一致的，以大写金额为准，总价金额与单价金额不一致的，以单价金额为准，但单价金额小数点有明显错误的除外。</w:t>
      </w:r>
    </w:p>
    <w:p w14:paraId="5362EC9B">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7.11本招标文件所称的投标人拟派的项目负责人从投标截止时间起不得在其他建设工程担任项目负责人，其中“在其他建设工程担任项目负责人（以取得竣工验收备案为准）”的起止时间是指：在本招标项目以外的招标项目以中标结果公示时间首日起至工程竣工验收合格之日期间；直接发包项目以签订施工合同之日起至工程竣工验收合格之日期间。</w:t>
      </w:r>
    </w:p>
    <w:p w14:paraId="61DF63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.12本招标文件所称其他利害关系人是指投标人以外，与招标项目或者招标活动有直接和间接利益关系的法人、其他组织和自然人。</w:t>
      </w:r>
    </w:p>
    <w:p w14:paraId="5A7ED7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.13本招标文件所指</w:t>
      </w:r>
      <w:r>
        <w:rPr>
          <w:rFonts w:hint="eastAsia" w:ascii="宋体" w:hAnsi="宋体" w:eastAsia="宋体" w:cs="宋体"/>
          <w:bCs/>
          <w:color w:val="auto"/>
          <w:kern w:val="0"/>
          <w:sz w:val="24"/>
          <w:szCs w:val="24"/>
          <w:highlight w:val="none"/>
        </w:rPr>
        <w:t>政府投资项目，是指使用市、县本级财政一般预算资金、政府性基金、财政专户管理资金以及政府融资等其他财政性资金进行的固定资产投资建设项目。</w:t>
      </w:r>
    </w:p>
    <w:p w14:paraId="738DA3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招标文件要求提供相关的证书、证照如已推行或实施电子证书、证照的，投标人应按规定</w:t>
      </w:r>
      <w:r>
        <w:rPr>
          <w:rFonts w:hint="eastAsia" w:ascii="宋体" w:hAnsi="宋体" w:eastAsia="宋体" w:cs="宋体"/>
          <w:b w:val="0"/>
          <w:bCs/>
          <w:color w:val="auto"/>
          <w:sz w:val="24"/>
          <w:szCs w:val="24"/>
          <w:highlight w:val="none"/>
        </w:rPr>
        <w:t>提供其有效的</w:t>
      </w:r>
      <w:r>
        <w:rPr>
          <w:rFonts w:hint="eastAsia" w:ascii="宋体" w:hAnsi="宋体" w:eastAsia="宋体" w:cs="宋体"/>
          <w:b w:val="0"/>
          <w:bCs/>
          <w:color w:val="auto"/>
          <w:sz w:val="24"/>
          <w:szCs w:val="24"/>
          <w:highlight w:val="none"/>
          <w:lang w:eastAsia="zh-CN"/>
        </w:rPr>
        <w:t>电子证书、证照</w:t>
      </w:r>
      <w:r>
        <w:rPr>
          <w:rFonts w:hint="eastAsia" w:ascii="宋体" w:hAnsi="宋体" w:eastAsia="宋体" w:cs="宋体"/>
          <w:b w:val="0"/>
          <w:bCs/>
          <w:color w:val="auto"/>
          <w:sz w:val="24"/>
          <w:szCs w:val="24"/>
          <w:highlight w:val="none"/>
        </w:rPr>
        <w:t>或</w:t>
      </w:r>
      <w:r>
        <w:rPr>
          <w:rFonts w:hint="eastAsia" w:ascii="宋体" w:hAnsi="宋体" w:eastAsia="宋体" w:cs="宋体"/>
          <w:b w:val="0"/>
          <w:bCs/>
          <w:color w:val="auto"/>
          <w:sz w:val="24"/>
          <w:szCs w:val="24"/>
          <w:highlight w:val="none"/>
          <w:lang w:eastAsia="zh-CN"/>
        </w:rPr>
        <w:t>其</w:t>
      </w:r>
      <w:r>
        <w:rPr>
          <w:rFonts w:hint="eastAsia" w:ascii="宋体" w:hAnsi="宋体" w:eastAsia="宋体" w:cs="宋体"/>
          <w:b w:val="0"/>
          <w:bCs/>
          <w:color w:val="auto"/>
          <w:sz w:val="24"/>
          <w:szCs w:val="24"/>
          <w:highlight w:val="none"/>
        </w:rPr>
        <w:t>原件扫描件。电子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证照与纸质</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证照具有同等法律效力。</w:t>
      </w:r>
      <w:r>
        <w:rPr>
          <w:rFonts w:hint="eastAsia" w:ascii="宋体" w:hAnsi="宋体" w:eastAsia="宋体" w:cs="宋体"/>
          <w:b w:val="0"/>
          <w:bCs/>
          <w:color w:val="auto"/>
          <w:sz w:val="24"/>
          <w:szCs w:val="24"/>
          <w:highlight w:val="none"/>
          <w:lang w:eastAsia="zh-CN"/>
        </w:rPr>
        <w:t>有关人员可在相关网站（平台）下载、查看或打印其相关</w:t>
      </w:r>
      <w:r>
        <w:rPr>
          <w:rFonts w:hint="eastAsia" w:ascii="宋体" w:hAnsi="宋体" w:eastAsia="宋体" w:cs="宋体"/>
          <w:b w:val="0"/>
          <w:bCs/>
          <w:color w:val="auto"/>
          <w:sz w:val="24"/>
          <w:szCs w:val="24"/>
          <w:highlight w:val="none"/>
        </w:rPr>
        <w:t>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w:t>
      </w:r>
      <w:r>
        <w:rPr>
          <w:rFonts w:hint="eastAsia" w:ascii="宋体" w:hAnsi="宋体" w:eastAsia="宋体" w:cs="宋体"/>
          <w:b w:val="0"/>
          <w:bCs/>
          <w:color w:val="auto"/>
          <w:sz w:val="24"/>
          <w:szCs w:val="24"/>
          <w:highlight w:val="none"/>
          <w:lang w:eastAsia="zh-CN"/>
        </w:rPr>
        <w:t>，并可在相关网站（平台）或通过扫描电子证书、证照上的二维码对其信息真伪进行验证。</w:t>
      </w:r>
    </w:p>
    <w:p w14:paraId="2B9712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本招标文件所指</w:t>
      </w:r>
      <w:r>
        <w:rPr>
          <w:rFonts w:hint="eastAsia" w:ascii="宋体" w:hAnsi="宋体" w:eastAsia="宋体" w:cs="宋体"/>
          <w:b w:val="0"/>
          <w:bCs/>
          <w:color w:val="auto"/>
          <w:kern w:val="0"/>
          <w:sz w:val="24"/>
          <w:szCs w:val="24"/>
          <w:highlight w:val="none"/>
        </w:rPr>
        <w:t>电子招标投标交易活动</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包括：发布招标公告；接受投标申请人网上下载招标资料（含招标公告、招标文件、施工图纸、施工</w:t>
      </w:r>
      <w:r>
        <w:rPr>
          <w:rFonts w:hint="eastAsia" w:ascii="宋体" w:hAnsi="宋体" w:eastAsia="宋体" w:cs="宋体"/>
          <w:b w:val="0"/>
          <w:bCs/>
          <w:color w:val="auto"/>
          <w:kern w:val="0"/>
          <w:sz w:val="24"/>
          <w:szCs w:val="24"/>
          <w:highlight w:val="none"/>
          <w:lang w:val="en-US" w:eastAsia="zh-CN"/>
        </w:rPr>
        <w:t>合同</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最高投标限价</w:t>
      </w:r>
      <w:r>
        <w:rPr>
          <w:rFonts w:hint="eastAsia" w:ascii="宋体" w:hAnsi="宋体" w:eastAsia="宋体" w:cs="宋体"/>
          <w:b w:val="0"/>
          <w:bCs/>
          <w:color w:val="auto"/>
          <w:kern w:val="0"/>
          <w:sz w:val="24"/>
          <w:szCs w:val="24"/>
          <w:highlight w:val="none"/>
        </w:rPr>
        <w:t>及工程量清单等）；网上</w:t>
      </w:r>
      <w:r>
        <w:rPr>
          <w:rFonts w:hint="eastAsia" w:ascii="宋体" w:hAnsi="宋体" w:eastAsia="宋体" w:cs="宋体"/>
          <w:b w:val="0"/>
          <w:bCs/>
          <w:color w:val="auto"/>
          <w:kern w:val="0"/>
          <w:sz w:val="24"/>
          <w:szCs w:val="24"/>
          <w:highlight w:val="none"/>
          <w:lang w:eastAsia="zh-CN"/>
        </w:rPr>
        <w:t>澄清、</w:t>
      </w:r>
      <w:r>
        <w:rPr>
          <w:rFonts w:hint="eastAsia" w:ascii="宋体" w:hAnsi="宋体" w:eastAsia="宋体" w:cs="宋体"/>
          <w:b w:val="0"/>
          <w:bCs/>
          <w:color w:val="auto"/>
          <w:kern w:val="0"/>
          <w:sz w:val="24"/>
          <w:szCs w:val="24"/>
          <w:highlight w:val="none"/>
        </w:rPr>
        <w:t>质疑答疑；网上投标；抽取评委；在电子招标投标系统进行开标、评标（含远程评标）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定</w:t>
      </w:r>
      <w:r>
        <w:rPr>
          <w:rFonts w:hint="eastAsia" w:ascii="宋体" w:hAnsi="宋体" w:eastAsia="宋体" w:cs="宋体"/>
          <w:b w:val="0"/>
          <w:bCs/>
          <w:color w:val="auto"/>
          <w:kern w:val="0"/>
          <w:sz w:val="24"/>
          <w:szCs w:val="24"/>
          <w:highlight w:val="none"/>
        </w:rPr>
        <w:t>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公示；定标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如</w:t>
      </w:r>
      <w:r>
        <w:rPr>
          <w:rFonts w:hint="eastAsia" w:ascii="宋体" w:hAnsi="宋体" w:eastAsia="宋体" w:cs="宋体"/>
          <w:color w:val="auto"/>
          <w:sz w:val="24"/>
          <w:highlight w:val="none"/>
        </w:rPr>
        <w:t>交易平台</w:t>
      </w:r>
      <w:r>
        <w:rPr>
          <w:rFonts w:hint="eastAsia" w:ascii="宋体" w:hAnsi="宋体" w:eastAsia="宋体" w:cs="宋体"/>
          <w:b w:val="0"/>
          <w:bCs/>
          <w:color w:val="auto"/>
          <w:kern w:val="0"/>
          <w:sz w:val="24"/>
          <w:szCs w:val="24"/>
          <w:highlight w:val="none"/>
          <w:lang w:val="en-US" w:eastAsia="zh-CN"/>
        </w:rPr>
        <w:t>不支持，则在线下进行</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；中标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公示；确定中标人</w:t>
      </w:r>
      <w:r>
        <w:rPr>
          <w:rFonts w:hint="eastAsia" w:ascii="宋体" w:hAnsi="宋体" w:eastAsia="宋体" w:cs="宋体"/>
          <w:b w:val="0"/>
          <w:bCs/>
          <w:color w:val="auto"/>
          <w:kern w:val="0"/>
          <w:sz w:val="24"/>
          <w:szCs w:val="24"/>
          <w:highlight w:val="none"/>
          <w:lang w:eastAsia="zh-CN"/>
        </w:rPr>
        <w:t>；发放中标通知书；中标结果公示；</w:t>
      </w:r>
      <w:r>
        <w:rPr>
          <w:rFonts w:hint="eastAsia" w:ascii="宋体" w:hAnsi="宋体" w:eastAsia="宋体" w:cs="宋体"/>
          <w:b w:val="0"/>
          <w:bCs/>
          <w:color w:val="auto"/>
          <w:kern w:val="0"/>
          <w:sz w:val="24"/>
          <w:szCs w:val="24"/>
          <w:highlight w:val="none"/>
          <w:lang w:val="en-US" w:eastAsia="zh-CN"/>
        </w:rPr>
        <w:t>上传</w:t>
      </w:r>
      <w:r>
        <w:rPr>
          <w:rFonts w:hint="eastAsia" w:ascii="宋体" w:hAnsi="宋体" w:eastAsia="宋体" w:cs="宋体"/>
          <w:b w:val="0"/>
          <w:bCs/>
          <w:color w:val="auto"/>
          <w:kern w:val="0"/>
          <w:sz w:val="24"/>
          <w:szCs w:val="24"/>
          <w:highlight w:val="none"/>
          <w:lang w:eastAsia="zh-CN"/>
        </w:rPr>
        <w:t>承包合同；</w:t>
      </w:r>
      <w:r>
        <w:rPr>
          <w:rFonts w:hint="eastAsia" w:ascii="宋体" w:hAnsi="宋体" w:eastAsia="宋体" w:cs="宋体"/>
          <w:b w:val="0"/>
          <w:bCs/>
          <w:color w:val="auto"/>
          <w:kern w:val="0"/>
          <w:sz w:val="24"/>
          <w:szCs w:val="24"/>
          <w:highlight w:val="none"/>
        </w:rPr>
        <w:t>招标投标情况报告</w:t>
      </w:r>
      <w:r>
        <w:rPr>
          <w:rFonts w:hint="eastAsia" w:ascii="宋体" w:hAnsi="宋体" w:eastAsia="宋体" w:cs="宋体"/>
          <w:b w:val="0"/>
          <w:bCs/>
          <w:color w:val="auto"/>
          <w:kern w:val="0"/>
          <w:sz w:val="24"/>
          <w:szCs w:val="24"/>
          <w:highlight w:val="none"/>
          <w:lang w:eastAsia="zh-CN"/>
        </w:rPr>
        <w:t>；异议和投诉</w:t>
      </w:r>
      <w:r>
        <w:rPr>
          <w:rFonts w:hint="eastAsia" w:ascii="宋体" w:hAnsi="宋体" w:eastAsia="宋体" w:cs="宋体"/>
          <w:b w:val="0"/>
          <w:bCs/>
          <w:color w:val="auto"/>
          <w:kern w:val="0"/>
          <w:sz w:val="24"/>
          <w:szCs w:val="24"/>
          <w:highlight w:val="none"/>
        </w:rPr>
        <w:t>等。</w:t>
      </w:r>
      <w:r>
        <w:rPr>
          <w:rFonts w:hint="eastAsia" w:ascii="宋体" w:hAnsi="宋体" w:eastAsia="宋体" w:cs="宋体"/>
          <w:b w:val="0"/>
          <w:bCs/>
          <w:color w:val="auto"/>
          <w:kern w:val="0"/>
          <w:sz w:val="24"/>
          <w:szCs w:val="24"/>
          <w:highlight w:val="none"/>
          <w:lang w:eastAsia="zh-CN"/>
        </w:rPr>
        <w:t>本招标文件所指的招标项目采用韶关市建设工程交易系统全流程电子开标评标方式。</w:t>
      </w:r>
    </w:p>
    <w:p w14:paraId="43AC1A9A">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kern w:val="0"/>
          <w:sz w:val="24"/>
          <w:szCs w:val="24"/>
          <w:highlight w:val="none"/>
        </w:rPr>
        <w:t>本</w:t>
      </w:r>
      <w:r>
        <w:rPr>
          <w:rFonts w:hint="eastAsia" w:ascii="宋体" w:hAnsi="宋体" w:eastAsia="宋体" w:cs="宋体"/>
          <w:b w:val="0"/>
          <w:bCs/>
          <w:color w:val="auto"/>
          <w:kern w:val="0"/>
          <w:sz w:val="24"/>
          <w:szCs w:val="24"/>
          <w:highlight w:val="none"/>
          <w:lang w:eastAsia="zh-CN"/>
        </w:rPr>
        <w:t>招标文件所</w:t>
      </w:r>
      <w:r>
        <w:rPr>
          <w:rFonts w:hint="eastAsia" w:ascii="宋体" w:hAnsi="宋体" w:eastAsia="宋体" w:cs="宋体"/>
          <w:b w:val="0"/>
          <w:bCs/>
          <w:color w:val="auto"/>
          <w:kern w:val="0"/>
          <w:sz w:val="24"/>
          <w:szCs w:val="24"/>
          <w:highlight w:val="none"/>
        </w:rPr>
        <w:t>称远程异地评标活动，是指以数据电文形式，依托电子交易系统通过远程调度、视频语音实时交互等方式，评标委员会成员在两个及以上不同电子评标场所对同一工程建设项目进行评标的活动。</w:t>
      </w:r>
    </w:p>
    <w:p w14:paraId="16993E7B">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val="0"/>
          <w:color w:val="auto"/>
          <w:kern w:val="0"/>
          <w:sz w:val="24"/>
          <w:szCs w:val="24"/>
          <w:highlight w:val="none"/>
          <w:lang w:val="en-US" w:eastAsia="zh-CN"/>
        </w:rPr>
        <w:t>7</w:t>
      </w:r>
      <w:r>
        <w:rPr>
          <w:rFonts w:hint="eastAsia" w:ascii="宋体" w:hAnsi="宋体" w:eastAsia="宋体" w:cs="宋体"/>
          <w:b/>
          <w:bCs w:val="0"/>
          <w:color w:val="auto"/>
          <w:kern w:val="0"/>
          <w:sz w:val="24"/>
          <w:szCs w:val="24"/>
          <w:highlight w:val="none"/>
          <w:lang w:eastAsia="zh-CN"/>
        </w:rPr>
        <w:t>.1</w:t>
      </w:r>
      <w:r>
        <w:rPr>
          <w:rFonts w:hint="eastAsia" w:ascii="宋体" w:hAnsi="宋体" w:eastAsia="宋体" w:cs="宋体"/>
          <w:b/>
          <w:bCs w:val="0"/>
          <w:color w:val="auto"/>
          <w:kern w:val="0"/>
          <w:sz w:val="24"/>
          <w:szCs w:val="24"/>
          <w:highlight w:val="none"/>
          <w:lang w:val="en-US" w:eastAsia="zh-CN"/>
        </w:rPr>
        <w:t>7</w:t>
      </w:r>
      <w:r>
        <w:rPr>
          <w:rFonts w:hint="eastAsia" w:ascii="宋体" w:hAnsi="宋体" w:eastAsia="宋体" w:cs="宋体"/>
          <w:b/>
          <w:bCs w:val="0"/>
          <w:color w:val="auto"/>
          <w:kern w:val="0"/>
          <w:sz w:val="24"/>
          <w:szCs w:val="24"/>
          <w:highlight w:val="none"/>
          <w:lang w:eastAsia="zh-CN"/>
        </w:rPr>
        <w:t>远程异地评标活动场所分为主场和副场。招标人应当选择韶关市公共资源交易中心的评标场所为主场，主场以外的省内、省外其他交易评标场所为副场。副场由招标人按规定从韶关市公共资源交易中心已与签订远程异地评标协议的其他公共资源交易中心中确定。</w:t>
      </w:r>
    </w:p>
    <w:p w14:paraId="1D4A500D">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sz w:val="24"/>
          <w:highlight w:val="none"/>
          <w:lang w:val="en-US" w:eastAsia="zh-CN"/>
        </w:rPr>
      </w:pPr>
      <w:bookmarkStart w:id="9" w:name="_Toc8470"/>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二</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投标否决</w:t>
      </w:r>
      <w:bookmarkEnd w:id="9"/>
    </w:p>
    <w:p w14:paraId="5A8FCF3D">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.否决投标条款</w:t>
      </w:r>
    </w:p>
    <w:p w14:paraId="1B479DCE">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.1开标时，投标人有下列情形之一其投标文件视为无效投标文件，</w:t>
      </w:r>
      <w:r>
        <w:rPr>
          <w:rFonts w:hint="eastAsia" w:ascii="宋体" w:hAnsi="宋体" w:eastAsia="宋体" w:cs="宋体"/>
          <w:b/>
          <w:bCs/>
          <w:color w:val="auto"/>
          <w:sz w:val="24"/>
          <w:highlight w:val="none"/>
        </w:rPr>
        <w:t>不得进入资格后审和评标：</w:t>
      </w:r>
    </w:p>
    <w:p w14:paraId="39C9D88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（1）投标人的电子投标文件逾期上传或者未上传送达指定交易平台</w:t>
      </w:r>
      <w:r>
        <w:rPr>
          <w:rFonts w:hint="eastAsia" w:ascii="宋体" w:hAnsi="宋体" w:eastAsia="宋体" w:cs="宋体"/>
          <w:color w:val="auto"/>
          <w:sz w:val="24"/>
          <w:highlight w:val="none"/>
          <w:lang w:eastAsia="zh-CN"/>
        </w:rPr>
        <w:t>。</w:t>
      </w:r>
    </w:p>
    <w:p w14:paraId="681CB1F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（2）投标人未能按照本招标文件要求提交投标保证金及其相关手续</w:t>
      </w:r>
      <w:r>
        <w:rPr>
          <w:rFonts w:hint="eastAsia" w:ascii="宋体" w:hAnsi="宋体" w:eastAsia="宋体" w:cs="宋体"/>
          <w:color w:val="auto"/>
          <w:sz w:val="24"/>
          <w:highlight w:val="none"/>
          <w:lang w:eastAsia="zh-CN"/>
        </w:rPr>
        <w:t>。</w:t>
      </w:r>
    </w:p>
    <w:p w14:paraId="41CFE66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（3）投标人的电子投标文件无法解密或无法打开</w:t>
      </w:r>
      <w:r>
        <w:rPr>
          <w:rFonts w:hint="eastAsia" w:ascii="宋体" w:hAnsi="宋体" w:eastAsia="宋体" w:cs="宋体"/>
          <w:color w:val="auto"/>
          <w:sz w:val="24"/>
          <w:highlight w:val="none"/>
          <w:lang w:eastAsia="zh-CN"/>
        </w:rPr>
        <w:t>。</w:t>
      </w:r>
    </w:p>
    <w:p w14:paraId="147A5865">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（4）投标人上传递交的电子投标文件不符合招标文件要求</w:t>
      </w:r>
      <w:r>
        <w:rPr>
          <w:rFonts w:hint="eastAsia" w:ascii="宋体" w:hAnsi="宋体" w:eastAsia="宋体" w:cs="宋体"/>
          <w:color w:val="auto"/>
          <w:sz w:val="24"/>
          <w:highlight w:val="none"/>
          <w:lang w:eastAsia="zh-CN"/>
        </w:rPr>
        <w:t>。</w:t>
      </w:r>
    </w:p>
    <w:p w14:paraId="17B0FA1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（5）投标人的投标报价超过投标报价上限</w:t>
      </w:r>
      <w:r>
        <w:rPr>
          <w:rFonts w:hint="eastAsia" w:ascii="宋体" w:hAnsi="宋体" w:eastAsia="宋体" w:cs="宋体"/>
          <w:color w:val="auto"/>
          <w:sz w:val="24"/>
          <w:highlight w:val="none"/>
          <w:lang w:eastAsia="zh-CN"/>
        </w:rPr>
        <w:t>。</w:t>
      </w:r>
    </w:p>
    <w:p w14:paraId="122F4A9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（6）开标现场电子招投标系统没有显示投标人的项目负责人姓名。</w:t>
      </w:r>
    </w:p>
    <w:p w14:paraId="63C0335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同一网卡地址、硬盘序列号、软件序列号或投标文件异常一致（通过交易中心计算机编制或上传的除外）</w:t>
      </w:r>
      <w:r>
        <w:rPr>
          <w:rFonts w:hint="eastAsia" w:ascii="宋体" w:hAnsi="宋体" w:eastAsia="宋体" w:cs="宋体"/>
          <w:color w:val="auto"/>
          <w:sz w:val="24"/>
          <w:highlight w:val="none"/>
          <w:lang w:eastAsia="zh-CN"/>
        </w:rPr>
        <w:t>。</w:t>
      </w:r>
    </w:p>
    <w:p w14:paraId="699FD9A9">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经现场确认，投标人有下列情形之一，一律按照</w:t>
      </w:r>
      <w:r>
        <w:rPr>
          <w:rFonts w:hint="eastAsia" w:ascii="宋体" w:hAnsi="宋体" w:eastAsia="宋体" w:cs="宋体"/>
          <w:b/>
          <w:bCs/>
          <w:color w:val="auto"/>
          <w:sz w:val="24"/>
          <w:highlight w:val="none"/>
          <w:lang w:eastAsia="zh-CN"/>
        </w:rPr>
        <w:t>无</w:t>
      </w:r>
      <w:r>
        <w:rPr>
          <w:rFonts w:hint="eastAsia" w:ascii="宋体" w:hAnsi="宋体" w:eastAsia="宋体" w:cs="宋体"/>
          <w:b/>
          <w:bCs/>
          <w:color w:val="auto"/>
          <w:sz w:val="24"/>
          <w:highlight w:val="none"/>
        </w:rPr>
        <w:t>提交投标保证金处理，视为投标人自动放弃投标资格：</w:t>
      </w:r>
    </w:p>
    <w:p w14:paraId="59CF043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（1）投标人的投标现金保证金不是从本企业银行基本账户转入。</w:t>
      </w:r>
    </w:p>
    <w:p w14:paraId="6A0D19D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（2）投标人未按照招标文件指定的账户转入投标保证金</w:t>
      </w:r>
      <w:r>
        <w:rPr>
          <w:rFonts w:hint="eastAsia" w:ascii="宋体" w:hAnsi="宋体" w:eastAsia="宋体" w:cs="宋体"/>
          <w:color w:val="auto"/>
          <w:sz w:val="24"/>
          <w:highlight w:val="none"/>
          <w:lang w:eastAsia="zh-CN"/>
        </w:rPr>
        <w:t>。</w:t>
      </w:r>
    </w:p>
    <w:p w14:paraId="1298C96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（3）投标人未按照招标文件规定的金额或时间转入或提交本项目的投标保证金。</w:t>
      </w:r>
    </w:p>
    <w:p w14:paraId="698A8184">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资格评审环节</w:t>
      </w:r>
    </w:p>
    <w:p w14:paraId="7464281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投标人有下列情形之一的，评标委员会应否决其投标。被否决的投标人，不进入形式评审环节。</w:t>
      </w:r>
    </w:p>
    <w:p w14:paraId="05BE77A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（1）有本章节第</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条“禁止投标条款”规定的任何一种情形；</w:t>
      </w:r>
    </w:p>
    <w:p w14:paraId="46D65B8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（2）投标人资质不符合规定的；</w:t>
      </w:r>
    </w:p>
    <w:p w14:paraId="65D4139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6A6C9D1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2CAA22C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有关文件精神，投标人的企业资质证书、安全生产许可证有效期届满的，但投标人提供了发证机构相关行业主管部门的证明材料（如自动顺延或推迟办理延期业务的通知），证明在开标日继续有效的，不得否决其投标。</w:t>
      </w:r>
    </w:p>
    <w:p w14:paraId="01EC98A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（4）拟派项目经理、项目技术负责人、专职安全员的条件不符合规定的；拟派专职安全员数量不符合规定的；</w:t>
      </w:r>
    </w:p>
    <w:p w14:paraId="10B4CD3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经理简历表》中拟派项目经理与《开标一览表》不一致的；一级建造师的注册证书不是国家住建部颁发的；二级建造师的电子注册证书不是住建厅颁发的；建造师的注册单位与投标人不一致的；项目管理班子组成人员的各类证书、证件、证明不在有效期内的（建造师注册证书不在使用有效期内的）；擅自修改、遗漏《项目经理任职声明》实质性内容的；</w:t>
      </w:r>
    </w:p>
    <w:p w14:paraId="43C4FB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注：投标人已经工商变更，但其员工执业资格注册证书的注册单位名称未完成变更的，不得否决其投标。</w:t>
      </w:r>
    </w:p>
    <w:p w14:paraId="29BBBD9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（6）招标文件规定不接受联合体投标，但以联合体投标的；</w:t>
      </w:r>
    </w:p>
    <w:p w14:paraId="51080B2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（7）投标人为外省建筑企业，但未提供“进粤企业和人员诚信信息登记平台”企业和拟派人员信息情况网页截图的。</w:t>
      </w:r>
    </w:p>
    <w:p w14:paraId="528B8DD7">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.4形式评审环节</w:t>
      </w:r>
    </w:p>
    <w:p w14:paraId="2C7B234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投标人有下列情形之一的，评标委员会应否决其投标。被否决的投标人，不进入响应性评审环节。</w:t>
      </w:r>
    </w:p>
    <w:p w14:paraId="297A7F1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（1）各分册没按招标文件规定加盖电子印章；</w:t>
      </w:r>
    </w:p>
    <w:p w14:paraId="038CFE4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（2）本章规定的“所有投标人均应提供”的组成内容（包括该组成内容的所附资料）中，任何一项有缺漏的；</w:t>
      </w:r>
    </w:p>
    <w:p w14:paraId="5B5737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（3）关键字迹模糊、无法辨认，且该种过错将导致评标委员会无法判断投标文件是否响应招标文件实质性要求的；有涂改、行间插字或删除，但未加盖单</w:t>
      </w:r>
      <w:r>
        <w:rPr>
          <w:rFonts w:hint="eastAsia" w:ascii="宋体" w:hAnsi="宋体" w:eastAsia="宋体" w:cs="宋体"/>
          <w:color w:val="auto"/>
          <w:sz w:val="24"/>
          <w:highlight w:val="none"/>
          <w:lang w:eastAsia="zh-CN"/>
        </w:rPr>
        <w:t>位公</w:t>
      </w:r>
      <w:r>
        <w:rPr>
          <w:rFonts w:hint="eastAsia" w:ascii="宋体" w:hAnsi="宋体" w:eastAsia="宋体" w:cs="宋体"/>
          <w:color w:val="auto"/>
          <w:sz w:val="24"/>
          <w:highlight w:val="none"/>
        </w:rPr>
        <w:t>章或由投标人的法定代表人或其委托代理人签字确认的；</w:t>
      </w:r>
    </w:p>
    <w:p w14:paraId="3270814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（4）投标文件未按规定签字、盖章的。</w:t>
      </w:r>
    </w:p>
    <w:p w14:paraId="394E66B4">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8.5响应性评审环节</w:t>
      </w:r>
    </w:p>
    <w:p w14:paraId="1B431B8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投标人有下列情形之一的，评标委员会应否决其投标。被否决的投标人，不进入详细评审阶段。</w:t>
      </w:r>
    </w:p>
    <w:p w14:paraId="37B0147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（1）承诺的投标有效期短于规定的；质量标准低于规定的；工期超出规定的；擅自修改、遗漏《投标函》《各项承诺一览表》实质性内容的；</w:t>
      </w:r>
    </w:p>
    <w:p w14:paraId="1233045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（2）编制《投标总价》的造价工程师，其注册证书不是住建部门颁发的；其注册单位与投标人（或造价咨询人）不一致的；其注册证书不在有效期内的。</w:t>
      </w:r>
    </w:p>
    <w:p w14:paraId="360FEC6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注：投标人（或造价咨询人）已经工商变更，但其员工的执业资格注册证书的注册单位名称未完成变更的，不得否决其投标。</w:t>
      </w:r>
    </w:p>
    <w:p w14:paraId="51BB157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（3）投标人委托造价咨询单位编制《投标总价》，但未在《投标总价扉页》（即扉—3）“投标人”栏目加盖造价咨询人公章的；未提供造价咨询人的营业执照扫描件的；</w:t>
      </w:r>
    </w:p>
    <w:p w14:paraId="25E641E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（4）出现两个或两个以上投标总价的（同一个投标总价大、小写不一致的除外）；投标总价超出</w:t>
      </w:r>
      <w:r>
        <w:rPr>
          <w:rFonts w:hint="eastAsia" w:ascii="宋体" w:hAnsi="宋体" w:eastAsia="宋体" w:cs="宋体"/>
          <w:color w:val="auto"/>
          <w:sz w:val="24"/>
          <w:highlight w:val="none"/>
          <w:lang w:val="en-US" w:eastAsia="zh-CN"/>
        </w:rPr>
        <w:t>最高投标限价</w:t>
      </w:r>
      <w:r>
        <w:rPr>
          <w:rFonts w:hint="eastAsia" w:ascii="宋体" w:hAnsi="宋体" w:eastAsia="宋体" w:cs="宋体"/>
          <w:color w:val="auto"/>
          <w:sz w:val="24"/>
          <w:highlight w:val="none"/>
        </w:rPr>
        <w:t>的；安全生产措施费少于规定的；暂列金额、暂估价未按照招标工程量清单统一报价的；擅自修改、增减招标工程量清单项目（包括措施项目）的；投标人的投标报价低于招标项目的成本警示价但未提供成本分析资料等报价依据</w:t>
      </w:r>
      <w:r>
        <w:rPr>
          <w:rFonts w:hint="eastAsia" w:ascii="宋体" w:hAnsi="宋体" w:eastAsia="宋体" w:cs="宋体"/>
          <w:color w:val="auto"/>
          <w:sz w:val="24"/>
          <w:highlight w:val="none"/>
          <w:lang w:eastAsia="zh-CN"/>
        </w:rPr>
        <w:t>；</w:t>
      </w:r>
    </w:p>
    <w:p w14:paraId="47DCCCA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成本警示价＝最高投标限价×85%。如果某投标人的投标报价低于招标项目的成本警示价，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ED9E17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（5）在施工组织设计评审中，评标委员会认定质量、进度保障措施与国家和省市现行有关规范、规定、标准有重大偏差，且该种过错将导致工程质量、进度管理目标无法实现的。</w:t>
      </w:r>
    </w:p>
    <w:p w14:paraId="342A36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highlight w:val="none"/>
        </w:rPr>
        <w:t>串通投标和以其他方式弄虚作假行为的认定</w:t>
      </w:r>
    </w:p>
    <w:p w14:paraId="4809BB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.1下列情形之一的，属于投标人相互串通投标：</w:t>
      </w:r>
    </w:p>
    <w:p w14:paraId="3E8648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（1）投标人之间协商投标报价等投标文件的实质性内容；</w:t>
      </w:r>
    </w:p>
    <w:p w14:paraId="68F790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（2）投标人之间约定中标人；</w:t>
      </w:r>
    </w:p>
    <w:p w14:paraId="7C3EFB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（3）投标人之间约定部分投标人放弃投标或者中标；</w:t>
      </w:r>
    </w:p>
    <w:p w14:paraId="22834B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（4）属于同一集团、协会、商会等组织成员的投标人按照该组织要求协同投标；</w:t>
      </w:r>
    </w:p>
    <w:p w14:paraId="18746C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（5）投标人之间为谋取中标或者排斥特定投标人而采取的其他联合行动。</w:t>
      </w:r>
    </w:p>
    <w:p w14:paraId="2F075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.2有下列情形之一的，视为投标人相互串通投标：</w:t>
      </w:r>
    </w:p>
    <w:p w14:paraId="1B5614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32827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6BAFAA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）不同投标人的投标文件载明的项目管理成员为同一人；</w:t>
      </w:r>
    </w:p>
    <w:p w14:paraId="3C6050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1A300F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62A0B6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（6）不同投标人的投标保证金从同一单位或者个人的账户转出</w:t>
      </w:r>
      <w:r>
        <w:rPr>
          <w:rFonts w:hint="eastAsia" w:ascii="宋体" w:hAnsi="宋体" w:eastAsia="宋体" w:cs="宋体"/>
          <w:color w:val="auto"/>
          <w:sz w:val="24"/>
          <w:highlight w:val="none"/>
          <w:lang w:eastAsia="zh-CN"/>
        </w:rPr>
        <w:t>；</w:t>
      </w:r>
    </w:p>
    <w:p w14:paraId="02CB0C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（7）监督部门于韶关市公共交易一体化平台发现系统提示风险预警，如提示投标单位上传投标文件使用的电脑IP地址一致等</w:t>
      </w:r>
      <w:r>
        <w:rPr>
          <w:rFonts w:hint="eastAsia" w:ascii="宋体" w:hAnsi="宋体" w:eastAsia="宋体" w:cs="宋体"/>
          <w:color w:val="auto"/>
          <w:sz w:val="24"/>
          <w:highlight w:val="none"/>
        </w:rPr>
        <w:t>。</w:t>
      </w:r>
    </w:p>
    <w:p w14:paraId="273AFB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.3有下列情形之一的，属于招标人与投标人串通投标：</w:t>
      </w:r>
    </w:p>
    <w:p w14:paraId="467256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（1）招标人在开标前开启投标文件并将有关信息泄露给其他投标人；</w:t>
      </w:r>
    </w:p>
    <w:p w14:paraId="0F0E95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（2）招标人直接或者间接向投标人泄露标底、评标委员会成员等信息；</w:t>
      </w:r>
    </w:p>
    <w:p w14:paraId="1259C6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（3）招标人明示或者暗示投标人压低或者抬高投标报价；</w:t>
      </w:r>
    </w:p>
    <w:p w14:paraId="210141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（4）招标人授意投标人撤换、修改投标文件；</w:t>
      </w:r>
    </w:p>
    <w:p w14:paraId="321BB8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（5）招标人明示或者暗示投标人为特定投标人中标提供方便；</w:t>
      </w:r>
    </w:p>
    <w:p w14:paraId="444D30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（6）招标人与投标人为谋求特定投标人中标而采取的其他串通行为。</w:t>
      </w:r>
    </w:p>
    <w:p w14:paraId="556650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.4有下列情形之一的，属于投标人以其他方式弄虚作假：</w:t>
      </w:r>
    </w:p>
    <w:p w14:paraId="10AF73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（1）使用伪造、变造的许可证件；</w:t>
      </w:r>
    </w:p>
    <w:p w14:paraId="75B2B0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（2）提供虚假的财务状况或者业绩；</w:t>
      </w:r>
    </w:p>
    <w:p w14:paraId="130A16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（3）提供虚假的项目负责人或者主要技术人员简历、劳动关系证明；</w:t>
      </w:r>
    </w:p>
    <w:p w14:paraId="71D730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（4）提供虚假的信用状况；</w:t>
      </w:r>
    </w:p>
    <w:p w14:paraId="0B25A7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（5）其他弄虚作假的行为。</w:t>
      </w:r>
    </w:p>
    <w:p w14:paraId="69C3CA51">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sz w:val="24"/>
          <w:highlight w:val="none"/>
        </w:rPr>
      </w:pPr>
      <w:bookmarkStart w:id="10" w:name="_Toc18956"/>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三</w:t>
      </w:r>
      <w:r>
        <w:rPr>
          <w:rFonts w:hint="eastAsia" w:ascii="宋体" w:hAnsi="宋体" w:eastAsia="宋体" w:cs="宋体"/>
          <w:b/>
          <w:bCs/>
          <w:color w:val="auto"/>
          <w:kern w:val="0"/>
          <w:sz w:val="28"/>
          <w:szCs w:val="28"/>
          <w:highlight w:val="none"/>
        </w:rPr>
        <w:t>）招标文件</w:t>
      </w:r>
      <w:bookmarkEnd w:id="10"/>
    </w:p>
    <w:p w14:paraId="4B321C2D">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.招标文件</w:t>
      </w:r>
    </w:p>
    <w:p w14:paraId="33A7B8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.1招标文件包括下列内容：</w:t>
      </w:r>
    </w:p>
    <w:p w14:paraId="4CD95529">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招标公告</w:t>
      </w:r>
    </w:p>
    <w:p w14:paraId="256087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3875EA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评标办法</w:t>
      </w:r>
    </w:p>
    <w:p w14:paraId="1B75CDC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投标文件格式</w:t>
      </w:r>
    </w:p>
    <w:p w14:paraId="5CDDB7A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val="en-US" w:eastAsia="zh-CN"/>
        </w:rPr>
        <w:t xml:space="preserve"> 合同条款及合同文件格式</w:t>
      </w:r>
    </w:p>
    <w:p w14:paraId="6F22C29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施工图纸</w:t>
      </w:r>
    </w:p>
    <w:p w14:paraId="6B42468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工程量清单</w:t>
      </w:r>
    </w:p>
    <w:p w14:paraId="280DEE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第八章  </w:t>
      </w:r>
      <w:r>
        <w:rPr>
          <w:rFonts w:hint="eastAsia" w:ascii="宋体" w:hAnsi="宋体" w:eastAsia="宋体" w:cs="宋体"/>
          <w:color w:val="auto"/>
          <w:sz w:val="24"/>
          <w:szCs w:val="24"/>
          <w:highlight w:val="none"/>
          <w:lang w:val="en-US" w:eastAsia="zh-CN"/>
        </w:rPr>
        <w:t>最高投标限价</w:t>
      </w:r>
    </w:p>
    <w:p w14:paraId="2BF0444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.2除</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.1款内容外，招标人按规定在网上发出对本招标文件的澄清、修改、补充和答疑内容，构成招标文件的组成部分，对招标人和投标人起约束作用。</w:t>
      </w:r>
    </w:p>
    <w:p w14:paraId="17161325">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.招标文件发布、获取、修改或澄清</w:t>
      </w:r>
    </w:p>
    <w:p w14:paraId="06AFC21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.1招标人应按照招标公告、招标文件示范文本，并结合招标</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实际编制招标公告和招标文件，经招标管理部门招标备案后方可发布。</w:t>
      </w:r>
    </w:p>
    <w:p w14:paraId="4B2F2BD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.2招标公告应按规定在</w:t>
      </w:r>
      <w:r>
        <w:rPr>
          <w:rFonts w:hint="eastAsia" w:ascii="宋体" w:hAnsi="宋体" w:eastAsia="宋体" w:cs="宋体"/>
          <w:b/>
          <w:bCs/>
          <w:snapToGrid w:val="0"/>
          <w:color w:val="auto"/>
          <w:kern w:val="0"/>
          <w:sz w:val="24"/>
          <w:szCs w:val="24"/>
          <w:highlight w:val="none"/>
          <w:lang w:eastAsia="zh-CN"/>
        </w:rPr>
        <w:t>全国公共资源交易平台（广东省·韶关市）</w:t>
      </w:r>
      <w:r>
        <w:rPr>
          <w:rFonts w:hint="eastAsia" w:ascii="宋体" w:hAnsi="宋体" w:eastAsia="宋体" w:cs="宋体"/>
          <w:b w:val="0"/>
          <w:bCs w:val="0"/>
          <w:color w:val="auto"/>
          <w:sz w:val="24"/>
          <w:szCs w:val="24"/>
          <w:highlight w:val="none"/>
          <w:lang w:eastAsia="zh-CN"/>
        </w:rPr>
        <w:t>和</w:t>
      </w:r>
      <w:r>
        <w:rPr>
          <w:rFonts w:hint="eastAsia" w:ascii="宋体" w:hAnsi="宋体" w:eastAsia="宋体" w:cs="宋体"/>
          <w:b w:val="0"/>
          <w:bCs w:val="0"/>
          <w:color w:val="auto"/>
          <w:sz w:val="24"/>
          <w:szCs w:val="24"/>
          <w:highlight w:val="none"/>
        </w:rPr>
        <w:t>广东省招标投标监管网上同时发布，其中招标文件（含图纸、工程量清单、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rPr>
        <w:t>等）及相关资料须一</w:t>
      </w:r>
      <w:r>
        <w:rPr>
          <w:rFonts w:hint="eastAsia" w:ascii="宋体" w:hAnsi="宋体" w:eastAsia="宋体" w:cs="宋体"/>
          <w:b w:val="0"/>
          <w:bCs w:val="0"/>
          <w:color w:val="auto"/>
          <w:sz w:val="24"/>
          <w:szCs w:val="24"/>
          <w:highlight w:val="none"/>
          <w:lang w:eastAsia="zh-CN"/>
        </w:rPr>
        <w:t>并</w:t>
      </w:r>
      <w:r>
        <w:rPr>
          <w:rFonts w:hint="eastAsia" w:ascii="宋体" w:hAnsi="宋体" w:eastAsia="宋体" w:cs="宋体"/>
          <w:b w:val="0"/>
          <w:bCs w:val="0"/>
          <w:color w:val="auto"/>
          <w:sz w:val="24"/>
          <w:szCs w:val="24"/>
          <w:highlight w:val="none"/>
        </w:rPr>
        <w:t>在</w:t>
      </w:r>
      <w:r>
        <w:rPr>
          <w:rFonts w:hint="eastAsia" w:ascii="宋体" w:hAnsi="宋体" w:eastAsia="宋体" w:cs="宋体"/>
          <w:b/>
          <w:bCs/>
          <w:color w:val="auto"/>
          <w:sz w:val="24"/>
          <w:szCs w:val="24"/>
          <w:highlight w:val="none"/>
          <w:lang w:val="en-US" w:eastAsia="zh-CN"/>
        </w:rPr>
        <w:t>全国公共资源交易平台（广东省·韶关市）</w:t>
      </w:r>
      <w:r>
        <w:rPr>
          <w:rFonts w:hint="eastAsia" w:ascii="宋体" w:hAnsi="宋体" w:eastAsia="宋体" w:cs="宋体"/>
          <w:b w:val="0"/>
          <w:bCs w:val="0"/>
          <w:color w:val="auto"/>
          <w:sz w:val="24"/>
          <w:szCs w:val="24"/>
          <w:highlight w:val="none"/>
          <w:lang w:eastAsia="zh-CN"/>
        </w:rPr>
        <w:t>交易系统</w:t>
      </w:r>
      <w:r>
        <w:rPr>
          <w:rFonts w:hint="eastAsia" w:ascii="宋体" w:hAnsi="宋体" w:eastAsia="宋体" w:cs="宋体"/>
          <w:b w:val="0"/>
          <w:bCs w:val="0"/>
          <w:color w:val="auto"/>
          <w:sz w:val="24"/>
          <w:szCs w:val="24"/>
          <w:highlight w:val="none"/>
        </w:rPr>
        <w:t>上发布。招标公告及招标文件发布之日起至截标时间止，最短不得少于20日。投标人应自行在</w:t>
      </w:r>
      <w:r>
        <w:rPr>
          <w:rFonts w:hint="eastAsia" w:ascii="宋体" w:hAnsi="宋体" w:eastAsia="宋体" w:cs="宋体"/>
          <w:b/>
          <w:bCs/>
          <w:color w:val="auto"/>
          <w:sz w:val="24"/>
          <w:szCs w:val="24"/>
          <w:highlight w:val="none"/>
        </w:rPr>
        <w:t>全国公共资源交易平台（广东省·韶关市）</w:t>
      </w:r>
      <w:r>
        <w:rPr>
          <w:rFonts w:hint="eastAsia" w:ascii="宋体" w:hAnsi="宋体" w:eastAsia="宋体" w:cs="宋体"/>
          <w:b w:val="0"/>
          <w:bCs w:val="0"/>
          <w:color w:val="auto"/>
          <w:sz w:val="24"/>
          <w:highlight w:val="none"/>
        </w:rPr>
        <w:t>下载招标文件（含图纸、工程量清单、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highlight w:val="none"/>
        </w:rPr>
        <w:t>等）及相关资料。</w:t>
      </w:r>
    </w:p>
    <w:p w14:paraId="356F6D4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10.2.1</w:t>
      </w:r>
      <w:r>
        <w:rPr>
          <w:rFonts w:hint="eastAsia" w:ascii="宋体" w:hAnsi="宋体" w:eastAsia="宋体" w:cs="宋体"/>
          <w:b w:val="0"/>
          <w:bCs w:val="0"/>
          <w:color w:val="auto"/>
          <w:sz w:val="24"/>
          <w:highlight w:val="none"/>
        </w:rPr>
        <w:t>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在【交易指引】栏目中建设工程交易中下载《全国公共资源交易平台（广东省·韶关市）整合建设项目建设工程交易（投标人）用户手册》（附件2），了解网上获取招标文件操作流程。技术咨询电话：18819797080/0751-8379671伍先生，业务咨询电话：0751-8633211。</w:t>
      </w:r>
    </w:p>
    <w:p w14:paraId="54DEF66A">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10.2.2只有申领了数字证书（CA）、“粤企签”或GDCA/SZCA/NETCA等符合法律法规规定的电子印章，并在交易系统中完成企业信息数据入库的投标人，方可使用建设工程交易系统进行招标文件及附件获取和电子投标。</w:t>
      </w:r>
    </w:p>
    <w:p w14:paraId="094DC05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w:t>
      </w:r>
    </w:p>
    <w:p w14:paraId="410272E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已入库企业有关信息（如单位名称、基本账号、资质、人员等）发生变化的，须及时在交易系统进行相应变更。投标人未及时变更信息而造成的损失和后果，由投标人自行承担。</w:t>
      </w:r>
    </w:p>
    <w:p w14:paraId="6589336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E91B1E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文件在网上发布后，招标人发现招标文件有遗漏或不够完善的，可以对已发布招标文件在网上发布后，招标人发现招标文件有遗漏或不够完善的，可以对已发布的招标文件进行必要的澄清、修改或补充，其澄清、修改或补充内容应当形成补遗文件报招标管理部门备案后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14:paraId="6430042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10.4当招标文件、招标文件的澄清、修改或补充等在同一内容的表述上不一致时，以网上最后发出的书面文件为准。</w:t>
      </w:r>
    </w:p>
    <w:p w14:paraId="2BEFC49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10.5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14:paraId="14F47909">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.招标文件</w:t>
      </w:r>
      <w:r>
        <w:rPr>
          <w:rFonts w:hint="eastAsia" w:ascii="宋体" w:hAnsi="宋体" w:eastAsia="宋体" w:cs="宋体"/>
          <w:b/>
          <w:bCs/>
          <w:color w:val="auto"/>
          <w:sz w:val="24"/>
          <w:highlight w:val="none"/>
          <w:lang w:val="en-US" w:eastAsia="zh-CN"/>
        </w:rPr>
        <w:t>提问</w:t>
      </w:r>
      <w:r>
        <w:rPr>
          <w:rFonts w:hint="eastAsia" w:ascii="宋体" w:hAnsi="宋体" w:eastAsia="宋体" w:cs="宋体"/>
          <w:b/>
          <w:bCs/>
          <w:color w:val="auto"/>
          <w:sz w:val="24"/>
          <w:highlight w:val="none"/>
        </w:rPr>
        <w:t>和答疑</w:t>
      </w:r>
    </w:p>
    <w:p w14:paraId="774F68B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在网上获取招标文件后，应该详细检查招标文件的所有内容，同时审阅招标文件中的所有事项、格式、条款和规范要求等，如发现招标文件缺损、错漏或对招标文件有任何疑问，应在提问截止时间（见本章第二节“重要事项时间地点一览表”）前使用建设工程交易系统提出问题且不得有任何可识别投标人及其人员的标识。未在指定时间前、未采用指定方式提出的，招标人不予受理。</w:t>
      </w:r>
    </w:p>
    <w:p w14:paraId="74D3603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对于投标人的任何有关招标文件的网上疑问，招标人在提问截止时间（见本章第二节“重要事项时间地点一览表”）后3日内，一次性对收到的所有问题作出答复，并形成答疑（或修改）公告在发布招标公告的媒介上公开发布。答疑（或修改）公告一旦发布，即</w:t>
      </w:r>
      <w:r>
        <w:rPr>
          <w:rFonts w:hint="eastAsia" w:ascii="宋体" w:hAnsi="宋体" w:eastAsia="宋体" w:cs="宋体"/>
          <w:color w:val="auto"/>
          <w:sz w:val="24"/>
          <w:highlight w:val="none"/>
          <w:lang w:eastAsia="zh-CN"/>
        </w:rPr>
        <w:t>视为</w:t>
      </w:r>
      <w:r>
        <w:rPr>
          <w:rFonts w:hint="eastAsia" w:ascii="宋体" w:hAnsi="宋体" w:eastAsia="宋体" w:cs="宋体"/>
          <w:color w:val="auto"/>
          <w:sz w:val="24"/>
          <w:highlight w:val="none"/>
        </w:rPr>
        <w:t>所有潜在投标人已经知悉答疑（或修改）内容，投标人未及时关注而造成的损失和后果，由投标人自行承担。补遗文件作为招标文件的补充，是招标文件的组成部分。</w:t>
      </w:r>
    </w:p>
    <w:p w14:paraId="0D58E34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.3招标文件的答疑内容作为招标文件的组成部分，具有约束作用。投标人应从网上下载招标人对招标文件的答疑，招标人不再另行通知。投标人因自身原因未能获取答疑资料所造成的后果，由投标人自行承担。</w:t>
      </w:r>
    </w:p>
    <w:p w14:paraId="79CB468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.工程承包方式</w:t>
      </w:r>
    </w:p>
    <w:p w14:paraId="671FE5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.1本招标工程合同承包方式</w:t>
      </w:r>
      <w:r>
        <w:rPr>
          <w:rFonts w:hint="eastAsia" w:ascii="宋体" w:hAnsi="宋体" w:eastAsia="宋体" w:cs="宋体"/>
          <w:color w:val="auto"/>
          <w:sz w:val="24"/>
          <w:szCs w:val="24"/>
          <w:highlight w:val="none"/>
        </w:rPr>
        <w:t>采用单价合同承包方式</w:t>
      </w:r>
      <w:r>
        <w:rPr>
          <w:rFonts w:hint="eastAsia" w:ascii="宋体" w:hAnsi="宋体" w:eastAsia="宋体" w:cs="宋体"/>
          <w:color w:val="auto"/>
          <w:sz w:val="24"/>
          <w:highlight w:val="none"/>
        </w:rPr>
        <w:t>。</w:t>
      </w:r>
    </w:p>
    <w:p w14:paraId="3083CA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.2工程所需材料全部由中标单位自行组织采购供应，但所有材料必须与投标文件材料相符，并符合设计和规范要求，经建设单位和监理单位同意后，方能投入使用。</w:t>
      </w:r>
    </w:p>
    <w:p w14:paraId="7F0BC356">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.工程质量、工期及有关要求</w:t>
      </w:r>
    </w:p>
    <w:p w14:paraId="0E09A10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中标单位应按照投标人须知前附表要求的工程质量标准完成本工程施工任务。工程验收以国家现行的施工验收技术规范、工程质量验评标准、施工图纸、设计变更及技术说明书等设计、技术文件为依据。如施工质量不合格，中标单位须负责返工直至达到合格要求，所造成的损失和一切费用由中标单位负责。</w:t>
      </w:r>
    </w:p>
    <w:p w14:paraId="3187ED9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鼓励中标单位采购节能环保产品。</w:t>
      </w:r>
    </w:p>
    <w:p w14:paraId="4B29BE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工期要求及</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规定</w:t>
      </w:r>
    </w:p>
    <w:p w14:paraId="20871AD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中标单位应按照投标人须知前附表要求的日历天（含节假日、停水、停电、风雨天在内）内完成招标内容全部施工项目。开工及竣工日期以承包合同签订规定为准。</w:t>
      </w:r>
    </w:p>
    <w:p w14:paraId="35F0FD3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因建设单位原因或不可抗力的自然灾害造成施工工期延误的其工期可相应顺延，但必须经建设单位现场签证。</w:t>
      </w:r>
    </w:p>
    <w:p w14:paraId="3BC7BDFA">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color w:val="auto"/>
          <w:sz w:val="24"/>
          <w:szCs w:val="24"/>
          <w:highlight w:val="none"/>
        </w:rPr>
        <w:t>本工程最高投标限价编制依据及说明</w:t>
      </w:r>
    </w:p>
    <w:p w14:paraId="13AD679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（1）《建设工程工程量清单计价标准》（GB/T50500—2024）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w:t>
      </w:r>
      <w:r>
        <w:rPr>
          <w:rFonts w:hint="eastAsia" w:ascii="宋体" w:hAnsi="宋体" w:eastAsia="宋体" w:cs="宋体"/>
          <w:b w:val="0"/>
          <w:bCs w:val="0"/>
          <w:color w:val="auto"/>
          <w:sz w:val="24"/>
          <w:highlight w:val="none"/>
          <w:lang w:val="en-US" w:eastAsia="zh-CN"/>
        </w:rPr>
        <w:t>《2024标准》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428972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广东省建设工程计价依据（2018）》和《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p>
    <w:p w14:paraId="5174C7B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（3）施工图及相关资料；</w:t>
      </w:r>
    </w:p>
    <w:p w14:paraId="1471942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（4）招标文件及招标工程量清单；</w:t>
      </w:r>
    </w:p>
    <w:p w14:paraId="5501320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（5）施工现场情况、工程特点及常规施工方案；</w:t>
      </w:r>
    </w:p>
    <w:p w14:paraId="0846211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（6）项目所在地工程造价管理机构发布的工程造价信息，工程造价信息缺项的，参照市场价格；</w:t>
      </w:r>
    </w:p>
    <w:p w14:paraId="3E58D9E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（7）与建设项目相关的标准、规范、技术资料。</w:t>
      </w:r>
    </w:p>
    <w:p w14:paraId="0565CF24">
      <w:pPr>
        <w:pStyle w:val="5"/>
        <w:bidi w:val="0"/>
        <w:rPr>
          <w:rFonts w:hint="eastAsia" w:ascii="宋体" w:hAnsi="宋体" w:eastAsia="宋体" w:cs="宋体"/>
          <w:color w:val="auto"/>
        </w:rPr>
      </w:pPr>
      <w:bookmarkStart w:id="11" w:name="_Toc18780"/>
      <w:r>
        <w:rPr>
          <w:rFonts w:hint="eastAsia" w:ascii="宋体" w:hAnsi="宋体" w:eastAsia="宋体" w:cs="宋体"/>
          <w:color w:val="auto"/>
        </w:rPr>
        <w:t>（</w:t>
      </w:r>
      <w:r>
        <w:rPr>
          <w:rFonts w:hint="eastAsia" w:ascii="宋体" w:hAnsi="宋体" w:eastAsia="宋体" w:cs="宋体"/>
          <w:color w:val="auto"/>
          <w:lang w:eastAsia="zh-CN"/>
        </w:rPr>
        <w:t>四</w:t>
      </w:r>
      <w:r>
        <w:rPr>
          <w:rFonts w:hint="eastAsia" w:ascii="宋体" w:hAnsi="宋体" w:eastAsia="宋体" w:cs="宋体"/>
          <w:color w:val="auto"/>
        </w:rPr>
        <w:t>）投标文件</w:t>
      </w:r>
      <w:bookmarkEnd w:id="11"/>
    </w:p>
    <w:p w14:paraId="2AAECBE7">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.投标文件组成</w:t>
      </w:r>
    </w:p>
    <w:p w14:paraId="500964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投标文件包括商务标书、经济标书、施工组织设计</w:t>
      </w:r>
      <w:r>
        <w:rPr>
          <w:rFonts w:hint="eastAsia" w:ascii="宋体" w:hAnsi="宋体" w:eastAsia="宋体" w:cs="宋体"/>
          <w:b w:val="0"/>
          <w:bCs w:val="0"/>
          <w:color w:val="auto"/>
          <w:sz w:val="24"/>
          <w:highlight w:val="none"/>
          <w:lang w:val="en-US" w:eastAsia="zh-CN"/>
        </w:rPr>
        <w:t>和定标文件四</w:t>
      </w:r>
      <w:r>
        <w:rPr>
          <w:rFonts w:hint="eastAsia" w:ascii="宋体" w:hAnsi="宋体" w:eastAsia="宋体" w:cs="宋体"/>
          <w:b w:val="0"/>
          <w:bCs w:val="0"/>
          <w:color w:val="auto"/>
          <w:sz w:val="24"/>
          <w:highlight w:val="none"/>
        </w:rPr>
        <w:t>个分册。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全国公共资源交易平台</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广东省·韶关市</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交易指引。</w:t>
      </w:r>
    </w:p>
    <w:p w14:paraId="6FD053D2">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.投标文件编制</w:t>
      </w:r>
    </w:p>
    <w:p w14:paraId="4EBD4E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投标文件应按第</w:t>
      </w:r>
      <w:r>
        <w:rPr>
          <w:rFonts w:hint="eastAsia" w:ascii="宋体" w:hAnsi="宋体" w:eastAsia="宋体" w:cs="宋体"/>
          <w:b w:val="0"/>
          <w:bCs w:val="0"/>
          <w:color w:val="auto"/>
          <w:sz w:val="24"/>
          <w:highlight w:val="none"/>
          <w:lang w:val="en-US" w:eastAsia="zh-CN"/>
        </w:rPr>
        <w:t>四</w:t>
      </w:r>
      <w:r>
        <w:rPr>
          <w:rFonts w:hint="eastAsia" w:ascii="宋体" w:hAnsi="宋体" w:eastAsia="宋体" w:cs="宋体"/>
          <w:b w:val="0"/>
          <w:bCs w:val="0"/>
          <w:color w:val="auto"/>
          <w:sz w:val="24"/>
          <w:highlight w:val="none"/>
        </w:rPr>
        <w:t>章 投标文件格式规定的内容，投标人提交的投标文件应当使用招标文件所提供的投标文件全部格式。</w:t>
      </w:r>
    </w:p>
    <w:p w14:paraId="2513A7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7C4C4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rPr>
        <w:t>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全国公共资源交易平台</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广东省·韶关市</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交易指引。</w:t>
      </w:r>
    </w:p>
    <w:p w14:paraId="2CA87A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w:t>
      </w:r>
      <w:r>
        <w:rPr>
          <w:rFonts w:hint="eastAsia" w:ascii="宋体" w:hAnsi="宋体" w:eastAsia="宋体" w:cs="宋体"/>
          <w:b w:val="0"/>
          <w:bCs w:val="0"/>
          <w:color w:val="auto"/>
          <w:sz w:val="24"/>
          <w:highlight w:val="none"/>
        </w:rPr>
        <w:t>投标文件需按以下要求签字、盖章：</w:t>
      </w:r>
    </w:p>
    <w:p w14:paraId="330A66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电子投标文件：</w:t>
      </w:r>
    </w:p>
    <w:p w14:paraId="49F12B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16.3.1</w:t>
      </w:r>
      <w:r>
        <w:rPr>
          <w:rFonts w:hint="eastAsia" w:ascii="宋体" w:hAnsi="宋体" w:eastAsia="宋体" w:cs="宋体"/>
          <w:b w:val="0"/>
          <w:bCs w:val="0"/>
          <w:color w:val="auto"/>
          <w:sz w:val="24"/>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14:paraId="578B69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16.3.2</w:t>
      </w:r>
      <w:r>
        <w:rPr>
          <w:rFonts w:hint="eastAsia" w:ascii="宋体" w:hAnsi="宋体" w:eastAsia="宋体" w:cs="宋体"/>
          <w:b w:val="0"/>
          <w:bCs w:val="0"/>
          <w:color w:val="auto"/>
          <w:sz w:val="24"/>
          <w:highlight w:val="none"/>
        </w:rPr>
        <w:t>投标文件封套、封面、组成内容中凡要求录入投标人名称且注明“盖单位章”处盖单位法人公章（电子印章）。</w:t>
      </w:r>
    </w:p>
    <w:p w14:paraId="18CAA6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16.3.3</w:t>
      </w:r>
      <w:r>
        <w:rPr>
          <w:rFonts w:hint="eastAsia" w:ascii="宋体" w:hAnsi="宋体" w:eastAsia="宋体" w:cs="宋体"/>
          <w:b w:val="0"/>
          <w:bCs w:val="0"/>
          <w:color w:val="auto"/>
          <w:sz w:val="24"/>
          <w:highlight w:val="none"/>
        </w:rPr>
        <w:t>投标文件的签字均为签字人本人亲笔署名或签章（电子印章），其余部分的彩色扫描件无须另行签字、盖章。</w:t>
      </w:r>
    </w:p>
    <w:p w14:paraId="3C994D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2" w:name="_Toc18556"/>
      <w:bookmarkStart w:id="13" w:name="_Toc27757"/>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商务标书的编制要求</w:t>
      </w:r>
      <w:bookmarkEnd w:id="12"/>
      <w:bookmarkEnd w:id="13"/>
    </w:p>
    <w:p w14:paraId="4759B8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16.4.1</w:t>
      </w:r>
      <w:r>
        <w:rPr>
          <w:rFonts w:hint="eastAsia" w:ascii="宋体" w:hAnsi="宋体" w:eastAsia="宋体" w:cs="宋体"/>
          <w:b w:val="0"/>
          <w:bCs w:val="0"/>
          <w:color w:val="auto"/>
          <w:sz w:val="24"/>
          <w:highlight w:val="none"/>
        </w:rPr>
        <w:t>商务标书包括但不限于以下内容：</w:t>
      </w:r>
    </w:p>
    <w:p w14:paraId="382FB2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41AF84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0EDE06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（3）《投标函》（格式二）；</w:t>
      </w:r>
    </w:p>
    <w:p w14:paraId="1D2C47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（4）《各项承诺一览表》（格式三）；</w:t>
      </w:r>
    </w:p>
    <w:p w14:paraId="5FDA53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（5）《法定代表人身份证明》（格式四）；</w:t>
      </w:r>
    </w:p>
    <w:p w14:paraId="63E436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（6）《授权委托书》（格式五）；</w:t>
      </w:r>
    </w:p>
    <w:p w14:paraId="09A855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投标保证缴纳证明（投标人采用投标保证金的，附交易平台《缴纳投标保证金通知书》页面截图和银行转账单扫描件；采用投标保证担保的，附银行保函彩色扫描件；采用投标保证担保的，附电子保单和《韶关市公共资源交易一体化平台保证金缴纳信息》页面截图打印页）；</w:t>
      </w:r>
    </w:p>
    <w:p w14:paraId="1C40EE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（8）《投标人基本情况表》（格式六）及所附资料；</w:t>
      </w:r>
    </w:p>
    <w:p w14:paraId="158E75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（9）《项目经理简历表》（格式七）及所附资料；</w:t>
      </w:r>
    </w:p>
    <w:p w14:paraId="52C919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（10）《项目经理任职声明》（格式八）；</w:t>
      </w:r>
    </w:p>
    <w:p w14:paraId="5C3AC4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（11）《项目技术负责人简历表》（格式九）及所附资料；</w:t>
      </w:r>
    </w:p>
    <w:p w14:paraId="2FD32B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（12）《专职安全员简历表》（格式十）及所附资料；</w:t>
      </w:r>
    </w:p>
    <w:p w14:paraId="741FE5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（13）《项目管理机构组成表》（格式十一）及所附资料；</w:t>
      </w:r>
    </w:p>
    <w:p w14:paraId="5E9E2F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（14）建造师查询页（有效期）（格式十二）；</w:t>
      </w:r>
    </w:p>
    <w:p w14:paraId="049C0C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（15）</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危险性较大的分部分项工程清单及超过一定规模的危险性较大的分部分项工程清单</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（格式十三）</w:t>
      </w:r>
    </w:p>
    <w:p w14:paraId="461B22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（16）《原件一览表》（格式十</w:t>
      </w: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w:t>
      </w:r>
    </w:p>
    <w:p w14:paraId="113059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17）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76F0F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.2本节第1</w:t>
      </w:r>
      <w:r>
        <w:rPr>
          <w:rFonts w:hint="eastAsia" w:ascii="宋体" w:hAnsi="宋体" w:eastAsia="宋体" w:cs="宋体"/>
          <w:b w:val="0"/>
          <w:bCs w:val="0"/>
          <w:color w:val="auto"/>
          <w:sz w:val="24"/>
          <w:highlight w:val="none"/>
          <w:lang w:val="en-US" w:eastAsia="zh-CN"/>
        </w:rPr>
        <w:t>6.4</w:t>
      </w:r>
      <w:r>
        <w:rPr>
          <w:rFonts w:hint="eastAsia" w:ascii="宋体" w:hAnsi="宋体" w:eastAsia="宋体" w:cs="宋体"/>
          <w:b w:val="0"/>
          <w:bCs w:val="0"/>
          <w:color w:val="auto"/>
          <w:sz w:val="24"/>
          <w:highlight w:val="none"/>
        </w:rPr>
        <w:t>.1目中所列出的商务标书组成内容中，第（1）至第（</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）项所有投标人均应提供</w:t>
      </w:r>
      <w:r>
        <w:rPr>
          <w:rFonts w:hint="eastAsia" w:ascii="宋体" w:hAnsi="宋体" w:eastAsia="宋体" w:cs="宋体"/>
          <w:b w:val="0"/>
          <w:bCs w:val="0"/>
          <w:color w:val="auto"/>
          <w:sz w:val="24"/>
          <w:highlight w:val="none"/>
          <w:lang w:val="en-US" w:eastAsia="zh-CN"/>
        </w:rPr>
        <w:t>。</w:t>
      </w:r>
    </w:p>
    <w:p w14:paraId="3B0EAD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16.4.3商务标书的组成内容按本节16.4.1目规定的顺序整理、编排后，逐页（页码起始从封面开始）连续标记页码</w:t>
      </w:r>
      <w:r>
        <w:rPr>
          <w:rFonts w:hint="eastAsia" w:ascii="宋体" w:hAnsi="宋体" w:eastAsia="宋体" w:cs="宋体"/>
          <w:b w:val="0"/>
          <w:bCs w:val="0"/>
          <w:color w:val="auto"/>
          <w:sz w:val="24"/>
          <w:highlight w:val="none"/>
        </w:rPr>
        <w:t>。</w:t>
      </w:r>
    </w:p>
    <w:p w14:paraId="74990F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4" w:name="_Hlt69670029"/>
      <w:bookmarkEnd w:id="14"/>
      <w:bookmarkStart w:id="15" w:name="_Hlt87783273"/>
      <w:bookmarkEnd w:id="15"/>
      <w:bookmarkStart w:id="16" w:name="_Toc12870"/>
      <w:bookmarkStart w:id="17" w:name="_Toc3328"/>
      <w:bookmarkStart w:id="18" w:name="_Toc274313881"/>
      <w:r>
        <w:rPr>
          <w:rFonts w:hint="eastAsia" w:ascii="宋体" w:hAnsi="宋体" w:eastAsia="宋体" w:cs="宋体"/>
          <w:b w:val="0"/>
          <w:bCs w:val="0"/>
          <w:color w:val="auto"/>
          <w:sz w:val="24"/>
          <w:highlight w:val="none"/>
        </w:rPr>
        <w:t>1</w:t>
      </w:r>
      <w:bookmarkStart w:id="19" w:name="_Hlt69670035"/>
      <w:bookmarkEnd w:id="19"/>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经济标书的编制要求</w:t>
      </w:r>
      <w:bookmarkEnd w:id="16"/>
      <w:bookmarkEnd w:id="17"/>
      <w:bookmarkEnd w:id="18"/>
    </w:p>
    <w:p w14:paraId="503852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.1经济标书包括以下内容：</w:t>
      </w:r>
    </w:p>
    <w:p w14:paraId="7CDA8C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52409C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7FF4F5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0" w:name="_Hlt69699579"/>
      <w:bookmarkEnd w:id="20"/>
      <w:r>
        <w:rPr>
          <w:rFonts w:hint="eastAsia" w:ascii="宋体" w:hAnsi="宋体" w:eastAsia="宋体" w:cs="宋体"/>
          <w:b w:val="0"/>
          <w:bCs w:val="0"/>
          <w:color w:val="auto"/>
          <w:sz w:val="24"/>
          <w:highlight w:val="none"/>
        </w:rPr>
        <w:t>（3）《投标总价》；</w:t>
      </w:r>
    </w:p>
    <w:p w14:paraId="457E76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说明：《投标总价》的格式按照《建设工程工程量清单计价标准》（GB/T50500—2024）执行，并应满足以下要求：</w:t>
      </w:r>
    </w:p>
    <w:p w14:paraId="5C8E6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a.</w:t>
      </w:r>
      <w:r>
        <w:rPr>
          <w:rFonts w:hint="eastAsia" w:ascii="宋体" w:hAnsi="宋体" w:eastAsia="宋体" w:cs="宋体"/>
          <w:b w:val="0"/>
          <w:bCs w:val="0"/>
          <w:color w:val="auto"/>
          <w:sz w:val="24"/>
          <w:highlight w:val="none"/>
        </w:rPr>
        <w:t>《投标总价扉页》（即扉—3）后应附编制人的造价工程师注册证书彩色扫描件（非电子证书须扫描至变更注册栏）；投标人委托造价咨询单位编制《投标总价》的，在该扉页“投标人”栏目加盖造价咨询人公章，并在该扉页后附造价咨询人的营业执照副本彩色扫描件。</w:t>
      </w:r>
    </w:p>
    <w:p w14:paraId="71BFC2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b.</w:t>
      </w:r>
      <w:r>
        <w:rPr>
          <w:rFonts w:hint="eastAsia" w:ascii="宋体" w:hAnsi="宋体" w:eastAsia="宋体" w:cs="宋体"/>
          <w:b w:val="0"/>
          <w:bCs w:val="0"/>
          <w:color w:val="auto"/>
          <w:sz w:val="24"/>
          <w:highlight w:val="none"/>
        </w:rPr>
        <w:t>《总说明》（即表—01）中的填写内容除按照《建设工程工程量清单计价标准》（GB/T50500—2024）第16.0.4条第3项执行外，尚应就造价软件的名称、版本、加密锁编号作出专项说明。</w:t>
      </w:r>
    </w:p>
    <w:p w14:paraId="364435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（4）投标人认为有必要补充的其他资料（例如关于</w:t>
      </w:r>
      <w:r>
        <w:rPr>
          <w:rFonts w:hint="eastAsia" w:ascii="宋体" w:hAnsi="宋体" w:eastAsia="宋体" w:cs="宋体"/>
          <w:color w:val="auto"/>
          <w:sz w:val="24"/>
          <w:highlight w:val="none"/>
        </w:rPr>
        <w:t>投标报价低于招标项目的成本警示价</w:t>
      </w:r>
      <w:r>
        <w:rPr>
          <w:rFonts w:hint="eastAsia" w:ascii="宋体" w:hAnsi="宋体" w:eastAsia="宋体" w:cs="宋体"/>
          <w:b w:val="0"/>
          <w:bCs w:val="0"/>
          <w:color w:val="auto"/>
          <w:sz w:val="24"/>
          <w:highlight w:val="none"/>
        </w:rPr>
        <w:t>的书面说明和佐证材料）。</w:t>
      </w:r>
    </w:p>
    <w:p w14:paraId="4C7676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.2本节第1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.1目中所列出的经济标书组成内容中，第（1）至第（3）项所有投标人均应提供</w:t>
      </w:r>
      <w:bookmarkStart w:id="21" w:name="_Hlt145127239"/>
      <w:bookmarkEnd w:id="21"/>
      <w:r>
        <w:rPr>
          <w:rFonts w:hint="eastAsia" w:ascii="宋体" w:hAnsi="宋体" w:eastAsia="宋体" w:cs="宋体"/>
          <w:b w:val="0"/>
          <w:bCs w:val="0"/>
          <w:color w:val="auto"/>
          <w:sz w:val="24"/>
          <w:highlight w:val="none"/>
        </w:rPr>
        <w:t>。</w:t>
      </w:r>
    </w:p>
    <w:p w14:paraId="3254CD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.3经济标书的组成内容按本节</w:t>
      </w:r>
      <w:r>
        <w:rPr>
          <w:rFonts w:hint="eastAsia" w:ascii="宋体" w:hAnsi="宋体" w:eastAsia="宋体" w:cs="宋体"/>
          <w:b w:val="0"/>
          <w:bCs w:val="0"/>
          <w:color w:val="auto"/>
          <w:sz w:val="24"/>
          <w:highlight w:val="none"/>
          <w:lang w:val="en-US" w:eastAsia="zh-CN"/>
        </w:rPr>
        <w:t>16.5</w:t>
      </w:r>
      <w:r>
        <w:rPr>
          <w:rFonts w:hint="eastAsia" w:ascii="宋体" w:hAnsi="宋体" w:eastAsia="宋体" w:cs="宋体"/>
          <w:b w:val="0"/>
          <w:bCs w:val="0"/>
          <w:color w:val="auto"/>
          <w:sz w:val="24"/>
          <w:highlight w:val="none"/>
        </w:rPr>
        <w:t>.1目规定的顺序整理、编排后，逐页（页码起始从封面开始）连续标记页码。</w:t>
      </w:r>
    </w:p>
    <w:p w14:paraId="383631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2" w:name="_Toc27751"/>
      <w:bookmarkStart w:id="23" w:name="_Toc16279"/>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施工组织设计的编制要求</w:t>
      </w:r>
      <w:bookmarkEnd w:id="22"/>
      <w:bookmarkEnd w:id="23"/>
    </w:p>
    <w:p w14:paraId="1FD7F2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.1施工组织设计的编制依据包括且不限于：</w:t>
      </w:r>
    </w:p>
    <w:p w14:paraId="1B028A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（1）招标文件及其答疑（或修改）公告；</w:t>
      </w:r>
    </w:p>
    <w:p w14:paraId="109A3B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（2）施工图及相关资料；</w:t>
      </w:r>
    </w:p>
    <w:p w14:paraId="3FA3DA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（3）施工现场情况、工程特点；</w:t>
      </w:r>
    </w:p>
    <w:p w14:paraId="5BE6AA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（4）相关法律、法规、规定；</w:t>
      </w:r>
    </w:p>
    <w:p w14:paraId="2F9FEA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622A5A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（6）企业内部标准、工法。</w:t>
      </w:r>
    </w:p>
    <w:p w14:paraId="30E8D9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.2施工组织设计包括但不限于以下内容：</w:t>
      </w:r>
    </w:p>
    <w:p w14:paraId="15BAEA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2C191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3A4247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（3）总体概述（包括施工程序总体设想及施工段划分等内容）；</w:t>
      </w:r>
    </w:p>
    <w:p w14:paraId="372D2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（4）施工总进度计划及保证措施（包括进度管理目标；以横道图或标明关键线路的网络进度计划；保障进度计划需要的人、材、机需求计划及保证措施；违约责任承诺等内容）；</w:t>
      </w:r>
    </w:p>
    <w:p w14:paraId="391D40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（5）质量保证措施（包括质量管理目标；相应保证措施；违约责任承诺等内容）；</w:t>
      </w:r>
    </w:p>
    <w:p w14:paraId="584927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（6）施工技术措施（包括关键施工技术、工艺及工程项目实施的重点、难点分析和解决方案；新技术应用与承诺等内容）；</w:t>
      </w:r>
    </w:p>
    <w:p w14:paraId="73068F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（7）绿色施工、安全防护、文明施工措施计划；</w:t>
      </w:r>
    </w:p>
    <w:p w14:paraId="0B5E39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2C5B6F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（9）项目管理机构；</w:t>
      </w:r>
    </w:p>
    <w:p w14:paraId="2DD9EC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（10）投标人认为有必要补充的其他内容（例如对总包管理的认识以及对专业分包工程的管理、协调、配合、服务方案）。</w:t>
      </w:r>
    </w:p>
    <w:p w14:paraId="1B9ABE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.3本节第1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.2目中所列出的施工组织设计组成内容中，第（1）至第（</w:t>
      </w: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）项所有投标人均应提供。</w:t>
      </w:r>
    </w:p>
    <w:p w14:paraId="61DE04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.4施工组织设计的组成内容按本节第</w:t>
      </w:r>
      <w:r>
        <w:rPr>
          <w:rFonts w:hint="eastAsia" w:ascii="宋体" w:hAnsi="宋体" w:eastAsia="宋体" w:cs="宋体"/>
          <w:b w:val="0"/>
          <w:bCs w:val="0"/>
          <w:color w:val="auto"/>
          <w:sz w:val="24"/>
          <w:highlight w:val="none"/>
          <w:lang w:val="en-US" w:eastAsia="zh-CN"/>
        </w:rPr>
        <w:t>16.6</w:t>
      </w:r>
      <w:r>
        <w:rPr>
          <w:rFonts w:hint="eastAsia" w:ascii="宋体" w:hAnsi="宋体" w:eastAsia="宋体" w:cs="宋体"/>
          <w:b w:val="0"/>
          <w:bCs w:val="0"/>
          <w:color w:val="auto"/>
          <w:sz w:val="24"/>
          <w:highlight w:val="none"/>
        </w:rPr>
        <w:t>.2目规定的顺序整理、编排后，逐页（页码起始从封面开始）连续标记页码。</w:t>
      </w:r>
    </w:p>
    <w:p w14:paraId="4354AD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16.6.5施工组织设计的正文除施工现场平面布置图和进度计划图用白色标准A3纸设置外，其他内容一律用白色标准A4纸设置。施工组织设计的正文建议不超过500页。</w:t>
      </w:r>
    </w:p>
    <w:p w14:paraId="67F1ED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16.7定标文件的编制要求：</w:t>
      </w:r>
    </w:p>
    <w:p w14:paraId="1A78C1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5E9278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b w:val="0"/>
          <w:bCs w:val="0"/>
          <w:color w:val="auto"/>
          <w:sz w:val="24"/>
          <w:highlight w:val="none"/>
          <w:lang w:val="en-US" w:eastAsia="zh-CN"/>
        </w:rPr>
        <w:t>定标因素评审资料（格式十六）</w:t>
      </w:r>
    </w:p>
    <w:p w14:paraId="3A1A69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本节第1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目中所列出的组成内容中，第（1）项所有投标人均应提供。</w:t>
      </w:r>
    </w:p>
    <w:p w14:paraId="7A068CE7">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.投标报价</w:t>
      </w:r>
    </w:p>
    <w:p w14:paraId="3C9200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17.1投标人报价可依据</w:t>
      </w:r>
      <w:r>
        <w:rPr>
          <w:rFonts w:hint="eastAsia" w:ascii="宋体" w:hAnsi="宋体" w:eastAsia="宋体" w:cs="宋体"/>
          <w:color w:val="auto"/>
          <w:spacing w:val="-1"/>
          <w:sz w:val="24"/>
          <w:szCs w:val="24"/>
          <w:highlight w:val="none"/>
        </w:rPr>
        <w:t>《建设工程工程量清单计价标准》（GB/T 50500-2024）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以下简称《2024标准》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val="0"/>
          <w:bCs w:val="0"/>
          <w:color w:val="auto"/>
          <w:sz w:val="24"/>
          <w:highlight w:val="none"/>
          <w:lang w:val="en-US" w:eastAsia="zh-CN"/>
        </w:rPr>
        <w:t>规定自主确定投标报价，并应对已标价工程量清单填报价格的一致性及合理性负责，承担不合理报价及总价合同的工程量清单缺陷等风险。</w:t>
      </w:r>
    </w:p>
    <w:p w14:paraId="0D0030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（1）《2024标准》和相关工程国家级行业工程量计算标准；</w:t>
      </w:r>
    </w:p>
    <w:p w14:paraId="59A9F7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（2）招标文件（包括招标工程量清单、合同条款、招标图纸、计算标准规范等）及其补遗、答疑、异议澄清或修正；</w:t>
      </w:r>
    </w:p>
    <w:p w14:paraId="5C752A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（3）国家及省级、行业建设主管部门颁发的工程计量与计价相关规定，以及根据工程需要补充的工程量计算规则；</w:t>
      </w:r>
    </w:p>
    <w:p w14:paraId="1791F1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（4）与招标工程相关的技术标准规范等技术资料；</w:t>
      </w:r>
    </w:p>
    <w:p w14:paraId="557D3E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（5）工程特点及交付标准、地勘水文资料、现场踏勘情况；</w:t>
      </w:r>
    </w:p>
    <w:p w14:paraId="69FD8B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（6）投标人的工程实施方案及投标工期；</w:t>
      </w:r>
    </w:p>
    <w:p w14:paraId="448869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（7）投标人企业定额、工程造价数据、市场价格信息及价格变动预期、装备及管理水平、造价资讯等；</w:t>
      </w:r>
    </w:p>
    <w:p w14:paraId="6D3059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（8）其他相关资料。</w:t>
      </w:r>
    </w:p>
    <w:p w14:paraId="3FADDC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17.2投标人的投标报价不得高于招标人公布的最高投标限价。</w:t>
      </w:r>
    </w:p>
    <w:p w14:paraId="235C1669">
      <w:pPr>
        <w:spacing w:before="146" w:line="325" w:lineRule="auto"/>
        <w:ind w:left="29" w:right="153" w:firstLine="45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17.3</w:t>
      </w:r>
      <w:r>
        <w:rPr>
          <w:rFonts w:hint="eastAsia" w:ascii="宋体" w:hAnsi="宋体" w:eastAsia="宋体" w:cs="宋体"/>
          <w:b/>
          <w:bCs/>
          <w:color w:val="auto"/>
          <w:sz w:val="24"/>
          <w:szCs w:val="24"/>
          <w:highlight w:val="none"/>
        </w:rPr>
        <w:t>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r>
        <w:rPr>
          <w:rFonts w:hint="eastAsia" w:ascii="宋体" w:hAnsi="宋体" w:eastAsia="宋体" w:cs="宋体"/>
          <w:b/>
          <w:bCs/>
          <w:color w:val="auto"/>
          <w:sz w:val="24"/>
          <w:szCs w:val="24"/>
          <w:highlight w:val="none"/>
        </w:rPr>
        <w:t>投标人必须按照招标工程量清单中提供的暂列金额和暂估价统一报价。投标</w:t>
      </w:r>
      <w:r>
        <w:rPr>
          <w:rFonts w:hint="eastAsia" w:ascii="宋体" w:hAnsi="宋体" w:eastAsia="宋体" w:cs="宋体"/>
          <w:b/>
          <w:bCs/>
          <w:color w:val="auto"/>
          <w:spacing w:val="-1"/>
          <w:sz w:val="24"/>
          <w:szCs w:val="24"/>
          <w:highlight w:val="none"/>
        </w:rPr>
        <w:t>人应充分考虑暂估价项目（或暂列金额项目）的管理和协调所发</w:t>
      </w:r>
      <w:r>
        <w:rPr>
          <w:rFonts w:hint="eastAsia" w:ascii="宋体" w:hAnsi="宋体" w:eastAsia="宋体" w:cs="宋体"/>
          <w:b/>
          <w:bCs/>
          <w:color w:val="auto"/>
          <w:spacing w:val="-2"/>
          <w:sz w:val="24"/>
          <w:szCs w:val="24"/>
          <w:highlight w:val="none"/>
        </w:rPr>
        <w:t>生的费用，并将其纳</w:t>
      </w:r>
      <w:r>
        <w:rPr>
          <w:rFonts w:hint="eastAsia" w:ascii="宋体" w:hAnsi="宋体" w:eastAsia="宋体" w:cs="宋体"/>
          <w:b/>
          <w:bCs/>
          <w:color w:val="auto"/>
          <w:spacing w:val="-1"/>
          <w:sz w:val="24"/>
          <w:szCs w:val="24"/>
          <w:highlight w:val="none"/>
        </w:rPr>
        <w:t>入已标价工程量清单中的适当项目。招标人视该项管理和协调所</w:t>
      </w:r>
      <w:r>
        <w:rPr>
          <w:rFonts w:hint="eastAsia" w:ascii="宋体" w:hAnsi="宋体" w:eastAsia="宋体" w:cs="宋体"/>
          <w:b/>
          <w:bCs/>
          <w:color w:val="auto"/>
          <w:spacing w:val="-2"/>
          <w:sz w:val="24"/>
          <w:szCs w:val="24"/>
          <w:highlight w:val="none"/>
        </w:rPr>
        <w:t>发生的费用已包含在</w:t>
      </w:r>
      <w:r>
        <w:rPr>
          <w:rFonts w:hint="eastAsia" w:ascii="宋体" w:hAnsi="宋体" w:eastAsia="宋体" w:cs="宋体"/>
          <w:b/>
          <w:bCs/>
          <w:color w:val="auto"/>
          <w:spacing w:val="-1"/>
          <w:sz w:val="24"/>
          <w:szCs w:val="24"/>
          <w:highlight w:val="none"/>
        </w:rPr>
        <w:t>其它有价款的竞争性报价内，不再另行支付。</w:t>
      </w:r>
    </w:p>
    <w:p w14:paraId="70073B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投标人应在接收招标文件后，在规定时间内根据招标文件说明的工程特点及合同要求复查招标文件中计划工期的可行性及其风险与影响，对计划工期存有疑问或异议的，应按招标文件的规定以书面形式提请招标人澄清或修正。投标人对计划工期或招标人澄清或修正后的计划工期无疑问或无异议的投标人应根据自身的实施方案、施工技术、管理水平、合同履约风险及专业分包工程工期等合理确定投标工期并投标报价。投标工期不得超过招标人的计划工期或澄清修正的计划工期。</w:t>
      </w:r>
    </w:p>
    <w:p w14:paraId="7AC6D4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投标人应在接收招标文件后，在规定时间内根据工程特点、合同要求及现场踏勘情况，复查措施项目清单列项的完整性和适用性。如投标人对措施项目清单有疑问或异议的，可按招标文件的规定以书面形式提请招标人澄清或修正，若投标人认为需要增加措施项目的，可在措施项目中补充列项及报价并对措施项目清单的准确性和完整性负责。</w:t>
      </w:r>
    </w:p>
    <w:p w14:paraId="04E84D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17.6采用单价合同的招标工程，投标人应在接收招标文件后，在规定时间内对招标工程量清单的分部分项工程项目清单进行复核。如投标人对分部分项工程项目清单有疑问或异议的，应按招标文件的规定以书面形式提请招标人澄清，招标人核实后作出修正的，投标人应按修正后的分部分项工程项目清单进行投标报价。无论投标人是否已提出疑问或异议，分部分项工程项目清单的完整性和准确性由招标人负责，清单项目或修正后（如有）的清单项目存在工程量清单缺陷的，应按《2024标准》第8.2节的规定调整相关价款及合同总价。</w:t>
      </w:r>
    </w:p>
    <w:p w14:paraId="442AA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17.7采用总价合同的招标工程，投标人应在接收招标文件后，在规定时间内对招标工程量清单进行复核。如投标人对工程项目清单有疑问或异议的，应按招标文件的规定以书面形式提请招标人澄清，招标人核实后作出修正的投标人应按修正后的工程量清单进行报价。如投标人经复核认为招标工程量清单及其修正后（如有）的分部分项工程项目清单存在工程量清单缺陷的，可在已标价工程量清单的分部分项工程项目清单中进行补充完善及报价，并对已标价分部分项工程项目清单的完整性和准确性负责。无论投标人是否已提出疑问、异议或按已修正后的工程量清单报价、或对分部分项工程项目清单作出补充完善及报价除招标工程量清单说明为暂定数量的单价计价分部分项工程项目清单外，合同价格不应因存在工程量清单缺陷而调整。</w:t>
      </w:r>
    </w:p>
    <w:p w14:paraId="02FD10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17.8投标人的投标价应包括招标文件中规定的由承包人承担范围及幅度内的风险费用。如招标文件中未明确相关风险责任的，投标人应在接收到招标文件后，在规定的时间内提请招标人明确，招标人应在规定时间内予以书面答复。</w:t>
      </w:r>
    </w:p>
    <w:p w14:paraId="079E58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17.9采用单价合同的工程，投标人应按要求完整填报工程量清单中所有清单项目的综合单价及其合价和（或）总价计价项目的价格，且每个清单项目应只填报一个报价，未按要求填报（漏填或未填）综合单价及其合价和（或）清单项目价格的，宜按《2024标准》第3.5.4条的规定完成相关的投标报价澄清或谈明，相关清单项目报价可视为已包含在投标总价中。</w:t>
      </w:r>
    </w:p>
    <w:p w14:paraId="641CA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17.10采用总价合同的工程，投标人应按《2024标准》第6.1.7条的规定补充完善工程量清单，并完整填报工程量清单中所有清单项目的综合单价及合价和（或）总价计价项目的价格，且每个清单项目应只填报一个报价，未按要求填报（漏填或未填）综合单价及其合价和（或）清单项目价格的，可按《2024标准》第3.5.4条的规定完成相关的投标报价澄清或说明，相关清单项目报价可视为已包含在其他的清单项目中。</w:t>
      </w:r>
    </w:p>
    <w:p w14:paraId="16527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17.11投标人的投标总价应与分部分项工程项目清单、措施项清单、其他项目清单、增值税的合计总额一致。如投标总价与前述合价总额不符的、应在保持投标总价不变的前提下，按《2024标准》第3.5节的规定调整已标价程量清单。</w:t>
      </w:r>
    </w:p>
    <w:p w14:paraId="79BC23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17.12</w:t>
      </w:r>
      <w:r>
        <w:rPr>
          <w:rFonts w:hint="eastAsia" w:ascii="宋体" w:hAnsi="宋体" w:eastAsia="宋体" w:cs="宋体"/>
          <w:b w:val="0"/>
          <w:bCs w:val="0"/>
          <w:color w:val="auto"/>
          <w:sz w:val="24"/>
          <w:highlight w:val="none"/>
          <w:lang w:val="en-US" w:eastAsia="en-US"/>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3F6D97D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18</w:t>
      </w:r>
      <w:r>
        <w:rPr>
          <w:rFonts w:hint="eastAsia" w:ascii="宋体" w:hAnsi="宋体" w:eastAsia="宋体" w:cs="宋体"/>
          <w:b/>
          <w:bCs/>
          <w:color w:val="auto"/>
          <w:sz w:val="24"/>
          <w:highlight w:val="none"/>
        </w:rPr>
        <w:t>.投标有效期</w:t>
      </w:r>
    </w:p>
    <w:p w14:paraId="1C1DF45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.1投标有效期从提交投标文件的截止之日起算。本招标工程投标有效期见本投标人须知前附表规定的期限，在此期间，凡符合本招标文件要求的投标文件均保持有效。</w:t>
      </w:r>
    </w:p>
    <w:p w14:paraId="1637B34D">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.2在投标有效期结束前出现特殊情况的，</w:t>
      </w:r>
      <w:r>
        <w:rPr>
          <w:rFonts w:hint="eastAsia" w:ascii="宋体" w:hAnsi="宋体" w:eastAsia="宋体" w:cs="宋体"/>
          <w:color w:val="auto"/>
          <w:kern w:val="0"/>
          <w:sz w:val="24"/>
          <w:highlight w:val="none"/>
        </w:rPr>
        <w:t>招标人可形成延长投标有效期的书面文件</w:t>
      </w:r>
      <w:r>
        <w:rPr>
          <w:rFonts w:hint="eastAsia" w:ascii="宋体" w:hAnsi="宋体" w:eastAsia="宋体" w:cs="宋体"/>
          <w:color w:val="auto"/>
          <w:sz w:val="24"/>
          <w:highlight w:val="none"/>
        </w:rPr>
        <w:t>报招标管理部门备案后在网上发布告知所有投标人</w:t>
      </w:r>
      <w:r>
        <w:rPr>
          <w:rFonts w:hint="eastAsia" w:ascii="宋体" w:hAnsi="宋体" w:eastAsia="宋体" w:cs="宋体"/>
          <w:color w:val="auto"/>
          <w:kern w:val="0"/>
          <w:sz w:val="24"/>
          <w:highlight w:val="none"/>
        </w:rPr>
        <w:t>。投标人同意延长的，不得要求或者被允许修改其投标文件的实质性内容，但应当相应延长其投标保证金的有效期；投标人拒绝延长的，其投标无效，但投标人有权收回其投标保证金。</w:t>
      </w:r>
    </w:p>
    <w:p w14:paraId="1E796BF3">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highlight w:val="none"/>
          <w:lang w:val="en-US" w:eastAsia="zh-CN"/>
        </w:rPr>
        <w:t>绿色建筑与装配式</w:t>
      </w:r>
    </w:p>
    <w:p w14:paraId="3FC075F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spacing w:val="0"/>
          <w:sz w:val="24"/>
          <w:szCs w:val="24"/>
          <w:highlight w:val="none"/>
          <w:lang w:val="en-US" w:eastAsia="zh-CN"/>
        </w:rPr>
        <w:t>9.1根据韶关市人民政府《关于加快推进全市绿色建筑发展工作的通知》（韶府办明电〔2013〕277号）及《韶关市住建管理局关于贯彻落实〈广东省绿色建筑条例〉有关工作的通知》（韶市建字〔2021〕85号）等有关规定，本招标项目不纳入绿色建设实施范围。</w:t>
      </w:r>
    </w:p>
    <w:p w14:paraId="19A9458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19.2根据《韶关市人民政府办公厅关于大力发展装配式建筑的实施意见》（韶府办〔2019〕25号）等文件要求，本招标项目不纳入装配式建造建设实施范围。</w:t>
      </w:r>
    </w:p>
    <w:p w14:paraId="045B0319">
      <w:pPr>
        <w:keepNext w:val="0"/>
        <w:keepLines w:val="0"/>
        <w:pageBreakBefore w:val="0"/>
        <w:widowControl/>
        <w:kinsoku/>
        <w:wordWrap/>
        <w:overflowPunct/>
        <w:topLinePunct w:val="0"/>
        <w:bidi w:val="0"/>
        <w:adjustRightInd/>
        <w:snapToGrid/>
        <w:spacing w:line="40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投标保证金</w:t>
      </w:r>
    </w:p>
    <w:p w14:paraId="64D04C71">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.1投标人应按本投标人须知前附表所规定的数额和方式提交投标保证金，</w:t>
      </w:r>
      <w:r>
        <w:rPr>
          <w:rFonts w:hint="eastAsia" w:ascii="宋体" w:hAnsi="宋体" w:eastAsia="宋体" w:cs="宋体"/>
          <w:color w:val="auto"/>
          <w:sz w:val="24"/>
          <w:highlight w:val="none"/>
          <w:lang w:eastAsia="zh-CN"/>
        </w:rPr>
        <w:t>不按照</w:t>
      </w:r>
      <w:r>
        <w:rPr>
          <w:rFonts w:hint="eastAsia" w:ascii="宋体" w:hAnsi="宋体" w:eastAsia="宋体" w:cs="宋体"/>
          <w:color w:val="auto"/>
          <w:sz w:val="24"/>
          <w:highlight w:val="none"/>
        </w:rPr>
        <w:t>招标文件要求提交投标保证金</w:t>
      </w:r>
      <w:r>
        <w:rPr>
          <w:rFonts w:hint="eastAsia" w:ascii="宋体" w:hAnsi="宋体" w:eastAsia="宋体" w:cs="宋体"/>
          <w:color w:val="auto"/>
          <w:sz w:val="24"/>
          <w:highlight w:val="none"/>
          <w:lang w:eastAsia="zh-CN"/>
        </w:rPr>
        <w:t>的投标人</w:t>
      </w:r>
      <w:r>
        <w:rPr>
          <w:rFonts w:hint="eastAsia" w:ascii="宋体" w:hAnsi="宋体" w:eastAsia="宋体" w:cs="宋体"/>
          <w:color w:val="auto"/>
          <w:sz w:val="24"/>
          <w:highlight w:val="none"/>
        </w:rPr>
        <w:t>不得进入资格后审和评标；投标保证金有效期应当与投标有效期一致。</w:t>
      </w:r>
    </w:p>
    <w:p w14:paraId="7E64101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联合体投标的，应当以联合体各方或者联合体中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人的名义提交投标保证金。以联合体中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人名义提交的投标保证金，对联合体各成员具有约束力。</w:t>
      </w:r>
    </w:p>
    <w:p w14:paraId="5D81073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pacing w:val="0"/>
          <w:sz w:val="24"/>
          <w:szCs w:val="24"/>
          <w:highlight w:val="none"/>
        </w:rPr>
        <w:t>设有投标保证金的，</w:t>
      </w:r>
      <w:r>
        <w:rPr>
          <w:rFonts w:hint="eastAsia" w:ascii="宋体" w:hAnsi="宋体" w:eastAsia="宋体" w:cs="宋体"/>
          <w:color w:val="auto"/>
          <w:kern w:val="0"/>
          <w:sz w:val="24"/>
          <w:szCs w:val="24"/>
          <w:highlight w:val="none"/>
          <w:u w:val="none"/>
        </w:rPr>
        <w:t>招标人应当在中标通知书发出之日起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日内将投标保证金及银行同期存款利息退回中标候选人以外的投标人，在书面合同订立之日起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日内将投标保证金及银行同期存款利息退回中标人和其他中标候选人。</w:t>
      </w:r>
    </w:p>
    <w:p w14:paraId="280880FC">
      <w:pPr>
        <w:pStyle w:val="33"/>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有下列情形之一，招标人应在发生后5个工作日内全额退还投标人的投标保证金及银行同期存款利息：</w:t>
      </w:r>
    </w:p>
    <w:p w14:paraId="379BE6A0">
      <w:pPr>
        <w:pStyle w:val="33"/>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（1）招标终止</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招标失败需要重新招标；</w:t>
      </w:r>
    </w:p>
    <w:p w14:paraId="26DCA35F">
      <w:pPr>
        <w:pStyle w:val="33"/>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（2）投标人拒绝在投标有效期限终止之后延长投标有效期限。</w:t>
      </w:r>
    </w:p>
    <w:p w14:paraId="25F325C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有下列情形之一，招标人可以没收投标人的投标保证金：</w:t>
      </w:r>
    </w:p>
    <w:p w14:paraId="45C975E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在投标截止时间之后至投标有效期限终止期间撤回投标文件的；</w:t>
      </w:r>
    </w:p>
    <w:p w14:paraId="4E66EE4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中标人无正当理由放弃中标或未能在规定期限内提交履约担保或不与招标人签订承包合同或在签订合同时向招标人提出附加条件的；</w:t>
      </w:r>
    </w:p>
    <w:p w14:paraId="7301A89A">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由于违法行为被取消投标资格、中标无效的；</w:t>
      </w:r>
    </w:p>
    <w:p w14:paraId="3C41860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法律、法规、规章或招标文件规定可以没收投标保证金的其他情形。</w:t>
      </w:r>
    </w:p>
    <w:p w14:paraId="425FAA5B">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.投标文件提交</w:t>
      </w:r>
    </w:p>
    <w:p w14:paraId="0BE4C032">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应按照投标人须知前附表要求，在投标文件提交截止时间前，投标人通过全国公共资源交易平台（广东省·韶关市）（https://ygp.gdzwfw.gov.cn/ggzy-portal/#/440200/index）提交已加密投标文件。逾期提交的电子投标文件，全国公共资源交易平台（广东省·韶关市）（https://ygp.gdzwfw.gov.cn/ggzy-portal/#/440200/index）将予以拒收。</w:t>
      </w:r>
    </w:p>
    <w:p w14:paraId="1B919723">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在建设工程交易系统上传加盖了电子印章的投标文件、录入相关信息及标书页码信息，并提交投标标书。提交标书为已加密投标文件。具体操作参照《韶关市公共资源一体化平台——建设工程交易投标人操作指南（电子评标）V1.6》。本项目评标采用全流程电子化进行招标投标（投标人应根据韶关市公共资源建设工程交易系统－招标人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1C779F45">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833FE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highlight w:val="none"/>
          <w:lang w:val="en-US" w:eastAsia="zh-CN"/>
        </w:rPr>
        <w:t>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p w14:paraId="4B9CC06C">
      <w:pPr>
        <w:pStyle w:val="5"/>
        <w:bidi w:val="0"/>
        <w:rPr>
          <w:rFonts w:hint="eastAsia" w:ascii="宋体" w:hAnsi="宋体" w:eastAsia="宋体" w:cs="宋体"/>
          <w:color w:val="auto"/>
        </w:rPr>
      </w:pPr>
      <w:bookmarkStart w:id="24" w:name="_Toc1413"/>
      <w:r>
        <w:rPr>
          <w:rFonts w:hint="eastAsia" w:ascii="宋体" w:hAnsi="宋体" w:eastAsia="宋体" w:cs="宋体"/>
          <w:color w:val="auto"/>
        </w:rPr>
        <w:t>（</w:t>
      </w:r>
      <w:r>
        <w:rPr>
          <w:rFonts w:hint="eastAsia" w:ascii="宋体" w:hAnsi="宋体" w:eastAsia="宋体" w:cs="宋体"/>
          <w:color w:val="auto"/>
          <w:lang w:eastAsia="zh-CN"/>
        </w:rPr>
        <w:t>五</w:t>
      </w:r>
      <w:r>
        <w:rPr>
          <w:rFonts w:hint="eastAsia" w:ascii="宋体" w:hAnsi="宋体" w:eastAsia="宋体" w:cs="宋体"/>
          <w:color w:val="auto"/>
        </w:rPr>
        <w:t>）开标规定</w:t>
      </w:r>
      <w:bookmarkEnd w:id="24"/>
    </w:p>
    <w:p w14:paraId="42265933">
      <w:pPr>
        <w:pStyle w:val="13"/>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22.</w:t>
      </w:r>
      <w:r>
        <w:rPr>
          <w:rFonts w:hint="eastAsia" w:ascii="宋体" w:hAnsi="宋体" w:eastAsia="宋体" w:cs="宋体"/>
          <w:b/>
          <w:color w:val="auto"/>
          <w:sz w:val="24"/>
          <w:highlight w:val="none"/>
        </w:rPr>
        <w:t>开标</w:t>
      </w:r>
    </w:p>
    <w:p w14:paraId="3A0B0A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.1招标人邀请所有正确获取招标文件、电子投标、缴纳投标保证的投标人参加开标，投标人可自主决定是否参加。投标人可</w:t>
      </w:r>
      <w:r>
        <w:rPr>
          <w:rFonts w:hint="eastAsia" w:ascii="宋体" w:hAnsi="宋体" w:eastAsia="宋体" w:cs="宋体"/>
          <w:color w:val="auto"/>
          <w:sz w:val="24"/>
          <w:highlight w:val="none"/>
          <w:lang w:eastAsia="zh-CN"/>
        </w:rPr>
        <w:t>登录</w:t>
      </w:r>
      <w:r>
        <w:rPr>
          <w:rFonts w:hint="eastAsia" w:ascii="宋体" w:hAnsi="宋体" w:eastAsia="宋体" w:cs="宋体"/>
          <w:color w:val="auto"/>
          <w:sz w:val="24"/>
          <w:highlight w:val="none"/>
        </w:rPr>
        <w:t>交易平台观看开标实况、提出异议或进行澄清、确认等操作（具体按招标文件和系统操作手册为准）。投标人不参加开标的，视其默认开标结果，以及放弃在开标期间见证、监督、投诉、申辩的权利。</w:t>
      </w:r>
    </w:p>
    <w:p w14:paraId="3231B7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22.1.1开标时间和地点：见本章第二节“重要事项时间地点一览表”。</w:t>
      </w:r>
    </w:p>
    <w:p w14:paraId="6F55AECE">
      <w:pPr>
        <w:keepNext w:val="0"/>
        <w:keepLines w:val="0"/>
        <w:pageBreakBefore w:val="0"/>
        <w:widowControl w:val="0"/>
        <w:kinsoku w:val="0"/>
        <w:wordWrap w:val="0"/>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22.1.2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28B4A72E">
      <w:pPr>
        <w:keepNext w:val="0"/>
        <w:keepLines w:val="0"/>
        <w:pageBreakBefore w:val="0"/>
        <w:widowControl w:val="0"/>
        <w:kinsoku w:val="0"/>
        <w:wordWrap w:val="0"/>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22.1.3本项目实行全流程电子化招标投标，投标人在交易平台按要求上传加盖电子印章并经加密的电子投标文件，并在交易平台录入准确的页码信息即可完成在线投标。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5ACB4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trike w:val="0"/>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lang w:eastAsia="zh-CN"/>
        </w:rPr>
        <w:t>本项目的开标起始时间即为投标人递交</w:t>
      </w:r>
      <w:r>
        <w:rPr>
          <w:rFonts w:hint="eastAsia" w:ascii="宋体" w:hAnsi="宋体" w:eastAsia="宋体" w:cs="宋体"/>
          <w:b w:val="0"/>
          <w:bCs w:val="0"/>
          <w:color w:val="auto"/>
          <w:sz w:val="24"/>
          <w:szCs w:val="24"/>
          <w:highlight w:val="none"/>
          <w:lang w:val="en-US" w:eastAsia="zh-CN"/>
        </w:rPr>
        <w:t>投标文件的截止时间。投标人使用全国互认CA的，必须由投标人自行解密外，投标人电子</w:t>
      </w:r>
      <w:r>
        <w:rPr>
          <w:rFonts w:hint="eastAsia" w:ascii="宋体" w:hAnsi="宋体" w:eastAsia="宋体" w:cs="宋体"/>
          <w:color w:val="auto"/>
          <w:sz w:val="24"/>
          <w:szCs w:val="24"/>
          <w:highlight w:val="none"/>
          <w:lang w:val="en-US" w:eastAsia="zh-CN"/>
        </w:rPr>
        <w:t>投标信息由招标代理进行解密，建设工程交易系统自动生成《投标保证缴纳情况表》和《开标一览表》。</w:t>
      </w:r>
    </w:p>
    <w:p w14:paraId="162C0C1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color w:val="auto"/>
          <w:sz w:val="24"/>
          <w:highlight w:val="none"/>
        </w:rPr>
        <w:t>开标由招标人或其招标代理机构主持，其程序如下：</w:t>
      </w:r>
    </w:p>
    <w:p w14:paraId="1E04A7FA">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（1）主持人（招标人代表或招标人授权的招标代理机构人员）宣读开标纪律。</w:t>
      </w:r>
    </w:p>
    <w:p w14:paraId="5D4F8775">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（2）主持人宣布唱标人、记录人、见证人、监督人等有关人员姓名。</w:t>
      </w:r>
    </w:p>
    <w:p w14:paraId="621FF29A">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（3）招标代理机构会同交易场所工作人员对投标人的电子投标信息进行解密，建设工程交易系统自动生成《投标保证缴纳情况表》和《开标一览表》。</w:t>
      </w:r>
    </w:p>
    <w:p w14:paraId="39FC9CAE">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EEA78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lang w:val="en-US" w:eastAsia="zh-CN"/>
        </w:rPr>
        <w:t>开标会上，符合要求的</w:t>
      </w:r>
      <w:r>
        <w:rPr>
          <w:rFonts w:hint="eastAsia" w:ascii="宋体" w:hAnsi="宋体" w:eastAsia="宋体" w:cs="宋体"/>
          <w:color w:val="auto"/>
          <w:sz w:val="24"/>
          <w:szCs w:val="24"/>
          <w:highlight w:val="none"/>
        </w:rPr>
        <w:t>投标人少于3</w:t>
      </w:r>
      <w:r>
        <w:rPr>
          <w:rFonts w:hint="eastAsia" w:ascii="宋体" w:hAnsi="宋体" w:eastAsia="宋体" w:cs="宋体"/>
          <w:color w:val="auto"/>
          <w:sz w:val="24"/>
          <w:szCs w:val="24"/>
          <w:highlight w:val="none"/>
          <w:lang w:eastAsia="zh-CN"/>
        </w:rPr>
        <w:t>家时</w:t>
      </w:r>
      <w:r>
        <w:rPr>
          <w:rFonts w:hint="eastAsia" w:ascii="宋体" w:hAnsi="宋体" w:eastAsia="宋体" w:cs="宋体"/>
          <w:color w:val="auto"/>
          <w:sz w:val="24"/>
          <w:szCs w:val="24"/>
          <w:highlight w:val="none"/>
        </w:rPr>
        <w:t>，该项目招标失败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招标人应依法重新招标或</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5331F17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763BD4ED">
      <w:pPr>
        <w:pStyle w:val="5"/>
        <w:bidi w:val="0"/>
        <w:rPr>
          <w:rFonts w:hint="eastAsia" w:ascii="宋体" w:hAnsi="宋体" w:eastAsia="宋体" w:cs="宋体"/>
          <w:b/>
          <w:color w:val="auto"/>
          <w:sz w:val="24"/>
          <w:highlight w:val="none"/>
        </w:rPr>
      </w:pPr>
      <w:bookmarkStart w:id="25" w:name="_Toc26799"/>
      <w:r>
        <w:rPr>
          <w:rFonts w:hint="eastAsia" w:ascii="宋体" w:hAnsi="宋体" w:eastAsia="宋体" w:cs="宋体"/>
          <w:color w:val="auto"/>
        </w:rPr>
        <w:t>（</w:t>
      </w:r>
      <w:r>
        <w:rPr>
          <w:rFonts w:hint="eastAsia" w:ascii="宋体" w:hAnsi="宋体" w:eastAsia="宋体" w:cs="宋体"/>
          <w:color w:val="auto"/>
          <w:lang w:eastAsia="zh-CN"/>
        </w:rPr>
        <w:t>六</w:t>
      </w:r>
      <w:r>
        <w:rPr>
          <w:rFonts w:hint="eastAsia" w:ascii="宋体" w:hAnsi="宋体" w:eastAsia="宋体" w:cs="宋体"/>
          <w:color w:val="auto"/>
        </w:rPr>
        <w:t>）评标</w:t>
      </w:r>
      <w:r>
        <w:rPr>
          <w:rFonts w:hint="eastAsia" w:ascii="宋体" w:hAnsi="宋体" w:eastAsia="宋体" w:cs="宋体"/>
          <w:color w:val="auto"/>
          <w:lang w:eastAsia="zh-CN"/>
        </w:rPr>
        <w:t>规定</w:t>
      </w:r>
      <w:bookmarkEnd w:id="25"/>
    </w:p>
    <w:p w14:paraId="4B32677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评标委员会</w:t>
      </w:r>
    </w:p>
    <w:p w14:paraId="2C3E3B6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b w:val="0"/>
          <w:bCs w:val="0"/>
          <w:color w:val="auto"/>
          <w:sz w:val="24"/>
          <w:szCs w:val="24"/>
          <w:highlight w:val="none"/>
          <w:lang w:eastAsia="zh-CN"/>
        </w:rPr>
        <w:t>本项目采用韶关市公共资源交易中心交易系统电子评标。</w:t>
      </w:r>
      <w:r>
        <w:rPr>
          <w:rFonts w:hint="eastAsia" w:ascii="宋体" w:hAnsi="宋体" w:eastAsia="宋体" w:cs="宋体"/>
          <w:color w:val="auto"/>
          <w:sz w:val="24"/>
          <w:highlight w:val="none"/>
        </w:rPr>
        <w:t>评标委员会由招标人依法组建，</w:t>
      </w:r>
      <w:r>
        <w:rPr>
          <w:rFonts w:hint="eastAsia" w:ascii="宋体" w:hAnsi="宋体" w:eastAsia="宋体" w:cs="宋体"/>
          <w:color w:val="auto"/>
          <w:sz w:val="24"/>
          <w:highlight w:val="none"/>
          <w:lang w:eastAsia="zh-CN"/>
        </w:rPr>
        <w:t>其中，</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，招标人应</w:t>
      </w:r>
      <w:r>
        <w:rPr>
          <w:rFonts w:hint="eastAsia" w:ascii="宋体" w:hAnsi="宋体" w:eastAsia="宋体" w:cs="宋体"/>
          <w:color w:val="auto"/>
          <w:kern w:val="0"/>
          <w:sz w:val="24"/>
          <w:szCs w:val="24"/>
          <w:highlight w:val="none"/>
        </w:rPr>
        <w:t>合理确定主场、副场评标专家专业类别及专家人数，依法组建</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kern w:val="0"/>
          <w:sz w:val="24"/>
          <w:szCs w:val="24"/>
          <w:highlight w:val="none"/>
        </w:rPr>
        <w:t>，并在规定时间内抽取专家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rPr>
        <w:t>其组成人员数见本投标人须知前附表。委员会成员按有关规定从广东省综合评标评审专家库</w:t>
      </w:r>
      <w:r>
        <w:rPr>
          <w:rFonts w:hint="eastAsia" w:ascii="宋体" w:hAnsi="宋体" w:eastAsia="宋体" w:cs="宋体"/>
          <w:snapToGrid w:val="0"/>
          <w:color w:val="auto"/>
          <w:kern w:val="0"/>
          <w:sz w:val="24"/>
          <w:szCs w:val="24"/>
          <w:highlight w:val="none"/>
          <w:lang w:eastAsia="zh-CN"/>
        </w:rPr>
        <w:t>—韶关区域中</w:t>
      </w:r>
      <w:r>
        <w:rPr>
          <w:rFonts w:hint="eastAsia" w:ascii="宋体" w:hAnsi="宋体" w:eastAsia="宋体" w:cs="宋体"/>
          <w:color w:val="auto"/>
          <w:sz w:val="24"/>
          <w:highlight w:val="none"/>
        </w:rPr>
        <w:t>随机抽取，并从中推选出</w:t>
      </w:r>
      <w:r>
        <w:rPr>
          <w:rFonts w:hint="eastAsia" w:ascii="宋体" w:hAnsi="宋体" w:eastAsia="宋体" w:cs="宋体"/>
          <w:color w:val="auto"/>
          <w:sz w:val="24"/>
          <w:highlight w:val="none"/>
          <w:lang w:eastAsia="zh-CN"/>
        </w:rPr>
        <w:t>评标委员会组长</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组长</w:t>
      </w:r>
      <w:r>
        <w:rPr>
          <w:rFonts w:hint="eastAsia" w:ascii="宋体" w:hAnsi="宋体" w:eastAsia="宋体" w:cs="宋体"/>
          <w:color w:val="auto"/>
          <w:sz w:val="24"/>
          <w:highlight w:val="none"/>
        </w:rPr>
        <w:t>主持</w:t>
      </w: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工作。</w:t>
      </w:r>
    </w:p>
    <w:p w14:paraId="7987FFA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招标人可以派代表参加评标委员会，原则上以一人为限，该代表应为招标人的正式员工，且具备国家和省规定的评标专家条件和要求，但不得担任评标委员会负责人，不得接受评标报酬，不得以任何方式影响其他评标专家独立评审。</w:t>
      </w:r>
    </w:p>
    <w:p w14:paraId="6246A45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评标专家</w:t>
      </w:r>
      <w:r>
        <w:rPr>
          <w:rFonts w:hint="eastAsia" w:ascii="宋体" w:hAnsi="宋体" w:eastAsia="宋体" w:cs="宋体"/>
          <w:color w:val="auto"/>
          <w:sz w:val="24"/>
          <w:highlight w:val="none"/>
        </w:rPr>
        <w:t>应按时参加评标活动，自觉遵守工作纪律和服从现场管理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主场、副场各自负责本场所</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成员推举产生</w:t>
      </w:r>
      <w:r>
        <w:rPr>
          <w:rFonts w:hint="eastAsia" w:ascii="宋体" w:hAnsi="宋体" w:eastAsia="宋体" w:cs="宋体"/>
          <w:color w:val="auto"/>
          <w:sz w:val="24"/>
          <w:highlight w:val="none"/>
          <w:lang w:eastAsia="zh-CN"/>
        </w:rPr>
        <w:t>的评标委员会组长</w:t>
      </w:r>
      <w:r>
        <w:rPr>
          <w:rFonts w:hint="eastAsia" w:ascii="宋体" w:hAnsi="宋体" w:eastAsia="宋体" w:cs="宋体"/>
          <w:color w:val="auto"/>
          <w:sz w:val="24"/>
          <w:highlight w:val="none"/>
        </w:rPr>
        <w:t>组织</w:t>
      </w:r>
      <w:r>
        <w:rPr>
          <w:rFonts w:hint="eastAsia" w:ascii="宋体" w:hAnsi="宋体" w:eastAsia="宋体" w:cs="宋体"/>
          <w:color w:val="auto"/>
          <w:sz w:val="24"/>
          <w:highlight w:val="none"/>
          <w:lang w:eastAsia="zh-CN"/>
        </w:rPr>
        <w:t>各</w:t>
      </w:r>
      <w:r>
        <w:rPr>
          <w:rFonts w:hint="eastAsia" w:ascii="宋体" w:hAnsi="宋体" w:eastAsia="宋体" w:cs="宋体"/>
          <w:color w:val="auto"/>
          <w:sz w:val="24"/>
          <w:highlight w:val="none"/>
        </w:rPr>
        <w:t>成员协商讨论。在评标过程中需要进行讨论或者通过实名投票方式表决意见的，应当通过视频会议系统进行，并做好相关记录。</w:t>
      </w:r>
    </w:p>
    <w:p w14:paraId="1398D94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58E550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46CC86A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67AEB31A">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24.</w:t>
      </w:r>
      <w:r>
        <w:rPr>
          <w:rFonts w:hint="eastAsia" w:ascii="宋体" w:hAnsi="宋体" w:eastAsia="宋体" w:cs="宋体"/>
          <w:b/>
          <w:color w:val="auto"/>
          <w:sz w:val="24"/>
          <w:highlight w:val="none"/>
        </w:rPr>
        <w:t>评标过程的回避</w:t>
      </w:r>
    </w:p>
    <w:p w14:paraId="1EB050F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专家参加评标活动时实行主动回避制度。有下列情形之一的，应当主动提出回避，不得担任该招标项目的</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成员。</w:t>
      </w:r>
    </w:p>
    <w:p w14:paraId="4B1747E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（1）投标人或者投标人主要负责人的近亲属；</w:t>
      </w:r>
    </w:p>
    <w:p w14:paraId="25F9A71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（2）项目行政监督部门的人员；</w:t>
      </w:r>
    </w:p>
    <w:p w14:paraId="10DF352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（3）与投标人有其他社会关系或者经济利益关系，可能影响对投标公正评审的；</w:t>
      </w:r>
    </w:p>
    <w:p w14:paraId="795832D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（4）曾因在招标、评标以及其他与招标投标有关活动中从事违法行为而受过行政处罚或刑事处罚的。</w:t>
      </w:r>
    </w:p>
    <w:p w14:paraId="23A88A1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2491705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rPr>
        <w:t>有下列情形之一的，经招标人与公共资源交易中心审核确认后，</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kern w:val="0"/>
          <w:sz w:val="24"/>
          <w:highlight w:val="none"/>
        </w:rPr>
        <w:t>专家应按规定重新抽取。</w:t>
      </w:r>
    </w:p>
    <w:p w14:paraId="0B7E4DC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（1）已抽取的评标专家与评标的项目有利害关系，可能会妨碍公正评审；</w:t>
      </w:r>
    </w:p>
    <w:p w14:paraId="52AA34F1">
      <w:pPr>
        <w:keepNext w:val="0"/>
        <w:keepLines w:val="0"/>
        <w:pageBreakBefore w:val="0"/>
        <w:shd w:val="clear" w:color="auto" w:fill="auto"/>
        <w:kinsoku/>
        <w:wordWrap/>
        <w:overflowPunct/>
        <w:topLinePunct w:val="0"/>
        <w:bidi w:val="0"/>
        <w:adjustRightInd/>
        <w:snapToGrid/>
        <w:spacing w:line="340" w:lineRule="exact"/>
        <w:ind w:left="479" w:leftChars="228"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（2）由于原评标专家的违规行为，评标无效，评标活动需重新组织；</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（3）已抽取的评标专家未能参加评标活动或未能按时完成评标任务。</w:t>
      </w:r>
    </w:p>
    <w:p w14:paraId="1DB7B59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.评标过程的保密</w:t>
      </w:r>
    </w:p>
    <w:p w14:paraId="2C83608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.1开标后，直至授予中标人合同为止，凡属于对投标人文件的审查、澄清、评价和比较有关的资料及与中标候选人的推荐情况，与评标有关的其他任何情况均应严格保密。</w:t>
      </w:r>
    </w:p>
    <w:p w14:paraId="64A535A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.2在投标文件的评审和比较、中标候选人推荐以及授予合同的过程中，投标人向招标人和评标委员会施加影响的任何行为，都将会导致其投标被拒绝。</w:t>
      </w:r>
    </w:p>
    <w:p w14:paraId="31FC48A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.3中标人确定后，招标人不对未中标人就评标过程以及未能中标原因作出任何解释。未中标人不得向评标委员会组成人员或其他有关人员索问评标过程的情况和材料。</w:t>
      </w:r>
    </w:p>
    <w:p w14:paraId="67D5E73E">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评标办法（评标办法见本招标文件第三章）</w:t>
      </w:r>
    </w:p>
    <w:p w14:paraId="0A8582E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本工程评标办法由招标人按本投标人须知前附表的规定确定。</w:t>
      </w:r>
    </w:p>
    <w:p w14:paraId="21D1621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评标结果公示</w:t>
      </w:r>
    </w:p>
    <w:p w14:paraId="22E95F6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170746C">
      <w:pPr>
        <w:pStyle w:val="5"/>
        <w:bidi w:val="0"/>
        <w:rPr>
          <w:rFonts w:hint="eastAsia" w:ascii="宋体" w:hAnsi="宋体" w:eastAsia="宋体" w:cs="宋体"/>
          <w:color w:val="auto"/>
          <w:lang w:eastAsia="zh-CN"/>
        </w:rPr>
      </w:pPr>
      <w:bookmarkStart w:id="26" w:name="_Toc26223"/>
      <w:r>
        <w:rPr>
          <w:rFonts w:hint="eastAsia" w:ascii="宋体" w:hAnsi="宋体" w:eastAsia="宋体" w:cs="宋体"/>
          <w:color w:val="auto"/>
        </w:rPr>
        <w:t>（</w:t>
      </w:r>
      <w:r>
        <w:rPr>
          <w:rFonts w:hint="eastAsia" w:ascii="宋体" w:hAnsi="宋体" w:eastAsia="宋体" w:cs="宋体"/>
          <w:color w:val="auto"/>
          <w:lang w:eastAsia="zh-CN"/>
        </w:rPr>
        <w:t>七</w:t>
      </w:r>
      <w:r>
        <w:rPr>
          <w:rFonts w:hint="eastAsia" w:ascii="宋体" w:hAnsi="宋体" w:eastAsia="宋体" w:cs="宋体"/>
          <w:color w:val="auto"/>
        </w:rPr>
        <w:t>）定标</w:t>
      </w:r>
      <w:r>
        <w:rPr>
          <w:rFonts w:hint="eastAsia" w:ascii="宋体" w:hAnsi="宋体" w:eastAsia="宋体" w:cs="宋体"/>
          <w:color w:val="auto"/>
          <w:lang w:eastAsia="zh-CN"/>
        </w:rPr>
        <w:t>规定</w:t>
      </w:r>
      <w:bookmarkEnd w:id="26"/>
    </w:p>
    <w:p w14:paraId="076E588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p>
    <w:p w14:paraId="38A04D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u w:val="none"/>
        </w:rPr>
        <w:t>招标人</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自</w:t>
      </w:r>
      <w:r>
        <w:rPr>
          <w:rFonts w:hint="eastAsia" w:ascii="宋体" w:hAnsi="宋体" w:eastAsia="宋体" w:cs="宋体"/>
          <w:color w:val="auto"/>
          <w:sz w:val="24"/>
          <w:szCs w:val="24"/>
          <w:highlight w:val="none"/>
          <w:u w:val="none"/>
          <w:lang w:val="en-US" w:eastAsia="zh-CN"/>
        </w:rPr>
        <w:t>定标候选人</w:t>
      </w:r>
      <w:r>
        <w:rPr>
          <w:rFonts w:hint="eastAsia" w:ascii="宋体" w:hAnsi="宋体" w:eastAsia="宋体" w:cs="宋体"/>
          <w:color w:val="auto"/>
          <w:sz w:val="24"/>
          <w:szCs w:val="24"/>
          <w:highlight w:val="none"/>
          <w:u w:val="none"/>
        </w:rPr>
        <w:t>公示期满后</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个工作日内进入公共资源交易平台（与评标阶段公共资源交易平台相同）进行定标。定标会议全过程录音录像。招标人需要延期定标的，</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通过公共资源交易平台公布延期原因和定标时间。</w:t>
      </w:r>
    </w:p>
    <w:p w14:paraId="7B9C986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p>
    <w:p w14:paraId="33C77E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29.1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2580DD2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BB7509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30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w:t>
      </w:r>
      <w:r>
        <w:rPr>
          <w:rFonts w:hint="eastAsia" w:ascii="宋体" w:hAnsi="宋体" w:eastAsia="宋体" w:cs="宋体"/>
          <w:b/>
          <w:color w:val="auto"/>
          <w:sz w:val="24"/>
          <w:highlight w:val="none"/>
        </w:rPr>
        <w:t>标办法见本招标文件第三章）</w:t>
      </w:r>
    </w:p>
    <w:p w14:paraId="44DA202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本项目定标办法由招标人按本投标人须知前附表的规定确定（只能选定其中一种定标办法）。</w:t>
      </w:r>
    </w:p>
    <w:p w14:paraId="030ECEC5">
      <w:pPr>
        <w:pStyle w:val="7"/>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rPr>
      </w:pPr>
      <w:r>
        <w:rPr>
          <w:rFonts w:hint="eastAsia" w:ascii="宋体" w:hAnsi="宋体" w:eastAsia="宋体" w:cs="宋体"/>
          <w:b/>
          <w:bCs/>
          <w:color w:val="auto"/>
          <w:sz w:val="24"/>
          <w:highlight w:val="none"/>
          <w:lang w:val="en-US" w:eastAsia="zh-CN"/>
        </w:rPr>
        <w:t>31</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p>
    <w:p w14:paraId="3935D621">
      <w:pPr>
        <w:pStyle w:val="19"/>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单位主要负责人、行政监督部门。</w:t>
      </w:r>
    </w:p>
    <w:p w14:paraId="47807E32">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公示</w:t>
      </w:r>
    </w:p>
    <w:p w14:paraId="35B0AB6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w:t>
      </w:r>
      <w:r>
        <w:rPr>
          <w:rFonts w:hint="eastAsia" w:ascii="宋体" w:hAnsi="宋体" w:eastAsia="宋体" w:cs="宋体"/>
          <w:color w:val="auto"/>
          <w:sz w:val="24"/>
          <w:highlight w:val="none"/>
          <w:lang w:val="en-US" w:eastAsia="zh-CN"/>
        </w:rPr>
        <w:t>3日内</w:t>
      </w:r>
      <w:r>
        <w:rPr>
          <w:rFonts w:hint="eastAsia" w:ascii="宋体" w:hAnsi="宋体" w:eastAsia="宋体" w:cs="宋体"/>
          <w:strike w:val="0"/>
          <w:dstrike w:val="0"/>
          <w:color w:val="auto"/>
          <w:kern w:val="2"/>
          <w:sz w:val="24"/>
          <w:szCs w:val="24"/>
          <w:highlight w:val="none"/>
          <w:u w:val="none"/>
          <w:lang w:val="en-US" w:eastAsia="zh-CN" w:bidi="ar-SA"/>
        </w:rPr>
        <w:t>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4D382FDB">
      <w:pPr>
        <w:pStyle w:val="5"/>
        <w:bidi w:val="0"/>
        <w:rPr>
          <w:rFonts w:hint="eastAsia" w:ascii="宋体" w:hAnsi="宋体" w:eastAsia="宋体" w:cs="宋体"/>
          <w:b/>
          <w:color w:val="auto"/>
          <w:sz w:val="24"/>
          <w:highlight w:val="none"/>
        </w:rPr>
      </w:pPr>
      <w:bookmarkStart w:id="27" w:name="_Toc27875"/>
      <w:r>
        <w:rPr>
          <w:rFonts w:hint="eastAsia" w:ascii="宋体" w:hAnsi="宋体" w:eastAsia="宋体" w:cs="宋体"/>
          <w:color w:val="auto"/>
        </w:rPr>
        <w:t>（</w:t>
      </w:r>
      <w:r>
        <w:rPr>
          <w:rFonts w:hint="eastAsia" w:ascii="宋体" w:hAnsi="宋体" w:eastAsia="宋体" w:cs="宋体"/>
          <w:color w:val="auto"/>
          <w:lang w:eastAsia="zh-CN"/>
        </w:rPr>
        <w:t>八</w:t>
      </w:r>
      <w:r>
        <w:rPr>
          <w:rFonts w:hint="eastAsia" w:ascii="宋体" w:hAnsi="宋体" w:eastAsia="宋体" w:cs="宋体"/>
          <w:color w:val="auto"/>
        </w:rPr>
        <w:t>）中标确认</w:t>
      </w:r>
      <w:bookmarkEnd w:id="27"/>
    </w:p>
    <w:p w14:paraId="1F9E4E3C">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.中标人确定</w:t>
      </w:r>
    </w:p>
    <w:p w14:paraId="44435665">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.1中标人确定。</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标结果公示期满无异议的，招标人确认</w:t>
      </w:r>
      <w:r>
        <w:rPr>
          <w:rFonts w:hint="eastAsia" w:ascii="宋体" w:hAnsi="宋体" w:eastAsia="宋体" w:cs="宋体"/>
          <w:strike w:val="0"/>
          <w:dstrike w:val="0"/>
          <w:color w:val="auto"/>
          <w:sz w:val="24"/>
          <w:highlight w:val="none"/>
        </w:rPr>
        <w:t>排名第一的</w:t>
      </w:r>
      <w:r>
        <w:rPr>
          <w:rFonts w:hint="eastAsia" w:ascii="宋体" w:hAnsi="宋体" w:eastAsia="宋体" w:cs="宋体"/>
          <w:color w:val="auto"/>
          <w:sz w:val="24"/>
          <w:highlight w:val="none"/>
        </w:rPr>
        <w:t>中标候选人为中标人，中标人的投标报价即为中标价。</w:t>
      </w:r>
    </w:p>
    <w:p w14:paraId="2FE137A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中标人确定后，招标人应当</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7日</w:t>
      </w:r>
      <w:r>
        <w:rPr>
          <w:rFonts w:hint="eastAsia" w:ascii="宋体" w:hAnsi="宋体" w:eastAsia="宋体" w:cs="宋体"/>
          <w:color w:val="auto"/>
          <w:sz w:val="24"/>
          <w:szCs w:val="24"/>
          <w:highlight w:val="none"/>
          <w:u w:val="none"/>
        </w:rPr>
        <w:t>内</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eastAsia="zh-CN"/>
        </w:rPr>
        <w:t>线</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u w:val="none"/>
        </w:rPr>
        <w:t>加盖招标人单位</w:t>
      </w:r>
      <w:r>
        <w:rPr>
          <w:rFonts w:hint="eastAsia" w:ascii="宋体" w:hAnsi="宋体" w:eastAsia="宋体" w:cs="宋体"/>
          <w:color w:val="auto"/>
          <w:sz w:val="24"/>
          <w:szCs w:val="24"/>
          <w:highlight w:val="none"/>
          <w:u w:val="none"/>
          <w:lang w:eastAsia="zh-CN"/>
        </w:rPr>
        <w:t>电子签</w:t>
      </w:r>
      <w:r>
        <w:rPr>
          <w:rFonts w:hint="eastAsia" w:ascii="宋体" w:hAnsi="宋体" w:eastAsia="宋体" w:cs="宋体"/>
          <w:color w:val="auto"/>
          <w:sz w:val="24"/>
          <w:szCs w:val="24"/>
          <w:highlight w:val="none"/>
          <w:u w:val="none"/>
        </w:rPr>
        <w:t>章的中标通知书</w:t>
      </w:r>
      <w:r>
        <w:rPr>
          <w:rFonts w:hint="eastAsia" w:ascii="宋体" w:hAnsi="宋体" w:eastAsia="宋体" w:cs="宋体"/>
          <w:color w:val="auto"/>
          <w:sz w:val="24"/>
          <w:szCs w:val="24"/>
          <w:highlight w:val="none"/>
          <w:u w:val="none"/>
          <w:lang w:eastAsia="zh-CN"/>
        </w:rPr>
        <w:t>并</w:t>
      </w:r>
      <w:r>
        <w:rPr>
          <w:rFonts w:hint="eastAsia" w:ascii="宋体" w:hAnsi="宋体" w:eastAsia="宋体" w:cs="宋体"/>
          <w:color w:val="auto"/>
          <w:sz w:val="24"/>
          <w:szCs w:val="24"/>
          <w:highlight w:val="none"/>
          <w:u w:val="none"/>
        </w:rPr>
        <w:t>发放</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rPr>
        <w:t>中标人及各相关单位</w:t>
      </w:r>
      <w:r>
        <w:rPr>
          <w:rFonts w:hint="eastAsia" w:ascii="宋体" w:hAnsi="宋体" w:eastAsia="宋体" w:cs="宋体"/>
          <w:color w:val="auto"/>
          <w:sz w:val="24"/>
          <w:highlight w:val="none"/>
        </w:rPr>
        <w:t>。招标人最迟应当在投标有效期届满30日前发出中标通知书，否则，应当按照本投标人须知投标有效期的规定延长投标有效期。</w:t>
      </w:r>
    </w:p>
    <w:p w14:paraId="27001D85">
      <w:pPr>
        <w:pStyle w:val="34"/>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2"/>
          <w:highlight w:val="none"/>
          <w:u w:val="none"/>
        </w:rPr>
      </w:pPr>
      <w:r>
        <w:rPr>
          <w:rFonts w:hint="eastAsia" w:ascii="宋体" w:hAnsi="宋体" w:eastAsia="宋体" w:cs="宋体"/>
          <w:color w:val="auto"/>
          <w:kern w:val="2"/>
          <w:highlight w:val="none"/>
          <w:u w:val="none"/>
        </w:rPr>
        <w:t>3</w:t>
      </w:r>
      <w:r>
        <w:rPr>
          <w:rFonts w:hint="eastAsia" w:ascii="宋体" w:hAnsi="宋体" w:eastAsia="宋体" w:cs="宋体"/>
          <w:color w:val="auto"/>
          <w:kern w:val="2"/>
          <w:highlight w:val="none"/>
          <w:u w:val="none"/>
          <w:lang w:val="en-US" w:eastAsia="zh-CN"/>
        </w:rPr>
        <w:t>3</w:t>
      </w:r>
      <w:r>
        <w:rPr>
          <w:rFonts w:hint="eastAsia" w:ascii="宋体" w:hAnsi="宋体" w:eastAsia="宋体" w:cs="宋体"/>
          <w:color w:val="auto"/>
          <w:kern w:val="2"/>
          <w:highlight w:val="none"/>
          <w:u w:val="none"/>
        </w:rPr>
        <w:t>.3</w:t>
      </w:r>
      <w:r>
        <w:rPr>
          <w:rFonts w:hint="eastAsia" w:ascii="宋体" w:hAnsi="宋体" w:eastAsia="宋体" w:cs="宋体"/>
          <w:color w:val="auto"/>
          <w:sz w:val="24"/>
          <w:szCs w:val="24"/>
          <w:highlight w:val="none"/>
          <w:u w:val="none"/>
        </w:rPr>
        <w:t>招标人应当</w:t>
      </w:r>
      <w:r>
        <w:rPr>
          <w:rFonts w:hint="eastAsia" w:ascii="宋体" w:hAnsi="宋体" w:eastAsia="宋体" w:cs="宋体"/>
          <w:i w:val="0"/>
          <w:color w:val="auto"/>
          <w:kern w:val="0"/>
          <w:sz w:val="24"/>
          <w:szCs w:val="24"/>
          <w:highlight w:val="none"/>
          <w:u w:val="none"/>
          <w:lang w:val="en-US" w:eastAsia="zh-CN" w:bidi="ar"/>
        </w:rPr>
        <w:t>自中标通知书发出之日起15日内</w:t>
      </w:r>
      <w:r>
        <w:rPr>
          <w:rFonts w:hint="eastAsia" w:ascii="宋体" w:hAnsi="宋体" w:eastAsia="宋体" w:cs="宋体"/>
          <w:color w:val="auto"/>
          <w:spacing w:val="0"/>
          <w:sz w:val="24"/>
          <w:szCs w:val="24"/>
          <w:highlight w:val="none"/>
          <w:u w:val="none"/>
          <w:lang w:eastAsia="zh-CN"/>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pacing w:val="0"/>
          <w:sz w:val="24"/>
          <w:szCs w:val="24"/>
          <w:highlight w:val="none"/>
          <w:u w:val="none"/>
          <w:lang w:eastAsia="zh-CN"/>
        </w:rPr>
        <w:t>发布中标结果公示。</w:t>
      </w:r>
      <w:r>
        <w:rPr>
          <w:rFonts w:hint="eastAsia" w:ascii="宋体" w:hAnsi="宋体" w:eastAsia="宋体" w:cs="宋体"/>
          <w:color w:val="auto"/>
          <w:highlight w:val="none"/>
          <w:u w:val="none"/>
        </w:rPr>
        <w:t>招标人应当自确定中标人之日起15日内，</w:t>
      </w:r>
      <w:r>
        <w:rPr>
          <w:rFonts w:hint="eastAsia" w:ascii="宋体" w:hAnsi="宋体" w:eastAsia="宋体" w:cs="宋体"/>
          <w:color w:val="auto"/>
          <w:highlight w:val="none"/>
          <w:u w:val="none"/>
          <w:lang w:eastAsia="zh-CN"/>
        </w:rPr>
        <w:t>在线</w:t>
      </w:r>
      <w:r>
        <w:rPr>
          <w:rFonts w:hint="eastAsia" w:ascii="宋体" w:hAnsi="宋体" w:eastAsia="宋体" w:cs="宋体"/>
          <w:color w:val="auto"/>
          <w:highlight w:val="none"/>
          <w:u w:val="none"/>
        </w:rPr>
        <w:t>向有关</w:t>
      </w:r>
      <w:r>
        <w:rPr>
          <w:rFonts w:hint="eastAsia" w:ascii="宋体" w:hAnsi="宋体" w:eastAsia="宋体" w:cs="宋体"/>
          <w:color w:val="auto"/>
          <w:highlight w:val="none"/>
          <w:u w:val="none"/>
          <w:lang w:eastAsia="zh-CN"/>
        </w:rPr>
        <w:t>招标管理</w:t>
      </w:r>
      <w:r>
        <w:rPr>
          <w:rFonts w:hint="eastAsia" w:ascii="宋体" w:hAnsi="宋体" w:eastAsia="宋体" w:cs="宋体"/>
          <w:color w:val="auto"/>
          <w:highlight w:val="none"/>
          <w:u w:val="none"/>
        </w:rPr>
        <w:t>部门提交招标投标情况的书面报告。</w:t>
      </w:r>
    </w:p>
    <w:p w14:paraId="2355E6F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异议和投诉</w:t>
      </w:r>
    </w:p>
    <w:p w14:paraId="3DA7D64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投标人或者其他利害关系人对招标项目的</w:t>
      </w:r>
      <w:r>
        <w:rPr>
          <w:rFonts w:hint="eastAsia" w:ascii="宋体" w:hAnsi="宋体" w:eastAsia="宋体" w:cs="宋体"/>
          <w:color w:val="auto"/>
          <w:sz w:val="24"/>
          <w:highlight w:val="none"/>
          <w:lang w:eastAsia="zh-CN"/>
        </w:rPr>
        <w:t>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eastAsia="zh-CN"/>
        </w:rPr>
        <w:t>和中标</w:t>
      </w:r>
      <w:r>
        <w:rPr>
          <w:rFonts w:hint="eastAsia" w:ascii="宋体" w:hAnsi="宋体" w:eastAsia="宋体" w:cs="宋体"/>
          <w:color w:val="auto"/>
          <w:sz w:val="24"/>
          <w:highlight w:val="none"/>
        </w:rPr>
        <w:t>结果有异议的，应当在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sz w:val="24"/>
          <w:highlight w:val="none"/>
        </w:rPr>
        <w:t>公示期</w:t>
      </w:r>
      <w:r>
        <w:rPr>
          <w:rFonts w:hint="eastAsia" w:ascii="宋体" w:hAnsi="宋体" w:eastAsia="宋体" w:cs="宋体"/>
          <w:color w:val="auto"/>
          <w:sz w:val="24"/>
          <w:highlight w:val="none"/>
          <w:lang w:eastAsia="zh-CN"/>
        </w:rPr>
        <w:t>间按规定线上</w:t>
      </w:r>
      <w:r>
        <w:rPr>
          <w:rFonts w:hint="eastAsia" w:ascii="宋体" w:hAnsi="宋体" w:eastAsia="宋体" w:cs="宋体"/>
          <w:color w:val="auto"/>
          <w:sz w:val="24"/>
          <w:highlight w:val="none"/>
        </w:rPr>
        <w:t>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7585F389">
      <w:pPr>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0"/>
          <w:sz w:val="24"/>
          <w:szCs w:val="24"/>
          <w:highlight w:val="none"/>
        </w:rPr>
        <w:t>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kern w:val="0"/>
          <w:sz w:val="24"/>
          <w:szCs w:val="24"/>
          <w:highlight w:val="none"/>
        </w:rPr>
        <w:t>公示期间有关评标结果的异议成立的，招标人</w:t>
      </w:r>
      <w:r>
        <w:rPr>
          <w:rFonts w:hint="eastAsia" w:ascii="宋体" w:hAnsi="宋体" w:eastAsia="宋体" w:cs="宋体"/>
          <w:color w:val="auto"/>
          <w:kern w:val="0"/>
          <w:sz w:val="24"/>
          <w:szCs w:val="24"/>
          <w:highlight w:val="none"/>
          <w:lang w:eastAsia="zh-CN"/>
        </w:rPr>
        <w:t>原则上</w:t>
      </w:r>
      <w:r>
        <w:rPr>
          <w:rFonts w:hint="eastAsia" w:ascii="宋体" w:hAnsi="宋体" w:eastAsia="宋体" w:cs="宋体"/>
          <w:color w:val="auto"/>
          <w:kern w:val="0"/>
          <w:sz w:val="24"/>
          <w:szCs w:val="24"/>
          <w:highlight w:val="none"/>
        </w:rPr>
        <w:t>应当组织原评标委员会</w:t>
      </w:r>
      <w:r>
        <w:rPr>
          <w:rFonts w:hint="eastAsia" w:ascii="宋体" w:hAnsi="宋体" w:eastAsia="宋体" w:cs="宋体"/>
          <w:color w:val="auto"/>
          <w:kern w:val="0"/>
          <w:sz w:val="24"/>
          <w:szCs w:val="24"/>
          <w:highlight w:val="none"/>
          <w:lang w:eastAsia="zh-CN"/>
        </w:rPr>
        <w:t>和原定标委员会</w:t>
      </w:r>
      <w:r>
        <w:rPr>
          <w:rFonts w:hint="eastAsia" w:ascii="宋体" w:hAnsi="宋体" w:eastAsia="宋体" w:cs="宋体"/>
          <w:color w:val="auto"/>
          <w:kern w:val="0"/>
          <w:sz w:val="24"/>
          <w:szCs w:val="24"/>
          <w:highlight w:val="none"/>
        </w:rPr>
        <w:t>对有关的问题予以纠正，问题纠正后再公示</w:t>
      </w:r>
      <w:r>
        <w:rPr>
          <w:rFonts w:hint="eastAsia" w:ascii="宋体" w:hAnsi="宋体" w:eastAsia="宋体" w:cs="宋体"/>
          <w:color w:val="auto"/>
          <w:kern w:val="0"/>
          <w:sz w:val="24"/>
          <w:szCs w:val="24"/>
          <w:highlight w:val="none"/>
          <w:lang w:eastAsia="zh-CN"/>
        </w:rPr>
        <w:t>定标候选人和</w:t>
      </w:r>
      <w:r>
        <w:rPr>
          <w:rFonts w:hint="eastAsia" w:ascii="宋体" w:hAnsi="宋体" w:eastAsia="宋体" w:cs="宋体"/>
          <w:color w:val="auto"/>
          <w:kern w:val="0"/>
          <w:sz w:val="24"/>
          <w:szCs w:val="24"/>
          <w:highlight w:val="none"/>
        </w:rPr>
        <w:t>中标候选人。</w:t>
      </w:r>
    </w:p>
    <w:p w14:paraId="0B7CE4CB">
      <w:pPr>
        <w:pStyle w:val="19"/>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highlight w:val="none"/>
        </w:rPr>
        <w:t>投标人或其他利害关系人认为招标投标活动不符合法律、行政法规规定的，可以自知道或者应当知道之日起10日内</w:t>
      </w:r>
      <w:r>
        <w:rPr>
          <w:rFonts w:hint="eastAsia" w:ascii="宋体" w:hAnsi="宋体" w:eastAsia="宋体" w:cs="宋体"/>
          <w:color w:val="auto"/>
          <w:highlight w:val="none"/>
          <w:lang w:eastAsia="zh-CN"/>
        </w:rPr>
        <w:t>按规定线上</w:t>
      </w:r>
      <w:r>
        <w:rPr>
          <w:rFonts w:hint="eastAsia" w:ascii="宋体" w:hAnsi="宋体" w:eastAsia="宋体" w:cs="宋体"/>
          <w:color w:val="auto"/>
          <w:highlight w:val="none"/>
        </w:rPr>
        <w:t>向有关</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部门投诉。投诉应当有明确的请求和必要的证明材料。</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部门应当自收到投诉之日起30个工作日内作出书面处理决定。</w:t>
      </w:r>
    </w:p>
    <w:p w14:paraId="69FE146D">
      <w:pPr>
        <w:pStyle w:val="19"/>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2" w:firstLineChars="200"/>
        <w:jc w:val="both"/>
        <w:textAlignment w:val="auto"/>
        <w:outlineLvl w:val="9"/>
        <w:rPr>
          <w:rFonts w:hint="eastAsia" w:ascii="宋体" w:hAnsi="宋体" w:eastAsia="宋体" w:cs="宋体"/>
          <w:b/>
          <w:bCs/>
          <w:i/>
          <w:color w:val="auto"/>
          <w:highlight w:val="none"/>
        </w:rPr>
      </w:pPr>
      <w:bookmarkStart w:id="28" w:name="_Toc236550039"/>
      <w:r>
        <w:rPr>
          <w:rStyle w:val="27"/>
          <w:rFonts w:hint="eastAsia" w:ascii="宋体" w:hAnsi="宋体" w:eastAsia="宋体" w:cs="宋体"/>
          <w:b/>
          <w:bCs/>
          <w:i w:val="0"/>
          <w:color w:val="auto"/>
          <w:highlight w:val="none"/>
          <w:lang w:val="en-US" w:eastAsia="zh-CN"/>
        </w:rPr>
        <w:t>35.</w:t>
      </w:r>
      <w:r>
        <w:rPr>
          <w:rStyle w:val="27"/>
          <w:rFonts w:hint="eastAsia" w:ascii="宋体" w:hAnsi="宋体" w:eastAsia="宋体" w:cs="宋体"/>
          <w:b/>
          <w:bCs/>
          <w:i w:val="0"/>
          <w:color w:val="auto"/>
          <w:highlight w:val="none"/>
        </w:rPr>
        <w:t>废除授标</w:t>
      </w:r>
      <w:bookmarkEnd w:id="28"/>
      <w:r>
        <w:rPr>
          <w:rStyle w:val="27"/>
          <w:rFonts w:hint="eastAsia" w:ascii="宋体" w:hAnsi="宋体" w:eastAsia="宋体" w:cs="宋体"/>
          <w:b/>
          <w:bCs/>
          <w:i w:val="0"/>
          <w:color w:val="auto"/>
          <w:highlight w:val="none"/>
        </w:rPr>
        <w:t>及授标</w:t>
      </w:r>
    </w:p>
    <w:p w14:paraId="22975AA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highlight w:val="none"/>
        </w:rPr>
        <w:t>：</w:t>
      </w:r>
    </w:p>
    <w:p w14:paraId="3A5E56C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（1）以他人名义投标或者以其他方式弄虚作假骗取中标的；</w:t>
      </w:r>
    </w:p>
    <w:p w14:paraId="3A1082E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（2）与其他投标人串通投标或以行贿的手段谋取中标的；</w:t>
      </w:r>
    </w:p>
    <w:p w14:paraId="4ECE5E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）不是从本投标企业基本账户</w:t>
      </w:r>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w:t>
      </w:r>
      <w:r>
        <w:rPr>
          <w:rFonts w:hint="eastAsia" w:ascii="宋体" w:hAnsi="宋体" w:eastAsia="宋体" w:cs="宋体"/>
          <w:color w:val="auto"/>
          <w:sz w:val="24"/>
          <w:highlight w:val="none"/>
          <w:lang w:eastAsia="zh-CN"/>
        </w:rPr>
        <w:t>或以虚假方式提交投标保证金保函（保单）</w:t>
      </w:r>
      <w:r>
        <w:rPr>
          <w:rFonts w:hint="eastAsia" w:ascii="宋体" w:hAnsi="宋体" w:eastAsia="宋体" w:cs="宋体"/>
          <w:color w:val="auto"/>
          <w:sz w:val="24"/>
          <w:highlight w:val="none"/>
        </w:rPr>
        <w:t>的；</w:t>
      </w:r>
    </w:p>
    <w:p w14:paraId="42D2300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于投标有效期终止之前撤回投标文件，或者排名第一的中标候选人放弃中标资格的；</w:t>
      </w:r>
    </w:p>
    <w:p w14:paraId="1C640A4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）因中标人过错而未能按照规定与招标人签订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承包合同或中标人因不可抗力提出不能履行合同的；</w:t>
      </w:r>
    </w:p>
    <w:p w14:paraId="0BA9578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）因中标人过错而未能按照招标文件要求向招标人提交履约</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保的；</w:t>
      </w:r>
    </w:p>
    <w:p w14:paraId="22A6B18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lang w:val="en-US" w:eastAsia="zh-CN"/>
        </w:rPr>
        <w:t>中标单位拟派的项目负责人从投标截止时间起在其他建设工程担任项目负责人；</w:t>
      </w:r>
    </w:p>
    <w:p w14:paraId="3DF6C69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中标人被有关部门查实存在影响中标结果的违法行为，不符合中标条件的</w:t>
      </w:r>
      <w:r>
        <w:rPr>
          <w:rFonts w:hint="eastAsia" w:ascii="宋体" w:hAnsi="宋体" w:eastAsia="宋体" w:cs="宋体"/>
          <w:color w:val="auto"/>
          <w:sz w:val="24"/>
          <w:highlight w:val="none"/>
          <w:lang w:val="en-US" w:eastAsia="zh-CN"/>
        </w:rPr>
        <w:t>；</w:t>
      </w:r>
    </w:p>
    <w:p w14:paraId="4B2B8C9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人在参加本项目投标时有本企业投标承诺书所列被依法限制或暂停承揽业务</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停业的处罚的；</w:t>
      </w:r>
    </w:p>
    <w:p w14:paraId="6527364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）招标文件明确规定可以废除授标的其他情形。</w:t>
      </w:r>
    </w:p>
    <w:p w14:paraId="3B9FFCC0">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.2</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highlight w:val="none"/>
          <w:lang w:eastAsia="zh-CN"/>
        </w:rPr>
        <w:t>被</w:t>
      </w:r>
      <w:r>
        <w:rPr>
          <w:rFonts w:hint="eastAsia" w:ascii="宋体" w:hAnsi="宋体" w:eastAsia="宋体" w:cs="宋体"/>
          <w:color w:val="auto"/>
          <w:sz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highlight w:val="none"/>
        </w:rPr>
        <w:t>或报原项目审批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3F8C54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.3招标人有下列情形之一的，应依法承担相应的责任：</w:t>
      </w:r>
    </w:p>
    <w:p w14:paraId="772B66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（1）无正当理由不发出中标通知书的</w:t>
      </w:r>
      <w:r>
        <w:rPr>
          <w:rFonts w:hint="eastAsia" w:ascii="宋体" w:hAnsi="宋体" w:eastAsia="宋体" w:cs="宋体"/>
          <w:color w:val="auto"/>
          <w:sz w:val="24"/>
          <w:highlight w:val="none"/>
          <w:lang w:eastAsia="zh-CN"/>
        </w:rPr>
        <w:t>；</w:t>
      </w:r>
    </w:p>
    <w:p w14:paraId="780A0B6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（2）招标人不按照规定确定中标人的；</w:t>
      </w:r>
    </w:p>
    <w:p w14:paraId="5F8CF70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（3）中标通知书发出后无正当理由改变中标结果的；</w:t>
      </w:r>
    </w:p>
    <w:p w14:paraId="6B82655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（4）无正当理由不与中标人签订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承包合同的；</w:t>
      </w:r>
    </w:p>
    <w:p w14:paraId="64B61F6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4"/>
          <w:highlight w:val="none"/>
        </w:rPr>
        <w:t>（5）在签订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承包合同时向中标人提出附加条件或者更改合同实质性内容的。</w:t>
      </w:r>
    </w:p>
    <w:p w14:paraId="3E531947">
      <w:pPr>
        <w:pStyle w:val="5"/>
        <w:bidi w:val="0"/>
        <w:rPr>
          <w:rFonts w:hint="eastAsia" w:ascii="宋体" w:hAnsi="宋体" w:eastAsia="宋体" w:cs="宋体"/>
          <w:color w:val="auto"/>
          <w:lang w:val="en-US" w:eastAsia="zh-CN"/>
        </w:rPr>
      </w:pPr>
      <w:bookmarkStart w:id="29" w:name="_Toc14875"/>
      <w:r>
        <w:rPr>
          <w:rFonts w:hint="eastAsia" w:ascii="宋体" w:hAnsi="宋体" w:eastAsia="宋体" w:cs="宋体"/>
          <w:color w:val="auto"/>
          <w:lang w:eastAsia="zh-CN"/>
        </w:rPr>
        <w:t>（</w:t>
      </w:r>
      <w:r>
        <w:rPr>
          <w:rFonts w:hint="eastAsia" w:ascii="宋体" w:hAnsi="宋体" w:eastAsia="宋体" w:cs="宋体"/>
          <w:color w:val="auto"/>
          <w:lang w:val="en-US" w:eastAsia="zh-CN"/>
        </w:rPr>
        <w:t>九</w:t>
      </w:r>
      <w:r>
        <w:rPr>
          <w:rFonts w:hint="eastAsia" w:ascii="宋体" w:hAnsi="宋体" w:eastAsia="宋体" w:cs="宋体"/>
          <w:color w:val="auto"/>
          <w:lang w:eastAsia="zh-CN"/>
        </w:rPr>
        <w:t>）</w:t>
      </w:r>
      <w:r>
        <w:rPr>
          <w:rFonts w:hint="eastAsia" w:ascii="宋体" w:hAnsi="宋体" w:eastAsia="宋体" w:cs="宋体"/>
          <w:color w:val="auto"/>
          <w:lang w:val="en-US" w:eastAsia="zh-CN"/>
        </w:rPr>
        <w:t>合同授予</w:t>
      </w:r>
      <w:bookmarkEnd w:id="29"/>
    </w:p>
    <w:p w14:paraId="6249ACB2">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36合同授予</w:t>
      </w:r>
    </w:p>
    <w:p w14:paraId="6D72AFC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.1本工程的施工承包合同将授予按本投标人须知确定的中标人。</w:t>
      </w:r>
    </w:p>
    <w:p w14:paraId="41DD49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招标人和中标人应当在投标有效期内并自中标通知书发出之日起30日内，按照招标文件和中标人的投标文件订立施工承包合同</w:t>
      </w:r>
      <w:r>
        <w:rPr>
          <w:rFonts w:hint="eastAsia" w:ascii="宋体" w:hAnsi="宋体" w:eastAsia="宋体" w:cs="宋体"/>
          <w:b w:val="0"/>
          <w:bCs w:val="0"/>
          <w:color w:val="auto"/>
          <w:spacing w:val="0"/>
          <w:sz w:val="24"/>
          <w:szCs w:val="24"/>
          <w:highlight w:val="none"/>
          <w:u w:val="none" w:color="auto"/>
        </w:rPr>
        <w:t>，中标人的投标报价为合同价；合同的标的、价款、质量、履行期限等主要条款应当与招标文件和中标人的投标文件的内容一致。</w:t>
      </w:r>
      <w:r>
        <w:rPr>
          <w:rFonts w:hint="eastAsia" w:ascii="宋体" w:hAnsi="宋体" w:eastAsia="宋体" w:cs="宋体"/>
          <w:color w:val="auto"/>
          <w:sz w:val="24"/>
          <w:szCs w:val="24"/>
          <w:highlight w:val="none"/>
          <w:lang w:val="en-US" w:eastAsia="zh-CN"/>
        </w:rPr>
        <w:t>签订合同必须以招标人发布招标项目招标文件时的合同文本为蓝本，不得另行采用未经发布的合同文本签订本工程</w:t>
      </w:r>
      <w:r>
        <w:rPr>
          <w:rFonts w:hint="eastAsia" w:ascii="宋体" w:hAnsi="宋体" w:eastAsia="宋体" w:cs="宋体"/>
          <w:color w:val="auto"/>
          <w:sz w:val="24"/>
          <w:highlight w:val="none"/>
          <w:lang w:eastAsia="zh-CN"/>
        </w:rPr>
        <w:t>施工承包合同</w:t>
      </w:r>
      <w:r>
        <w:rPr>
          <w:rFonts w:hint="eastAsia" w:ascii="宋体" w:hAnsi="宋体" w:eastAsia="宋体" w:cs="宋体"/>
          <w:color w:val="auto"/>
          <w:sz w:val="24"/>
          <w:szCs w:val="24"/>
          <w:highlight w:val="none"/>
          <w:lang w:val="en-US" w:eastAsia="zh-CN"/>
        </w:rPr>
        <w:t>。同时，</w:t>
      </w:r>
      <w:r>
        <w:rPr>
          <w:rFonts w:hint="eastAsia" w:ascii="宋体" w:hAnsi="宋体" w:eastAsia="宋体" w:cs="宋体"/>
          <w:b w:val="0"/>
          <w:bCs w:val="0"/>
          <w:color w:val="auto"/>
          <w:spacing w:val="0"/>
          <w:sz w:val="24"/>
          <w:szCs w:val="24"/>
          <w:highlight w:val="none"/>
          <w:u w:val="none" w:color="auto"/>
        </w:rPr>
        <w:t>招标人和中标人不得另行订立背离招标文件、投标文件实质性内容的其他协议。</w:t>
      </w:r>
    </w:p>
    <w:p w14:paraId="23C645B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.3招标人如不按本投标人须知第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款的规定与中标人</w:t>
      </w:r>
      <w:r>
        <w:rPr>
          <w:rFonts w:hint="eastAsia" w:ascii="宋体" w:hAnsi="宋体" w:eastAsia="宋体" w:cs="宋体"/>
          <w:b w:val="0"/>
          <w:bCs w:val="0"/>
          <w:color w:val="auto"/>
          <w:spacing w:val="0"/>
          <w:sz w:val="24"/>
          <w:szCs w:val="24"/>
          <w:highlight w:val="none"/>
          <w:u w:val="none" w:color="auto"/>
        </w:rPr>
        <w:t>订立</w:t>
      </w:r>
      <w:r>
        <w:rPr>
          <w:rFonts w:hint="eastAsia" w:ascii="宋体" w:hAnsi="宋体" w:eastAsia="宋体" w:cs="宋体"/>
          <w:color w:val="auto"/>
          <w:sz w:val="24"/>
          <w:highlight w:val="none"/>
        </w:rPr>
        <w:t>施工承包合同，或者招标人、中标人订立背离合同实质性内容的其他协议，应改正并处以投标保证金额罚款。</w:t>
      </w:r>
    </w:p>
    <w:p w14:paraId="2E95AC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.4中标人如不按本投标人须知第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款的规定与招标人订立施工承包合同，则招标人将废除授标，投标保证金不予退还，给招标人造成的损失超过投标保证金数额的，还应当对超过部分予以赔偿，同时依法承担相应法律责任。</w:t>
      </w:r>
    </w:p>
    <w:p w14:paraId="5E0056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中标人应当按照施工承包合同约定履行义务，完成中标项目施工任务，不得将中标项目施工任务转让（转包）或者违法分包给其他人。</w:t>
      </w:r>
    </w:p>
    <w:p w14:paraId="5159F3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szCs w:val="24"/>
          <w:highlight w:val="none"/>
          <w:u w:val="none"/>
        </w:rPr>
        <w:t>招标人、中标人</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自合同签订后的20日内</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按照规定</w:t>
      </w:r>
      <w:r>
        <w:rPr>
          <w:rFonts w:hint="eastAsia" w:ascii="宋体" w:hAnsi="宋体" w:eastAsia="宋体" w:cs="宋体"/>
          <w:color w:val="auto"/>
          <w:sz w:val="24"/>
          <w:szCs w:val="24"/>
          <w:highlight w:val="none"/>
          <w:u w:val="none"/>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z w:val="24"/>
          <w:szCs w:val="24"/>
          <w:highlight w:val="none"/>
          <w:u w:val="none"/>
        </w:rPr>
        <w:t>公布中标合同履行情况等信息。</w:t>
      </w:r>
      <w:r>
        <w:rPr>
          <w:rFonts w:hint="eastAsia" w:ascii="宋体" w:hAnsi="宋体" w:eastAsia="宋体" w:cs="宋体"/>
          <w:color w:val="auto"/>
          <w:kern w:val="0"/>
          <w:sz w:val="24"/>
          <w:szCs w:val="24"/>
          <w:highlight w:val="none"/>
          <w:u w:val="none"/>
          <w:lang w:eastAsia="zh-CN"/>
        </w:rPr>
        <w:t>主要内容应包括</w:t>
      </w:r>
      <w:r>
        <w:rPr>
          <w:rFonts w:hint="eastAsia" w:ascii="宋体" w:hAnsi="宋体" w:eastAsia="宋体" w:cs="宋体"/>
          <w:color w:val="auto"/>
          <w:kern w:val="0"/>
          <w:sz w:val="24"/>
          <w:szCs w:val="24"/>
          <w:highlight w:val="none"/>
          <w:u w:val="none"/>
        </w:rPr>
        <w:t>招标人及中标人名称及社会信用代码</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合同签订人或其委托人全称</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合同金额及合同单位；合同签署时间及合同期限；质量要求；合同其他主要内容；其他依法应当载明的内容</w:t>
      </w:r>
      <w:r>
        <w:rPr>
          <w:rFonts w:hint="eastAsia" w:ascii="宋体" w:hAnsi="宋体" w:eastAsia="宋体" w:cs="宋体"/>
          <w:color w:val="auto"/>
          <w:kern w:val="0"/>
          <w:sz w:val="24"/>
          <w:szCs w:val="24"/>
          <w:highlight w:val="none"/>
          <w:u w:val="none"/>
          <w:lang w:eastAsia="zh-CN"/>
        </w:rPr>
        <w:t>等</w:t>
      </w:r>
      <w:r>
        <w:rPr>
          <w:rFonts w:hint="eastAsia" w:ascii="宋体" w:hAnsi="宋体" w:eastAsia="宋体" w:cs="宋体"/>
          <w:color w:val="auto"/>
          <w:kern w:val="0"/>
          <w:sz w:val="24"/>
          <w:szCs w:val="24"/>
          <w:highlight w:val="none"/>
          <w:u w:val="none"/>
        </w:rPr>
        <w:t>。</w:t>
      </w:r>
    </w:p>
    <w:p w14:paraId="553622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37.</w:t>
      </w:r>
      <w:r>
        <w:rPr>
          <w:rFonts w:hint="eastAsia" w:ascii="宋体" w:hAnsi="宋体" w:eastAsia="宋体" w:cs="宋体"/>
          <w:b/>
          <w:bCs/>
          <w:color w:val="auto"/>
          <w:sz w:val="24"/>
          <w:highlight w:val="none"/>
        </w:rPr>
        <w:t>履约和支付担保</w:t>
      </w:r>
    </w:p>
    <w:p w14:paraId="683474B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.1中标人</w:t>
      </w:r>
      <w:r>
        <w:rPr>
          <w:rFonts w:hint="eastAsia" w:ascii="宋体" w:hAnsi="宋体" w:eastAsia="宋体" w:cs="宋体"/>
          <w:color w:val="auto"/>
          <w:sz w:val="24"/>
          <w:highlight w:val="none"/>
          <w:lang w:eastAsia="zh-CN"/>
        </w:rPr>
        <w:t>须</w:t>
      </w:r>
      <w:r>
        <w:rPr>
          <w:rFonts w:hint="eastAsia" w:ascii="宋体" w:hAnsi="宋体" w:eastAsia="宋体" w:cs="宋体"/>
          <w:color w:val="auto"/>
          <w:sz w:val="24"/>
          <w:highlight w:val="none"/>
        </w:rPr>
        <w:t>在签订施工承包合同后</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向招标人提交履约担保，</w:t>
      </w:r>
      <w:r>
        <w:rPr>
          <w:rFonts w:hint="eastAsia" w:ascii="宋体" w:hAnsi="宋体" w:eastAsia="宋体" w:cs="宋体"/>
          <w:color w:val="auto"/>
          <w:spacing w:val="0"/>
          <w:sz w:val="24"/>
          <w:szCs w:val="24"/>
          <w:highlight w:val="none"/>
          <w:u w:val="none"/>
        </w:rPr>
        <w:t>履约担保额</w:t>
      </w:r>
      <w:r>
        <w:rPr>
          <w:rFonts w:hint="eastAsia" w:ascii="宋体" w:hAnsi="宋体" w:eastAsia="宋体" w:cs="宋体"/>
          <w:color w:val="auto"/>
          <w:spacing w:val="0"/>
          <w:sz w:val="24"/>
          <w:szCs w:val="24"/>
          <w:highlight w:val="none"/>
          <w:u w:val="none"/>
          <w:lang w:eastAsia="zh-CN"/>
        </w:rPr>
        <w:t>不得超过中标</w:t>
      </w:r>
      <w:r>
        <w:rPr>
          <w:rFonts w:hint="eastAsia" w:ascii="宋体" w:hAnsi="宋体" w:eastAsia="宋体" w:cs="宋体"/>
          <w:color w:val="auto"/>
          <w:spacing w:val="0"/>
          <w:sz w:val="24"/>
          <w:szCs w:val="24"/>
          <w:highlight w:val="none"/>
          <w:u w:val="none"/>
        </w:rPr>
        <w:t>合同</w:t>
      </w:r>
      <w:r>
        <w:rPr>
          <w:rFonts w:hint="eastAsia" w:ascii="宋体" w:hAnsi="宋体" w:eastAsia="宋体" w:cs="宋体"/>
          <w:color w:val="auto"/>
          <w:spacing w:val="0"/>
          <w:sz w:val="24"/>
          <w:szCs w:val="24"/>
          <w:highlight w:val="none"/>
          <w:u w:val="none"/>
          <w:lang w:eastAsia="zh-CN"/>
        </w:rPr>
        <w:t>金额</w:t>
      </w:r>
      <w:r>
        <w:rPr>
          <w:rFonts w:hint="eastAsia" w:ascii="宋体" w:hAnsi="宋体" w:eastAsia="宋体" w:cs="宋体"/>
          <w:color w:val="auto"/>
          <w:spacing w:val="0"/>
          <w:sz w:val="24"/>
          <w:szCs w:val="24"/>
          <w:highlight w:val="none"/>
          <w:u w:val="none"/>
        </w:rPr>
        <w:t>的10%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highlight w:val="none"/>
        </w:rPr>
        <w:t>具体要求以投标人须知前附表要求为准。</w:t>
      </w:r>
    </w:p>
    <w:p w14:paraId="1FB614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若中标人不能按本投标人须知第</w:t>
      </w:r>
      <w:r>
        <w:rPr>
          <w:rFonts w:hint="eastAsia" w:ascii="宋体" w:hAnsi="宋体" w:eastAsia="宋体" w:cs="宋体"/>
          <w:b/>
          <w:color w:val="auto"/>
          <w:sz w:val="24"/>
          <w:highlight w:val="none"/>
          <w:lang w:val="en-US" w:eastAsia="zh-CN"/>
        </w:rPr>
        <w:t>37</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款的规定金额向招标人提交履约担保的，招标人将有充分的理由解除承包合同，并没收其投标保证金，给招标人造成的损失超过投标保证金数额的，还应当对超过部分予以赔偿。</w:t>
      </w:r>
    </w:p>
    <w:p w14:paraId="50BFE0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pacing w:val="0"/>
          <w:sz w:val="24"/>
          <w:szCs w:val="24"/>
          <w:highlight w:val="none"/>
          <w:u w:val="none"/>
        </w:rPr>
        <w:t>招标人要求中标人提供履约担保的，应当向中标人提供工程款支付担保</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rPr>
        <w:t>工程款支付担保</w:t>
      </w:r>
      <w:r>
        <w:rPr>
          <w:rFonts w:hint="eastAsia" w:ascii="宋体" w:hAnsi="宋体" w:eastAsia="宋体" w:cs="宋体"/>
          <w:color w:val="auto"/>
          <w:spacing w:val="0"/>
          <w:sz w:val="24"/>
          <w:szCs w:val="24"/>
          <w:highlight w:val="none"/>
          <w:u w:val="none"/>
          <w:lang w:eastAsia="zh-CN"/>
        </w:rPr>
        <w:t>可以</w:t>
      </w:r>
      <w:r>
        <w:rPr>
          <w:rFonts w:hint="eastAsia" w:ascii="宋体" w:hAnsi="宋体" w:eastAsia="宋体" w:cs="宋体"/>
          <w:color w:val="auto"/>
          <w:spacing w:val="0"/>
          <w:sz w:val="24"/>
          <w:szCs w:val="24"/>
          <w:highlight w:val="none"/>
          <w:u w:val="none"/>
        </w:rPr>
        <w:t>选择现金保证金、银行保函、保证保险、融资担保公司保函等</w:t>
      </w:r>
      <w:r>
        <w:rPr>
          <w:rFonts w:hint="eastAsia" w:ascii="宋体" w:hAnsi="宋体" w:eastAsia="宋体" w:cs="宋体"/>
          <w:color w:val="auto"/>
          <w:spacing w:val="0"/>
          <w:sz w:val="24"/>
          <w:szCs w:val="24"/>
          <w:highlight w:val="none"/>
          <w:u w:val="none"/>
          <w:lang w:eastAsia="zh-CN"/>
        </w:rPr>
        <w:t>方式提交</w:t>
      </w:r>
      <w:r>
        <w:rPr>
          <w:rFonts w:hint="eastAsia" w:ascii="宋体" w:hAnsi="宋体" w:eastAsia="宋体" w:cs="宋体"/>
          <w:color w:val="auto"/>
          <w:spacing w:val="0"/>
          <w:sz w:val="24"/>
          <w:szCs w:val="24"/>
          <w:highlight w:val="none"/>
          <w:u w:val="none"/>
        </w:rPr>
        <w:t>。</w:t>
      </w:r>
    </w:p>
    <w:p w14:paraId="783774A6">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38</w:t>
      </w:r>
      <w:r>
        <w:rPr>
          <w:rFonts w:hint="eastAsia" w:ascii="宋体" w:hAnsi="宋体" w:eastAsia="宋体" w:cs="宋体"/>
          <w:b/>
          <w:color w:val="auto"/>
          <w:sz w:val="24"/>
          <w:szCs w:val="24"/>
          <w:highlight w:val="none"/>
          <w:u w:val="none"/>
        </w:rPr>
        <w:t>.合同</w:t>
      </w:r>
      <w:r>
        <w:rPr>
          <w:rFonts w:hint="eastAsia" w:ascii="宋体" w:hAnsi="宋体" w:eastAsia="宋体" w:cs="宋体"/>
          <w:b/>
          <w:color w:val="auto"/>
          <w:sz w:val="24"/>
          <w:szCs w:val="24"/>
          <w:highlight w:val="none"/>
          <w:u w:val="none"/>
          <w:lang w:eastAsia="zh-CN"/>
        </w:rPr>
        <w:t>存档</w:t>
      </w:r>
    </w:p>
    <w:p w14:paraId="28768C37">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u w:val="none"/>
        </w:rPr>
        <w:t>招标人应当自签订施工承包合同之日起30日内，按照规定将</w:t>
      </w:r>
      <w:r>
        <w:rPr>
          <w:rFonts w:hint="eastAsia" w:ascii="宋体" w:hAnsi="宋体" w:eastAsia="宋体" w:cs="宋体"/>
          <w:color w:val="auto"/>
          <w:sz w:val="24"/>
          <w:szCs w:val="24"/>
          <w:highlight w:val="none"/>
          <w:u w:val="none"/>
          <w:lang w:eastAsia="zh-CN"/>
        </w:rPr>
        <w:t>电子版</w:t>
      </w:r>
      <w:r>
        <w:rPr>
          <w:rFonts w:hint="eastAsia" w:ascii="宋体" w:hAnsi="宋体" w:eastAsia="宋体" w:cs="宋体"/>
          <w:color w:val="auto"/>
          <w:sz w:val="24"/>
          <w:szCs w:val="24"/>
          <w:highlight w:val="none"/>
          <w:u w:val="none"/>
        </w:rPr>
        <w:t>施工承包合同及其相关资料报送</w:t>
      </w:r>
      <w:r>
        <w:rPr>
          <w:rFonts w:hint="eastAsia" w:ascii="宋体" w:hAnsi="宋体" w:eastAsia="宋体" w:cs="宋体"/>
          <w:color w:val="auto"/>
          <w:sz w:val="24"/>
          <w:szCs w:val="24"/>
          <w:highlight w:val="none"/>
          <w:u w:val="none"/>
          <w:lang w:eastAsia="zh-CN"/>
        </w:rPr>
        <w:t>招标管理</w:t>
      </w:r>
      <w:r>
        <w:rPr>
          <w:rFonts w:hint="eastAsia" w:ascii="宋体" w:hAnsi="宋体" w:eastAsia="宋体" w:cs="宋体"/>
          <w:b w:val="0"/>
          <w:bCs w:val="0"/>
          <w:color w:val="auto"/>
          <w:sz w:val="24"/>
          <w:szCs w:val="24"/>
          <w:highlight w:val="none"/>
          <w:u w:val="none"/>
          <w:lang w:eastAsia="zh-CN"/>
        </w:rPr>
        <w:t>部门存档</w:t>
      </w:r>
      <w:r>
        <w:rPr>
          <w:rFonts w:hint="eastAsia" w:ascii="宋体" w:hAnsi="宋体" w:eastAsia="宋体" w:cs="宋体"/>
          <w:b w:val="0"/>
          <w:bCs w:val="0"/>
          <w:color w:val="auto"/>
          <w:sz w:val="24"/>
          <w:szCs w:val="24"/>
          <w:highlight w:val="none"/>
          <w:u w:val="none"/>
        </w:rPr>
        <w:t>。</w:t>
      </w:r>
    </w:p>
    <w:p w14:paraId="028C1913">
      <w:pPr>
        <w:pStyle w:val="5"/>
        <w:bidi w:val="0"/>
        <w:rPr>
          <w:rFonts w:hint="eastAsia" w:ascii="宋体" w:hAnsi="宋体" w:eastAsia="宋体" w:cs="宋体"/>
          <w:color w:val="auto"/>
        </w:rPr>
      </w:pPr>
      <w:bookmarkStart w:id="30" w:name="_Toc20904"/>
      <w:r>
        <w:rPr>
          <w:rFonts w:hint="eastAsia" w:ascii="宋体" w:hAnsi="宋体" w:eastAsia="宋体" w:cs="宋体"/>
          <w:color w:val="auto"/>
        </w:rPr>
        <w:t>（</w:t>
      </w:r>
      <w:r>
        <w:rPr>
          <w:rFonts w:hint="eastAsia" w:ascii="宋体" w:hAnsi="宋体" w:eastAsia="宋体" w:cs="宋体"/>
          <w:color w:val="auto"/>
          <w:lang w:eastAsia="zh-CN"/>
        </w:rPr>
        <w:t>十</w:t>
      </w:r>
      <w:r>
        <w:rPr>
          <w:rFonts w:hint="eastAsia" w:ascii="宋体" w:hAnsi="宋体" w:eastAsia="宋体" w:cs="宋体"/>
          <w:color w:val="auto"/>
        </w:rPr>
        <w:t>）电子管理规定</w:t>
      </w:r>
      <w:bookmarkEnd w:id="30"/>
    </w:p>
    <w:p w14:paraId="2FA43694">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39</w:t>
      </w:r>
      <w:r>
        <w:rPr>
          <w:rFonts w:hint="eastAsia" w:ascii="宋体" w:hAnsi="宋体" w:eastAsia="宋体" w:cs="宋体"/>
          <w:b/>
          <w:color w:val="auto"/>
          <w:kern w:val="0"/>
          <w:sz w:val="24"/>
          <w:highlight w:val="none"/>
        </w:rPr>
        <w:t>.应急管理</w:t>
      </w:r>
    </w:p>
    <w:p w14:paraId="4AF82638">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14:paraId="33E41928">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（1）因国际互联网中断、停电、网络入侵、不可抗力等非可控因素导致系统不能正常运行；</w:t>
      </w:r>
    </w:p>
    <w:p w14:paraId="64D148A3">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（2）因系统服务器发生故障而无法访问系统或无法使用系统</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因电子招标投标系统软件或网络数据库出现错误不能进行正常操作；</w:t>
      </w:r>
    </w:p>
    <w:p w14:paraId="77A757B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）电子招</w:t>
      </w:r>
      <w:r>
        <w:rPr>
          <w:rFonts w:hint="eastAsia" w:ascii="宋体" w:hAnsi="宋体" w:eastAsia="宋体" w:cs="宋体"/>
          <w:color w:val="auto"/>
          <w:kern w:val="0"/>
          <w:sz w:val="24"/>
          <w:highlight w:val="none"/>
          <w:lang w:eastAsia="zh-CN"/>
        </w:rPr>
        <w:t>标</w:t>
      </w:r>
      <w:r>
        <w:rPr>
          <w:rFonts w:hint="eastAsia" w:ascii="宋体" w:hAnsi="宋体" w:eastAsia="宋体" w:cs="宋体"/>
          <w:color w:val="auto"/>
          <w:kern w:val="0"/>
          <w:sz w:val="24"/>
          <w:highlight w:val="none"/>
        </w:rPr>
        <w:t>投标系统发现有安全漏洞，有潜在的泄密危险；</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计算机病毒造成影响；</w:t>
      </w:r>
    </w:p>
    <w:p w14:paraId="70B20610">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）其他无法保证电子招标投标过程公平、公正和信息安全的意外情况；</w:t>
      </w:r>
    </w:p>
    <w:p w14:paraId="0912C035">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）相关行政监督部门</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司法、纪检监察等机关依法要求中止或终止电子招标投标活动；</w:t>
      </w:r>
    </w:p>
    <w:p w14:paraId="2825A2D7">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）法律法规规定的其他情形。</w:t>
      </w:r>
    </w:p>
    <w:p w14:paraId="106B77F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14:paraId="22550411">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.2评审或评标过程中如遇系统故障等突发事件，评标</w:t>
      </w:r>
      <w:r>
        <w:rPr>
          <w:rFonts w:hint="eastAsia" w:ascii="宋体" w:hAnsi="宋体" w:eastAsia="宋体" w:cs="宋体"/>
          <w:color w:val="auto"/>
          <w:kern w:val="0"/>
          <w:sz w:val="24"/>
          <w:highlight w:val="none"/>
          <w:lang w:eastAsia="zh-CN"/>
        </w:rPr>
        <w:t>定标</w:t>
      </w:r>
      <w:r>
        <w:rPr>
          <w:rFonts w:hint="eastAsia" w:ascii="宋体" w:hAnsi="宋体" w:eastAsia="宋体" w:cs="宋体"/>
          <w:color w:val="auto"/>
          <w:kern w:val="0"/>
          <w:sz w:val="24"/>
          <w:highlight w:val="none"/>
        </w:rPr>
        <w:t>专家应及时与现场工作人员沟通解决。</w:t>
      </w:r>
    </w:p>
    <w:p w14:paraId="1433B99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14:paraId="3830834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BD2010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14:paraId="387D802A">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电子招标投标中止、终止或结束后，招标人（招标代理机构）应将电子招标投标活动的记录下载打印成纸质文档存档。</w:t>
      </w:r>
    </w:p>
    <w:p w14:paraId="4ADCCAAF">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40</w:t>
      </w:r>
      <w:r>
        <w:rPr>
          <w:rFonts w:hint="eastAsia" w:ascii="宋体" w:hAnsi="宋体" w:eastAsia="宋体" w:cs="宋体"/>
          <w:b/>
          <w:color w:val="auto"/>
          <w:kern w:val="0"/>
          <w:sz w:val="24"/>
          <w:highlight w:val="none"/>
        </w:rPr>
        <w:t>.相关规定</w:t>
      </w:r>
    </w:p>
    <w:p w14:paraId="53AD51BE">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1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14:paraId="0E8D7A6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2投标人在电子招标投标活动中实施下列行为之一，所产生的后果由投标人自行承担。</w:t>
      </w:r>
    </w:p>
    <w:p w14:paraId="1363903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（1）投标人的数字证书和密码被他人冒用、盗用；</w:t>
      </w:r>
    </w:p>
    <w:p w14:paraId="2BCEC59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（2）使用他人数字证书或把数字证书借给他人使用的，依法按以他人名义投标处理；有围标串标行为的，依法按串通投标处理；</w:t>
      </w:r>
    </w:p>
    <w:p w14:paraId="190ED56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（3）因投标人计算机系统遭遇网络堵塞、病毒入侵、硬件故障等导致不能正常登录网上招标投标系统参与投标；</w:t>
      </w:r>
    </w:p>
    <w:p w14:paraId="044C357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4"/>
          <w:highlight w:val="none"/>
        </w:rPr>
        <w:t>（4）经</w:t>
      </w:r>
      <w:r>
        <w:rPr>
          <w:rFonts w:hint="eastAsia" w:ascii="宋体" w:hAnsi="宋体" w:eastAsia="宋体" w:cs="宋体"/>
          <w:color w:val="auto"/>
          <w:kern w:val="0"/>
          <w:sz w:val="24"/>
          <w:highlight w:val="none"/>
          <w:lang w:eastAsia="zh-CN"/>
        </w:rPr>
        <w:t>电子招标投标</w:t>
      </w:r>
      <w:r>
        <w:rPr>
          <w:rFonts w:hint="eastAsia" w:ascii="宋体" w:hAnsi="宋体" w:eastAsia="宋体" w:cs="宋体"/>
          <w:color w:val="auto"/>
          <w:kern w:val="0"/>
          <w:sz w:val="24"/>
          <w:highlight w:val="none"/>
        </w:rPr>
        <w:t>系统检测到投标人</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w:t>
      </w:r>
      <w:r>
        <w:rPr>
          <w:rFonts w:hint="eastAsia" w:ascii="宋体" w:hAnsi="宋体" w:eastAsia="宋体" w:cs="宋体"/>
          <w:color w:val="auto"/>
          <w:sz w:val="24"/>
          <w:highlight w:val="none"/>
          <w:lang w:eastAsia="zh-CN"/>
        </w:rPr>
        <w:t>公共资源</w:t>
      </w:r>
      <w:r>
        <w:rPr>
          <w:rFonts w:hint="eastAsia" w:ascii="宋体" w:hAnsi="宋体" w:eastAsia="宋体" w:cs="宋体"/>
          <w:color w:val="auto"/>
          <w:sz w:val="24"/>
          <w:highlight w:val="none"/>
        </w:rPr>
        <w:t>交易中心计算机编制或上传的除外）</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情形</w:t>
      </w:r>
      <w:r>
        <w:rPr>
          <w:rFonts w:hint="eastAsia" w:ascii="宋体" w:hAnsi="宋体" w:eastAsia="宋体" w:cs="宋体"/>
          <w:color w:val="auto"/>
          <w:kern w:val="0"/>
          <w:sz w:val="24"/>
          <w:highlight w:val="none"/>
        </w:rPr>
        <w:t>，视为串通投标行为，其投标无效，并依法处理。</w:t>
      </w:r>
    </w:p>
    <w:p w14:paraId="62EBABED">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电子招标</w:t>
      </w:r>
      <w:r>
        <w:rPr>
          <w:rFonts w:hint="eastAsia" w:ascii="宋体" w:hAnsi="宋体" w:eastAsia="宋体" w:cs="宋体"/>
          <w:color w:val="auto"/>
          <w:sz w:val="24"/>
          <w:szCs w:val="24"/>
          <w:highlight w:val="none"/>
        </w:rPr>
        <w:t>投标活动的各类注册人员和相关从业人员，应当在</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中选取。</w:t>
      </w:r>
      <w:r>
        <w:rPr>
          <w:rFonts w:hint="eastAsia" w:ascii="宋体" w:hAnsi="宋体" w:eastAsia="宋体" w:cs="宋体"/>
          <w:color w:val="auto"/>
          <w:kern w:val="0"/>
          <w:sz w:val="24"/>
          <w:highlight w:val="none"/>
        </w:rPr>
        <w:t>参加投标之前，投标人应</w:t>
      </w:r>
      <w:r>
        <w:rPr>
          <w:rFonts w:hint="eastAsia" w:ascii="宋体" w:hAnsi="宋体" w:eastAsia="宋体" w:cs="宋体"/>
          <w:color w:val="auto"/>
          <w:kern w:val="0"/>
          <w:sz w:val="24"/>
          <w:highlight w:val="none"/>
          <w:lang w:eastAsia="zh-CN"/>
        </w:rPr>
        <w:t>确保</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lang w:eastAsia="zh-CN"/>
        </w:rPr>
        <w:t>人员</w:t>
      </w:r>
      <w:r>
        <w:rPr>
          <w:rFonts w:hint="eastAsia" w:ascii="宋体" w:hAnsi="宋体" w:eastAsia="宋体" w:cs="宋体"/>
          <w:color w:val="auto"/>
          <w:kern w:val="0"/>
          <w:sz w:val="24"/>
          <w:highlight w:val="none"/>
        </w:rPr>
        <w:t>信息与</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人员</w:t>
      </w:r>
      <w:r>
        <w:rPr>
          <w:rFonts w:hint="eastAsia" w:ascii="宋体" w:hAnsi="宋体" w:eastAsia="宋体" w:cs="宋体"/>
          <w:b w:val="0"/>
          <w:bCs w:val="0"/>
          <w:color w:val="auto"/>
          <w:sz w:val="24"/>
          <w:highlight w:val="none"/>
        </w:rPr>
        <w:t>信息</w:t>
      </w:r>
      <w:r>
        <w:rPr>
          <w:rFonts w:hint="eastAsia" w:ascii="宋体" w:hAnsi="宋体" w:eastAsia="宋体" w:cs="宋体"/>
          <w:color w:val="auto"/>
          <w:kern w:val="0"/>
          <w:sz w:val="24"/>
          <w:highlight w:val="none"/>
        </w:rPr>
        <w:t>一致，以免造成投标不成功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因其可能引起的一切后果由投标人自行承担。</w:t>
      </w:r>
    </w:p>
    <w:p w14:paraId="1A4D517B">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.4</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sz w:val="24"/>
          <w:szCs w:val="24"/>
          <w:highlight w:val="none"/>
        </w:rPr>
        <w:t>担任</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项目负责人的建造师，在施工报建时，由核发施工许可证的主管部门对其进行锁定。工程项目已通过竣工验收并提供竣工验收报告，</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eastAsia="zh-CN"/>
        </w:rPr>
        <w:t>原</w:t>
      </w:r>
      <w:r>
        <w:rPr>
          <w:rFonts w:hint="eastAsia" w:ascii="宋体" w:hAnsi="宋体" w:eastAsia="宋体" w:cs="宋体"/>
          <w:color w:val="auto"/>
          <w:sz w:val="24"/>
          <w:szCs w:val="24"/>
          <w:highlight w:val="none"/>
        </w:rPr>
        <w:t>核发施工许可证的主管部门申请解锁</w:t>
      </w:r>
      <w:r>
        <w:rPr>
          <w:rFonts w:hint="eastAsia" w:ascii="宋体" w:hAnsi="宋体" w:eastAsia="宋体" w:cs="宋体"/>
          <w:color w:val="auto"/>
          <w:sz w:val="24"/>
          <w:szCs w:val="24"/>
          <w:highlight w:val="none"/>
          <w:lang w:eastAsia="zh-CN"/>
        </w:rPr>
        <w:t>原已</w:t>
      </w:r>
      <w:r>
        <w:rPr>
          <w:rFonts w:hint="eastAsia" w:ascii="宋体" w:hAnsi="宋体" w:eastAsia="宋体" w:cs="宋体"/>
          <w:color w:val="auto"/>
          <w:sz w:val="24"/>
          <w:szCs w:val="24"/>
          <w:highlight w:val="none"/>
        </w:rPr>
        <w:t>锁定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建造师</w:t>
      </w:r>
      <w:r>
        <w:rPr>
          <w:rFonts w:hint="eastAsia" w:ascii="宋体" w:hAnsi="宋体" w:eastAsia="宋体" w:cs="宋体"/>
          <w:color w:val="auto"/>
          <w:sz w:val="24"/>
          <w:szCs w:val="24"/>
          <w:highlight w:val="none"/>
          <w:lang w:eastAsia="zh-CN"/>
        </w:rPr>
        <w:t>。</w:t>
      </w:r>
    </w:p>
    <w:p w14:paraId="342116F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电子评标的项目，</w:t>
      </w:r>
      <w:r>
        <w:rPr>
          <w:rFonts w:hint="eastAsia" w:ascii="宋体" w:hAnsi="宋体" w:eastAsia="宋体" w:cs="宋体"/>
          <w:color w:val="auto"/>
          <w:kern w:val="0"/>
          <w:sz w:val="24"/>
          <w:highlight w:val="none"/>
          <w:lang w:eastAsia="zh-CN"/>
        </w:rPr>
        <w:t>投标时，</w:t>
      </w:r>
      <w:r>
        <w:rPr>
          <w:rFonts w:hint="eastAsia" w:ascii="宋体" w:hAnsi="宋体" w:eastAsia="宋体" w:cs="宋体"/>
          <w:color w:val="auto"/>
          <w:kern w:val="0"/>
          <w:sz w:val="24"/>
          <w:highlight w:val="none"/>
        </w:rPr>
        <w:t>投标文件一律不接受纸质文件，投标人须递交具备法律效力的电子投标文件。</w:t>
      </w:r>
    </w:p>
    <w:p w14:paraId="69D4026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经数字证书签章签名上传的招标资料或投标资料具有法律效力。招标人（招标代理机构）、潜在投标人应当对其上传资料的真实性、完整性和准确性负责。</w:t>
      </w:r>
    </w:p>
    <w:p w14:paraId="4BA0561D">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.7</w:t>
      </w:r>
      <w:r>
        <w:rPr>
          <w:rFonts w:hint="eastAsia" w:ascii="宋体" w:hAnsi="宋体" w:eastAsia="宋体" w:cs="宋体"/>
          <w:color w:val="auto"/>
          <w:kern w:val="0"/>
          <w:sz w:val="24"/>
          <w:highlight w:val="none"/>
        </w:rPr>
        <w:t>评标（定标）工作完成后，电子招标投标系统将电子辅助评标（定标）过</w:t>
      </w:r>
      <w:r>
        <w:rPr>
          <w:rFonts w:hint="eastAsia" w:ascii="宋体" w:hAnsi="宋体" w:eastAsia="宋体" w:cs="宋体"/>
          <w:color w:val="auto"/>
          <w:kern w:val="0"/>
          <w:sz w:val="24"/>
          <w:highlight w:val="none"/>
          <w:lang w:eastAsia="zh-CN"/>
        </w:rPr>
        <w:t>程中</w:t>
      </w:r>
      <w:r>
        <w:rPr>
          <w:rFonts w:hint="eastAsia" w:ascii="宋体" w:hAnsi="宋体" w:eastAsia="宋体" w:cs="宋体"/>
          <w:color w:val="auto"/>
          <w:kern w:val="0"/>
          <w:sz w:val="24"/>
          <w:highlight w:val="none"/>
        </w:rPr>
        <w:t>产生的数据和记录自动存档，并进行数据的汇总、统计，供有关部门查询、监督。</w:t>
      </w:r>
    </w:p>
    <w:p w14:paraId="7A7E34E5">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.8电子辅助评标（定标）的档案，除纪检监察机关、行政监督部门或者司法机关依法进行核查外，其他任何单位或个人不得擅自查阅档案资料。</w:t>
      </w:r>
    </w:p>
    <w:p w14:paraId="3108CC2D">
      <w:pPr>
        <w:pStyle w:val="5"/>
        <w:bidi w:val="0"/>
        <w:rPr>
          <w:rFonts w:hint="eastAsia" w:ascii="宋体" w:hAnsi="宋体" w:eastAsia="宋体" w:cs="宋体"/>
          <w:b/>
          <w:bCs/>
          <w:color w:val="auto"/>
          <w:szCs w:val="28"/>
          <w:highlight w:val="none"/>
          <w:lang w:val="en-US" w:eastAsia="zh-CN"/>
        </w:rPr>
      </w:pPr>
      <w:bookmarkStart w:id="31" w:name="_Toc27282"/>
      <w:r>
        <w:rPr>
          <w:rFonts w:hint="eastAsia" w:ascii="宋体" w:hAnsi="宋体" w:eastAsia="宋体" w:cs="宋体"/>
          <w:color w:val="auto"/>
        </w:rPr>
        <w:t>（</w:t>
      </w:r>
      <w:r>
        <w:rPr>
          <w:rFonts w:hint="eastAsia" w:ascii="宋体" w:hAnsi="宋体" w:eastAsia="宋体" w:cs="宋体"/>
          <w:color w:val="auto"/>
          <w:lang w:eastAsia="zh-CN"/>
        </w:rPr>
        <w:t>十</w:t>
      </w:r>
      <w:r>
        <w:rPr>
          <w:rFonts w:hint="eastAsia" w:ascii="宋体" w:hAnsi="宋体" w:eastAsia="宋体" w:cs="宋体"/>
          <w:color w:val="auto"/>
          <w:lang w:val="en-US" w:eastAsia="zh-CN"/>
        </w:rPr>
        <w:t>一</w:t>
      </w:r>
      <w:r>
        <w:rPr>
          <w:rFonts w:hint="eastAsia" w:ascii="宋体" w:hAnsi="宋体" w:eastAsia="宋体" w:cs="宋体"/>
          <w:color w:val="auto"/>
        </w:rPr>
        <w:t>）</w:t>
      </w:r>
      <w:r>
        <w:rPr>
          <w:rFonts w:hint="eastAsia" w:ascii="宋体" w:hAnsi="宋体" w:eastAsia="宋体" w:cs="宋体"/>
          <w:color w:val="auto"/>
          <w:lang w:val="en-US" w:eastAsia="zh-CN"/>
        </w:rPr>
        <w:t>其他</w:t>
      </w:r>
      <w:bookmarkEnd w:id="31"/>
    </w:p>
    <w:p w14:paraId="1FA2392A">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41.放弃中标的处理</w:t>
      </w:r>
    </w:p>
    <w:p w14:paraId="5FECADA4">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41.1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A7A19E6">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41.2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2BD9122">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41.3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D667AD6">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本项目由中标人支付招标代理费，代理费根据国家计委关于印发《招标代理服务收费管理暂行办法》的通知计价格〔2002〕1980号计取，中标人须在中标公告公示期结束后，向招标代理机构一次性付清招标代理费。</w:t>
      </w:r>
    </w:p>
    <w:p w14:paraId="5EE6CFD0">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440D1867">
      <w:pPr>
        <w:rPr>
          <w:rFonts w:hint="eastAsia" w:ascii="宋体" w:hAnsi="宋体" w:eastAsia="宋体" w:cs="宋体"/>
          <w:color w:val="auto"/>
          <w:lang w:val="en-US" w:eastAsia="zh-CN"/>
        </w:rPr>
      </w:pPr>
    </w:p>
    <w:p w14:paraId="372EAED8">
      <w:pPr>
        <w:rPr>
          <w:rFonts w:hint="eastAsia" w:ascii="宋体" w:hAnsi="宋体" w:eastAsia="宋体" w:cs="宋体"/>
          <w:color w:val="auto"/>
          <w:lang w:val="en-US" w:eastAsia="zh-CN"/>
        </w:rPr>
      </w:pPr>
    </w:p>
    <w:p w14:paraId="0130E881">
      <w:pPr>
        <w:rPr>
          <w:rFonts w:hint="eastAsia" w:ascii="宋体" w:hAnsi="宋体" w:eastAsia="宋体" w:cs="宋体"/>
          <w:color w:val="auto"/>
          <w:lang w:val="en-US" w:eastAsia="zh-CN"/>
        </w:rPr>
      </w:pPr>
    </w:p>
    <w:p w14:paraId="24F22FA4">
      <w:pPr>
        <w:rPr>
          <w:rFonts w:hint="eastAsia" w:ascii="宋体" w:hAnsi="宋体" w:eastAsia="宋体" w:cs="宋体"/>
          <w:color w:val="auto"/>
          <w:lang w:val="en-US" w:eastAsia="zh-CN"/>
        </w:rPr>
      </w:pPr>
    </w:p>
    <w:p w14:paraId="31B58779">
      <w:pPr>
        <w:rPr>
          <w:rFonts w:hint="eastAsia" w:ascii="宋体" w:hAnsi="宋体" w:eastAsia="宋体" w:cs="宋体"/>
          <w:color w:val="auto"/>
          <w:lang w:val="en-US" w:eastAsia="zh-CN"/>
        </w:rPr>
      </w:pPr>
    </w:p>
    <w:p w14:paraId="32F2A8C4">
      <w:pPr>
        <w:rPr>
          <w:rFonts w:hint="eastAsia" w:ascii="宋体" w:hAnsi="宋体" w:eastAsia="宋体" w:cs="宋体"/>
          <w:color w:val="auto"/>
          <w:lang w:val="en-US" w:eastAsia="zh-CN"/>
        </w:rPr>
      </w:pPr>
    </w:p>
    <w:p w14:paraId="1AF0A5A4">
      <w:pPr>
        <w:rPr>
          <w:rFonts w:hint="eastAsia" w:ascii="宋体" w:hAnsi="宋体" w:eastAsia="宋体" w:cs="宋体"/>
          <w:color w:val="auto"/>
          <w:lang w:val="en-US" w:eastAsia="zh-CN"/>
        </w:rPr>
      </w:pPr>
    </w:p>
    <w:p w14:paraId="606EE5EB">
      <w:pPr>
        <w:rPr>
          <w:rFonts w:hint="eastAsia" w:ascii="宋体" w:hAnsi="宋体" w:eastAsia="宋体" w:cs="宋体"/>
          <w:color w:val="auto"/>
          <w:lang w:val="en-US" w:eastAsia="zh-CN"/>
        </w:rPr>
      </w:pPr>
    </w:p>
    <w:p w14:paraId="2ED7F7B4">
      <w:pPr>
        <w:rPr>
          <w:rFonts w:hint="eastAsia" w:ascii="宋体" w:hAnsi="宋体" w:eastAsia="宋体" w:cs="宋体"/>
          <w:color w:val="auto"/>
          <w:lang w:val="en-US" w:eastAsia="zh-CN"/>
        </w:rPr>
      </w:pPr>
    </w:p>
    <w:p w14:paraId="2C66C4ED">
      <w:pPr>
        <w:rPr>
          <w:rFonts w:hint="eastAsia" w:ascii="宋体" w:hAnsi="宋体" w:eastAsia="宋体" w:cs="宋体"/>
          <w:color w:val="auto"/>
          <w:lang w:val="en-US" w:eastAsia="zh-CN"/>
        </w:rPr>
      </w:pPr>
    </w:p>
    <w:p w14:paraId="4F939094">
      <w:pPr>
        <w:rPr>
          <w:rFonts w:hint="eastAsia" w:ascii="宋体" w:hAnsi="宋体" w:eastAsia="宋体" w:cs="宋体"/>
          <w:color w:val="auto"/>
          <w:lang w:val="en-US" w:eastAsia="zh-CN"/>
        </w:rPr>
      </w:pPr>
    </w:p>
    <w:p w14:paraId="7A2D632D">
      <w:pPr>
        <w:rPr>
          <w:rFonts w:hint="eastAsia" w:ascii="宋体" w:hAnsi="宋体" w:eastAsia="宋体" w:cs="宋体"/>
          <w:color w:val="auto"/>
          <w:lang w:val="en-US" w:eastAsia="zh-CN"/>
        </w:rPr>
      </w:pPr>
    </w:p>
    <w:p w14:paraId="5482CF42">
      <w:pPr>
        <w:rPr>
          <w:rFonts w:hint="eastAsia" w:ascii="宋体" w:hAnsi="宋体" w:eastAsia="宋体" w:cs="宋体"/>
          <w:color w:val="auto"/>
          <w:lang w:val="en-US" w:eastAsia="zh-CN"/>
        </w:rPr>
      </w:pPr>
    </w:p>
    <w:p w14:paraId="1DECE380">
      <w:pPr>
        <w:rPr>
          <w:rFonts w:hint="eastAsia" w:ascii="宋体" w:hAnsi="宋体" w:eastAsia="宋体" w:cs="宋体"/>
          <w:color w:val="auto"/>
          <w:lang w:val="en-US" w:eastAsia="zh-CN"/>
        </w:rPr>
      </w:pPr>
    </w:p>
    <w:p w14:paraId="37D19A36">
      <w:pPr>
        <w:rPr>
          <w:rFonts w:hint="eastAsia" w:ascii="宋体" w:hAnsi="宋体" w:eastAsia="宋体" w:cs="宋体"/>
          <w:color w:val="auto"/>
          <w:lang w:val="en-US" w:eastAsia="zh-CN"/>
        </w:rPr>
      </w:pPr>
    </w:p>
    <w:p w14:paraId="57A827A7">
      <w:pPr>
        <w:rPr>
          <w:rFonts w:hint="eastAsia" w:ascii="宋体" w:hAnsi="宋体" w:eastAsia="宋体" w:cs="宋体"/>
          <w:color w:val="auto"/>
          <w:lang w:val="en-US" w:eastAsia="zh-CN"/>
        </w:rPr>
      </w:pPr>
    </w:p>
    <w:p w14:paraId="067B62CA">
      <w:pPr>
        <w:rPr>
          <w:rFonts w:hint="eastAsia" w:ascii="宋体" w:hAnsi="宋体" w:eastAsia="宋体" w:cs="宋体"/>
          <w:color w:val="auto"/>
          <w:lang w:val="en-US" w:eastAsia="zh-CN"/>
        </w:rPr>
      </w:pPr>
    </w:p>
    <w:p w14:paraId="0A717D7B">
      <w:pPr>
        <w:rPr>
          <w:rFonts w:hint="eastAsia" w:ascii="宋体" w:hAnsi="宋体" w:eastAsia="宋体" w:cs="宋体"/>
          <w:color w:val="auto"/>
          <w:lang w:val="en-US" w:eastAsia="zh-CN"/>
        </w:rPr>
      </w:pPr>
    </w:p>
    <w:p w14:paraId="4EAD9559">
      <w:pPr>
        <w:rPr>
          <w:rFonts w:hint="eastAsia" w:ascii="宋体" w:hAnsi="宋体" w:eastAsia="宋体" w:cs="宋体"/>
          <w:color w:val="auto"/>
          <w:lang w:val="en-US" w:eastAsia="zh-CN"/>
        </w:rPr>
      </w:pPr>
    </w:p>
    <w:p w14:paraId="3BEE43EB">
      <w:pPr>
        <w:rPr>
          <w:rFonts w:hint="eastAsia" w:ascii="宋体" w:hAnsi="宋体" w:eastAsia="宋体" w:cs="宋体"/>
          <w:color w:val="auto"/>
          <w:lang w:val="en-US" w:eastAsia="zh-CN"/>
        </w:rPr>
      </w:pPr>
    </w:p>
    <w:p w14:paraId="256D4162">
      <w:pPr>
        <w:rPr>
          <w:rFonts w:hint="eastAsia" w:ascii="宋体" w:hAnsi="宋体" w:eastAsia="宋体" w:cs="宋体"/>
          <w:color w:val="auto"/>
          <w:lang w:val="en-US" w:eastAsia="zh-CN"/>
        </w:rPr>
      </w:pPr>
    </w:p>
    <w:p w14:paraId="307C6657">
      <w:pPr>
        <w:rPr>
          <w:rFonts w:hint="eastAsia" w:ascii="宋体" w:hAnsi="宋体" w:eastAsia="宋体" w:cs="宋体"/>
          <w:color w:val="auto"/>
          <w:lang w:val="en-US" w:eastAsia="zh-CN"/>
        </w:rPr>
      </w:pPr>
    </w:p>
    <w:p w14:paraId="0EA4EBEA">
      <w:pPr>
        <w:rPr>
          <w:rFonts w:hint="eastAsia" w:ascii="宋体" w:hAnsi="宋体" w:eastAsia="宋体" w:cs="宋体"/>
          <w:color w:val="auto"/>
          <w:lang w:val="en-US" w:eastAsia="zh-CN"/>
        </w:rPr>
      </w:pPr>
    </w:p>
    <w:p w14:paraId="215A7E6F">
      <w:pPr>
        <w:rPr>
          <w:rFonts w:hint="eastAsia" w:ascii="宋体" w:hAnsi="宋体" w:eastAsia="宋体" w:cs="宋体"/>
          <w:color w:val="auto"/>
          <w:lang w:val="en-US" w:eastAsia="zh-CN"/>
        </w:rPr>
      </w:pPr>
    </w:p>
    <w:p w14:paraId="5ECD0BAB">
      <w:pPr>
        <w:rPr>
          <w:rFonts w:hint="eastAsia" w:ascii="宋体" w:hAnsi="宋体" w:eastAsia="宋体" w:cs="宋体"/>
          <w:color w:val="auto"/>
          <w:lang w:val="en-US" w:eastAsia="zh-CN"/>
        </w:rPr>
      </w:pPr>
    </w:p>
    <w:p w14:paraId="6F85E145">
      <w:pPr>
        <w:rPr>
          <w:rFonts w:hint="eastAsia" w:ascii="宋体" w:hAnsi="宋体" w:eastAsia="宋体" w:cs="宋体"/>
          <w:color w:val="auto"/>
          <w:lang w:val="en-US" w:eastAsia="zh-CN"/>
        </w:rPr>
      </w:pPr>
    </w:p>
    <w:p w14:paraId="38726470">
      <w:pPr>
        <w:rPr>
          <w:rFonts w:hint="eastAsia" w:ascii="宋体" w:hAnsi="宋体" w:eastAsia="宋体" w:cs="宋体"/>
          <w:color w:val="auto"/>
          <w:lang w:val="en-US" w:eastAsia="zh-CN"/>
        </w:rPr>
      </w:pPr>
    </w:p>
    <w:p w14:paraId="08DE9562">
      <w:pPr>
        <w:rPr>
          <w:rFonts w:hint="eastAsia" w:ascii="宋体" w:hAnsi="宋体" w:eastAsia="宋体" w:cs="宋体"/>
          <w:color w:val="auto"/>
          <w:lang w:val="en-US" w:eastAsia="zh-CN"/>
        </w:rPr>
      </w:pPr>
    </w:p>
    <w:p w14:paraId="377E9E78">
      <w:pPr>
        <w:rPr>
          <w:rFonts w:hint="eastAsia" w:ascii="宋体" w:hAnsi="宋体" w:eastAsia="宋体" w:cs="宋体"/>
          <w:color w:val="auto"/>
          <w:lang w:val="en-US" w:eastAsia="zh-CN"/>
        </w:rPr>
      </w:pPr>
    </w:p>
    <w:p w14:paraId="18EDED80">
      <w:pPr>
        <w:rPr>
          <w:rFonts w:hint="eastAsia" w:ascii="宋体" w:hAnsi="宋体" w:eastAsia="宋体" w:cs="宋体"/>
          <w:color w:val="auto"/>
          <w:lang w:val="en-US" w:eastAsia="zh-CN"/>
        </w:rPr>
      </w:pPr>
    </w:p>
    <w:p w14:paraId="0AE0D6C3">
      <w:pPr>
        <w:rPr>
          <w:rFonts w:hint="eastAsia" w:ascii="宋体" w:hAnsi="宋体" w:eastAsia="宋体" w:cs="宋体"/>
          <w:color w:val="auto"/>
          <w:lang w:val="en-US" w:eastAsia="zh-CN"/>
        </w:rPr>
      </w:pPr>
    </w:p>
    <w:p w14:paraId="3A8CAA61">
      <w:pPr>
        <w:rPr>
          <w:rFonts w:hint="eastAsia" w:ascii="宋体" w:hAnsi="宋体" w:eastAsia="宋体" w:cs="宋体"/>
          <w:color w:val="auto"/>
          <w:lang w:val="en-US" w:eastAsia="zh-CN"/>
        </w:rPr>
      </w:pPr>
    </w:p>
    <w:p w14:paraId="07C712C8">
      <w:pPr>
        <w:rPr>
          <w:rFonts w:hint="eastAsia" w:ascii="宋体" w:hAnsi="宋体" w:eastAsia="宋体" w:cs="宋体"/>
          <w:color w:val="auto"/>
          <w:lang w:val="en-US" w:eastAsia="zh-CN"/>
        </w:rPr>
      </w:pPr>
    </w:p>
    <w:p w14:paraId="07CEC73C">
      <w:pPr>
        <w:pStyle w:val="3"/>
        <w:bidi w:val="0"/>
        <w:jc w:val="center"/>
        <w:rPr>
          <w:rFonts w:hint="eastAsia" w:ascii="宋体" w:hAnsi="宋体" w:eastAsia="宋体" w:cs="宋体"/>
          <w:color w:val="auto"/>
        </w:rPr>
      </w:pPr>
      <w:bookmarkStart w:id="32" w:name="_Toc10646"/>
      <w:r>
        <w:rPr>
          <w:rFonts w:hint="eastAsia" w:ascii="宋体" w:hAnsi="宋体" w:eastAsia="宋体" w:cs="宋体"/>
          <w:color w:val="auto"/>
        </w:rPr>
        <w:t>第三章   评标</w:t>
      </w:r>
      <w:r>
        <w:rPr>
          <w:rFonts w:hint="eastAsia" w:ascii="宋体" w:hAnsi="宋体" w:eastAsia="宋体" w:cs="宋体"/>
          <w:color w:val="auto"/>
          <w:lang w:eastAsia="zh-CN"/>
        </w:rPr>
        <w:t>定标</w:t>
      </w:r>
      <w:r>
        <w:rPr>
          <w:rFonts w:hint="eastAsia" w:ascii="宋体" w:hAnsi="宋体" w:eastAsia="宋体" w:cs="宋体"/>
          <w:color w:val="auto"/>
        </w:rPr>
        <w:t>办法</w:t>
      </w:r>
      <w:bookmarkEnd w:id="32"/>
    </w:p>
    <w:p w14:paraId="2216F885">
      <w:pPr>
        <w:pStyle w:val="4"/>
        <w:bidi w:val="0"/>
        <w:ind w:left="0" w:leftChars="0" w:firstLine="0" w:firstLineChars="0"/>
        <w:jc w:val="both"/>
        <w:rPr>
          <w:rFonts w:hint="eastAsia" w:ascii="宋体" w:hAnsi="宋体" w:eastAsia="宋体" w:cs="宋体"/>
          <w:color w:val="auto"/>
        </w:rPr>
      </w:pPr>
      <w:bookmarkStart w:id="33" w:name="_Toc5619"/>
      <w:r>
        <w:rPr>
          <w:rFonts w:hint="eastAsia" w:ascii="宋体" w:hAnsi="宋体" w:eastAsia="宋体" w:cs="宋体"/>
          <w:color w:val="auto"/>
        </w:rPr>
        <w:t>一、评标</w:t>
      </w:r>
      <w:r>
        <w:rPr>
          <w:rFonts w:hint="eastAsia" w:ascii="宋体" w:hAnsi="宋体" w:eastAsia="宋体" w:cs="宋体"/>
          <w:color w:val="auto"/>
          <w:lang w:eastAsia="zh-CN"/>
        </w:rPr>
        <w:t>定标</w:t>
      </w:r>
      <w:r>
        <w:rPr>
          <w:rFonts w:hint="eastAsia" w:ascii="宋体" w:hAnsi="宋体" w:eastAsia="宋体" w:cs="宋体"/>
          <w:color w:val="auto"/>
        </w:rPr>
        <w:t>原则</w:t>
      </w:r>
      <w:bookmarkEnd w:id="33"/>
    </w:p>
    <w:p w14:paraId="6CCD8E3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02E9D438">
      <w:pPr>
        <w:pStyle w:val="4"/>
        <w:bidi w:val="0"/>
        <w:ind w:left="0" w:leftChars="0" w:firstLine="0" w:firstLineChars="0"/>
        <w:rPr>
          <w:rFonts w:hint="eastAsia" w:ascii="宋体" w:hAnsi="宋体" w:eastAsia="宋体" w:cs="宋体"/>
          <w:color w:val="auto"/>
          <w:lang w:eastAsia="zh-CN"/>
        </w:rPr>
      </w:pPr>
      <w:bookmarkStart w:id="34" w:name="_Toc16526"/>
      <w:r>
        <w:rPr>
          <w:rFonts w:hint="eastAsia" w:ascii="宋体" w:hAnsi="宋体" w:eastAsia="宋体" w:cs="宋体"/>
          <w:color w:val="auto"/>
          <w:lang w:eastAsia="zh-CN"/>
        </w:rPr>
        <w:t>二</w:t>
      </w:r>
      <w:r>
        <w:rPr>
          <w:rFonts w:hint="eastAsia" w:ascii="宋体" w:hAnsi="宋体" w:eastAsia="宋体" w:cs="宋体"/>
          <w:color w:val="auto"/>
        </w:rPr>
        <w:t>、评标</w:t>
      </w:r>
      <w:r>
        <w:rPr>
          <w:rFonts w:hint="eastAsia" w:ascii="宋体" w:hAnsi="宋体" w:eastAsia="宋体" w:cs="宋体"/>
          <w:color w:val="auto"/>
          <w:lang w:val="en-US" w:eastAsia="zh-CN"/>
        </w:rPr>
        <w:t>定标</w:t>
      </w:r>
      <w:r>
        <w:rPr>
          <w:rFonts w:hint="eastAsia" w:ascii="宋体" w:hAnsi="宋体" w:eastAsia="宋体" w:cs="宋体"/>
          <w:color w:val="auto"/>
          <w:lang w:eastAsia="zh-CN"/>
        </w:rPr>
        <w:t>规则</w:t>
      </w:r>
      <w:bookmarkEnd w:id="34"/>
    </w:p>
    <w:p w14:paraId="44DCEB3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（一）评标委员会应当根据招标文件规定的评标标准和方法，对投标文件进行系统地评审和比较。招标文件中没有规定的标准和方法不得作为评标的依据。评标委员会成员应依照评标办法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独立完成对投标文件的评审，并对评标结果签字确认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评标委员会应依照评标办法规定的工作方法和标准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对各评标委员会成员的评标结果进行汇总。</w:t>
      </w:r>
    </w:p>
    <w:p w14:paraId="7CFDD93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标委员会应当根据招标文件规定的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w:t>
      </w:r>
      <w:r>
        <w:rPr>
          <w:rFonts w:hint="eastAsia" w:ascii="宋体" w:hAnsi="宋体" w:eastAsia="宋体" w:cs="宋体"/>
          <w:b w:val="0"/>
          <w:i w:val="0"/>
          <w:snapToGrid/>
          <w:color w:val="auto"/>
          <w:sz w:val="24"/>
          <w:szCs w:val="24"/>
          <w:highlight w:val="none"/>
          <w:u w:val="none"/>
          <w:shd w:val="clear" w:color="auto" w:fill="FFFFFF"/>
          <w:lang w:eastAsia="zh-CN"/>
        </w:rPr>
        <w:t>对定标候选人</w:t>
      </w:r>
      <w:r>
        <w:rPr>
          <w:rFonts w:hint="eastAsia" w:ascii="宋体" w:hAnsi="宋体" w:eastAsia="宋体" w:cs="宋体"/>
          <w:color w:val="auto"/>
          <w:sz w:val="24"/>
          <w:szCs w:val="24"/>
          <w:highlight w:val="none"/>
        </w:rPr>
        <w:t>进行系统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评审和比较。招标文件中没有规定的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不得作为</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标的依据。</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独立完成对</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color w:val="auto"/>
          <w:sz w:val="24"/>
          <w:szCs w:val="24"/>
          <w:highlight w:val="none"/>
        </w:rPr>
        <w:t>的评审，并对</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对各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标结果进行汇总。</w:t>
      </w:r>
    </w:p>
    <w:p w14:paraId="311BA606">
      <w:pPr>
        <w:pStyle w:val="4"/>
        <w:bidi w:val="0"/>
        <w:ind w:left="0" w:leftChars="0" w:firstLine="0" w:firstLineChars="0"/>
        <w:rPr>
          <w:rFonts w:hint="eastAsia" w:ascii="宋体" w:hAnsi="宋体" w:eastAsia="宋体" w:cs="宋体"/>
          <w:color w:val="auto"/>
          <w:lang w:eastAsia="zh-CN"/>
        </w:rPr>
      </w:pPr>
      <w:bookmarkStart w:id="35" w:name="_Toc28121"/>
      <w:r>
        <w:rPr>
          <w:rFonts w:hint="eastAsia" w:ascii="宋体" w:hAnsi="宋体" w:eastAsia="宋体" w:cs="宋体"/>
          <w:color w:val="auto"/>
          <w:lang w:eastAsia="zh-CN"/>
        </w:rPr>
        <w:t>三、评标细则</w:t>
      </w:r>
      <w:bookmarkEnd w:id="35"/>
    </w:p>
    <w:p w14:paraId="58C3E82A">
      <w:pPr>
        <w:keepNext w:val="0"/>
        <w:keepLines w:val="0"/>
        <w:pageBreakBefore w:val="0"/>
        <w:kinsoku/>
        <w:wordWrap/>
        <w:overflowPunct/>
        <w:topLinePunct w:val="0"/>
        <w:autoSpaceDE/>
        <w:autoSpaceDN/>
        <w:bidi w:val="0"/>
        <w:adjustRightInd/>
        <w:snapToGrid/>
        <w:spacing w:line="400" w:lineRule="exact"/>
        <w:ind w:firstLine="361" w:firstLineChars="15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综合评估法</w:t>
      </w:r>
    </w:p>
    <w:p w14:paraId="10FB065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根据有关法律、法规的相关规定，结合本招标项目资金来源和规模特点，本次招标采用综合评估法进行评标。</w:t>
      </w:r>
    </w:p>
    <w:p w14:paraId="494F9A39">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6" w:name="_Toc9289"/>
      <w:bookmarkStart w:id="37" w:name="_Toc1657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评审范围</w:t>
      </w:r>
      <w:bookmarkEnd w:id="36"/>
      <w:bookmarkEnd w:id="37"/>
    </w:p>
    <w:p w14:paraId="7E22B56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评标委员会应对所有投标人的投标文件进行评审。</w:t>
      </w:r>
    </w:p>
    <w:p w14:paraId="441460E5">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8" w:name="_Toc20456"/>
      <w:bookmarkStart w:id="39" w:name="_Toc17846"/>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初步评审阶段</w:t>
      </w:r>
      <w:bookmarkEnd w:id="38"/>
      <w:bookmarkEnd w:id="39"/>
    </w:p>
    <w:p w14:paraId="7ABA65C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初步评审阶段分为资格评审、形式评审和响应性评审三个环节。</w:t>
      </w:r>
    </w:p>
    <w:p w14:paraId="756FF58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初步评审阶段各个环节否决投标的全部条件，在</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投标否决”</w:t>
      </w:r>
      <w:r>
        <w:rPr>
          <w:rFonts w:hint="eastAsia" w:ascii="宋体" w:hAnsi="宋体" w:eastAsia="宋体" w:cs="宋体"/>
          <w:color w:val="auto"/>
          <w:sz w:val="24"/>
          <w:szCs w:val="24"/>
          <w:highlight w:val="none"/>
        </w:rPr>
        <w:t>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r>
        <w:rPr>
          <w:rFonts w:hint="eastAsia" w:ascii="宋体" w:hAnsi="宋体" w:eastAsia="宋体" w:cs="宋体"/>
          <w:color w:val="auto"/>
          <w:sz w:val="24"/>
          <w:szCs w:val="24"/>
          <w:highlight w:val="none"/>
          <w:lang w:eastAsia="zh-CN"/>
        </w:rPr>
        <w:t>。</w:t>
      </w:r>
    </w:p>
    <w:p w14:paraId="475A89AE">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40" w:name="_Toc17066"/>
      <w:bookmarkStart w:id="41" w:name="_Toc9470"/>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详细评审阶段</w:t>
      </w:r>
      <w:bookmarkEnd w:id="40"/>
      <w:bookmarkEnd w:id="41"/>
    </w:p>
    <w:p w14:paraId="26837231">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评审程序</w:t>
      </w:r>
    </w:p>
    <w:p w14:paraId="0D43D71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评审内容分为商务技术和投标报价两大部分。其中，商务技术合计满分100分，权重为</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%；投标报价满分100分，权重为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%。两大部分权重之和应为100%。</w:t>
      </w:r>
    </w:p>
    <w:p w14:paraId="0222B53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除特别注明外，综合得分以及商务技术得分、投标报价得分的中间过程计算值和最终值，均按“四舍五入”原则精确到两位小数。</w:t>
      </w:r>
    </w:p>
    <w:p w14:paraId="0805A57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（1）商务技术得分M</w:t>
      </w:r>
    </w:p>
    <w:p w14:paraId="61BED95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rPr>
        <w:t>评标委员会按照《综合评分表》商务部分指定的评分标准对各评分因素进行打分。各评分因素得分之和即为某投标人的商务得分M1。</w:t>
      </w:r>
    </w:p>
    <w:p w14:paraId="1C6A1A35">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2。</w:t>
      </w:r>
    </w:p>
    <w:p w14:paraId="6768666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c．M＝M1＋M2</w:t>
      </w:r>
    </w:p>
    <w:p w14:paraId="163C908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式中：M1为某投标人的商务得分，M2为某投标人的技术得分。</w:t>
      </w:r>
    </w:p>
    <w:p w14:paraId="128A50C9">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（2）投标报价得分N</w:t>
      </w:r>
    </w:p>
    <w:p w14:paraId="2E9D3F9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rPr>
        <w:t>评标委员会按照《综合评分表》投标报价部分指定的方法计算评标基准价D。</w:t>
      </w:r>
    </w:p>
    <w:p w14:paraId="695FA17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rPr>
        <w:t>采用内插法计算某投标人的投标报价得分N，即当投标人的投标总价等于评标基准价时得100分，每高于评标基准价一个百分点扣1分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每低于评标基准价一个百分点扣0.5分，扣完为止。公式如下：</w:t>
      </w:r>
    </w:p>
    <w:p w14:paraId="4D1FE51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|Di</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D|÷D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×100×E</w:t>
      </w:r>
    </w:p>
    <w:p w14:paraId="1FFD5F4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式中：D为评标基准价；Di为某投标人的投标总价；E为扣分因子，当Di＞D时，E＝1；当Di＜D时，E＝0.5。</w:t>
      </w:r>
    </w:p>
    <w:p w14:paraId="15B4A52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（3）综合得分</w:t>
      </w:r>
    </w:p>
    <w:p w14:paraId="3EADCC8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综合得分换算为百分制，满分100分，公式如下：</w:t>
      </w:r>
    </w:p>
    <w:p w14:paraId="3AEDB97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综合得分＝M÷商务技术合计满分×100×商务技术权重＋N×投标报价权重</w:t>
      </w:r>
    </w:p>
    <w:p w14:paraId="4A07850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式中：M为商务技术得分，N为投标报价得分。</w:t>
      </w:r>
    </w:p>
    <w:p w14:paraId="2A53C32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评标委员会根据招标文件规定的评分细则，对招标文件中的各评审因素进行评审、比较、打分，将得分前5名不排序（按企业统一社会信用代码后4位大小排位）</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w:t>
      </w:r>
    </w:p>
    <w:p w14:paraId="0DFD3D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定标候选人得分只作为评标委员会的推荐依据，不作为定标委员会对中标候选人排序的依据。</w:t>
      </w:r>
      <w:r>
        <w:rPr>
          <w:rFonts w:hint="eastAsia" w:ascii="宋体" w:hAnsi="宋体" w:eastAsia="宋体" w:cs="宋体"/>
          <w:color w:val="auto"/>
          <w:sz w:val="24"/>
          <w:szCs w:val="24"/>
          <w:highlight w:val="none"/>
          <w:lang w:val="en-US" w:eastAsia="zh-CN"/>
        </w:rPr>
        <w:t>当有效投标人数量不足5名但满足法定要求时，所有通过评审的有效投标人均应作为定标候选人。</w:t>
      </w:r>
    </w:p>
    <w:p w14:paraId="2BC4C1F0">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否决投标说明</w:t>
      </w:r>
    </w:p>
    <w:p w14:paraId="556494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详细评审阶段否决投标的全部条件，在“第二章 投标人须知”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“（二）投标否决”集中列示。投标人有其中所列任何一种情形的，由评标委员会否决其投标。经详细评审后，有效投标人数量不足3个时，招标人应依法重新组织招标。</w:t>
      </w:r>
    </w:p>
    <w:p w14:paraId="289A95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注：投标人在详细评审阶段根据评分方法提供的佐证材料，其合法性、有效性和准确性不符合要求的，有关量化因素（或评分标准）的折算、调整（或评分）按相应量化标准（或评分标准）处理，但不否决投标。</w:t>
      </w:r>
    </w:p>
    <w:p w14:paraId="449DEC17">
      <w:pPr>
        <w:pStyle w:val="13"/>
        <w:widowControl w:val="0"/>
        <w:numPr>
          <w:ilvl w:val="0"/>
          <w:numId w:val="0"/>
        </w:numPr>
        <w:jc w:val="both"/>
        <w:rPr>
          <w:rFonts w:hint="eastAsia" w:ascii="宋体" w:hAnsi="宋体" w:eastAsia="宋体" w:cs="宋体"/>
          <w:color w:val="auto"/>
          <w:highlight w:val="none"/>
        </w:rPr>
      </w:pPr>
    </w:p>
    <w:p w14:paraId="0BAD0D6E">
      <w:pPr>
        <w:pStyle w:val="13"/>
        <w:widowControl w:val="0"/>
        <w:numPr>
          <w:ilvl w:val="0"/>
          <w:numId w:val="0"/>
        </w:numPr>
        <w:jc w:val="both"/>
        <w:rPr>
          <w:rFonts w:hint="eastAsia" w:ascii="宋体" w:hAnsi="宋体" w:eastAsia="宋体" w:cs="宋体"/>
          <w:color w:val="auto"/>
          <w:highlight w:val="none"/>
        </w:rPr>
      </w:pPr>
    </w:p>
    <w:p w14:paraId="57F191B9">
      <w:pPr>
        <w:pStyle w:val="13"/>
        <w:widowControl w:val="0"/>
        <w:numPr>
          <w:ilvl w:val="0"/>
          <w:numId w:val="0"/>
        </w:numPr>
        <w:jc w:val="both"/>
        <w:rPr>
          <w:rFonts w:hint="eastAsia" w:ascii="宋体" w:hAnsi="宋体" w:eastAsia="宋体" w:cs="宋体"/>
          <w:color w:val="auto"/>
          <w:highlight w:val="none"/>
        </w:rPr>
      </w:pPr>
    </w:p>
    <w:p w14:paraId="440A47E3">
      <w:pPr>
        <w:pStyle w:val="13"/>
        <w:widowControl w:val="0"/>
        <w:numPr>
          <w:ilvl w:val="0"/>
          <w:numId w:val="0"/>
        </w:numPr>
        <w:jc w:val="both"/>
        <w:rPr>
          <w:rFonts w:hint="eastAsia" w:ascii="宋体" w:hAnsi="宋体" w:eastAsia="宋体" w:cs="宋体"/>
          <w:color w:val="auto"/>
          <w:highlight w:val="none"/>
        </w:rPr>
      </w:pPr>
    </w:p>
    <w:p w14:paraId="2649B807">
      <w:pPr>
        <w:pStyle w:val="13"/>
        <w:widowControl w:val="0"/>
        <w:numPr>
          <w:ilvl w:val="0"/>
          <w:numId w:val="0"/>
        </w:numPr>
        <w:jc w:val="both"/>
        <w:rPr>
          <w:rFonts w:hint="eastAsia" w:ascii="宋体" w:hAnsi="宋体" w:eastAsia="宋体" w:cs="宋体"/>
          <w:color w:val="auto"/>
          <w:highlight w:val="none"/>
        </w:rPr>
      </w:pPr>
    </w:p>
    <w:p w14:paraId="2F6630E4">
      <w:pPr>
        <w:keepNext w:val="0"/>
        <w:keepLines w:val="0"/>
        <w:pageBreakBefore w:val="0"/>
        <w:widowControl/>
        <w:kinsoku/>
        <w:wordWrap w:val="0"/>
        <w:overflowPunct/>
        <w:topLinePunct w:val="0"/>
        <w:autoSpaceDE/>
        <w:autoSpaceDN/>
        <w:bidi w:val="0"/>
        <w:adjustRightInd w:val="0"/>
        <w:snapToGrid w:val="0"/>
        <w:spacing w:line="240" w:lineRule="auto"/>
        <w:ind w:firstLine="602" w:firstLineChars="200"/>
        <w:jc w:val="center"/>
        <w:textAlignment w:val="baseline"/>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t>综合评分表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3933"/>
        <w:gridCol w:w="4707"/>
      </w:tblGrid>
      <w:tr w14:paraId="005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1AB8A4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商务部分，满分：80分。</w:t>
            </w:r>
          </w:p>
        </w:tc>
      </w:tr>
      <w:tr w14:paraId="371F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1F6DAF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评分因素</w:t>
            </w:r>
          </w:p>
        </w:tc>
        <w:tc>
          <w:tcPr>
            <w:tcW w:w="3933" w:type="dxa"/>
            <w:vAlign w:val="center"/>
          </w:tcPr>
          <w:p w14:paraId="599A14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评分标准</w:t>
            </w:r>
          </w:p>
        </w:tc>
        <w:tc>
          <w:tcPr>
            <w:tcW w:w="4707" w:type="dxa"/>
            <w:vAlign w:val="center"/>
          </w:tcPr>
          <w:p w14:paraId="3AB2F1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p>
        </w:tc>
      </w:tr>
      <w:tr w14:paraId="0842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47A69B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企业奖项</w:t>
            </w:r>
          </w:p>
          <w:p w14:paraId="4D5172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（10分）</w:t>
            </w:r>
          </w:p>
        </w:tc>
        <w:tc>
          <w:tcPr>
            <w:tcW w:w="3933" w:type="dxa"/>
            <w:shd w:val="clear" w:color="auto" w:fill="auto"/>
            <w:vAlign w:val="center"/>
          </w:tcPr>
          <w:p w14:paraId="146E391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企业近</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年来（</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rPr>
              <w:t>年1月1日至今）获得房屋建筑类奖项情况：</w:t>
            </w:r>
          </w:p>
          <w:p w14:paraId="16342A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获得国家级奖项的，每个得10分。</w:t>
            </w:r>
          </w:p>
          <w:p w14:paraId="73E3FE2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获得省级奖项的，每个得7分。</w:t>
            </w:r>
          </w:p>
          <w:p w14:paraId="52FB4B3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获得地市级奖项的，每个得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254F918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以上奖项均未获得的，不予计分。</w:t>
            </w:r>
          </w:p>
          <w:p w14:paraId="44937F4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本项最高得10分。</w:t>
            </w:r>
          </w:p>
        </w:tc>
        <w:tc>
          <w:tcPr>
            <w:tcW w:w="4707" w:type="dxa"/>
            <w:shd w:val="clear" w:color="auto" w:fill="auto"/>
            <w:vAlign w:val="center"/>
          </w:tcPr>
          <w:p w14:paraId="6E2CFD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允许投标人提交多个业绩，但同一业绩只按最高级别奖项计分一次。</w:t>
            </w:r>
          </w:p>
          <w:p w14:paraId="3A6E5FD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需附有关奖项证明扫描件（奖项为电子证书的除外）。</w:t>
            </w:r>
          </w:p>
          <w:p w14:paraId="12EC5B3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颁发机构限定以下范围：</w:t>
            </w:r>
          </w:p>
          <w:p w14:paraId="21A4C0E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①国家级奖项：国务院、住建部、中国建筑业协会、中国市政工程协会、中国土木工程学会、中国施工企业管理协会；（相关协会需经民政部门备案）</w:t>
            </w:r>
          </w:p>
          <w:p w14:paraId="13FD5D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②省级奖项：省级人民政府、省级住建部门、省级建筑业协会、省建筑安全协会、省级市政行业协会；（相关协会需经民政部门备案）</w:t>
            </w:r>
          </w:p>
          <w:p w14:paraId="554EE5C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③地市级奖项：地市级人民政府、地市级住建部门、地市级建筑协会、地市级市政行业协会、地市级建筑业联合会。（相关协会需经民政部门备案）</w:t>
            </w:r>
          </w:p>
          <w:p w14:paraId="3EB6F31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获奖时间以奖项证明的落款日期为准。</w:t>
            </w:r>
          </w:p>
          <w:p w14:paraId="3E6F044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任一奖项有以下情形之一的，该奖项视为无效，不予计分：</w:t>
            </w:r>
          </w:p>
          <w:p w14:paraId="0F5C82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①奖项不属于指定类别的；</w:t>
            </w:r>
          </w:p>
          <w:p w14:paraId="177A1B1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②颁发机构不符合要求的；</w:t>
            </w:r>
          </w:p>
          <w:p w14:paraId="67B9D2D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③获奖时间不符合要求的。</w:t>
            </w:r>
          </w:p>
        </w:tc>
      </w:tr>
      <w:tr w14:paraId="6CFD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16ACCF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项目经理综合素质</w:t>
            </w:r>
          </w:p>
          <w:p w14:paraId="0E343B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（10分）</w:t>
            </w:r>
          </w:p>
        </w:tc>
        <w:tc>
          <w:tcPr>
            <w:tcW w:w="3933" w:type="dxa"/>
            <w:shd w:val="clear" w:color="auto" w:fill="auto"/>
            <w:vAlign w:val="center"/>
          </w:tcPr>
          <w:p w14:paraId="27A6CDF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项目经理工程类技术职称情况：</w:t>
            </w:r>
          </w:p>
          <w:p w14:paraId="33422AF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具备工程师或以上职称的，得10分。</w:t>
            </w:r>
          </w:p>
          <w:p w14:paraId="6067ED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具备助理工程师职称的，得5分。</w:t>
            </w:r>
          </w:p>
          <w:p w14:paraId="529ED3B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不具备以上职称的，或未提供职称证</w:t>
            </w:r>
            <w:r>
              <w:rPr>
                <w:rFonts w:hint="eastAsia" w:ascii="宋体" w:hAnsi="宋体" w:eastAsia="宋体" w:cs="宋体"/>
                <w:color w:val="auto"/>
                <w:sz w:val="24"/>
                <w:szCs w:val="24"/>
                <w:lang w:eastAsia="zh-CN"/>
              </w:rPr>
              <w:t>扫描件</w:t>
            </w:r>
            <w:r>
              <w:rPr>
                <w:rFonts w:hint="eastAsia" w:ascii="宋体" w:hAnsi="宋体" w:eastAsia="宋体" w:cs="宋体"/>
                <w:color w:val="auto"/>
                <w:sz w:val="24"/>
                <w:szCs w:val="24"/>
              </w:rPr>
              <w:t>的，不予计分。</w:t>
            </w:r>
          </w:p>
          <w:p w14:paraId="0949CFF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4.本项最高得10分。</w:t>
            </w:r>
          </w:p>
        </w:tc>
        <w:tc>
          <w:tcPr>
            <w:tcW w:w="4707" w:type="dxa"/>
            <w:shd w:val="clear" w:color="auto" w:fill="auto"/>
            <w:vAlign w:val="center"/>
          </w:tcPr>
          <w:p w14:paraId="2B0252D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需附职称证彩色扫描件（职称证为电子证书打印件的除外）。</w:t>
            </w:r>
          </w:p>
        </w:tc>
      </w:tr>
      <w:tr w14:paraId="3A62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036856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1F4298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（10分）</w:t>
            </w:r>
          </w:p>
        </w:tc>
        <w:tc>
          <w:tcPr>
            <w:tcW w:w="3933" w:type="dxa"/>
            <w:shd w:val="clear" w:color="auto" w:fill="auto"/>
            <w:vAlign w:val="center"/>
          </w:tcPr>
          <w:p w14:paraId="4EC651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企业近5年来（</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月1日至今）业绩情况：</w:t>
            </w:r>
          </w:p>
          <w:p w14:paraId="3E394FE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承接过类似工程的，每个得5分。</w:t>
            </w:r>
          </w:p>
          <w:p w14:paraId="6579AA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未承接过类似工程的，不予计分。</w:t>
            </w:r>
          </w:p>
          <w:p w14:paraId="77B7BB8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本项最高得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4707" w:type="dxa"/>
            <w:shd w:val="clear" w:color="auto" w:fill="auto"/>
            <w:vAlign w:val="center"/>
          </w:tcPr>
          <w:p w14:paraId="58473A6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类似工程指：</w:t>
            </w:r>
            <w:r>
              <w:rPr>
                <w:rFonts w:hint="eastAsia" w:ascii="宋体" w:hAnsi="宋体" w:eastAsia="宋体" w:cs="宋体"/>
                <w:color w:val="auto"/>
                <w:sz w:val="24"/>
                <w:szCs w:val="24"/>
                <w:lang w:val="en-US" w:eastAsia="zh-CN"/>
              </w:rPr>
              <w:t>房屋建筑类</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w:t>
            </w:r>
          </w:p>
          <w:p w14:paraId="3EDED2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需附有关业绩合同协议书彩色扫描件。</w:t>
            </w:r>
          </w:p>
          <w:p w14:paraId="34DEBC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业绩时间以合同协议书日期为准。</w:t>
            </w:r>
          </w:p>
          <w:p w14:paraId="0D2D793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任一业绩有以下情形之一的，该业绩视为无效，不予计分：</w:t>
            </w:r>
          </w:p>
          <w:p w14:paraId="70947F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①业绩不属于类似工程的；</w:t>
            </w:r>
          </w:p>
          <w:p w14:paraId="61489986">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②业绩时间不符合要求的</w:t>
            </w:r>
            <w:r>
              <w:rPr>
                <w:rFonts w:hint="eastAsia" w:ascii="宋体" w:hAnsi="宋体" w:eastAsia="宋体" w:cs="宋体"/>
                <w:color w:val="auto"/>
                <w:sz w:val="24"/>
                <w:szCs w:val="24"/>
                <w:lang w:eastAsia="zh-CN"/>
              </w:rPr>
              <w:t>。</w:t>
            </w:r>
          </w:p>
        </w:tc>
      </w:tr>
      <w:tr w14:paraId="3C92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6C07F12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企业银行资信评级</w:t>
            </w:r>
          </w:p>
          <w:p w14:paraId="00170BB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tc>
        <w:tc>
          <w:tcPr>
            <w:tcW w:w="3933" w:type="dxa"/>
            <w:shd w:val="clear" w:color="auto" w:fill="auto"/>
            <w:vAlign w:val="center"/>
          </w:tcPr>
          <w:p w14:paraId="784B762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1.银行资信评级AAA的，得10分；</w:t>
            </w:r>
          </w:p>
          <w:p w14:paraId="4D93F3B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2.银行资信评级AA（含AA＋、AA－）的，得5分。</w:t>
            </w:r>
          </w:p>
          <w:p w14:paraId="04B7254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3.银行资信评级A（含A＋、A－）的，得3分。</w:t>
            </w:r>
          </w:p>
          <w:p w14:paraId="3DFE2C2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4.未获得过以上评级的，或评级证书无效的，不予计分。</w:t>
            </w:r>
          </w:p>
          <w:p w14:paraId="1E5371A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注：本项最高得10分。</w:t>
            </w:r>
          </w:p>
        </w:tc>
        <w:tc>
          <w:tcPr>
            <w:tcW w:w="4707" w:type="dxa"/>
            <w:shd w:val="clear" w:color="auto" w:fill="auto"/>
            <w:vAlign w:val="center"/>
          </w:tcPr>
          <w:p w14:paraId="46BDEA5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1.需附在有效期内的资信评级证书（证明）彩色扫描件。</w:t>
            </w:r>
          </w:p>
          <w:p w14:paraId="4C8328F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2.评级证书（证明）须由企业基本账户开户银行/</w:t>
            </w:r>
            <w:r>
              <w:rPr>
                <w:rFonts w:hint="eastAsia" w:ascii="宋体" w:hAnsi="宋体" w:eastAsia="宋体" w:cs="宋体"/>
                <w:color w:val="auto"/>
                <w:sz w:val="24"/>
                <w:szCs w:val="24"/>
              </w:rPr>
              <w:t>市级或以上金融机构</w:t>
            </w:r>
            <w:r>
              <w:rPr>
                <w:rFonts w:hint="eastAsia" w:ascii="宋体" w:hAnsi="宋体" w:eastAsia="宋体" w:cs="宋体"/>
                <w:color w:val="auto"/>
                <w:sz w:val="24"/>
                <w:szCs w:val="24"/>
                <w:lang w:val="en-US" w:eastAsia="zh-CN"/>
              </w:rPr>
              <w:t>出具。</w:t>
            </w:r>
          </w:p>
          <w:p w14:paraId="363B27E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3.评级证书（证明）有以下情形之一的，视为无效：</w:t>
            </w:r>
          </w:p>
          <w:p w14:paraId="6E3E589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①评级证书（证明）不在有效期内的；</w:t>
            </w:r>
          </w:p>
          <w:p w14:paraId="3470E7D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②出具机构不符合要求的。</w:t>
            </w:r>
          </w:p>
        </w:tc>
      </w:tr>
      <w:tr w14:paraId="268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4C044D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企业管理体系认证</w:t>
            </w:r>
          </w:p>
          <w:p w14:paraId="6F7FB2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（6分）</w:t>
            </w:r>
          </w:p>
        </w:tc>
        <w:tc>
          <w:tcPr>
            <w:tcW w:w="3933" w:type="dxa"/>
            <w:shd w:val="clear" w:color="auto" w:fill="auto"/>
            <w:vAlign w:val="center"/>
          </w:tcPr>
          <w:p w14:paraId="50A4387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质量管理体系认证、职业健康安全管理体系认证、环境管理体系认证中，每获得1项认证得2分，最高得6分。</w:t>
            </w:r>
          </w:p>
          <w:p w14:paraId="01764F3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未获得以上认证的，不予计分。</w:t>
            </w:r>
          </w:p>
          <w:p w14:paraId="4F984A98">
            <w:pPr>
              <w:keepNext w:val="0"/>
              <w:keepLines w:val="0"/>
              <w:suppressLineNumbers w:val="0"/>
              <w:spacing w:before="0" w:beforeAutospacing="0" w:after="0" w:afterAutospacing="0" w:line="360" w:lineRule="auto"/>
              <w:ind w:left="0" w:right="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3.本项最高得6分。</w:t>
            </w:r>
          </w:p>
        </w:tc>
        <w:tc>
          <w:tcPr>
            <w:tcW w:w="4707" w:type="dxa"/>
            <w:shd w:val="clear" w:color="auto" w:fill="auto"/>
            <w:vAlign w:val="center"/>
          </w:tcPr>
          <w:p w14:paraId="426E257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1.需附有效期内的认证证书彩色扫描件。</w:t>
            </w:r>
          </w:p>
          <w:p w14:paraId="0AA5D58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2.任一认证证书有以下情形之一的，该认证证书视为无效，不予计分：</w:t>
            </w:r>
          </w:p>
          <w:p w14:paraId="2A8C6BF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①认证证书不在有效期内的。</w:t>
            </w:r>
          </w:p>
        </w:tc>
      </w:tr>
      <w:tr w14:paraId="113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3905F0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企业财务状况</w:t>
            </w:r>
          </w:p>
          <w:p w14:paraId="156D70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分）</w:t>
            </w:r>
          </w:p>
        </w:tc>
        <w:tc>
          <w:tcPr>
            <w:tcW w:w="3933" w:type="dxa"/>
            <w:shd w:val="clear" w:color="auto" w:fill="auto"/>
            <w:vAlign w:val="center"/>
          </w:tcPr>
          <w:p w14:paraId="5EEC74A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1.提供不少于100万元银行授信证明的，得5分。</w:t>
            </w:r>
          </w:p>
          <w:p w14:paraId="36FAF2A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提供投标人基本账户在本项目招标公告发布之日起至投标截止时间期间出现过至少连续3日不少于</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万元存款余额资金流水证明的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得9分</w:t>
            </w:r>
            <w:r>
              <w:rPr>
                <w:rFonts w:hint="eastAsia" w:ascii="宋体" w:hAnsi="宋体" w:eastAsia="宋体" w:cs="宋体"/>
                <w:color w:val="auto"/>
                <w:sz w:val="24"/>
                <w:szCs w:val="24"/>
                <w:lang w:eastAsia="zh-CN"/>
              </w:rPr>
              <w:t>。</w:t>
            </w:r>
          </w:p>
          <w:p w14:paraId="6F36FED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3.本项最高得14分。</w:t>
            </w:r>
          </w:p>
        </w:tc>
        <w:tc>
          <w:tcPr>
            <w:tcW w:w="4707" w:type="dxa"/>
            <w:shd w:val="clear" w:color="auto" w:fill="auto"/>
            <w:vAlign w:val="center"/>
          </w:tcPr>
          <w:p w14:paraId="1155482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需附在有效期内的有关证明彩色扫描件（或打印件）。</w:t>
            </w:r>
          </w:p>
          <w:p w14:paraId="34F3FA3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2.银行授信证明有以下情形之一的，视为无效，不予计分：</w:t>
            </w:r>
          </w:p>
          <w:p w14:paraId="5FA25F3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①授信证明不在有效期内的；</w:t>
            </w:r>
          </w:p>
          <w:p w14:paraId="1A54D2B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②授信额度不符合要求的；</w:t>
            </w:r>
          </w:p>
          <w:p w14:paraId="711E22C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存款余额资金流水证明有以下情形之一的，视为无效，不予计分：</w:t>
            </w:r>
          </w:p>
          <w:p w14:paraId="6D9136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①存款账户不是基本账户的；</w:t>
            </w:r>
          </w:p>
          <w:p w14:paraId="5A9F37A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②存款时间不符合要求的；</w:t>
            </w:r>
          </w:p>
          <w:p w14:paraId="2D5E156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③存款额度不符合要求的。</w:t>
            </w:r>
          </w:p>
        </w:tc>
      </w:tr>
      <w:tr w14:paraId="595D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698E79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企业税收情况</w:t>
            </w:r>
          </w:p>
          <w:p w14:paraId="2AE80B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3933" w:type="dxa"/>
            <w:shd w:val="clear" w:color="auto" w:fill="auto"/>
            <w:vAlign w:val="center"/>
          </w:tcPr>
          <w:p w14:paraId="07E334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1.2021年至今企业连续5年获得纳税信用A级或以上纳税人的，得5分。</w:t>
            </w:r>
          </w:p>
          <w:p w14:paraId="03E6627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2.本项最高得5分。</w:t>
            </w:r>
          </w:p>
        </w:tc>
        <w:tc>
          <w:tcPr>
            <w:tcW w:w="4707" w:type="dxa"/>
            <w:shd w:val="clear" w:color="auto" w:fill="auto"/>
            <w:vAlign w:val="center"/>
          </w:tcPr>
          <w:p w14:paraId="22A6BEE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必须提供企业纳税信用</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级</w:t>
            </w:r>
            <w:r>
              <w:rPr>
                <w:rFonts w:hint="eastAsia" w:ascii="宋体" w:hAnsi="宋体" w:eastAsia="宋体" w:cs="宋体"/>
                <w:color w:val="auto"/>
                <w:sz w:val="24"/>
                <w:szCs w:val="24"/>
                <w:lang w:val="en-US" w:eastAsia="zh-CN"/>
              </w:rPr>
              <w:t>或以上</w:t>
            </w:r>
            <w:r>
              <w:rPr>
                <w:rFonts w:hint="eastAsia" w:ascii="宋体" w:hAnsi="宋体" w:eastAsia="宋体" w:cs="宋体"/>
                <w:color w:val="auto"/>
                <w:sz w:val="24"/>
                <w:szCs w:val="24"/>
              </w:rPr>
              <w:t>纳税人证明材料（或证书）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否则不得分。</w:t>
            </w:r>
          </w:p>
          <w:p w14:paraId="5916774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只计算投标人自身（不计算投标人的分公司、子公司及分支机构）</w:t>
            </w:r>
            <w:r>
              <w:rPr>
                <w:rFonts w:hint="eastAsia" w:ascii="宋体" w:hAnsi="宋体" w:eastAsia="宋体" w:cs="宋体"/>
                <w:color w:val="auto"/>
                <w:sz w:val="24"/>
                <w:szCs w:val="24"/>
                <w:lang w:eastAsia="zh-CN"/>
              </w:rPr>
              <w:t>。</w:t>
            </w:r>
          </w:p>
        </w:tc>
      </w:tr>
      <w:tr w14:paraId="2378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vAlign w:val="center"/>
          </w:tcPr>
          <w:p w14:paraId="6495FA55">
            <w:pPr>
              <w:pStyle w:val="36"/>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招标人</w:t>
            </w:r>
          </w:p>
          <w:p w14:paraId="248E9EC1">
            <w:pPr>
              <w:pStyle w:val="36"/>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自选项</w:t>
            </w:r>
          </w:p>
          <w:p w14:paraId="0DBDF3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15分</w:t>
            </w:r>
            <w:r>
              <w:rPr>
                <w:rFonts w:hint="eastAsia" w:ascii="宋体" w:hAnsi="宋体" w:eastAsia="宋体" w:cs="宋体"/>
                <w:snapToGrid w:val="0"/>
                <w:color w:val="auto"/>
                <w:kern w:val="0"/>
                <w:sz w:val="24"/>
                <w:szCs w:val="24"/>
                <w:highlight w:val="none"/>
                <w:lang w:eastAsia="zh-CN"/>
              </w:rPr>
              <w:t>）</w:t>
            </w:r>
          </w:p>
        </w:tc>
        <w:tc>
          <w:tcPr>
            <w:tcW w:w="3933" w:type="dxa"/>
            <w:shd w:val="clear" w:color="auto" w:fill="auto"/>
            <w:vAlign w:val="center"/>
          </w:tcPr>
          <w:p w14:paraId="63ABD8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1.近5年来（2021年01月01日至今）投标人未发生事故等级为一般事故及以上的生产安全事故、一般质量事故及以上的工程质量事故的，得5分；</w:t>
            </w:r>
          </w:p>
          <w:p w14:paraId="617A9F6C">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2.其他情形的，不予计分。</w:t>
            </w:r>
          </w:p>
        </w:tc>
        <w:tc>
          <w:tcPr>
            <w:tcW w:w="4707" w:type="dxa"/>
            <w:shd w:val="clear" w:color="auto" w:fill="auto"/>
            <w:vAlign w:val="center"/>
          </w:tcPr>
          <w:p w14:paraId="1C0BF0A3">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需提供本单位承诺书（格式自定）并加盖本单位公章。未提供本单位承诺书并加盖本单位公章的，按第2项标准处理。</w:t>
            </w:r>
          </w:p>
        </w:tc>
      </w:tr>
      <w:tr w14:paraId="5238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14:paraId="4A6427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p>
        </w:tc>
        <w:tc>
          <w:tcPr>
            <w:tcW w:w="3933" w:type="dxa"/>
            <w:shd w:val="clear" w:color="auto" w:fill="auto"/>
            <w:vAlign w:val="center"/>
          </w:tcPr>
          <w:p w14:paraId="220D3E0C">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1.投标人从2021年至今获得省级/国级“AAA级信用企业”称号的得3分，超过1年的，每增加一年加2分，满分得5分。</w:t>
            </w:r>
          </w:p>
          <w:p w14:paraId="3767C29D">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2.本项最高得5分。</w:t>
            </w:r>
          </w:p>
        </w:tc>
        <w:tc>
          <w:tcPr>
            <w:tcW w:w="4707" w:type="dxa"/>
            <w:shd w:val="clear" w:color="auto" w:fill="auto"/>
            <w:vAlign w:val="center"/>
          </w:tcPr>
          <w:p w14:paraId="4F9F5B49">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1.需附相关证书彩色扫描件。</w:t>
            </w:r>
          </w:p>
          <w:p w14:paraId="15DBFDDE">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2.证书须由省级/国级企业联合会和企业家协会（需经民政局备案）同时颁发。</w:t>
            </w:r>
          </w:p>
          <w:p w14:paraId="3DD44502">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3.颁发机构、获奖时间不符合评分标准和各注规定的，不予得分。</w:t>
            </w:r>
          </w:p>
        </w:tc>
      </w:tr>
      <w:tr w14:paraId="7712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14:paraId="4B2990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p>
        </w:tc>
        <w:tc>
          <w:tcPr>
            <w:tcW w:w="3933" w:type="dxa"/>
            <w:shd w:val="clear" w:color="auto" w:fill="auto"/>
            <w:vAlign w:val="center"/>
          </w:tcPr>
          <w:p w14:paraId="7A2CA298">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bookmarkStart w:id="144" w:name="_GoBack"/>
            <w:r>
              <w:rPr>
                <w:rFonts w:hint="eastAsia" w:ascii="宋体" w:hAnsi="宋体" w:eastAsia="宋体" w:cs="宋体"/>
                <w:color w:val="auto"/>
                <w:kern w:val="0"/>
                <w:sz w:val="24"/>
                <w:szCs w:val="24"/>
                <w:highlight w:val="none"/>
                <w:lang w:val="en-US" w:eastAsia="zh-CN"/>
              </w:rPr>
              <w:t>1.企业从2021年至今获得过省级或以上商业联合会颁发的诚信兴商证书的得5分。</w:t>
            </w:r>
          </w:p>
          <w:p w14:paraId="33CFBA55">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2.其他情形的，不予计分。</w:t>
            </w:r>
          </w:p>
          <w:p w14:paraId="78B89726">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3.本项最高得5分。</w:t>
            </w:r>
            <w:bookmarkEnd w:id="144"/>
          </w:p>
        </w:tc>
        <w:tc>
          <w:tcPr>
            <w:tcW w:w="4707" w:type="dxa"/>
            <w:shd w:val="clear" w:color="auto" w:fill="auto"/>
            <w:vAlign w:val="center"/>
          </w:tcPr>
          <w:p w14:paraId="7501615A">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1.证书由省级或以上商业联合会颁发，须提供有关证书彩色扫描件。</w:t>
            </w:r>
          </w:p>
          <w:p w14:paraId="7A40757B">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2.颁发机构不符合要求的，按第2项标准处理。</w:t>
            </w:r>
          </w:p>
        </w:tc>
      </w:tr>
      <w:tr w14:paraId="6FDA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2E75F8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技术部分（施工组织设计），满分：20分。</w:t>
            </w:r>
          </w:p>
        </w:tc>
      </w:tr>
      <w:tr w14:paraId="2F91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01D836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评分因素</w:t>
            </w:r>
          </w:p>
        </w:tc>
        <w:tc>
          <w:tcPr>
            <w:tcW w:w="3933" w:type="dxa"/>
            <w:vAlign w:val="center"/>
          </w:tcPr>
          <w:p w14:paraId="7FBBC1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评分标准</w:t>
            </w:r>
          </w:p>
        </w:tc>
        <w:tc>
          <w:tcPr>
            <w:tcW w:w="4707" w:type="dxa"/>
            <w:vAlign w:val="center"/>
          </w:tcPr>
          <w:p w14:paraId="097E42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p>
        </w:tc>
      </w:tr>
      <w:tr w14:paraId="5757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223F917E">
            <w:pPr>
              <w:pStyle w:val="38"/>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总体概述</w:t>
            </w:r>
          </w:p>
          <w:p w14:paraId="6F542671">
            <w:pPr>
              <w:pStyle w:val="9"/>
              <w:keepNext w:val="0"/>
              <w:keepLines w:val="0"/>
              <w:widowControl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46936B96">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55228F61">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9734E11">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123B509C">
            <w:pPr>
              <w:pStyle w:val="9"/>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215CF74A">
            <w:pPr>
              <w:pStyle w:val="9"/>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【优】对项目总体有深刻认识，表述清晰、完整、严谨、合理，措施先进、具体、有效、成熟，采用了新技术、新工艺、新材料、新设备；施工段划分呼应总体表述，划分清晰、合理，符合规范要求。</w:t>
            </w:r>
          </w:p>
          <w:p w14:paraId="19B6FA41">
            <w:pPr>
              <w:pStyle w:val="9"/>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【良】对项目总体有一定认识，表述清晰、完整，措施具体有效；施工段划分呼应总体表述，划分清晰，符合规范要求。</w:t>
            </w:r>
          </w:p>
          <w:p w14:paraId="348D4193">
            <w:pPr>
              <w:pStyle w:val="9"/>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【中】对项目总体有认识，有一定的措施但部分不具体；施工段划分较合理，符合规范要求。</w:t>
            </w:r>
          </w:p>
          <w:p w14:paraId="3FD34976">
            <w:pPr>
              <w:pStyle w:val="9"/>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【差】对项目认识不足，表述不清晰，措施不具体；施工段划分不合理。</w:t>
            </w:r>
          </w:p>
        </w:tc>
      </w:tr>
      <w:tr w14:paraId="0326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3B9C6864">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施工总进度计划及保证措施</w:t>
            </w:r>
          </w:p>
          <w:p w14:paraId="6136E2C1">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39A2C0E6">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6F6698DC">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437BC00">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4B92279">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08798AB0">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【优】关键线路清晰、准确、完整，计划编制合理、可行。关键节点的控制措施有力、合理、可行。人、材、机需求和进场计划与进度计划相呼应，较</w:t>
            </w:r>
            <w:r>
              <w:rPr>
                <w:rFonts w:hint="eastAsia" w:ascii="宋体" w:hAnsi="宋体" w:eastAsia="宋体" w:cs="宋体"/>
                <w:snapToGrid w:val="0"/>
                <w:color w:val="auto"/>
                <w:kern w:val="0"/>
                <w:sz w:val="24"/>
                <w:szCs w:val="24"/>
                <w:highlight w:val="none"/>
                <w:lang w:eastAsia="zh-CN"/>
              </w:rPr>
              <w:t>好地</w:t>
            </w:r>
            <w:r>
              <w:rPr>
                <w:rFonts w:hint="eastAsia" w:ascii="宋体" w:hAnsi="宋体" w:eastAsia="宋体" w:cs="宋体"/>
                <w:snapToGrid w:val="0"/>
                <w:color w:val="auto"/>
                <w:kern w:val="0"/>
                <w:sz w:val="24"/>
                <w:szCs w:val="24"/>
                <w:highlight w:val="none"/>
              </w:rPr>
              <w:t>满足施工需要，调配投入计划合理、准确。进度违约责任承诺具体，</w:t>
            </w:r>
            <w:r>
              <w:rPr>
                <w:rFonts w:hint="eastAsia" w:ascii="宋体" w:hAnsi="宋体" w:eastAsia="宋体" w:cs="宋体"/>
                <w:b/>
                <w:bCs/>
                <w:snapToGrid w:val="0"/>
                <w:color w:val="auto"/>
                <w:kern w:val="0"/>
                <w:sz w:val="24"/>
                <w:szCs w:val="24"/>
                <w:highlight w:val="none"/>
              </w:rPr>
              <w:t>经济赔偿合理。</w:t>
            </w:r>
          </w:p>
          <w:p w14:paraId="6995C220">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rPr>
              <w:t>经济赔偿较合理。</w:t>
            </w:r>
          </w:p>
          <w:p w14:paraId="3DF7CEDD">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14:paraId="3533F710">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【差】关键线路不准确，计划编制不合理。关键节点的控制不可行。人、材、机需求和进场计划与进度计划不相呼应，不能满足施工需要。没有违约责任承诺。</w:t>
            </w:r>
          </w:p>
        </w:tc>
      </w:tr>
      <w:tr w14:paraId="0ECF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090A9747">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质量保证措施</w:t>
            </w:r>
          </w:p>
          <w:p w14:paraId="747C4DEC">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4</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47855CA3">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7ACEBF">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8FCB44F">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CB0ABD3">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1D75E3BD">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【优】应用新技术、新工艺、新材料、新设备，针对项目实际提出先进、可行、具体的保证措施。超过招标文件的质量要求。</w:t>
            </w:r>
          </w:p>
          <w:p w14:paraId="76897D40">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【良】针对项目实际提出先进、可行、具体的保证措施。满足招标文件的质量要求。</w:t>
            </w:r>
          </w:p>
          <w:p w14:paraId="3D2C3B44">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【中】具体措施可行。满足招标文件的质量要求。</w:t>
            </w:r>
          </w:p>
          <w:p w14:paraId="5130F43F">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【差】措施不可行，没有质量违约责任承诺。</w:t>
            </w:r>
          </w:p>
        </w:tc>
      </w:tr>
      <w:tr w14:paraId="348A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20BA8064">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施工技术措施</w:t>
            </w:r>
          </w:p>
          <w:p w14:paraId="03AD9B3A">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69B46E96">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B06142E">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4C4B56F">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AEC1444">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5ED97567">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rPr>
              <w:t>经济赔偿合理。</w:t>
            </w:r>
          </w:p>
          <w:p w14:paraId="2D483B3C">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rPr>
              <w:t>经济赔偿较合理。</w:t>
            </w:r>
          </w:p>
          <w:p w14:paraId="452353B6">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B7C999C">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【差】对项目关键技术有表述，对重点、难点有建议，解决方案不可行。采用的新技术针对性不强或验证材料不可靠，对节约投资、工期没有具体收益。无违约责任承诺。</w:t>
            </w:r>
          </w:p>
        </w:tc>
      </w:tr>
      <w:tr w14:paraId="504E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59208662">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绿色施工、安全防护、文明施工措施计划</w:t>
            </w:r>
          </w:p>
          <w:p w14:paraId="4DC9D873">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5CF47182">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65B618">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19FF6DA">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7EB10B57">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3629B878">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【优】针对项目实际情况，有先进、具体、完整、可行的措施，采用规范准确、清晰。</w:t>
            </w:r>
          </w:p>
          <w:p w14:paraId="1FF84E08">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【良】针对项目实际情况，有合理的措施且具体、完整，采用规范准确。</w:t>
            </w:r>
          </w:p>
          <w:p w14:paraId="0A72645E">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【中】有基本合理的措施，采用规范准确。</w:t>
            </w:r>
          </w:p>
          <w:p w14:paraId="7C8372E1">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【差】措施不力，采用规范不正确。</w:t>
            </w:r>
          </w:p>
        </w:tc>
      </w:tr>
      <w:tr w14:paraId="52C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351AFB52">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施工平面布置和临时设施布置</w:t>
            </w:r>
          </w:p>
          <w:p w14:paraId="375F1F8D">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331EBC5E">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B8340FD">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DBD1DC9">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716AB208">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75BB9510">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【优】总体布置有针对性、合理，较好满足施工需要，符合绿色施工、安全防护、文明施工要求。</w:t>
            </w:r>
          </w:p>
          <w:p w14:paraId="51D28FD7">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【良】总体布置合理，能满足施工需要，基本符合绿色施工、安全防护、文明施工要求。</w:t>
            </w:r>
          </w:p>
          <w:p w14:paraId="25F578EA">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【中】总体布置基本合理，基本满足施工需要。</w:t>
            </w:r>
          </w:p>
          <w:p w14:paraId="482BF96C">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【差】总体布置不合理，不符合绿色施工、安全防护、文明施工要求。</w:t>
            </w:r>
          </w:p>
        </w:tc>
      </w:tr>
      <w:tr w14:paraId="0749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68BD06CE">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项目管理机构</w:t>
            </w:r>
          </w:p>
          <w:p w14:paraId="6F7BC8A5">
            <w:pPr>
              <w:pStyle w:val="36"/>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分）</w:t>
            </w:r>
          </w:p>
        </w:tc>
        <w:tc>
          <w:tcPr>
            <w:tcW w:w="3933" w:type="dxa"/>
            <w:shd w:val="clear" w:color="auto" w:fill="auto"/>
            <w:vAlign w:val="center"/>
          </w:tcPr>
          <w:p w14:paraId="584D9331">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57E7ADC">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F327577">
            <w:pPr>
              <w:pStyle w:val="37"/>
              <w:keepNext w:val="0"/>
              <w:keepLines w:val="0"/>
              <w:suppressLineNumbers w:val="0"/>
              <w:wordWrap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B459441">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【差】得该项因素分的60%～70%（含60%）。</w:t>
            </w:r>
          </w:p>
        </w:tc>
        <w:tc>
          <w:tcPr>
            <w:tcW w:w="4707" w:type="dxa"/>
            <w:shd w:val="clear" w:color="auto" w:fill="auto"/>
            <w:vAlign w:val="center"/>
          </w:tcPr>
          <w:p w14:paraId="053CD26F">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【优】组织机构形式合理，有完善的指挥系统，生产及质量、绿色施工、安全、文明施工、创优达标监控系统、联络协调系统，项目管理人员内高级职称人员</w:t>
            </w:r>
            <w:r>
              <w:rPr>
                <w:rFonts w:hint="eastAsia" w:ascii="宋体" w:hAnsi="宋体" w:eastAsia="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%（含</w:t>
            </w:r>
            <w:r>
              <w:rPr>
                <w:rFonts w:hint="eastAsia" w:ascii="宋体" w:hAnsi="宋体" w:eastAsia="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%）以上、中级职称人员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60%（含60%）以上。</w:t>
            </w:r>
          </w:p>
          <w:p w14:paraId="67FEBABE">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【良】组织机构形式合理，指挥系统，生产及质量、绿色施工、安全、文明施工、创优达标监控系统、联络协调系统齐全，项目管理人员内高级职称人员</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%（含</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%）、中级职称</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人员50%～60%（含50%）。</w:t>
            </w:r>
          </w:p>
          <w:p w14:paraId="0CBC8715">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【中】组织机构形式基本合理，有指挥系统，生产及质量、绿色施工、安全、文明施工、创优达标监控系统、联络协调系统，项目管理人员内高级职称人员</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%（含</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40%～50%（含40%）。</w:t>
            </w:r>
          </w:p>
          <w:p w14:paraId="1D8E95B1">
            <w:pPr>
              <w:pStyle w:val="39"/>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4"/>
                <w:szCs w:val="24"/>
                <w:highlight w:val="none"/>
              </w:rPr>
              <w:t>及以上职称</w:t>
            </w:r>
            <w:r>
              <w:rPr>
                <w:rFonts w:hint="eastAsia" w:ascii="宋体" w:hAnsi="宋体" w:eastAsia="宋体" w:cs="宋体"/>
                <w:snapToGrid w:val="0"/>
                <w:color w:val="auto"/>
                <w:kern w:val="0"/>
                <w:sz w:val="24"/>
                <w:szCs w:val="24"/>
                <w:highlight w:val="none"/>
              </w:rPr>
              <w:t>40%以下。</w:t>
            </w:r>
          </w:p>
        </w:tc>
      </w:tr>
      <w:tr w14:paraId="390C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3E40FB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kern w:val="0"/>
                <w:sz w:val="24"/>
                <w:szCs w:val="24"/>
                <w:highlight w:val="none"/>
              </w:rPr>
              <w:t>投标报价部分，满分：100分。</w:t>
            </w:r>
          </w:p>
        </w:tc>
      </w:tr>
      <w:tr w14:paraId="04B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0DFE3EE0">
            <w:pPr>
              <w:keepNext w:val="0"/>
              <w:keepLines w:val="0"/>
              <w:widowControl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评分事项</w:t>
            </w:r>
          </w:p>
        </w:tc>
        <w:tc>
          <w:tcPr>
            <w:tcW w:w="8640" w:type="dxa"/>
            <w:gridSpan w:val="2"/>
            <w:vAlign w:val="center"/>
          </w:tcPr>
          <w:p w14:paraId="5205F858">
            <w:pPr>
              <w:keepNext w:val="0"/>
              <w:keepLines w:val="0"/>
              <w:widowControl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评分方法</w:t>
            </w:r>
          </w:p>
        </w:tc>
      </w:tr>
      <w:tr w14:paraId="4133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0D25BEF6">
            <w:pPr>
              <w:pStyle w:val="36"/>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评标基准价D</w:t>
            </w:r>
          </w:p>
        </w:tc>
        <w:tc>
          <w:tcPr>
            <w:tcW w:w="8640" w:type="dxa"/>
            <w:gridSpan w:val="2"/>
            <w:shd w:val="clear" w:color="auto" w:fill="auto"/>
            <w:vAlign w:val="center"/>
          </w:tcPr>
          <w:p w14:paraId="0669013F">
            <w:pPr>
              <w:keepNext w:val="0"/>
              <w:keepLines w:val="0"/>
              <w:widowControl w:val="0"/>
              <w:suppressLineNumbers w:val="0"/>
              <w:wordWrap w:val="0"/>
              <w:adjustRightInd w:val="0"/>
              <w:snapToGrid w:val="0"/>
              <w:spacing w:before="0" w:beforeAutospacing="0" w:after="0" w:afterAutospacing="0" w:line="240" w:lineRule="auto"/>
              <w:ind w:left="0" w:right="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w:t>
            </w:r>
            <w:r>
              <w:rPr>
                <w:rFonts w:hint="eastAsia" w:ascii="宋体" w:hAnsi="宋体" w:eastAsia="宋体" w:cs="宋体"/>
                <w:b w:val="0"/>
                <w:bCs/>
                <w:i w:val="0"/>
                <w:iCs/>
                <w:color w:val="auto"/>
                <w:kern w:val="2"/>
                <w:sz w:val="24"/>
                <w:szCs w:val="24"/>
                <w:highlight w:val="none"/>
                <w:lang w:val="en-US" w:eastAsia="zh-CN" w:bidi="ar-SA"/>
              </w:rPr>
              <w:t>最高投标限价</w:t>
            </w:r>
            <w:r>
              <w:rPr>
                <w:rFonts w:hint="eastAsia" w:ascii="宋体" w:hAnsi="宋体" w:eastAsia="宋体" w:cs="宋体"/>
                <w:snapToGrid w:val="0"/>
                <w:color w:val="auto"/>
                <w:kern w:val="0"/>
                <w:sz w:val="24"/>
                <w:szCs w:val="24"/>
                <w:highlight w:val="none"/>
              </w:rPr>
              <w:t>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w:t>
            </w:r>
            <w:r>
              <w:rPr>
                <w:rFonts w:hint="eastAsia" w:ascii="宋体" w:hAnsi="宋体" w:eastAsia="宋体" w:cs="宋体"/>
                <w:b w:val="0"/>
                <w:bCs/>
                <w:i w:val="0"/>
                <w:iCs/>
                <w:color w:val="auto"/>
                <w:kern w:val="2"/>
                <w:sz w:val="24"/>
                <w:szCs w:val="24"/>
                <w:highlight w:val="none"/>
                <w:lang w:val="en-US" w:eastAsia="zh-CN" w:bidi="ar-SA"/>
              </w:rPr>
              <w:t>最高投标限价</w:t>
            </w:r>
            <w:r>
              <w:rPr>
                <w:rFonts w:hint="eastAsia" w:ascii="宋体" w:hAnsi="宋体" w:eastAsia="宋体" w:cs="宋体"/>
                <w:snapToGrid w:val="0"/>
                <w:color w:val="auto"/>
                <w:kern w:val="0"/>
                <w:sz w:val="24"/>
                <w:szCs w:val="24"/>
                <w:highlight w:val="none"/>
              </w:rPr>
              <w:t>下浮系数n。具体号码对应的下浮系数可参考下表。</w:t>
            </w:r>
          </w:p>
          <w:tbl>
            <w:tblPr>
              <w:tblStyle w:val="23"/>
              <w:tblW w:w="0" w:type="auto"/>
              <w:jc w:val="center"/>
              <w:shd w:val="clear" w:color="auto" w:fill="FFFFFF" w:themeFill="background1"/>
              <w:tblLayout w:type="autofit"/>
              <w:tblCellMar>
                <w:top w:w="0" w:type="dxa"/>
                <w:left w:w="108" w:type="dxa"/>
                <w:bottom w:w="0" w:type="dxa"/>
                <w:right w:w="108" w:type="dxa"/>
              </w:tblCellMar>
            </w:tblPr>
            <w:tblGrid>
              <w:gridCol w:w="1818"/>
              <w:gridCol w:w="828"/>
              <w:gridCol w:w="865"/>
              <w:gridCol w:w="901"/>
              <w:gridCol w:w="885"/>
              <w:gridCol w:w="921"/>
              <w:gridCol w:w="864"/>
              <w:gridCol w:w="854"/>
            </w:tblGrid>
            <w:tr w14:paraId="5A9F3912">
              <w:tblPrEx>
                <w:shd w:val="clear" w:color="auto" w:fill="FFFFFF" w:themeFill="background1"/>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EB8A6E3">
                  <w:pPr>
                    <w:wordWrap w:val="0"/>
                    <w:adjustRightInd w:val="0"/>
                    <w:snapToGrid w:val="0"/>
                    <w:spacing w:line="36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83B2E2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CCED26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DC41C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4DD26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CE4772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407F59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51F83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0FEC8661">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27067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448D6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7E2AC6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32F661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0732B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BB98C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EE0F8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278612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6812D4DF">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32165A1">
                  <w:pPr>
                    <w:wordWrap w:val="0"/>
                    <w:adjustRightInd w:val="0"/>
                    <w:snapToGrid w:val="0"/>
                    <w:spacing w:line="36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3F15C1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CA0156C">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51EEA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7267CBB">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CE462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D1104C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D5FEB5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318973A5">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F37861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5C003D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56F5D0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97B22C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B0007C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EB0A57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56A58D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DC5708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3FD65FCB">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84A6D6">
                  <w:pPr>
                    <w:wordWrap w:val="0"/>
                    <w:adjustRightInd w:val="0"/>
                    <w:snapToGrid w:val="0"/>
                    <w:spacing w:line="360" w:lineRule="exact"/>
                    <w:jc w:val="center"/>
                    <w:rPr>
                      <w:rFonts w:hint="eastAsia" w:ascii="宋体" w:hAnsi="宋体" w:eastAsia="宋体" w:cs="宋体"/>
                      <w:b/>
                      <w:snapToGrid w:val="0"/>
                      <w:color w:val="auto"/>
                      <w:kern w:val="0"/>
                      <w:sz w:val="24"/>
                      <w:szCs w:val="24"/>
                      <w:highlight w:val="none"/>
                      <w:lang w:val="en-US" w:eastAsia="en-US" w:bidi="ar-SA"/>
                    </w:rPr>
                  </w:pPr>
                  <w:r>
                    <w:rPr>
                      <w:rFonts w:hint="eastAsia" w:ascii="宋体" w:hAnsi="宋体" w:eastAsia="宋体" w:cs="宋体"/>
                      <w:bCs/>
                      <w:snapToGrid w:val="0"/>
                      <w:color w:val="auto"/>
                      <w:kern w:val="0"/>
                      <w:sz w:val="24"/>
                      <w:szCs w:val="24"/>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F7C71A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F6653D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71EF02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817CC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18</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BDCBC9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76996C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641A0C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21</w:t>
                  </w:r>
                </w:p>
              </w:tc>
            </w:tr>
            <w:tr w14:paraId="1D1E8D4A">
              <w:tblPrEx>
                <w:tblCellMar>
                  <w:top w:w="0" w:type="dxa"/>
                  <w:left w:w="108" w:type="dxa"/>
                  <w:bottom w:w="0" w:type="dxa"/>
                  <w:right w:w="108" w:type="dxa"/>
                </w:tblCellMar>
              </w:tblPrEx>
              <w:trPr>
                <w:trHeight w:val="454" w:hRule="exac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26BB2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FDFFE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2.4</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5C082D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2.5</w:t>
                  </w:r>
                </w:p>
              </w:tc>
              <w:tc>
                <w:tcPr>
                  <w:tcW w:w="9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522C2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2.6</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232761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2.7</w:t>
                  </w:r>
                </w:p>
              </w:tc>
              <w:tc>
                <w:tcPr>
                  <w:tcW w:w="9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FC6CA6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29BA2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2.9</w:t>
                  </w: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F094FD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rPr>
                    <w:t>3.0</w:t>
                  </w:r>
                </w:p>
              </w:tc>
            </w:tr>
          </w:tbl>
          <w:p w14:paraId="59D5F726">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（2）评标基准价D＝</w:t>
            </w:r>
            <w:r>
              <w:rPr>
                <w:rFonts w:hint="eastAsia" w:ascii="宋体" w:hAnsi="宋体" w:eastAsia="宋体" w:cs="宋体"/>
                <w:b w:val="0"/>
                <w:bCs/>
                <w:i w:val="0"/>
                <w:iCs/>
                <w:color w:val="auto"/>
                <w:kern w:val="2"/>
                <w:sz w:val="24"/>
                <w:szCs w:val="24"/>
                <w:highlight w:val="none"/>
                <w:lang w:val="en-US" w:eastAsia="zh-CN" w:bidi="ar-SA"/>
              </w:rPr>
              <w:t>最高投标限价</w:t>
            </w:r>
            <w:r>
              <w:rPr>
                <w:rFonts w:hint="eastAsia" w:ascii="宋体" w:hAnsi="宋体" w:eastAsia="宋体" w:cs="宋体"/>
                <w:snapToGrid w:val="0"/>
                <w:color w:val="auto"/>
                <w:kern w:val="0"/>
                <w:sz w:val="24"/>
                <w:szCs w:val="24"/>
                <w:highlight w:val="none"/>
              </w:rPr>
              <w:t>×（1－n）</w:t>
            </w:r>
          </w:p>
        </w:tc>
      </w:tr>
      <w:tr w14:paraId="6DD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vAlign w:val="center"/>
          </w:tcPr>
          <w:p w14:paraId="00F0CB9B">
            <w:pPr>
              <w:pStyle w:val="36"/>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0553CE30">
            <w:pPr>
              <w:pStyle w:val="36"/>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得分N</w:t>
            </w:r>
          </w:p>
        </w:tc>
        <w:tc>
          <w:tcPr>
            <w:tcW w:w="8640" w:type="dxa"/>
            <w:gridSpan w:val="2"/>
            <w:shd w:val="clear" w:color="auto" w:fill="auto"/>
            <w:vAlign w:val="center"/>
          </w:tcPr>
          <w:p w14:paraId="7DD5BCAB">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00DA021D">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|Di</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D|÷D</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×100×E</w:t>
            </w:r>
          </w:p>
          <w:p w14:paraId="348B47B8">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式中：D为评标基准价；Di为某投标人的投标总价；E为扣分因子，当Di＞D时，E＝1；当Di＜D时，E＝0.5。</w:t>
            </w:r>
          </w:p>
        </w:tc>
      </w:tr>
    </w:tbl>
    <w:p w14:paraId="7052BEAA">
      <w:pPr>
        <w:pStyle w:val="4"/>
        <w:bidi w:val="0"/>
        <w:ind w:left="0" w:leftChars="0" w:firstLine="0" w:firstLineChars="0"/>
        <w:rPr>
          <w:rFonts w:hint="eastAsia" w:ascii="宋体" w:hAnsi="宋体" w:eastAsia="宋体" w:cs="宋体"/>
          <w:color w:val="auto"/>
          <w:lang w:val="en-US" w:eastAsia="zh-CN"/>
        </w:rPr>
      </w:pPr>
      <w:bookmarkStart w:id="42" w:name="_Toc10771"/>
      <w:r>
        <w:rPr>
          <w:rFonts w:hint="eastAsia" w:ascii="宋体" w:hAnsi="宋体" w:eastAsia="宋体" w:cs="宋体"/>
          <w:color w:val="auto"/>
          <w:lang w:val="en-US" w:eastAsia="zh-CN"/>
        </w:rPr>
        <w:t>四、定标细则</w:t>
      </w:r>
      <w:bookmarkEnd w:id="42"/>
    </w:p>
    <w:p w14:paraId="7F1714AB">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票决数量法</w:t>
      </w:r>
    </w:p>
    <w:p w14:paraId="7DD9AF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6C5B6B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一、票决数量法程序</w:t>
      </w:r>
    </w:p>
    <w:p w14:paraId="4D823C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05D6BD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bCs/>
          <w:color w:val="auto"/>
          <w:sz w:val="24"/>
          <w:szCs w:val="24"/>
          <w:highlight w:val="none"/>
          <w:u w:val="none"/>
          <w:shd w:val="clear" w:color="auto" w:fill="FFFFFF"/>
        </w:rPr>
        <w:t>项目情况介绍</w:t>
      </w:r>
    </w:p>
    <w:p w14:paraId="1E19C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7CF0D2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bCs/>
          <w:color w:val="auto"/>
          <w:sz w:val="24"/>
          <w:szCs w:val="24"/>
          <w:highlight w:val="none"/>
          <w:u w:val="none"/>
          <w:shd w:val="clear" w:color="auto" w:fill="FFFFFF"/>
        </w:rPr>
        <w:t>审阅定标资料</w:t>
      </w:r>
    </w:p>
    <w:p w14:paraId="292F11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44F8B727">
      <w:pPr>
        <w:pStyle w:val="1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3.</w:t>
      </w:r>
      <w:r>
        <w:rPr>
          <w:rFonts w:hint="eastAsia" w:ascii="宋体" w:hAnsi="宋体" w:eastAsia="宋体" w:cs="宋体"/>
          <w:b/>
          <w:bCs/>
          <w:color w:val="auto"/>
          <w:sz w:val="24"/>
          <w:szCs w:val="24"/>
          <w:highlight w:val="none"/>
          <w:u w:val="none"/>
          <w:shd w:val="clear" w:color="auto" w:fill="FFFFFF"/>
        </w:rPr>
        <w:t>疑问澄清</w:t>
      </w:r>
    </w:p>
    <w:p w14:paraId="3EEBD9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667D5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4.投票，收票，点票和汇总</w:t>
      </w:r>
    </w:p>
    <w:p w14:paraId="3EA572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A62C3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5.公布结果和出具定标报告</w:t>
      </w:r>
    </w:p>
    <w:p w14:paraId="1FDEE3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74ABFD3">
      <w:pPr>
        <w:pStyle w:val="1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6.</w:t>
      </w:r>
      <w:r>
        <w:rPr>
          <w:rFonts w:hint="eastAsia" w:ascii="宋体" w:hAnsi="宋体" w:eastAsia="宋体" w:cs="宋体"/>
          <w:b/>
          <w:bCs/>
          <w:color w:val="auto"/>
          <w:sz w:val="24"/>
          <w:szCs w:val="24"/>
          <w:highlight w:val="none"/>
          <w:u w:val="none"/>
          <w:shd w:val="clear" w:color="auto" w:fill="FFFFFF"/>
        </w:rPr>
        <w:t>全程监督</w:t>
      </w:r>
    </w:p>
    <w:p w14:paraId="2A46EE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061AC0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二、定标因素</w:t>
      </w:r>
    </w:p>
    <w:p w14:paraId="37CD0A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52446C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（一）拟派团队管理能力与水平（履约能力）</w:t>
      </w:r>
    </w:p>
    <w:p w14:paraId="386401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5AF833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（二）企业信誉</w:t>
      </w:r>
    </w:p>
    <w:p w14:paraId="10AD37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5921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（三）评标报告</w:t>
      </w:r>
    </w:p>
    <w:p w14:paraId="0A8EFC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61E9A6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（四）农民工工资保障情况</w:t>
      </w:r>
    </w:p>
    <w:p w14:paraId="234D6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6D297A24">
      <w:pPr>
        <w:rPr>
          <w:rFonts w:hint="eastAsia" w:ascii="宋体" w:hAnsi="宋体" w:eastAsia="宋体" w:cs="宋体"/>
          <w:color w:val="auto"/>
          <w:lang w:val="en-US" w:eastAsia="zh-CN"/>
        </w:rPr>
      </w:pPr>
    </w:p>
    <w:p w14:paraId="36BF2991">
      <w:pPr>
        <w:rPr>
          <w:rFonts w:hint="eastAsia" w:ascii="宋体" w:hAnsi="宋体" w:eastAsia="宋体" w:cs="宋体"/>
          <w:color w:val="auto"/>
          <w:lang w:val="en-US" w:eastAsia="zh-CN"/>
        </w:rPr>
      </w:pPr>
    </w:p>
    <w:p w14:paraId="3A4DEEFA">
      <w:pPr>
        <w:rPr>
          <w:rFonts w:hint="eastAsia" w:ascii="宋体" w:hAnsi="宋体" w:eastAsia="宋体" w:cs="宋体"/>
          <w:color w:val="auto"/>
          <w:lang w:val="en-US" w:eastAsia="zh-CN"/>
        </w:rPr>
      </w:pPr>
    </w:p>
    <w:p w14:paraId="15C69A06">
      <w:pPr>
        <w:rPr>
          <w:rFonts w:hint="eastAsia" w:ascii="宋体" w:hAnsi="宋体" w:eastAsia="宋体" w:cs="宋体"/>
          <w:color w:val="auto"/>
          <w:lang w:val="en-US" w:eastAsia="zh-CN"/>
        </w:rPr>
      </w:pPr>
    </w:p>
    <w:p w14:paraId="06BF2A22">
      <w:pPr>
        <w:rPr>
          <w:rFonts w:hint="eastAsia" w:ascii="宋体" w:hAnsi="宋体" w:eastAsia="宋体" w:cs="宋体"/>
          <w:color w:val="auto"/>
          <w:lang w:val="en-US" w:eastAsia="zh-CN"/>
        </w:rPr>
      </w:pPr>
    </w:p>
    <w:p w14:paraId="1BD372AE">
      <w:pPr>
        <w:rPr>
          <w:rFonts w:hint="eastAsia" w:ascii="宋体" w:hAnsi="宋体" w:eastAsia="宋体" w:cs="宋体"/>
          <w:color w:val="auto"/>
          <w:lang w:val="en-US" w:eastAsia="zh-CN"/>
        </w:rPr>
      </w:pPr>
    </w:p>
    <w:p w14:paraId="7CAF6207">
      <w:pPr>
        <w:rPr>
          <w:rFonts w:hint="eastAsia" w:ascii="宋体" w:hAnsi="宋体" w:eastAsia="宋体" w:cs="宋体"/>
          <w:color w:val="auto"/>
          <w:lang w:val="en-US" w:eastAsia="zh-CN"/>
        </w:rPr>
      </w:pPr>
    </w:p>
    <w:p w14:paraId="427BEE2A">
      <w:pPr>
        <w:rPr>
          <w:rFonts w:hint="eastAsia" w:ascii="宋体" w:hAnsi="宋体" w:eastAsia="宋体" w:cs="宋体"/>
          <w:color w:val="auto"/>
          <w:lang w:val="en-US" w:eastAsia="zh-CN"/>
        </w:rPr>
      </w:pPr>
    </w:p>
    <w:p w14:paraId="615D72F4">
      <w:pPr>
        <w:rPr>
          <w:rFonts w:hint="eastAsia" w:ascii="宋体" w:hAnsi="宋体" w:eastAsia="宋体" w:cs="宋体"/>
          <w:color w:val="auto"/>
          <w:lang w:val="en-US" w:eastAsia="zh-CN"/>
        </w:rPr>
      </w:pPr>
    </w:p>
    <w:p w14:paraId="4E1FAAA3">
      <w:pPr>
        <w:rPr>
          <w:rFonts w:hint="eastAsia" w:ascii="宋体" w:hAnsi="宋体" w:eastAsia="宋体" w:cs="宋体"/>
          <w:color w:val="auto"/>
          <w:lang w:val="en-US" w:eastAsia="zh-CN"/>
        </w:rPr>
      </w:pPr>
    </w:p>
    <w:p w14:paraId="732923F5">
      <w:pPr>
        <w:rPr>
          <w:rFonts w:hint="eastAsia" w:ascii="宋体" w:hAnsi="宋体" w:eastAsia="宋体" w:cs="宋体"/>
          <w:color w:val="auto"/>
          <w:lang w:val="en-US" w:eastAsia="zh-CN"/>
        </w:rPr>
      </w:pPr>
    </w:p>
    <w:p w14:paraId="1296D485">
      <w:pPr>
        <w:rPr>
          <w:rFonts w:hint="eastAsia" w:ascii="宋体" w:hAnsi="宋体" w:eastAsia="宋体" w:cs="宋体"/>
          <w:color w:val="auto"/>
          <w:lang w:val="en-US" w:eastAsia="zh-CN"/>
        </w:rPr>
      </w:pPr>
    </w:p>
    <w:p w14:paraId="75F68F44">
      <w:pPr>
        <w:rPr>
          <w:rFonts w:hint="eastAsia" w:ascii="宋体" w:hAnsi="宋体" w:eastAsia="宋体" w:cs="宋体"/>
          <w:color w:val="auto"/>
          <w:lang w:val="en-US" w:eastAsia="zh-CN"/>
        </w:rPr>
      </w:pPr>
    </w:p>
    <w:p w14:paraId="54F9459B">
      <w:pPr>
        <w:rPr>
          <w:rFonts w:hint="eastAsia" w:ascii="宋体" w:hAnsi="宋体" w:eastAsia="宋体" w:cs="宋体"/>
          <w:color w:val="auto"/>
          <w:lang w:val="en-US" w:eastAsia="zh-CN"/>
        </w:rPr>
      </w:pPr>
    </w:p>
    <w:p w14:paraId="2FF6A0C0">
      <w:pPr>
        <w:rPr>
          <w:rFonts w:hint="eastAsia" w:ascii="宋体" w:hAnsi="宋体" w:eastAsia="宋体" w:cs="宋体"/>
          <w:color w:val="auto"/>
          <w:lang w:val="en-US" w:eastAsia="zh-CN"/>
        </w:rPr>
      </w:pPr>
    </w:p>
    <w:p w14:paraId="2585DE29">
      <w:pPr>
        <w:rPr>
          <w:rFonts w:hint="eastAsia" w:ascii="宋体" w:hAnsi="宋体" w:eastAsia="宋体" w:cs="宋体"/>
          <w:color w:val="auto"/>
          <w:lang w:val="en-US" w:eastAsia="zh-CN"/>
        </w:rPr>
      </w:pPr>
    </w:p>
    <w:p w14:paraId="1856F19C">
      <w:pPr>
        <w:rPr>
          <w:rFonts w:hint="eastAsia" w:ascii="宋体" w:hAnsi="宋体" w:eastAsia="宋体" w:cs="宋体"/>
          <w:color w:val="auto"/>
          <w:lang w:val="en-US" w:eastAsia="zh-CN"/>
        </w:rPr>
      </w:pPr>
    </w:p>
    <w:p w14:paraId="2619E996">
      <w:pPr>
        <w:rPr>
          <w:rFonts w:hint="eastAsia" w:ascii="宋体" w:hAnsi="宋体" w:eastAsia="宋体" w:cs="宋体"/>
          <w:color w:val="auto"/>
          <w:lang w:val="en-US" w:eastAsia="zh-CN"/>
        </w:rPr>
      </w:pPr>
    </w:p>
    <w:p w14:paraId="68DBB0BE">
      <w:pPr>
        <w:pStyle w:val="3"/>
        <w:bidi w:val="0"/>
        <w:jc w:val="center"/>
        <w:rPr>
          <w:rFonts w:hint="eastAsia" w:ascii="宋体" w:hAnsi="宋体" w:eastAsia="宋体" w:cs="宋体"/>
          <w:color w:val="auto"/>
        </w:rPr>
      </w:pPr>
      <w:bookmarkStart w:id="43" w:name="_Toc1729"/>
      <w:r>
        <w:rPr>
          <w:rFonts w:hint="eastAsia" w:ascii="宋体" w:hAnsi="宋体" w:eastAsia="宋体" w:cs="宋体"/>
          <w:color w:val="auto"/>
        </w:rPr>
        <w:t>第四章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投标文件格式</w:t>
      </w:r>
      <w:bookmarkEnd w:id="43"/>
    </w:p>
    <w:p w14:paraId="0641AD1A">
      <w:pPr>
        <w:pStyle w:val="4"/>
        <w:bidi w:val="0"/>
        <w:ind w:left="0" w:leftChars="0" w:firstLine="0" w:firstLineChars="0"/>
        <w:jc w:val="left"/>
        <w:rPr>
          <w:rFonts w:hint="eastAsia" w:ascii="宋体" w:hAnsi="宋体" w:eastAsia="宋体" w:cs="宋体"/>
          <w:color w:val="auto"/>
          <w:lang w:val="en-US"/>
        </w:rPr>
      </w:pPr>
      <w:bookmarkStart w:id="44" w:name="_Toc851"/>
      <w:bookmarkStart w:id="45" w:name="_Toc21542"/>
      <w:bookmarkStart w:id="46" w:name="_Toc25489"/>
      <w:r>
        <w:rPr>
          <w:rFonts w:hint="eastAsia" w:ascii="宋体" w:hAnsi="宋体" w:eastAsia="宋体" w:cs="宋体"/>
          <w:color w:val="auto"/>
          <w:lang w:eastAsia="zh-CN"/>
        </w:rPr>
        <w:t>格式一</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封面</w:t>
      </w:r>
      <w:bookmarkEnd w:id="44"/>
      <w:bookmarkEnd w:id="45"/>
      <w:bookmarkEnd w:id="46"/>
    </w:p>
    <w:p w14:paraId="49897C4E">
      <w:pPr>
        <w:rPr>
          <w:rFonts w:hint="eastAsia" w:ascii="宋体" w:hAnsi="宋体" w:eastAsia="宋体" w:cs="宋体"/>
          <w:color w:val="auto"/>
          <w:lang w:val="en-US" w:eastAsia="zh-CN"/>
        </w:rPr>
      </w:pPr>
    </w:p>
    <w:p w14:paraId="5A0E4E02">
      <w:pPr>
        <w:rPr>
          <w:rFonts w:hint="eastAsia" w:ascii="宋体" w:hAnsi="宋体" w:eastAsia="宋体" w:cs="宋体"/>
          <w:color w:val="auto"/>
          <w:lang w:val="en-US" w:eastAsia="zh-CN"/>
        </w:rPr>
      </w:pPr>
    </w:p>
    <w:p w14:paraId="31D37306">
      <w:pPr>
        <w:rPr>
          <w:rFonts w:hint="eastAsia" w:ascii="宋体" w:hAnsi="宋体" w:eastAsia="宋体" w:cs="宋体"/>
          <w:color w:val="auto"/>
          <w:lang w:val="en-US" w:eastAsia="zh-CN"/>
        </w:rPr>
      </w:pPr>
    </w:p>
    <w:p w14:paraId="644B35D6">
      <w:pPr>
        <w:rPr>
          <w:rFonts w:hint="eastAsia" w:ascii="宋体" w:hAnsi="宋体" w:eastAsia="宋体" w:cs="宋体"/>
          <w:color w:val="auto"/>
          <w:lang w:val="en-US" w:eastAsia="zh-CN"/>
        </w:rPr>
      </w:pPr>
    </w:p>
    <w:p w14:paraId="15FFA7C8">
      <w:pPr>
        <w:rPr>
          <w:rFonts w:hint="eastAsia" w:ascii="宋体" w:hAnsi="宋体" w:eastAsia="宋体" w:cs="宋体"/>
          <w:color w:val="auto"/>
          <w:lang w:val="en-US" w:eastAsia="zh-CN"/>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3E4DC14">
      <w:pPr>
        <w:rPr>
          <w:rFonts w:hint="eastAsia" w:ascii="宋体" w:hAnsi="宋体" w:eastAsia="宋体" w:cs="宋体"/>
          <w:color w:val="auto"/>
          <w:lang w:val="en-US"/>
        </w:rPr>
      </w:pPr>
    </w:p>
    <w:p w14:paraId="1B31B166">
      <w:pPr>
        <w:rPr>
          <w:rFonts w:hint="eastAsia" w:ascii="宋体" w:hAnsi="宋体" w:eastAsia="宋体" w:cs="宋体"/>
          <w:color w:val="auto"/>
          <w:lang w:val="en-US"/>
        </w:rPr>
      </w:pPr>
    </w:p>
    <w:p w14:paraId="0E4D7458">
      <w:pPr>
        <w:rPr>
          <w:rFonts w:hint="eastAsia" w:ascii="宋体" w:hAnsi="宋体" w:eastAsia="宋体" w:cs="宋体"/>
          <w:color w:val="auto"/>
          <w:lang w:val="en-US"/>
        </w:rPr>
      </w:pPr>
    </w:p>
    <w:p w14:paraId="7615CE61">
      <w:pPr>
        <w:rPr>
          <w:rFonts w:hint="eastAsia" w:ascii="宋体" w:hAnsi="宋体" w:eastAsia="宋体" w:cs="宋体"/>
          <w:color w:val="auto"/>
          <w:lang w:val="en-US"/>
        </w:rPr>
      </w:pPr>
    </w:p>
    <w:p w14:paraId="289E8065">
      <w:pPr>
        <w:rPr>
          <w:rFonts w:hint="eastAsia" w:ascii="宋体" w:hAnsi="宋体" w:eastAsia="宋体" w:cs="宋体"/>
          <w:color w:val="auto"/>
          <w:lang w:val="en-US"/>
        </w:rPr>
      </w:pPr>
    </w:p>
    <w:p w14:paraId="74BBC0A9">
      <w:pPr>
        <w:rPr>
          <w:rFonts w:hint="eastAsia" w:ascii="宋体" w:hAnsi="宋体" w:eastAsia="宋体" w:cs="宋体"/>
          <w:color w:val="auto"/>
          <w:lang w:val="en-US"/>
        </w:rPr>
      </w:pPr>
    </w:p>
    <w:p w14:paraId="1EF6F2EA">
      <w:pPr>
        <w:pStyle w:val="41"/>
        <w:keepNext w:val="0"/>
        <w:keepLines w:val="0"/>
        <w:widowControl w:val="0"/>
        <w:suppressLineNumbers w:val="0"/>
        <w:wordWrap w:val="0"/>
        <w:ind w:left="0" w:firstLine="0"/>
        <w:jc w:val="center"/>
        <w:rPr>
          <w:rFonts w:hint="eastAsia" w:ascii="宋体" w:hAnsi="宋体" w:eastAsia="宋体" w:cs="宋体"/>
          <w:b/>
          <w:bCs w:val="0"/>
          <w:color w:val="auto"/>
          <w:sz w:val="72"/>
          <w:szCs w:val="72"/>
          <w:highlight w:val="none"/>
          <w:lang w:val="en-US"/>
        </w:rPr>
      </w:pPr>
      <w:r>
        <w:rPr>
          <w:rFonts w:hint="eastAsia" w:ascii="宋体" w:hAnsi="宋体" w:eastAsia="宋体" w:cs="宋体"/>
          <w:b/>
          <w:bCs w:val="0"/>
          <w:color w:val="auto"/>
          <w:sz w:val="72"/>
          <w:szCs w:val="72"/>
          <w:highlight w:val="none"/>
          <w:lang w:eastAsia="zh-CN"/>
        </w:rPr>
        <w:t>投</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件</w:t>
      </w:r>
    </w:p>
    <w:p w14:paraId="7DAB493D">
      <w:pPr>
        <w:rPr>
          <w:rFonts w:hint="eastAsia" w:ascii="宋体" w:hAnsi="宋体" w:eastAsia="宋体" w:cs="宋体"/>
          <w:color w:val="auto"/>
          <w:lang w:val="en-US"/>
        </w:rPr>
      </w:pPr>
    </w:p>
    <w:p w14:paraId="6DC7139F">
      <w:pPr>
        <w:rPr>
          <w:rFonts w:hint="eastAsia" w:ascii="宋体" w:hAnsi="宋体" w:eastAsia="宋体" w:cs="宋体"/>
          <w:color w:val="auto"/>
          <w:lang w:val="en-US"/>
        </w:rPr>
      </w:pPr>
    </w:p>
    <w:p w14:paraId="3804CB4D">
      <w:pPr>
        <w:rPr>
          <w:rFonts w:hint="eastAsia" w:ascii="宋体" w:hAnsi="宋体" w:eastAsia="宋体" w:cs="宋体"/>
          <w:color w:val="auto"/>
          <w:lang w:val="en-US"/>
        </w:rPr>
      </w:pPr>
    </w:p>
    <w:p w14:paraId="2182C9C7">
      <w:pPr>
        <w:rPr>
          <w:rFonts w:hint="eastAsia" w:ascii="宋体" w:hAnsi="宋体" w:eastAsia="宋体" w:cs="宋体"/>
          <w:color w:val="auto"/>
          <w:lang w:val="en-US"/>
        </w:rPr>
      </w:pPr>
    </w:p>
    <w:p w14:paraId="69244C4F">
      <w:pPr>
        <w:rPr>
          <w:rFonts w:hint="eastAsia" w:ascii="宋体" w:hAnsi="宋体" w:eastAsia="宋体" w:cs="宋体"/>
          <w:color w:val="auto"/>
          <w:lang w:val="en-US"/>
        </w:rPr>
      </w:pPr>
    </w:p>
    <w:p w14:paraId="14557528">
      <w:pPr>
        <w:rPr>
          <w:rFonts w:hint="eastAsia" w:ascii="宋体" w:hAnsi="宋体" w:eastAsia="宋体" w:cs="宋体"/>
          <w:color w:val="auto"/>
          <w:lang w:val="en-US"/>
        </w:rPr>
      </w:pPr>
    </w:p>
    <w:p w14:paraId="4B756F30">
      <w:pPr>
        <w:pStyle w:val="41"/>
        <w:keepNext w:val="0"/>
        <w:keepLines w:val="0"/>
        <w:widowControl w:val="0"/>
        <w:suppressLineNumbers w:val="0"/>
        <w:wordWrap w:val="0"/>
        <w:ind w:left="0" w:firstLine="0"/>
        <w:jc w:val="center"/>
        <w:rPr>
          <w:rFonts w:hint="eastAsia" w:ascii="宋体" w:hAnsi="宋体" w:eastAsia="宋体" w:cs="宋体"/>
          <w:b w:val="0"/>
          <w:bCs/>
          <w:color w:val="auto"/>
          <w:sz w:val="44"/>
          <w:szCs w:val="44"/>
          <w:highlight w:val="none"/>
          <w:lang w:val="en-US"/>
        </w:rPr>
      </w:pPr>
      <w:r>
        <w:rPr>
          <w:rFonts w:hint="eastAsia" w:ascii="宋体" w:hAnsi="宋体" w:eastAsia="宋体" w:cs="宋体"/>
          <w:b w:val="0"/>
          <w:bCs/>
          <w:color w:val="auto"/>
          <w:sz w:val="44"/>
          <w:szCs w:val="44"/>
          <w:highlight w:val="none"/>
          <w:lang w:eastAsia="zh-CN"/>
        </w:rPr>
        <w:t>（</w:t>
      </w:r>
      <w:r>
        <w:rPr>
          <w:rFonts w:hint="eastAsia" w:ascii="宋体" w:hAnsi="宋体" w:eastAsia="宋体" w:cs="宋体"/>
          <w:b w:val="0"/>
          <w:bCs/>
          <w:color w:val="auto"/>
          <w:sz w:val="44"/>
          <w:szCs w:val="44"/>
          <w:highlight w:val="none"/>
          <w:lang w:val="en-US" w:eastAsia="zh-CN"/>
        </w:rPr>
        <w:t>商务标书/经济标书/施工组织设计/定标文件</w:t>
      </w:r>
      <w:r>
        <w:rPr>
          <w:rFonts w:hint="eastAsia" w:ascii="宋体" w:hAnsi="宋体" w:eastAsia="宋体" w:cs="宋体"/>
          <w:b w:val="0"/>
          <w:bCs/>
          <w:color w:val="auto"/>
          <w:sz w:val="44"/>
          <w:szCs w:val="44"/>
          <w:highlight w:val="none"/>
          <w:lang w:eastAsia="zh-CN"/>
        </w:rPr>
        <w:t>）</w:t>
      </w:r>
    </w:p>
    <w:p w14:paraId="6265A279">
      <w:pPr>
        <w:rPr>
          <w:rFonts w:hint="eastAsia" w:ascii="宋体" w:hAnsi="宋体" w:eastAsia="宋体" w:cs="宋体"/>
          <w:color w:val="auto"/>
          <w:lang w:val="en-US"/>
        </w:rPr>
      </w:pPr>
    </w:p>
    <w:p w14:paraId="29828FA6">
      <w:pPr>
        <w:rPr>
          <w:rFonts w:hint="eastAsia" w:ascii="宋体" w:hAnsi="宋体" w:eastAsia="宋体" w:cs="宋体"/>
          <w:color w:val="auto"/>
          <w:lang w:val="en-US"/>
        </w:rPr>
      </w:pPr>
    </w:p>
    <w:p w14:paraId="08B6F716">
      <w:pPr>
        <w:rPr>
          <w:rFonts w:hint="eastAsia" w:ascii="宋体" w:hAnsi="宋体" w:eastAsia="宋体" w:cs="宋体"/>
          <w:color w:val="auto"/>
          <w:lang w:val="en-US"/>
        </w:rPr>
      </w:pPr>
    </w:p>
    <w:p w14:paraId="26030E9A">
      <w:pPr>
        <w:rPr>
          <w:rFonts w:hint="eastAsia" w:ascii="宋体" w:hAnsi="宋体" w:eastAsia="宋体" w:cs="宋体"/>
          <w:color w:val="auto"/>
          <w:lang w:val="en-US"/>
        </w:rPr>
      </w:pPr>
    </w:p>
    <w:p w14:paraId="3E88AF45">
      <w:pPr>
        <w:rPr>
          <w:rFonts w:hint="eastAsia" w:ascii="宋体" w:hAnsi="宋体" w:eastAsia="宋体" w:cs="宋体"/>
          <w:color w:val="auto"/>
          <w:lang w:val="en-US"/>
        </w:rPr>
      </w:pPr>
    </w:p>
    <w:p w14:paraId="6293EFC7">
      <w:pPr>
        <w:rPr>
          <w:rFonts w:hint="eastAsia" w:ascii="宋体" w:hAnsi="宋体" w:eastAsia="宋体" w:cs="宋体"/>
          <w:color w:val="auto"/>
          <w:lang w:val="en-US"/>
        </w:rPr>
      </w:pPr>
    </w:p>
    <w:p w14:paraId="305E4F8A">
      <w:pPr>
        <w:rPr>
          <w:rFonts w:hint="eastAsia" w:ascii="宋体" w:hAnsi="宋体" w:eastAsia="宋体" w:cs="宋体"/>
          <w:color w:val="auto"/>
          <w:lang w:val="en-US"/>
        </w:rPr>
      </w:pPr>
    </w:p>
    <w:p w14:paraId="233B75EF">
      <w:pPr>
        <w:pStyle w:val="41"/>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37293E27">
      <w:pPr>
        <w:pStyle w:val="41"/>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496E2BB">
      <w:pPr>
        <w:pStyle w:val="41"/>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21BF640">
      <w:pPr>
        <w:rPr>
          <w:rFonts w:hint="eastAsia" w:ascii="宋体" w:hAnsi="宋体" w:eastAsia="宋体" w:cs="宋体"/>
          <w:color w:val="auto"/>
          <w:lang w:val="en-US"/>
        </w:rPr>
      </w:pPr>
    </w:p>
    <w:p w14:paraId="0B8276A0">
      <w:pPr>
        <w:rPr>
          <w:rFonts w:hint="eastAsia" w:ascii="宋体" w:hAnsi="宋体" w:eastAsia="宋体" w:cs="宋体"/>
          <w:color w:val="auto"/>
          <w:lang w:val="en-US"/>
        </w:rPr>
      </w:pPr>
    </w:p>
    <w:p w14:paraId="1C98174F">
      <w:pPr>
        <w:rPr>
          <w:rFonts w:hint="eastAsia" w:ascii="宋体" w:hAnsi="宋体" w:eastAsia="宋体" w:cs="宋体"/>
          <w:color w:val="auto"/>
          <w:lang w:val="en-US"/>
        </w:rPr>
      </w:pPr>
    </w:p>
    <w:p w14:paraId="0F7A86D9">
      <w:pPr>
        <w:rPr>
          <w:rFonts w:hint="eastAsia" w:ascii="宋体" w:hAnsi="宋体" w:eastAsia="宋体" w:cs="宋体"/>
          <w:color w:val="auto"/>
          <w:lang w:val="en-US"/>
        </w:rPr>
      </w:pPr>
    </w:p>
    <w:p w14:paraId="7035068A">
      <w:pPr>
        <w:rPr>
          <w:rFonts w:hint="eastAsia" w:ascii="宋体" w:hAnsi="宋体" w:eastAsia="宋体" w:cs="宋体"/>
          <w:color w:val="auto"/>
          <w:lang w:val="en-US"/>
        </w:rPr>
      </w:pPr>
    </w:p>
    <w:p w14:paraId="7E25F62B">
      <w:pPr>
        <w:rPr>
          <w:rFonts w:hint="eastAsia" w:ascii="宋体" w:hAnsi="宋体" w:eastAsia="宋体" w:cs="宋体"/>
          <w:color w:val="auto"/>
          <w:lang w:val="en-US"/>
        </w:rPr>
      </w:pPr>
    </w:p>
    <w:p w14:paraId="5852A1E7">
      <w:pPr>
        <w:pStyle w:val="4"/>
        <w:bidi w:val="0"/>
        <w:ind w:left="0" w:leftChars="0" w:firstLine="0" w:firstLineChars="0"/>
        <w:jc w:val="left"/>
        <w:rPr>
          <w:rFonts w:hint="eastAsia" w:ascii="宋体" w:hAnsi="宋体" w:eastAsia="宋体" w:cs="宋体"/>
          <w:color w:val="auto"/>
          <w:lang w:val="en-US" w:eastAsia="zh-CN"/>
        </w:rPr>
      </w:pPr>
      <w:bookmarkStart w:id="47" w:name="_Toc106418843"/>
      <w:bookmarkEnd w:id="47"/>
      <w:bookmarkStart w:id="48" w:name="_Toc28280"/>
      <w:bookmarkEnd w:id="48"/>
      <w:bookmarkStart w:id="49" w:name="_Toc18245"/>
      <w:bookmarkStart w:id="50" w:name="_Toc11959"/>
      <w:bookmarkStart w:id="51" w:name="_Toc16328"/>
      <w:r>
        <w:rPr>
          <w:rFonts w:hint="eastAsia" w:ascii="宋体" w:hAnsi="宋体" w:eastAsia="宋体" w:cs="宋体"/>
          <w:color w:val="auto"/>
          <w:lang w:eastAsia="zh-CN"/>
        </w:rPr>
        <w:t>格式</w:t>
      </w:r>
      <w:bookmarkStart w:id="52" w:name="_Hlt97526007"/>
      <w:bookmarkEnd w:id="52"/>
      <w:r>
        <w:rPr>
          <w:rFonts w:hint="eastAsia" w:ascii="宋体" w:hAnsi="宋体" w:eastAsia="宋体" w:cs="宋体"/>
          <w:color w:val="auto"/>
          <w:lang w:eastAsia="zh-CN"/>
        </w:rPr>
        <w:t>二</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投标函</w:t>
      </w:r>
      <w:bookmarkEnd w:id="49"/>
      <w:bookmarkEnd w:id="50"/>
      <w:bookmarkEnd w:id="51"/>
    </w:p>
    <w:p w14:paraId="598ABCA4">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color w:val="auto"/>
          <w:lang w:val="en-US"/>
        </w:rPr>
      </w:pPr>
      <w:r>
        <w:rPr>
          <w:rFonts w:hint="eastAsia" w:ascii="宋体" w:hAnsi="宋体" w:eastAsia="宋体" w:cs="宋体"/>
          <w:b/>
          <w:bCs w:val="0"/>
          <w:color w:val="auto"/>
          <w:kern w:val="0"/>
          <w:sz w:val="36"/>
          <w:szCs w:val="36"/>
          <w:highlight w:val="none"/>
          <w:lang w:eastAsia="zh-CN"/>
        </w:rPr>
        <w:t>投</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标</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函</w:t>
      </w:r>
    </w:p>
    <w:p w14:paraId="1F93B18B">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4B0A7B2B">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1. 我方考察现场并充分研究（项目名称）（以下简称“本项目”）施工招标文件所有内容后，结合自身资质、能力和特点，愿意接受招标文件的全部内容和条件，兹以人民币（大写）：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）的投标总价竞投本项目施工。</w:t>
      </w:r>
    </w:p>
    <w:p w14:paraId="32BCFA6B">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在我方的上述投标总价中，包括：安全生产措施费¥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，暂列金额¥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，暂估价¥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40F5B0A7">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2. 如果我方中标，我方保证按照合同约定的开工日期开始本项目的施工，</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个日历天内竣工，并确保工程质量达到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bidi="ar"/>
        </w:rPr>
        <w:t>标准和维修其中的任何缺陷。</w:t>
      </w:r>
    </w:p>
    <w:p w14:paraId="165314F3">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3. 本投标函在你方接收我方递交的投标文件之日起、到招标文件规定的投标有效期期满前对我方具有约束力。我方随时准备接受你方发出的中标通知书。</w:t>
      </w:r>
    </w:p>
    <w:p w14:paraId="3AB5B4D8">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4.我方在此声明，我方不存在本项目招标文件第二章投标人须知第4.5条“禁止投标条款”所列出的任何一种情形，并愿意承担因我方就此弄虚作假所引起的一切法律后果。</w:t>
      </w:r>
    </w:p>
    <w:p w14:paraId="56669D73">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5.我方在此承诺，所递交投标文件的全部内容均为真实、有效、准确的，并愿意承担因我方就此弄虚作假所引起的一切法律后果，同时理解和同意有可能被要求提供更多的资料。</w:t>
      </w:r>
    </w:p>
    <w:p w14:paraId="4C99D53A">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bookmarkStart w:id="53" w:name="_Hlt68771070"/>
      <w:bookmarkEnd w:id="53"/>
      <w:r>
        <w:rPr>
          <w:rFonts w:hint="eastAsia" w:ascii="宋体" w:hAnsi="宋体" w:eastAsia="宋体" w:cs="宋体"/>
          <w:color w:val="auto"/>
          <w:kern w:val="0"/>
          <w:sz w:val="24"/>
          <w:szCs w:val="24"/>
          <w:highlight w:val="none"/>
          <w:lang w:val="en-US" w:eastAsia="zh-CN" w:bidi="ar"/>
        </w:rPr>
        <w:t>6. 我方理解你方不一定要接纳收到的最低投标总价或任何投标总价的投标人中标，也不要求你方解释我方是否中标的原因。</w:t>
      </w:r>
    </w:p>
    <w:p w14:paraId="272F1AE1">
      <w:pPr>
        <w:rPr>
          <w:rFonts w:hint="eastAsia" w:ascii="宋体" w:hAnsi="宋体" w:eastAsia="宋体" w:cs="宋体"/>
          <w:color w:val="auto"/>
          <w:lang w:val="en-US"/>
        </w:rPr>
      </w:pPr>
    </w:p>
    <w:p w14:paraId="02709EA9">
      <w:pPr>
        <w:rPr>
          <w:rFonts w:hint="eastAsia" w:ascii="宋体" w:hAnsi="宋体" w:eastAsia="宋体" w:cs="宋体"/>
          <w:color w:val="auto"/>
          <w:lang w:val="en-US"/>
        </w:rPr>
      </w:pPr>
    </w:p>
    <w:p w14:paraId="56589601">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投标人：   （盖单位章）</w:t>
      </w:r>
    </w:p>
    <w:p w14:paraId="1A3C7508">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38323162">
      <w:pPr>
        <w:keepNext w:val="0"/>
        <w:keepLines w:val="0"/>
        <w:widowControl w:val="0"/>
        <w:suppressLineNumbers w:val="0"/>
        <w:wordWrap w:val="0"/>
        <w:spacing w:before="0" w:beforeAutospacing="0" w:after="0" w:afterAutospacing="0" w:line="44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   （签字或盖章）</w:t>
      </w:r>
    </w:p>
    <w:p w14:paraId="1C6CEE0A">
      <w:pPr>
        <w:keepNext w:val="0"/>
        <w:keepLines w:val="0"/>
        <w:widowControl w:val="0"/>
        <w:suppressLineNumbers w:val="0"/>
        <w:wordWrap w:val="0"/>
        <w:spacing w:before="0" w:beforeAutospacing="0" w:after="0" w:afterAutospacing="0" w:line="44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25B58D60">
      <w:pPr>
        <w:keepNext w:val="0"/>
        <w:keepLines w:val="0"/>
        <w:widowControl w:val="0"/>
        <w:suppressLineNumbers w:val="0"/>
        <w:wordWrap w:val="0"/>
        <w:spacing w:before="0" w:beforeAutospacing="0" w:after="0" w:afterAutospacing="0" w:line="440" w:lineRule="exact"/>
        <w:ind w:left="0" w:right="0" w:firstLine="6960" w:firstLineChars="29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年  月  日</w:t>
      </w:r>
    </w:p>
    <w:p w14:paraId="4668B1AD">
      <w:pPr>
        <w:rPr>
          <w:rFonts w:hint="eastAsia" w:ascii="宋体" w:hAnsi="宋体" w:eastAsia="宋体" w:cs="宋体"/>
          <w:color w:val="auto"/>
          <w:lang w:val="en-US" w:eastAsia="zh-CN"/>
        </w:rPr>
      </w:pPr>
    </w:p>
    <w:p w14:paraId="0DE8C929">
      <w:pPr>
        <w:rPr>
          <w:rFonts w:hint="eastAsia" w:ascii="宋体" w:hAnsi="宋体" w:eastAsia="宋体" w:cs="宋体"/>
          <w:color w:val="auto"/>
          <w:lang w:val="en-US" w:eastAsia="zh-CN"/>
        </w:rPr>
      </w:pPr>
    </w:p>
    <w:p w14:paraId="0A5CF597">
      <w:pPr>
        <w:rPr>
          <w:rFonts w:hint="eastAsia" w:ascii="宋体" w:hAnsi="宋体" w:eastAsia="宋体" w:cs="宋体"/>
          <w:color w:val="auto"/>
          <w:lang w:val="en-US" w:eastAsia="zh-CN"/>
        </w:rPr>
      </w:pPr>
    </w:p>
    <w:p w14:paraId="16886D9D">
      <w:pPr>
        <w:rPr>
          <w:rFonts w:hint="eastAsia" w:ascii="宋体" w:hAnsi="宋体" w:eastAsia="宋体" w:cs="宋体"/>
          <w:color w:val="auto"/>
          <w:lang w:val="en-US" w:eastAsia="zh-CN"/>
        </w:rPr>
      </w:pPr>
    </w:p>
    <w:p w14:paraId="521B8FB2">
      <w:pPr>
        <w:rPr>
          <w:rFonts w:hint="eastAsia" w:ascii="宋体" w:hAnsi="宋体" w:eastAsia="宋体" w:cs="宋体"/>
          <w:color w:val="auto"/>
          <w:lang w:val="en-US" w:eastAsia="zh-CN"/>
        </w:rPr>
      </w:pPr>
    </w:p>
    <w:p w14:paraId="63FC54C2">
      <w:pPr>
        <w:rPr>
          <w:rFonts w:hint="eastAsia" w:ascii="宋体" w:hAnsi="宋体" w:eastAsia="宋体" w:cs="宋体"/>
          <w:color w:val="auto"/>
          <w:lang w:val="en-US" w:eastAsia="zh-CN"/>
        </w:rPr>
      </w:pPr>
    </w:p>
    <w:p w14:paraId="533C44B8">
      <w:pPr>
        <w:rPr>
          <w:rFonts w:hint="eastAsia" w:ascii="宋体" w:hAnsi="宋体" w:eastAsia="宋体" w:cs="宋体"/>
          <w:color w:val="auto"/>
          <w:lang w:val="en-US" w:eastAsia="zh-CN"/>
        </w:rPr>
      </w:pPr>
    </w:p>
    <w:p w14:paraId="1C31FCDF">
      <w:pPr>
        <w:rPr>
          <w:rFonts w:hint="eastAsia" w:ascii="宋体" w:hAnsi="宋体" w:eastAsia="宋体" w:cs="宋体"/>
          <w:color w:val="auto"/>
          <w:lang w:val="en-US" w:eastAsia="zh-CN"/>
        </w:rPr>
      </w:pPr>
    </w:p>
    <w:p w14:paraId="264E5A0E">
      <w:pPr>
        <w:rPr>
          <w:rFonts w:hint="eastAsia" w:ascii="宋体" w:hAnsi="宋体" w:eastAsia="宋体" w:cs="宋体"/>
          <w:color w:val="auto"/>
          <w:lang w:val="en-US" w:eastAsia="zh-CN"/>
        </w:rPr>
      </w:pPr>
    </w:p>
    <w:p w14:paraId="1EA7DB04">
      <w:pPr>
        <w:rPr>
          <w:rFonts w:hint="eastAsia" w:ascii="宋体" w:hAnsi="宋体" w:eastAsia="宋体" w:cs="宋体"/>
          <w:color w:val="auto"/>
          <w:lang w:val="en-US" w:eastAsia="zh-CN"/>
        </w:rPr>
      </w:pPr>
    </w:p>
    <w:p w14:paraId="1567AC5A">
      <w:pPr>
        <w:pStyle w:val="4"/>
        <w:bidi w:val="0"/>
        <w:ind w:left="0" w:leftChars="0" w:firstLine="0" w:firstLineChars="0"/>
        <w:jc w:val="left"/>
        <w:rPr>
          <w:rFonts w:hint="eastAsia" w:ascii="宋体" w:hAnsi="宋体" w:eastAsia="宋体" w:cs="宋体"/>
          <w:color w:val="auto"/>
          <w:lang w:val="en-US" w:eastAsia="zh-CN"/>
        </w:rPr>
      </w:pPr>
      <w:bookmarkStart w:id="54" w:name="_Toc21043"/>
      <w:bookmarkStart w:id="55" w:name="_Toc12610"/>
      <w:bookmarkStart w:id="56" w:name="_Toc12708"/>
      <w:r>
        <w:rPr>
          <w:rFonts w:hint="eastAsia" w:ascii="宋体" w:hAnsi="宋体" w:eastAsia="宋体" w:cs="宋体"/>
          <w:color w:val="auto"/>
          <w:lang w:eastAsia="zh-CN"/>
        </w:rPr>
        <w:t>格式三</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各项承诺一览表</w:t>
      </w:r>
      <w:bookmarkEnd w:id="54"/>
      <w:bookmarkEnd w:id="55"/>
      <w:bookmarkEnd w:id="56"/>
    </w:p>
    <w:p w14:paraId="58E48C83">
      <w:pPr>
        <w:pStyle w:val="40"/>
        <w:keepNext w:val="0"/>
        <w:keepLines w:val="0"/>
        <w:widowControl w:val="0"/>
        <w:suppressLineNumbers w:val="0"/>
        <w:wordWrap w:val="0"/>
        <w:spacing w:before="260" w:beforeAutospacing="0" w:after="260" w:afterAutospacing="0" w:line="440" w:lineRule="exact"/>
        <w:ind w:left="0" w:right="0" w:firstLine="0"/>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sz w:val="30"/>
          <w:szCs w:val="30"/>
          <w:highlight w:val="none"/>
          <w:lang w:eastAsia="zh-CN"/>
        </w:rPr>
        <w:t>各项承诺一览表</w:t>
      </w:r>
    </w:p>
    <w:tbl>
      <w:tblPr>
        <w:tblStyle w:val="23"/>
        <w:tblW w:w="94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467"/>
        <w:gridCol w:w="2679"/>
        <w:gridCol w:w="4625"/>
      </w:tblGrid>
      <w:tr w14:paraId="675A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F790D24">
            <w:pPr>
              <w:pStyle w:val="42"/>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序号</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32185E2">
            <w:pPr>
              <w:pStyle w:val="42"/>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承诺事项</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05CABA53">
            <w:pPr>
              <w:pStyle w:val="42"/>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承诺内容</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06F80DF1">
            <w:pPr>
              <w:pStyle w:val="42"/>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违约承诺</w:t>
            </w:r>
          </w:p>
        </w:tc>
      </w:tr>
      <w:tr w14:paraId="2312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8DE8ABA">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11365F0C">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自愿接受招标</w:t>
            </w:r>
          </w:p>
          <w:p w14:paraId="7EC24D6F">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文件条款的承诺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5F8E596">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我方自愿接受招标文件的所有条款，所递交的投标文件已经充分响应招标文件的实质性要求。</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5D4EED04">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如果我方的投标文件未响应、违反、偏离招标文件的实质性要求，我方接受招标人或其授权的招标代理机构或其组建的评标委员会依据招标文件作出的相应处理，包括否决投标。</w:t>
            </w:r>
          </w:p>
        </w:tc>
      </w:tr>
      <w:tr w14:paraId="7337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4FC123">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19E1FB5">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无禁止投标</w:t>
            </w:r>
          </w:p>
          <w:p w14:paraId="612DEC27">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情形的承诺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29B5D8B">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我方不存在招标文件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4FEA1515">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如果我方有招标文件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8A4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1ABD92">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28A1C5A">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自觉抵制围标</w:t>
            </w:r>
          </w:p>
          <w:p w14:paraId="537D3B35">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串标和弄虚</w:t>
            </w:r>
          </w:p>
          <w:p w14:paraId="1489D47C">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作假行为的承诺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0675049D">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我方合法正当、诚实守信地参与投标，不组织、不参加围标串标违法行为，不通过弄虚作假行为骗取中标。</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3EDA75A5">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4BAA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C10A00E">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7F2AC45">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p w14:paraId="326AC633">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任职承诺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573134C">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我方拟派项目经理现阶段没有担任任何在施（包括已中标未开工、已开工未竣工）建设工程项目的项目经理。</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47C5E8B0">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4EECC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2C05F6">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D7125EB">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32C81A48">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真实性承诺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80E99D2">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我方所递交投标文件的全部内容均为真实、有效、准确的。</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070B643E">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如果我方递交的投标文件任何内容不真实或无效或不准确，我方接受招标人或其授权的招标代理机构或其组建的评标委员会依据招标文件作出的相应处理，包括否决投标。</w:t>
            </w:r>
          </w:p>
        </w:tc>
      </w:tr>
      <w:tr w14:paraId="2D83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C271B4">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6</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8215FF8">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0347EF9D">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信息公开承诺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CF5B6DD">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我方提供完整的文件。如果我方成为本项目中标候选人，我方同意并授权招标人在评标结果公示期内公开我方商务标书的全部内容。</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2BDBC8F8">
            <w:pPr>
              <w:pStyle w:val="43"/>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tc>
      </w:tr>
      <w:tr w14:paraId="5051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2ED1963">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7</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6544555">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对不正常报价</w:t>
            </w:r>
          </w:p>
          <w:p w14:paraId="1A641035">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的确认承诺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E8E1E06">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如果我方中标，我方接受招标人在合同订立期间依据招标文件有关条款约定对我方已标价工程量清单中不正常报价的修正或认定，并按要求签署《不正常报价清单》加以确认。</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47F65CD4">
            <w:pPr>
              <w:pStyle w:val="43"/>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p w14:paraId="3F2F6174">
            <w:pPr>
              <w:pStyle w:val="43"/>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p>
        </w:tc>
      </w:tr>
      <w:tr w14:paraId="2348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5BAF092">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8</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0F03FF6">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按时提交履约</w:t>
            </w:r>
          </w:p>
          <w:p w14:paraId="62FE09D2">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保证的承诺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5BC2820">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如果我方中标，我方保证在招标文件规定的时限内全额提交履约保证。</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465EB168">
            <w:pPr>
              <w:pStyle w:val="43"/>
              <w:widowControl/>
              <w:wordWrap w:val="0"/>
              <w:spacing w:line="380" w:lineRule="exact"/>
              <w:ind w:left="0" w:firstLine="0" w:firstLineChars="0"/>
              <w:jc w:val="left"/>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如果我方未在招标文件规定的时限内全额提交履约保证，我方接受招标人依据招标文件作出的相应处理以及有关监督部门作出的行政处罚，并承担由此引起的一切法律后果。</w:t>
            </w:r>
          </w:p>
        </w:tc>
      </w:tr>
      <w:tr w14:paraId="3517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F936FE5">
            <w:pPr>
              <w:pStyle w:val="42"/>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9</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C355214">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按时签订合同</w:t>
            </w:r>
          </w:p>
          <w:p w14:paraId="796AD0D7">
            <w:pPr>
              <w:pStyle w:val="43"/>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63B7AE8">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如果我方中标，我方保证在招标文件规定的时限内与招标人签订合同，不提出违背或超出招标文件、中标文件的要求。</w:t>
            </w:r>
          </w:p>
        </w:tc>
        <w:tc>
          <w:tcPr>
            <w:tcW w:w="4625" w:type="dxa"/>
            <w:tcBorders>
              <w:top w:val="single" w:color="000000" w:sz="4" w:space="0"/>
              <w:left w:val="single" w:color="000000" w:sz="4" w:space="0"/>
              <w:bottom w:val="single" w:color="000000" w:sz="4" w:space="0"/>
              <w:right w:val="single" w:color="000000" w:sz="4" w:space="0"/>
            </w:tcBorders>
            <w:noWrap w:val="0"/>
            <w:vAlign w:val="center"/>
          </w:tcPr>
          <w:p w14:paraId="56BA4E4B">
            <w:pPr>
              <w:pStyle w:val="43"/>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6868FBB6">
      <w:pPr>
        <w:rPr>
          <w:rFonts w:hint="eastAsia" w:ascii="宋体" w:hAnsi="宋体" w:eastAsia="宋体" w:cs="宋体"/>
          <w:color w:val="auto"/>
          <w:lang w:val="en-US"/>
        </w:rPr>
      </w:pPr>
    </w:p>
    <w:p w14:paraId="19AF3205">
      <w:pPr>
        <w:pStyle w:val="19"/>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投标人：（盖单位章）</w:t>
      </w:r>
    </w:p>
    <w:p w14:paraId="2C7C71B5">
      <w:pPr>
        <w:rPr>
          <w:rFonts w:hint="eastAsia" w:ascii="宋体" w:hAnsi="宋体" w:eastAsia="宋体" w:cs="宋体"/>
          <w:color w:val="auto"/>
          <w:lang w:val="en-US"/>
        </w:rPr>
      </w:pPr>
    </w:p>
    <w:p w14:paraId="1107DB15">
      <w:pPr>
        <w:pStyle w:val="19"/>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法定代表人或其委托代理人：（签字或盖章）</w:t>
      </w:r>
    </w:p>
    <w:p w14:paraId="08A6678D">
      <w:pPr>
        <w:rPr>
          <w:rFonts w:hint="eastAsia" w:ascii="宋体" w:hAnsi="宋体" w:eastAsia="宋体" w:cs="宋体"/>
          <w:color w:val="auto"/>
          <w:lang w:val="en-US"/>
        </w:rPr>
      </w:pPr>
    </w:p>
    <w:p w14:paraId="5BA22516">
      <w:pPr>
        <w:pStyle w:val="19"/>
        <w:keepNext w:val="0"/>
        <w:keepLines w:val="0"/>
        <w:widowControl w:val="0"/>
        <w:suppressLineNumbers w:val="0"/>
        <w:wordWrap w:val="0"/>
        <w:spacing w:before="0" w:beforeAutospacing="0" w:after="0" w:afterAutospacing="0" w:line="420" w:lineRule="exact"/>
        <w:ind w:left="0" w:right="0" w:firstLine="480" w:firstLineChars="20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2BE725F7">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sz w:val="24"/>
          <w:szCs w:val="24"/>
          <w:highlight w:val="none"/>
          <w:lang w:val="en-US" w:eastAsia="zh-CN" w:bidi="ar"/>
        </w:rPr>
      </w:pPr>
    </w:p>
    <w:p w14:paraId="526C496E">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sz w:val="24"/>
          <w:szCs w:val="24"/>
          <w:highlight w:val="none"/>
          <w:lang w:val="en-US" w:eastAsia="zh-CN" w:bidi="ar"/>
        </w:rPr>
      </w:pPr>
    </w:p>
    <w:p w14:paraId="57A5EDE0">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sz w:val="24"/>
          <w:szCs w:val="24"/>
          <w:highlight w:val="none"/>
          <w:lang w:val="en-US" w:eastAsia="zh-CN" w:bidi="ar"/>
        </w:rPr>
      </w:pPr>
    </w:p>
    <w:p w14:paraId="2F4C97C7">
      <w:pPr>
        <w:rPr>
          <w:rFonts w:hint="eastAsia" w:ascii="宋体" w:hAnsi="宋体" w:eastAsia="宋体" w:cs="宋体"/>
          <w:color w:val="auto"/>
          <w:lang w:val="en-US" w:eastAsia="zh-CN"/>
        </w:rPr>
      </w:pPr>
    </w:p>
    <w:p w14:paraId="0603E65E">
      <w:pPr>
        <w:rPr>
          <w:rFonts w:hint="eastAsia" w:ascii="宋体" w:hAnsi="宋体" w:eastAsia="宋体" w:cs="宋体"/>
          <w:color w:val="auto"/>
          <w:lang w:val="en-US" w:eastAsia="zh-CN"/>
        </w:rPr>
      </w:pPr>
    </w:p>
    <w:p w14:paraId="2357EA1E">
      <w:pPr>
        <w:rPr>
          <w:rFonts w:hint="eastAsia" w:ascii="宋体" w:hAnsi="宋体" w:eastAsia="宋体" w:cs="宋体"/>
          <w:color w:val="auto"/>
          <w:lang w:val="en-US" w:eastAsia="zh-CN"/>
        </w:rPr>
      </w:pPr>
    </w:p>
    <w:p w14:paraId="2D3A5CBC">
      <w:pPr>
        <w:rPr>
          <w:rFonts w:hint="eastAsia" w:ascii="宋体" w:hAnsi="宋体" w:eastAsia="宋体" w:cs="宋体"/>
          <w:color w:val="auto"/>
          <w:lang w:val="en-US" w:eastAsia="zh-CN"/>
        </w:rPr>
      </w:pPr>
    </w:p>
    <w:p w14:paraId="3D1B6E89">
      <w:pPr>
        <w:rPr>
          <w:rFonts w:hint="eastAsia" w:ascii="宋体" w:hAnsi="宋体" w:eastAsia="宋体" w:cs="宋体"/>
          <w:color w:val="auto"/>
          <w:lang w:val="en-US" w:eastAsia="zh-CN"/>
        </w:rPr>
      </w:pPr>
    </w:p>
    <w:p w14:paraId="4DFA2E1B">
      <w:pPr>
        <w:rPr>
          <w:rFonts w:hint="eastAsia" w:ascii="宋体" w:hAnsi="宋体" w:eastAsia="宋体" w:cs="宋体"/>
          <w:color w:val="auto"/>
          <w:lang w:val="en-US" w:eastAsia="zh-CN"/>
        </w:rPr>
      </w:pPr>
    </w:p>
    <w:p w14:paraId="4582D3A0">
      <w:pPr>
        <w:rPr>
          <w:rFonts w:hint="eastAsia" w:ascii="宋体" w:hAnsi="宋体" w:eastAsia="宋体" w:cs="宋体"/>
          <w:color w:val="auto"/>
          <w:lang w:val="en-US" w:eastAsia="zh-CN"/>
        </w:rPr>
      </w:pPr>
    </w:p>
    <w:p w14:paraId="6C5F63E1">
      <w:pPr>
        <w:rPr>
          <w:rFonts w:hint="eastAsia" w:ascii="宋体" w:hAnsi="宋体" w:eastAsia="宋体" w:cs="宋体"/>
          <w:color w:val="auto"/>
          <w:lang w:val="en-US" w:eastAsia="zh-CN"/>
        </w:rPr>
      </w:pPr>
    </w:p>
    <w:p w14:paraId="65FA8F40">
      <w:pPr>
        <w:rPr>
          <w:rFonts w:hint="eastAsia" w:ascii="宋体" w:hAnsi="宋体" w:eastAsia="宋体" w:cs="宋体"/>
          <w:color w:val="auto"/>
          <w:lang w:val="en-US" w:eastAsia="zh-CN"/>
        </w:rPr>
      </w:pPr>
    </w:p>
    <w:p w14:paraId="168F8302">
      <w:pPr>
        <w:pStyle w:val="4"/>
        <w:bidi w:val="0"/>
        <w:ind w:left="0" w:leftChars="0" w:firstLine="0" w:firstLineChars="0"/>
        <w:rPr>
          <w:rFonts w:hint="eastAsia" w:ascii="宋体" w:hAnsi="宋体" w:eastAsia="宋体" w:cs="宋体"/>
          <w:b/>
          <w:bCs w:val="0"/>
          <w:color w:val="auto"/>
          <w:kern w:val="0"/>
          <w:highlight w:val="none"/>
          <w:lang w:val="en-US"/>
        </w:rPr>
      </w:pPr>
      <w:bookmarkStart w:id="57" w:name="_Toc15220"/>
      <w:bookmarkStart w:id="58" w:name="_Toc1712"/>
      <w:bookmarkStart w:id="59" w:name="_Toc27962"/>
      <w:r>
        <w:rPr>
          <w:rFonts w:hint="eastAsia" w:ascii="宋体" w:hAnsi="宋体" w:eastAsia="宋体" w:cs="宋体"/>
          <w:color w:val="auto"/>
          <w:lang w:val="en-US" w:eastAsia="zh-CN"/>
        </w:rPr>
        <w:t>格式四   法定代表人身份证明</w:t>
      </w:r>
      <w:bookmarkEnd w:id="57"/>
      <w:bookmarkEnd w:id="58"/>
      <w:bookmarkEnd w:id="59"/>
    </w:p>
    <w:p w14:paraId="769A1A9A">
      <w:pPr>
        <w:keepNext w:val="0"/>
        <w:keepLines w:val="0"/>
        <w:widowControl w:val="0"/>
        <w:suppressLineNumbers w:val="0"/>
        <w:wordWrap w:val="0"/>
        <w:spacing w:before="260" w:beforeAutospacing="0" w:after="26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法定代表人身份证明</w:t>
      </w:r>
    </w:p>
    <w:p w14:paraId="51786EB0">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4"/>
          <w:szCs w:val="24"/>
          <w:highlight w:val="none"/>
          <w:lang w:val="en-US" w:eastAsia="zh-CN" w:bidi="ar"/>
        </w:rPr>
        <w:t>投标人名称：</w:t>
      </w:r>
    </w:p>
    <w:p w14:paraId="5DF5ADF6">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4"/>
          <w:szCs w:val="24"/>
          <w:highlight w:val="none"/>
          <w:lang w:val="en-US" w:eastAsia="zh-CN" w:bidi="ar"/>
        </w:rPr>
        <w:t>姓名：    性别：    年龄：      职务：</w:t>
      </w:r>
    </w:p>
    <w:p w14:paraId="4D5E5999">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系</w:t>
      </w:r>
      <w:r>
        <w:rPr>
          <w:rFonts w:hint="eastAsia" w:ascii="宋体" w:hAnsi="宋体" w:eastAsia="宋体" w:cs="宋体"/>
          <w:color w:val="auto"/>
          <w:kern w:val="0"/>
          <w:sz w:val="24"/>
          <w:szCs w:val="24"/>
          <w:highlight w:val="none"/>
          <w:u w:val="single"/>
          <w:lang w:val="en-US" w:eastAsia="zh-CN" w:bidi="ar"/>
        </w:rPr>
        <w:t>（投标人名称）</w:t>
      </w:r>
      <w:r>
        <w:rPr>
          <w:rFonts w:hint="eastAsia" w:ascii="宋体" w:hAnsi="宋体" w:eastAsia="宋体" w:cs="宋体"/>
          <w:color w:val="auto"/>
          <w:kern w:val="0"/>
          <w:sz w:val="24"/>
          <w:szCs w:val="24"/>
          <w:highlight w:val="none"/>
          <w:lang w:val="en-US" w:eastAsia="zh-CN" w:bidi="ar"/>
        </w:rPr>
        <w:t>的法定代表人。</w:t>
      </w:r>
    </w:p>
    <w:p w14:paraId="715FF1B8">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特此证明。</w:t>
      </w:r>
    </w:p>
    <w:p w14:paraId="6ED656C0">
      <w:pPr>
        <w:rPr>
          <w:rFonts w:hint="eastAsia" w:ascii="宋体" w:hAnsi="宋体" w:eastAsia="宋体" w:cs="宋体"/>
          <w:color w:val="auto"/>
          <w:lang w:val="en-US"/>
        </w:rPr>
      </w:pPr>
    </w:p>
    <w:p w14:paraId="5228161D">
      <w:pPr>
        <w:rPr>
          <w:rFonts w:hint="eastAsia" w:ascii="宋体" w:hAnsi="宋体" w:eastAsia="宋体" w:cs="宋体"/>
          <w:color w:val="auto"/>
          <w:lang w:val="en-US"/>
        </w:rPr>
      </w:pPr>
    </w:p>
    <w:p w14:paraId="79B0FDCC">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142F3D98">
      <w:pPr>
        <w:rPr>
          <w:rFonts w:hint="eastAsia" w:ascii="宋体" w:hAnsi="宋体" w:eastAsia="宋体" w:cs="宋体"/>
          <w:color w:val="auto"/>
          <w:lang w:val="en-US"/>
        </w:rPr>
      </w:pPr>
    </w:p>
    <w:p w14:paraId="024B84C0">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法定代表人：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71070F8F">
      <w:pPr>
        <w:rPr>
          <w:rFonts w:hint="eastAsia" w:ascii="宋体" w:hAnsi="宋体" w:eastAsia="宋体" w:cs="宋体"/>
          <w:color w:val="auto"/>
          <w:lang w:val="en-US"/>
        </w:rPr>
      </w:pPr>
    </w:p>
    <w:p w14:paraId="28F30EF2">
      <w:pPr>
        <w:keepNext w:val="0"/>
        <w:keepLines w:val="0"/>
        <w:widowControl w:val="0"/>
        <w:suppressLineNumbers w:val="0"/>
        <w:wordWrap w:val="0"/>
        <w:spacing w:before="0" w:beforeAutospacing="0" w:after="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2B9A8099">
      <w:pPr>
        <w:rPr>
          <w:rFonts w:hint="eastAsia" w:ascii="宋体" w:hAnsi="宋体" w:eastAsia="宋体" w:cs="宋体"/>
          <w:color w:val="auto"/>
          <w:lang w:val="en-US"/>
        </w:rPr>
      </w:pPr>
    </w:p>
    <w:p w14:paraId="12330FDF">
      <w:pPr>
        <w:rPr>
          <w:rFonts w:hint="eastAsia" w:ascii="宋体" w:hAnsi="宋体" w:eastAsia="宋体" w:cs="宋体"/>
          <w:color w:val="auto"/>
          <w:lang w:val="en-US"/>
        </w:rPr>
      </w:pPr>
    </w:p>
    <w:p w14:paraId="06A4C3FE">
      <w:pPr>
        <w:rPr>
          <w:rFonts w:hint="eastAsia" w:ascii="宋体" w:hAnsi="宋体" w:eastAsia="宋体" w:cs="宋体"/>
          <w:color w:val="auto"/>
          <w:lang w:val="en-US"/>
        </w:rPr>
      </w:pPr>
    </w:p>
    <w:p w14:paraId="2D293CB1">
      <w:pPr>
        <w:rPr>
          <w:rFonts w:hint="eastAsia" w:ascii="宋体" w:hAnsi="宋体" w:eastAsia="宋体" w:cs="宋体"/>
          <w:color w:val="auto"/>
          <w:lang w:val="en-US" w:eastAsia="zh-CN"/>
        </w:rPr>
      </w:pPr>
    </w:p>
    <w:p w14:paraId="6E23282B">
      <w:pPr>
        <w:rPr>
          <w:rFonts w:hint="eastAsia" w:ascii="宋体" w:hAnsi="宋体" w:eastAsia="宋体" w:cs="宋体"/>
          <w:color w:val="auto"/>
        </w:rPr>
      </w:pPr>
    </w:p>
    <w:p w14:paraId="4306F375">
      <w:pPr>
        <w:rPr>
          <w:rFonts w:hint="eastAsia" w:ascii="宋体" w:hAnsi="宋体" w:eastAsia="宋体" w:cs="宋体"/>
          <w:color w:val="auto"/>
          <w:lang w:val="en-US" w:eastAsia="zh-CN"/>
        </w:rPr>
      </w:pPr>
    </w:p>
    <w:p w14:paraId="2DB03154">
      <w:pPr>
        <w:rPr>
          <w:rFonts w:hint="eastAsia" w:ascii="宋体" w:hAnsi="宋体" w:eastAsia="宋体" w:cs="宋体"/>
          <w:color w:val="auto"/>
          <w:lang w:val="en-US"/>
        </w:rPr>
      </w:pPr>
    </w:p>
    <w:p w14:paraId="201CC4AD">
      <w:pPr>
        <w:rPr>
          <w:rFonts w:hint="eastAsia" w:ascii="宋体" w:hAnsi="宋体" w:eastAsia="宋体" w:cs="宋体"/>
          <w:color w:val="auto"/>
          <w:lang w:val="en-US"/>
        </w:rPr>
      </w:pPr>
    </w:p>
    <w:p w14:paraId="05B173EF">
      <w:pPr>
        <w:rPr>
          <w:rFonts w:hint="eastAsia" w:ascii="宋体" w:hAnsi="宋体" w:eastAsia="宋体" w:cs="宋体"/>
          <w:color w:val="auto"/>
          <w:lang w:val="en-US"/>
        </w:rPr>
      </w:pPr>
    </w:p>
    <w:p w14:paraId="5ABC60B0">
      <w:pPr>
        <w:rPr>
          <w:rFonts w:hint="eastAsia" w:ascii="宋体" w:hAnsi="宋体" w:eastAsia="宋体" w:cs="宋体"/>
          <w:color w:val="auto"/>
          <w:lang w:val="en-US" w:eastAsia="zh-CN"/>
        </w:rPr>
      </w:pPr>
    </w:p>
    <w:p w14:paraId="60C50876">
      <w:pPr>
        <w:rPr>
          <w:rFonts w:hint="eastAsia" w:ascii="宋体" w:hAnsi="宋体" w:eastAsia="宋体" w:cs="宋体"/>
          <w:color w:val="auto"/>
          <w:lang w:val="en-US" w:eastAsia="zh-CN"/>
        </w:rPr>
      </w:pPr>
    </w:p>
    <w:p w14:paraId="1DB9E7C8">
      <w:pPr>
        <w:rPr>
          <w:rFonts w:hint="eastAsia" w:ascii="宋体" w:hAnsi="宋体" w:eastAsia="宋体" w:cs="宋体"/>
          <w:color w:val="auto"/>
          <w:lang w:val="en-US" w:eastAsia="zh-CN"/>
        </w:rPr>
      </w:pPr>
    </w:p>
    <w:p w14:paraId="1289D848">
      <w:pPr>
        <w:rPr>
          <w:rFonts w:hint="eastAsia" w:ascii="宋体" w:hAnsi="宋体" w:eastAsia="宋体" w:cs="宋体"/>
          <w:color w:val="auto"/>
          <w:lang w:val="en-US" w:eastAsia="zh-CN"/>
        </w:rPr>
      </w:pPr>
    </w:p>
    <w:p w14:paraId="0C0FC8CA">
      <w:pPr>
        <w:rPr>
          <w:rFonts w:hint="eastAsia" w:ascii="宋体" w:hAnsi="宋体" w:eastAsia="宋体" w:cs="宋体"/>
          <w:color w:val="auto"/>
          <w:lang w:val="en-US" w:eastAsia="zh-CN"/>
        </w:rPr>
      </w:pPr>
    </w:p>
    <w:p w14:paraId="746316D5">
      <w:pPr>
        <w:rPr>
          <w:rFonts w:hint="eastAsia" w:ascii="宋体" w:hAnsi="宋体" w:eastAsia="宋体" w:cs="宋体"/>
          <w:color w:val="auto"/>
          <w:lang w:val="en-US" w:eastAsia="zh-CN"/>
        </w:rPr>
      </w:pP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-1790065</wp:posOffset>
                </wp:positionV>
                <wp:extent cx="319087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F93A0EF">
                            <w:pPr>
                              <w:jc w:val="center"/>
                              <w:rPr>
                                <w:rFonts w:hint="eastAsia"/>
                                <w:szCs w:val="21"/>
                              </w:rPr>
                            </w:pPr>
                          </w:p>
                          <w:p w14:paraId="035501B1">
                            <w:pPr>
                              <w:jc w:val="center"/>
                              <w:rPr>
                                <w:rFonts w:hint="eastAsia"/>
                                <w:szCs w:val="21"/>
                              </w:rPr>
                            </w:pPr>
                          </w:p>
                          <w:p w14:paraId="5252C2E0">
                            <w:pPr>
                              <w:jc w:val="center"/>
                              <w:rPr>
                                <w:rFonts w:hint="eastAsia"/>
                                <w:szCs w:val="21"/>
                              </w:rPr>
                            </w:pPr>
                          </w:p>
                          <w:p w14:paraId="560FC2C2">
                            <w:pPr>
                              <w:jc w:val="center"/>
                              <w:rPr>
                                <w:szCs w:val="21"/>
                              </w:rPr>
                            </w:pPr>
                            <w:r>
                              <w:rPr>
                                <w:rFonts w:ascii="宋体" w:hAnsi="宋体" w:eastAsia="宋体" w:cs="宋体"/>
                                <w:color w:val="auto"/>
                                <w:spacing w:val="-1"/>
                                <w:sz w:val="24"/>
                                <w:szCs w:val="24"/>
                              </w:rPr>
                              <w:t>法定代表人身</w:t>
                            </w:r>
                            <w:r>
                              <w:rPr>
                                <w:rFonts w:ascii="宋体" w:hAnsi="宋体" w:eastAsia="宋体" w:cs="宋体"/>
                                <w:color w:val="auto"/>
                                <w:spacing w:val="-1"/>
                                <w:sz w:val="24"/>
                                <w:szCs w:val="24"/>
                                <w:highlight w:val="none"/>
                              </w:rPr>
                              <w:t>份证</w:t>
                            </w:r>
                            <w:r>
                              <w:rPr>
                                <w:rFonts w:hint="eastAsia" w:ascii="宋体" w:hAnsi="宋体" w:eastAsia="宋体" w:cs="宋体"/>
                                <w:color w:val="auto"/>
                                <w:spacing w:val="-1"/>
                                <w:sz w:val="24"/>
                                <w:szCs w:val="24"/>
                                <w:highlight w:val="none"/>
                                <w:lang w:val="en-US" w:eastAsia="zh-CN"/>
                              </w:rPr>
                              <w:t>彩色扫描件</w:t>
                            </w:r>
                            <w:r>
                              <w:rPr>
                                <w:rFonts w:ascii="宋体" w:hAnsi="宋体" w:eastAsia="宋体" w:cs="宋体"/>
                                <w:color w:val="auto"/>
                                <w:spacing w:val="-1"/>
                                <w:sz w:val="24"/>
                                <w:szCs w:val="24"/>
                                <w:highlight w:val="none"/>
                              </w:rPr>
                              <w:t>正</w:t>
                            </w:r>
                            <w:r>
                              <w:rPr>
                                <w:rFonts w:ascii="宋体" w:hAnsi="宋体" w:eastAsia="宋体" w:cs="宋体"/>
                                <w:color w:val="auto"/>
                                <w:spacing w:val="-1"/>
                                <w:sz w:val="24"/>
                                <w:szCs w:val="24"/>
                              </w:rPr>
                              <w:t>、反面</w:t>
                            </w:r>
                          </w:p>
                        </w:txbxContent>
                      </wps:txbx>
                      <wps:bodyPr upright="1"/>
                    </wps:wsp>
                  </a:graphicData>
                </a:graphic>
              </wp:anchor>
            </w:drawing>
          </mc:Choice>
          <mc:Fallback>
            <w:pict>
              <v:shape id="_x0000_s1026" o:spid="_x0000_s1026" o:spt="176" type="#_x0000_t176" style="position:absolute;left:0pt;margin-left:115.5pt;margin-top:-140.95pt;height:124.75pt;width:251.25pt;z-index:251660288;mso-width-relative:page;mso-height-relative:page;" fillcolor="#FFFFFF" filled="t" stroked="t" coordsize="21600,21600" o:gfxdata="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H/3ktoAAAAMAQAADwAAAAAAAAABACAAAAAiAAAAZHJzL2Rvd25yZXYueG1sUEsBAhQA&#10;FAAAAAgAh07iQAxkKM0pAgAAUAQAAA4AAAAAAAAAAQAgAAAAKQEAAGRycy9lMm9Eb2MueG1sUEsF&#10;BgAAAAAGAAYAWQEAAMQFAAAAAA==&#10;">
                <v:fill on="t" focussize="0,0"/>
                <v:stroke color="#000000" joinstyle="miter"/>
                <v:imagedata o:title=""/>
                <o:lock v:ext="edit" aspectratio="f"/>
                <v:textbox>
                  <w:txbxContent>
                    <w:p w14:paraId="4F93A0EF">
                      <w:pPr>
                        <w:jc w:val="center"/>
                        <w:rPr>
                          <w:rFonts w:hint="eastAsia"/>
                          <w:szCs w:val="21"/>
                        </w:rPr>
                      </w:pPr>
                    </w:p>
                    <w:p w14:paraId="035501B1">
                      <w:pPr>
                        <w:jc w:val="center"/>
                        <w:rPr>
                          <w:rFonts w:hint="eastAsia"/>
                          <w:szCs w:val="21"/>
                        </w:rPr>
                      </w:pPr>
                    </w:p>
                    <w:p w14:paraId="5252C2E0">
                      <w:pPr>
                        <w:jc w:val="center"/>
                        <w:rPr>
                          <w:rFonts w:hint="eastAsia"/>
                          <w:szCs w:val="21"/>
                        </w:rPr>
                      </w:pPr>
                    </w:p>
                    <w:p w14:paraId="560FC2C2">
                      <w:pPr>
                        <w:jc w:val="center"/>
                        <w:rPr>
                          <w:szCs w:val="21"/>
                        </w:rPr>
                      </w:pPr>
                      <w:r>
                        <w:rPr>
                          <w:rFonts w:ascii="宋体" w:hAnsi="宋体" w:eastAsia="宋体" w:cs="宋体"/>
                          <w:color w:val="auto"/>
                          <w:spacing w:val="-1"/>
                          <w:sz w:val="24"/>
                          <w:szCs w:val="24"/>
                        </w:rPr>
                        <w:t>法定代表人身</w:t>
                      </w:r>
                      <w:r>
                        <w:rPr>
                          <w:rFonts w:ascii="宋体" w:hAnsi="宋体" w:eastAsia="宋体" w:cs="宋体"/>
                          <w:color w:val="auto"/>
                          <w:spacing w:val="-1"/>
                          <w:sz w:val="24"/>
                          <w:szCs w:val="24"/>
                          <w:highlight w:val="none"/>
                        </w:rPr>
                        <w:t>份证</w:t>
                      </w:r>
                      <w:r>
                        <w:rPr>
                          <w:rFonts w:hint="eastAsia" w:ascii="宋体" w:hAnsi="宋体" w:eastAsia="宋体" w:cs="宋体"/>
                          <w:color w:val="auto"/>
                          <w:spacing w:val="-1"/>
                          <w:sz w:val="24"/>
                          <w:szCs w:val="24"/>
                          <w:highlight w:val="none"/>
                          <w:lang w:val="en-US" w:eastAsia="zh-CN"/>
                        </w:rPr>
                        <w:t>彩色扫描件</w:t>
                      </w:r>
                      <w:r>
                        <w:rPr>
                          <w:rFonts w:ascii="宋体" w:hAnsi="宋体" w:eastAsia="宋体" w:cs="宋体"/>
                          <w:color w:val="auto"/>
                          <w:spacing w:val="-1"/>
                          <w:sz w:val="24"/>
                          <w:szCs w:val="24"/>
                          <w:highlight w:val="none"/>
                        </w:rPr>
                        <w:t>正</w:t>
                      </w:r>
                      <w:r>
                        <w:rPr>
                          <w:rFonts w:ascii="宋体" w:hAnsi="宋体" w:eastAsia="宋体" w:cs="宋体"/>
                          <w:color w:val="auto"/>
                          <w:spacing w:val="-1"/>
                          <w:sz w:val="24"/>
                          <w:szCs w:val="24"/>
                        </w:rPr>
                        <w:t>、反面</w:t>
                      </w:r>
                    </w:p>
                  </w:txbxContent>
                </v:textbox>
              </v:shape>
            </w:pict>
          </mc:Fallback>
        </mc:AlternateContent>
      </w:r>
    </w:p>
    <w:p w14:paraId="5690B516">
      <w:pPr>
        <w:rPr>
          <w:rFonts w:hint="eastAsia" w:ascii="宋体" w:hAnsi="宋体" w:eastAsia="宋体" w:cs="宋体"/>
          <w:color w:val="auto"/>
          <w:lang w:val="en-US" w:eastAsia="zh-CN"/>
        </w:rPr>
      </w:pPr>
    </w:p>
    <w:p w14:paraId="5647698E">
      <w:pPr>
        <w:rPr>
          <w:rFonts w:hint="eastAsia" w:ascii="宋体" w:hAnsi="宋体" w:eastAsia="宋体" w:cs="宋体"/>
          <w:color w:val="auto"/>
          <w:lang w:val="en-US" w:eastAsia="zh-CN"/>
        </w:rPr>
      </w:pPr>
    </w:p>
    <w:p w14:paraId="1DD2D1DD">
      <w:pPr>
        <w:rPr>
          <w:rFonts w:hint="eastAsia" w:ascii="宋体" w:hAnsi="宋体" w:eastAsia="宋体" w:cs="宋体"/>
          <w:color w:val="auto"/>
          <w:lang w:val="en-US" w:eastAsia="zh-CN"/>
        </w:rPr>
      </w:pPr>
    </w:p>
    <w:p w14:paraId="60077F6F">
      <w:pPr>
        <w:rPr>
          <w:rFonts w:hint="eastAsia" w:ascii="宋体" w:hAnsi="宋体" w:eastAsia="宋体" w:cs="宋体"/>
          <w:color w:val="auto"/>
          <w:lang w:val="en-US" w:eastAsia="zh-CN"/>
        </w:rPr>
      </w:pPr>
    </w:p>
    <w:p w14:paraId="24B5136D">
      <w:pPr>
        <w:rPr>
          <w:rFonts w:hint="eastAsia" w:ascii="宋体" w:hAnsi="宋体" w:eastAsia="宋体" w:cs="宋体"/>
          <w:color w:val="auto"/>
          <w:lang w:val="en-US" w:eastAsia="zh-CN"/>
        </w:rPr>
      </w:pPr>
    </w:p>
    <w:p w14:paraId="2EF19BD1">
      <w:pPr>
        <w:rPr>
          <w:rFonts w:hint="eastAsia" w:ascii="宋体" w:hAnsi="宋体" w:eastAsia="宋体" w:cs="宋体"/>
          <w:color w:val="auto"/>
          <w:lang w:val="en-US" w:eastAsia="zh-CN"/>
        </w:rPr>
      </w:pPr>
    </w:p>
    <w:p w14:paraId="3EDD209F">
      <w:pPr>
        <w:rPr>
          <w:rFonts w:hint="eastAsia" w:ascii="宋体" w:hAnsi="宋体" w:eastAsia="宋体" w:cs="宋体"/>
          <w:color w:val="auto"/>
          <w:lang w:val="en-US" w:eastAsia="zh-CN"/>
        </w:rPr>
      </w:pPr>
    </w:p>
    <w:p w14:paraId="2220ED9F">
      <w:pPr>
        <w:rPr>
          <w:rFonts w:hint="eastAsia" w:ascii="宋体" w:hAnsi="宋体" w:eastAsia="宋体" w:cs="宋体"/>
          <w:color w:val="auto"/>
          <w:lang w:val="en-US" w:eastAsia="zh-CN"/>
        </w:rPr>
      </w:pPr>
    </w:p>
    <w:p w14:paraId="39F433F6">
      <w:pPr>
        <w:rPr>
          <w:rFonts w:hint="eastAsia" w:ascii="宋体" w:hAnsi="宋体" w:eastAsia="宋体" w:cs="宋体"/>
          <w:color w:val="auto"/>
          <w:lang w:val="en-US" w:eastAsia="zh-CN"/>
        </w:rPr>
      </w:pPr>
    </w:p>
    <w:p w14:paraId="1C8CB851">
      <w:pPr>
        <w:rPr>
          <w:rFonts w:hint="eastAsia" w:ascii="宋体" w:hAnsi="宋体" w:eastAsia="宋体" w:cs="宋体"/>
          <w:color w:val="auto"/>
          <w:lang w:val="en-US" w:eastAsia="zh-CN"/>
        </w:rPr>
      </w:pPr>
    </w:p>
    <w:p w14:paraId="5E3987B5">
      <w:pPr>
        <w:rPr>
          <w:rFonts w:hint="eastAsia" w:ascii="宋体" w:hAnsi="宋体" w:eastAsia="宋体" w:cs="宋体"/>
          <w:color w:val="auto"/>
          <w:lang w:val="en-US" w:eastAsia="zh-CN"/>
        </w:rPr>
      </w:pPr>
    </w:p>
    <w:p w14:paraId="474ED537">
      <w:pPr>
        <w:rPr>
          <w:rFonts w:hint="eastAsia" w:ascii="宋体" w:hAnsi="宋体" w:eastAsia="宋体" w:cs="宋体"/>
          <w:color w:val="auto"/>
          <w:lang w:val="en-US" w:eastAsia="zh-CN"/>
        </w:rPr>
      </w:pPr>
    </w:p>
    <w:p w14:paraId="2E58911D">
      <w:pPr>
        <w:rPr>
          <w:rFonts w:hint="eastAsia" w:ascii="宋体" w:hAnsi="宋体" w:eastAsia="宋体" w:cs="宋体"/>
          <w:color w:val="auto"/>
          <w:lang w:val="en-US" w:eastAsia="zh-CN"/>
        </w:rPr>
      </w:pPr>
    </w:p>
    <w:p w14:paraId="0E160005">
      <w:pPr>
        <w:pStyle w:val="4"/>
        <w:bidi w:val="0"/>
        <w:ind w:left="0" w:leftChars="0" w:firstLine="0" w:firstLineChars="0"/>
        <w:rPr>
          <w:rFonts w:hint="eastAsia" w:ascii="宋体" w:hAnsi="宋体" w:eastAsia="宋体" w:cs="宋体"/>
          <w:color w:val="auto"/>
          <w:highlight w:val="none"/>
        </w:rPr>
      </w:pPr>
      <w:bookmarkStart w:id="60" w:name="_Toc29668"/>
      <w:bookmarkStart w:id="61" w:name="_Toc30341"/>
      <w:bookmarkStart w:id="62" w:name="_Toc22756"/>
      <w:r>
        <w:rPr>
          <w:rFonts w:hint="eastAsia" w:ascii="宋体" w:hAnsi="宋体" w:eastAsia="宋体" w:cs="宋体"/>
          <w:color w:val="auto"/>
          <w:lang w:val="en-US" w:eastAsia="zh-CN"/>
        </w:rPr>
        <w:t>格式五</w:t>
      </w:r>
      <w:bookmarkEnd w:id="60"/>
      <w:r>
        <w:rPr>
          <w:rFonts w:hint="eastAsia" w:ascii="宋体" w:hAnsi="宋体" w:eastAsia="宋体" w:cs="宋体"/>
          <w:color w:val="auto"/>
          <w:lang w:val="en-US" w:eastAsia="zh-CN"/>
        </w:rPr>
        <w:t xml:space="preserve">   授权委托书</w:t>
      </w:r>
      <w:bookmarkEnd w:id="61"/>
      <w:bookmarkEnd w:id="62"/>
    </w:p>
    <w:p w14:paraId="145A31DC">
      <w:pPr>
        <w:wordWrap w:val="0"/>
        <w:adjustRightInd w:val="0"/>
        <w:snapToGrid w:val="0"/>
        <w:spacing w:before="260" w:after="260" w:line="440" w:lineRule="exact"/>
        <w:jc w:val="center"/>
        <w:rPr>
          <w:rFonts w:hint="eastAsia" w:ascii="宋体" w:hAnsi="宋体" w:eastAsia="宋体" w:cs="宋体"/>
          <w:color w:val="auto"/>
        </w:rPr>
      </w:pPr>
      <w:r>
        <w:rPr>
          <w:rFonts w:hint="eastAsia" w:ascii="宋体" w:hAnsi="宋体" w:eastAsia="宋体" w:cs="宋体"/>
          <w:b/>
          <w:snapToGrid w:val="0"/>
          <w:color w:val="auto"/>
          <w:kern w:val="0"/>
          <w:sz w:val="30"/>
          <w:highlight w:val="none"/>
        </w:rPr>
        <w:t>授权委托书</w:t>
      </w:r>
    </w:p>
    <w:p w14:paraId="3FCBFF2A">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 w:val="24"/>
          <w:szCs w:val="24"/>
          <w:highlight w:val="none"/>
        </w:rPr>
        <w:t xml:space="preserve"> 本人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（投标人名称）的法定代表人，现委托</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（项目名称）投标文件、签订合同和处理有关事宜，其法律后果由我方承担。</w:t>
      </w:r>
    </w:p>
    <w:p w14:paraId="05B6032E">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委托期限：</w:t>
      </w:r>
      <w:r>
        <w:rPr>
          <w:rFonts w:hint="eastAsia" w:ascii="宋体" w:hAnsi="宋体" w:eastAsia="宋体" w:cs="宋体"/>
          <w:color w:val="auto"/>
          <w:sz w:val="24"/>
          <w:szCs w:val="24"/>
          <w:highlight w:val="none"/>
        </w:rPr>
        <w:t>至投标有效期的期满之日止。</w:t>
      </w:r>
    </w:p>
    <w:p w14:paraId="2A339288">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代理人无转委托权。</w:t>
      </w:r>
    </w:p>
    <w:p w14:paraId="23211306">
      <w:pPr>
        <w:rPr>
          <w:rFonts w:hint="eastAsia" w:ascii="宋体" w:hAnsi="宋体" w:eastAsia="宋体" w:cs="宋体"/>
          <w:color w:val="auto"/>
        </w:rPr>
      </w:pPr>
    </w:p>
    <w:p w14:paraId="65696270">
      <w:pPr>
        <w:rPr>
          <w:rFonts w:hint="eastAsia" w:ascii="宋体" w:hAnsi="宋体" w:eastAsia="宋体" w:cs="宋体"/>
          <w:color w:val="auto"/>
        </w:rPr>
      </w:pPr>
    </w:p>
    <w:p w14:paraId="2D4A86A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投  标  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8F31895">
      <w:pPr>
        <w:rPr>
          <w:rFonts w:hint="eastAsia" w:ascii="宋体" w:hAnsi="宋体" w:eastAsia="宋体" w:cs="宋体"/>
          <w:color w:val="auto"/>
        </w:rPr>
      </w:pPr>
    </w:p>
    <w:p w14:paraId="6D33F063">
      <w:pPr>
        <w:rPr>
          <w:rFonts w:hint="eastAsia" w:ascii="宋体" w:hAnsi="宋体" w:eastAsia="宋体" w:cs="宋体"/>
          <w:color w:val="auto"/>
        </w:rPr>
      </w:pPr>
    </w:p>
    <w:p w14:paraId="7A14D37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64E96ACC">
      <w:pPr>
        <w:rPr>
          <w:rFonts w:hint="eastAsia" w:ascii="宋体" w:hAnsi="宋体" w:eastAsia="宋体" w:cs="宋体"/>
          <w:color w:val="auto"/>
        </w:rPr>
      </w:pPr>
    </w:p>
    <w:p w14:paraId="1E4441B8">
      <w:pPr>
        <w:rPr>
          <w:rFonts w:hint="eastAsia" w:ascii="宋体" w:hAnsi="宋体" w:eastAsia="宋体" w:cs="宋体"/>
          <w:color w:val="auto"/>
        </w:rPr>
      </w:pPr>
    </w:p>
    <w:p w14:paraId="4F69C81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94B3249">
      <w:pPr>
        <w:rPr>
          <w:rFonts w:hint="eastAsia" w:ascii="宋体" w:hAnsi="宋体" w:eastAsia="宋体" w:cs="宋体"/>
          <w:color w:val="auto"/>
        </w:rPr>
      </w:pPr>
    </w:p>
    <w:p w14:paraId="619A66DE">
      <w:pPr>
        <w:rPr>
          <w:rFonts w:hint="eastAsia" w:ascii="宋体" w:hAnsi="宋体" w:eastAsia="宋体" w:cs="宋体"/>
          <w:color w:val="auto"/>
        </w:rPr>
      </w:pPr>
    </w:p>
    <w:p w14:paraId="4763C86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0E7FD4C">
      <w:pPr>
        <w:rPr>
          <w:rFonts w:hint="eastAsia" w:ascii="宋体" w:hAnsi="宋体" w:eastAsia="宋体" w:cs="宋体"/>
          <w:color w:val="auto"/>
        </w:rPr>
      </w:pPr>
    </w:p>
    <w:p w14:paraId="6AB6EA26">
      <w:pPr>
        <w:rPr>
          <w:rFonts w:hint="eastAsia" w:ascii="宋体" w:hAnsi="宋体" w:eastAsia="宋体" w:cs="宋体"/>
          <w:color w:val="auto"/>
        </w:rPr>
      </w:pPr>
    </w:p>
    <w:p w14:paraId="5DD53728">
      <w:pPr>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312420</wp:posOffset>
                </wp:positionV>
                <wp:extent cx="319087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33A46F4">
                            <w:pPr>
                              <w:jc w:val="center"/>
                              <w:rPr>
                                <w:rFonts w:hint="eastAsia"/>
                                <w:szCs w:val="21"/>
                              </w:rPr>
                            </w:pPr>
                          </w:p>
                          <w:p w14:paraId="3A16FF7B">
                            <w:pPr>
                              <w:jc w:val="center"/>
                              <w:rPr>
                                <w:rFonts w:hint="eastAsia"/>
                                <w:szCs w:val="21"/>
                              </w:rPr>
                            </w:pPr>
                          </w:p>
                          <w:p w14:paraId="3453ADEF">
                            <w:pPr>
                              <w:jc w:val="center"/>
                              <w:rPr>
                                <w:rFonts w:hint="eastAsia"/>
                                <w:szCs w:val="21"/>
                              </w:rPr>
                            </w:pPr>
                          </w:p>
                          <w:p w14:paraId="21422217">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4.6pt;height:124.75pt;width:251.25pt;z-index:251659264;mso-width-relative:page;mso-height-relative:page;" fillcolor="#FFFFFF" filled="t" stroked="t" coordsize="21600,21600" o:gfxdata="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nzrq2AAAAAoBAAAPAAAAAAAAAAEAIAAAACIAAABkcnMvZG93bnJldi54bWxQSwECFAAU&#10;AAAACACHTuJAElPo7ioCAABQBAAADgAAAAAAAAABACAAAAAnAQAAZHJzL2Uyb0RvYy54bWxQSwUG&#10;AAAAAAYABgBZAQAAwwUAAAAA&#10;">
                <v:fill on="t" focussize="0,0"/>
                <v:stroke color="#000000" joinstyle="miter"/>
                <v:imagedata o:title=""/>
                <o:lock v:ext="edit" aspectratio="f"/>
                <v:textbox>
                  <w:txbxContent>
                    <w:p w14:paraId="433A46F4">
                      <w:pPr>
                        <w:jc w:val="center"/>
                        <w:rPr>
                          <w:rFonts w:hint="eastAsia"/>
                          <w:szCs w:val="21"/>
                        </w:rPr>
                      </w:pPr>
                    </w:p>
                    <w:p w14:paraId="3A16FF7B">
                      <w:pPr>
                        <w:jc w:val="center"/>
                        <w:rPr>
                          <w:rFonts w:hint="eastAsia"/>
                          <w:szCs w:val="21"/>
                        </w:rPr>
                      </w:pPr>
                    </w:p>
                    <w:p w14:paraId="3453ADEF">
                      <w:pPr>
                        <w:jc w:val="center"/>
                        <w:rPr>
                          <w:rFonts w:hint="eastAsia"/>
                          <w:szCs w:val="21"/>
                        </w:rPr>
                      </w:pPr>
                    </w:p>
                    <w:p w14:paraId="21422217">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v:textbox>
              </v:shape>
            </w:pict>
          </mc:Fallback>
        </mc:AlternateContent>
      </w:r>
    </w:p>
    <w:p w14:paraId="04F05AAF">
      <w:pPr>
        <w:rPr>
          <w:rFonts w:hint="eastAsia" w:ascii="宋体" w:hAnsi="宋体" w:eastAsia="宋体" w:cs="宋体"/>
          <w:color w:val="auto"/>
        </w:rPr>
      </w:pPr>
    </w:p>
    <w:p w14:paraId="7EC7F422">
      <w:pPr>
        <w:rPr>
          <w:rFonts w:hint="eastAsia" w:ascii="宋体" w:hAnsi="宋体" w:eastAsia="宋体" w:cs="宋体"/>
          <w:color w:val="auto"/>
        </w:rPr>
      </w:pPr>
    </w:p>
    <w:p w14:paraId="540FC891">
      <w:pPr>
        <w:rPr>
          <w:rFonts w:hint="eastAsia" w:ascii="宋体" w:hAnsi="宋体" w:eastAsia="宋体" w:cs="宋体"/>
          <w:color w:val="auto"/>
        </w:rPr>
      </w:pPr>
    </w:p>
    <w:p w14:paraId="7EABE378">
      <w:pPr>
        <w:rPr>
          <w:rFonts w:hint="eastAsia" w:ascii="宋体" w:hAnsi="宋体" w:eastAsia="宋体" w:cs="宋体"/>
          <w:color w:val="auto"/>
        </w:rPr>
      </w:pPr>
    </w:p>
    <w:p w14:paraId="386E8059">
      <w:pPr>
        <w:rPr>
          <w:rFonts w:hint="eastAsia" w:ascii="宋体" w:hAnsi="宋体" w:eastAsia="宋体" w:cs="宋体"/>
          <w:color w:val="auto"/>
        </w:rPr>
      </w:pPr>
    </w:p>
    <w:p w14:paraId="21A7A190">
      <w:pPr>
        <w:rPr>
          <w:rFonts w:hint="eastAsia" w:ascii="宋体" w:hAnsi="宋体" w:eastAsia="宋体" w:cs="宋体"/>
          <w:color w:val="auto"/>
        </w:rPr>
      </w:pPr>
    </w:p>
    <w:p w14:paraId="70E6E964">
      <w:pPr>
        <w:rPr>
          <w:rFonts w:hint="eastAsia" w:ascii="宋体" w:hAnsi="宋体" w:eastAsia="宋体" w:cs="宋体"/>
          <w:color w:val="auto"/>
        </w:rPr>
      </w:pPr>
    </w:p>
    <w:p w14:paraId="2A951A4F">
      <w:pPr>
        <w:rPr>
          <w:rFonts w:hint="eastAsia" w:ascii="宋体" w:hAnsi="宋体" w:eastAsia="宋体" w:cs="宋体"/>
          <w:color w:val="auto"/>
        </w:rPr>
      </w:pPr>
    </w:p>
    <w:p w14:paraId="621BBDB5">
      <w:pPr>
        <w:rPr>
          <w:rFonts w:hint="eastAsia" w:ascii="宋体" w:hAnsi="宋体" w:eastAsia="宋体" w:cs="宋体"/>
          <w:color w:val="auto"/>
        </w:rPr>
      </w:pPr>
    </w:p>
    <w:p w14:paraId="451EA56E">
      <w:pPr>
        <w:rPr>
          <w:rFonts w:hint="eastAsia" w:ascii="宋体" w:hAnsi="宋体" w:eastAsia="宋体" w:cs="宋体"/>
          <w:color w:val="auto"/>
        </w:rPr>
      </w:pPr>
    </w:p>
    <w:p w14:paraId="0A6E0B67">
      <w:pPr>
        <w:rPr>
          <w:rFonts w:hint="eastAsia" w:ascii="宋体" w:hAnsi="宋体" w:eastAsia="宋体" w:cs="宋体"/>
          <w:color w:val="auto"/>
        </w:rPr>
      </w:pPr>
    </w:p>
    <w:p w14:paraId="72D71C47">
      <w:pPr>
        <w:rPr>
          <w:rFonts w:hint="eastAsia" w:ascii="宋体" w:hAnsi="宋体" w:eastAsia="宋体" w:cs="宋体"/>
          <w:color w:val="auto"/>
        </w:rPr>
      </w:pPr>
    </w:p>
    <w:p w14:paraId="26E00015">
      <w:pPr>
        <w:rPr>
          <w:rFonts w:hint="eastAsia" w:ascii="宋体" w:hAnsi="宋体" w:eastAsia="宋体" w:cs="宋体"/>
          <w:color w:val="auto"/>
        </w:rPr>
      </w:pPr>
    </w:p>
    <w:p w14:paraId="29103A0B">
      <w:pPr>
        <w:rPr>
          <w:rFonts w:hint="eastAsia" w:ascii="宋体" w:hAnsi="宋体" w:eastAsia="宋体" w:cs="宋体"/>
          <w:color w:val="auto"/>
        </w:rPr>
      </w:pPr>
    </w:p>
    <w:p w14:paraId="092652C7">
      <w:pPr>
        <w:rPr>
          <w:rFonts w:hint="eastAsia" w:ascii="宋体" w:hAnsi="宋体" w:eastAsia="宋体" w:cs="宋体"/>
          <w:color w:val="auto"/>
        </w:rPr>
      </w:pPr>
    </w:p>
    <w:p w14:paraId="6B4AE7A7">
      <w:pPr>
        <w:rPr>
          <w:rFonts w:hint="eastAsia" w:ascii="宋体" w:hAnsi="宋体" w:eastAsia="宋体" w:cs="宋体"/>
          <w:color w:val="auto"/>
        </w:rPr>
      </w:pPr>
    </w:p>
    <w:p w14:paraId="006329C9">
      <w:pPr>
        <w:rPr>
          <w:rFonts w:hint="eastAsia" w:ascii="宋体" w:hAnsi="宋体" w:eastAsia="宋体" w:cs="宋体"/>
          <w:color w:val="auto"/>
        </w:rPr>
      </w:pPr>
    </w:p>
    <w:p w14:paraId="37F6AA82">
      <w:pPr>
        <w:rPr>
          <w:rFonts w:hint="eastAsia" w:ascii="宋体" w:hAnsi="宋体" w:eastAsia="宋体" w:cs="宋体"/>
          <w:color w:val="auto"/>
        </w:rPr>
      </w:pPr>
    </w:p>
    <w:p w14:paraId="165CDE1B">
      <w:pPr>
        <w:pStyle w:val="4"/>
        <w:bidi w:val="0"/>
        <w:ind w:left="0" w:leftChars="0" w:firstLine="0" w:firstLineChars="0"/>
        <w:rPr>
          <w:rFonts w:hint="eastAsia" w:ascii="宋体" w:hAnsi="宋体" w:eastAsia="宋体" w:cs="宋体"/>
          <w:color w:val="auto"/>
          <w:lang w:val="en-US" w:eastAsia="zh-CN"/>
        </w:rPr>
      </w:pPr>
      <w:bookmarkStart w:id="63" w:name="_Toc19203"/>
      <w:bookmarkStart w:id="64" w:name="_Toc11456"/>
      <w:bookmarkStart w:id="65" w:name="_Toc1232"/>
      <w:r>
        <w:rPr>
          <w:rFonts w:hint="eastAsia" w:ascii="宋体" w:hAnsi="宋体" w:eastAsia="宋体" w:cs="宋体"/>
          <w:color w:val="auto"/>
          <w:lang w:val="en-US" w:eastAsia="zh-CN"/>
        </w:rPr>
        <w:t>格式六   投标人基本情况表</w:t>
      </w:r>
      <w:bookmarkEnd w:id="63"/>
      <w:bookmarkEnd w:id="64"/>
      <w:bookmarkEnd w:id="65"/>
    </w:p>
    <w:p w14:paraId="1F97EA74">
      <w:pPr>
        <w:pStyle w:val="41"/>
        <w:keepNext w:val="0"/>
        <w:keepLines w:val="0"/>
        <w:widowControl w:val="0"/>
        <w:suppressLineNumbers w:val="0"/>
        <w:wordWrap w:val="0"/>
        <w:spacing w:before="260" w:beforeAutospacing="0" w:after="260" w:afterAutospacing="0" w:line="400" w:lineRule="exact"/>
        <w:ind w:left="0" w:right="0" w:firstLine="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30"/>
          <w:szCs w:val="30"/>
          <w:highlight w:val="none"/>
          <w:lang w:eastAsia="zh-CN"/>
        </w:rPr>
        <w:t>投标人基本情况表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4"/>
        <w:gridCol w:w="1097"/>
        <w:gridCol w:w="1489"/>
        <w:gridCol w:w="803"/>
        <w:gridCol w:w="414"/>
        <w:gridCol w:w="832"/>
        <w:gridCol w:w="260"/>
        <w:gridCol w:w="709"/>
        <w:gridCol w:w="1416"/>
      </w:tblGrid>
      <w:tr w14:paraId="7523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107758C">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投标人名称</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E6C4743">
            <w:pPr>
              <w:pStyle w:val="44"/>
              <w:widowControl/>
              <w:wordWrap w:val="0"/>
              <w:jc w:val="center"/>
              <w:rPr>
                <w:rFonts w:hint="eastAsia" w:ascii="宋体" w:hAnsi="宋体" w:eastAsia="宋体" w:cs="宋体"/>
                <w:color w:val="auto"/>
                <w:kern w:val="0"/>
                <w:sz w:val="24"/>
                <w:szCs w:val="24"/>
                <w:highlight w:val="none"/>
                <w:lang w:val="en-US"/>
              </w:rPr>
            </w:pPr>
          </w:p>
        </w:tc>
      </w:tr>
      <w:tr w14:paraId="381BA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FF9532E">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注册地址</w:t>
            </w:r>
          </w:p>
        </w:tc>
        <w:tc>
          <w:tcPr>
            <w:tcW w:w="3389" w:type="dxa"/>
            <w:gridSpan w:val="3"/>
            <w:tcBorders>
              <w:top w:val="single" w:color="000000" w:sz="4" w:space="0"/>
              <w:left w:val="single" w:color="000000" w:sz="4" w:space="0"/>
              <w:bottom w:val="single" w:color="000000" w:sz="4" w:space="0"/>
              <w:right w:val="single" w:color="000000" w:sz="4" w:space="0"/>
            </w:tcBorders>
            <w:noWrap w:val="0"/>
            <w:vAlign w:val="center"/>
          </w:tcPr>
          <w:p w14:paraId="52E11C35">
            <w:pPr>
              <w:pStyle w:val="44"/>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5DEE2275">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邮政编码</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494B6A8F">
            <w:pPr>
              <w:pStyle w:val="44"/>
              <w:widowControl/>
              <w:wordWrap w:val="0"/>
              <w:jc w:val="center"/>
              <w:rPr>
                <w:rFonts w:hint="eastAsia" w:ascii="宋体" w:hAnsi="宋体" w:eastAsia="宋体" w:cs="宋体"/>
                <w:color w:val="auto"/>
                <w:kern w:val="0"/>
                <w:sz w:val="24"/>
                <w:szCs w:val="24"/>
                <w:highlight w:val="none"/>
                <w:lang w:val="en-US"/>
              </w:rPr>
            </w:pPr>
          </w:p>
        </w:tc>
      </w:tr>
      <w:tr w14:paraId="5E46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vMerge w:val="restart"/>
            <w:tcBorders>
              <w:top w:val="nil"/>
              <w:left w:val="single" w:color="000000" w:sz="4" w:space="0"/>
              <w:bottom w:val="single" w:color="000000" w:sz="4" w:space="0"/>
              <w:right w:val="single" w:color="000000" w:sz="4" w:space="0"/>
            </w:tcBorders>
            <w:noWrap w:val="0"/>
            <w:vAlign w:val="center"/>
          </w:tcPr>
          <w:p w14:paraId="088D7A56">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CA9B86D">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联系人</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1DE852A2">
            <w:pPr>
              <w:pStyle w:val="44"/>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9B9BCC7">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话</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6C4CD091">
            <w:pPr>
              <w:pStyle w:val="44"/>
              <w:widowControl/>
              <w:wordWrap w:val="0"/>
              <w:jc w:val="center"/>
              <w:rPr>
                <w:rFonts w:hint="eastAsia" w:ascii="宋体" w:hAnsi="宋体" w:eastAsia="宋体" w:cs="宋体"/>
                <w:color w:val="auto"/>
                <w:kern w:val="0"/>
                <w:sz w:val="24"/>
                <w:szCs w:val="24"/>
                <w:highlight w:val="none"/>
                <w:lang w:val="en-US"/>
              </w:rPr>
            </w:pPr>
          </w:p>
        </w:tc>
      </w:tr>
      <w:tr w14:paraId="63E3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vMerge w:val="continue"/>
            <w:tcBorders>
              <w:top w:val="nil"/>
              <w:left w:val="single" w:color="000000" w:sz="4" w:space="0"/>
              <w:bottom w:val="single" w:color="000000" w:sz="4" w:space="0"/>
              <w:right w:val="single" w:color="000000" w:sz="4" w:space="0"/>
            </w:tcBorders>
            <w:noWrap w:val="0"/>
            <w:vAlign w:val="center"/>
          </w:tcPr>
          <w:p w14:paraId="588EE3A1">
            <w:pPr>
              <w:rPr>
                <w:rFonts w:hint="eastAsia" w:ascii="宋体" w:hAnsi="宋体" w:eastAsia="宋体" w:cs="宋体"/>
                <w:color w:val="auto"/>
                <w:sz w:val="24"/>
                <w:szCs w:val="24"/>
                <w:highlight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2795EB0">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真</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2B3E0179">
            <w:pPr>
              <w:pStyle w:val="44"/>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21A47004">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电子邮箱</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7C8FD014">
            <w:pPr>
              <w:pStyle w:val="44"/>
              <w:widowControl/>
              <w:wordWrap w:val="0"/>
              <w:jc w:val="center"/>
              <w:rPr>
                <w:rFonts w:hint="eastAsia" w:ascii="宋体" w:hAnsi="宋体" w:eastAsia="宋体" w:cs="宋体"/>
                <w:color w:val="auto"/>
                <w:kern w:val="0"/>
                <w:sz w:val="24"/>
                <w:szCs w:val="24"/>
                <w:highlight w:val="none"/>
                <w:lang w:val="en-US"/>
              </w:rPr>
            </w:pPr>
          </w:p>
        </w:tc>
      </w:tr>
      <w:tr w14:paraId="7042E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A7934B4">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单位性质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54871D0">
            <w:pPr>
              <w:pStyle w:val="44"/>
              <w:widowControl/>
              <w:wordWrap w:val="0"/>
              <w:jc w:val="center"/>
              <w:rPr>
                <w:rFonts w:hint="eastAsia" w:ascii="宋体" w:hAnsi="宋体" w:eastAsia="宋体" w:cs="宋体"/>
                <w:color w:val="auto"/>
                <w:kern w:val="0"/>
                <w:sz w:val="24"/>
                <w:szCs w:val="24"/>
                <w:highlight w:val="none"/>
                <w:lang w:val="en-US"/>
              </w:rPr>
            </w:pPr>
          </w:p>
        </w:tc>
      </w:tr>
      <w:tr w14:paraId="1E28D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5DB125EF">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455D0EF4">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姓名</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3108028">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tcBorders>
              <w:top w:val="single" w:color="000000" w:sz="4" w:space="0"/>
              <w:left w:val="single" w:color="000000" w:sz="4" w:space="0"/>
              <w:bottom w:val="single" w:color="000000" w:sz="4" w:space="0"/>
              <w:right w:val="single" w:color="000000" w:sz="4" w:space="0"/>
            </w:tcBorders>
            <w:noWrap w:val="0"/>
            <w:vAlign w:val="center"/>
          </w:tcPr>
          <w:p w14:paraId="5540E9E9">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技术职称</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2DCF83A5">
            <w:pPr>
              <w:pStyle w:val="44"/>
              <w:widowControl/>
              <w:wordWrap w:val="0"/>
              <w:jc w:val="center"/>
              <w:rPr>
                <w:rFonts w:hint="eastAsia" w:ascii="宋体" w:hAnsi="宋体" w:eastAsia="宋体" w:cs="宋体"/>
                <w:color w:val="auto"/>
                <w:kern w:val="0"/>
                <w:sz w:val="24"/>
                <w:szCs w:val="24"/>
                <w:highlight w:val="none"/>
                <w:lang w:val="en-US"/>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B7EC1B">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798A9E">
            <w:pPr>
              <w:pStyle w:val="44"/>
              <w:widowControl/>
              <w:wordWrap w:val="0"/>
              <w:jc w:val="center"/>
              <w:rPr>
                <w:rFonts w:hint="eastAsia" w:ascii="宋体" w:hAnsi="宋体" w:eastAsia="宋体" w:cs="宋体"/>
                <w:color w:val="auto"/>
                <w:kern w:val="0"/>
                <w:sz w:val="24"/>
                <w:szCs w:val="24"/>
                <w:highlight w:val="none"/>
                <w:lang w:val="en-US"/>
              </w:rPr>
            </w:pPr>
          </w:p>
        </w:tc>
      </w:tr>
      <w:tr w14:paraId="7B7E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532E714">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成立时间</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EE6ED2A">
            <w:pPr>
              <w:pStyle w:val="44"/>
              <w:widowControl/>
              <w:wordWrap w:val="0"/>
              <w:jc w:val="center"/>
              <w:rPr>
                <w:rFonts w:hint="eastAsia" w:ascii="宋体" w:hAnsi="宋体" w:eastAsia="宋体" w:cs="宋体"/>
                <w:color w:val="auto"/>
                <w:kern w:val="0"/>
                <w:sz w:val="24"/>
                <w:szCs w:val="24"/>
                <w:highlight w:val="none"/>
                <w:lang w:val="en-US"/>
              </w:rPr>
            </w:pPr>
          </w:p>
        </w:tc>
        <w:tc>
          <w:tcPr>
            <w:tcW w:w="4434" w:type="dxa"/>
            <w:gridSpan w:val="6"/>
            <w:tcBorders>
              <w:top w:val="single" w:color="000000" w:sz="4" w:space="0"/>
              <w:left w:val="single" w:color="000000" w:sz="4" w:space="0"/>
              <w:bottom w:val="single" w:color="000000" w:sz="4" w:space="0"/>
              <w:right w:val="single" w:color="000000" w:sz="4" w:space="0"/>
            </w:tcBorders>
            <w:noWrap w:val="0"/>
            <w:vAlign w:val="center"/>
          </w:tcPr>
          <w:p w14:paraId="2024A291">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员工总人数（个）：</w:t>
            </w:r>
          </w:p>
        </w:tc>
      </w:tr>
      <w:tr w14:paraId="7B4D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2830E013">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企业资质</w:t>
            </w:r>
          </w:p>
          <w:p w14:paraId="42F1C5A0">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类型和等级</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65D5BAB8">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restart"/>
            <w:tcBorders>
              <w:top w:val="nil"/>
              <w:left w:val="single" w:color="000000" w:sz="4" w:space="0"/>
              <w:bottom w:val="single" w:color="000000" w:sz="4" w:space="0"/>
              <w:right w:val="single" w:color="000000" w:sz="4" w:space="0"/>
            </w:tcBorders>
            <w:noWrap w:val="0"/>
            <w:vAlign w:val="center"/>
          </w:tcPr>
          <w:p w14:paraId="022C4BA9">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其中</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454B26CB">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8BA691">
            <w:pPr>
              <w:pStyle w:val="44"/>
              <w:widowControl/>
              <w:wordWrap w:val="0"/>
              <w:jc w:val="center"/>
              <w:rPr>
                <w:rFonts w:hint="eastAsia" w:ascii="宋体" w:hAnsi="宋体" w:eastAsia="宋体" w:cs="宋体"/>
                <w:color w:val="auto"/>
                <w:kern w:val="0"/>
                <w:sz w:val="24"/>
                <w:szCs w:val="24"/>
                <w:highlight w:val="none"/>
                <w:lang w:val="en-US"/>
              </w:rPr>
            </w:pPr>
          </w:p>
        </w:tc>
      </w:tr>
      <w:tr w14:paraId="4E0C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9768680">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营业执照号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DC16090">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6FF3E57D">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8F17E72">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高级职称人员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D7BAE08">
            <w:pPr>
              <w:pStyle w:val="44"/>
              <w:widowControl/>
              <w:wordWrap w:val="0"/>
              <w:jc w:val="center"/>
              <w:rPr>
                <w:rFonts w:hint="eastAsia" w:ascii="宋体" w:hAnsi="宋体" w:eastAsia="宋体" w:cs="宋体"/>
                <w:color w:val="auto"/>
                <w:kern w:val="0"/>
                <w:sz w:val="24"/>
                <w:szCs w:val="24"/>
                <w:highlight w:val="none"/>
                <w:lang w:val="en-US"/>
              </w:rPr>
            </w:pPr>
          </w:p>
        </w:tc>
      </w:tr>
      <w:tr w14:paraId="6C4E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C0ABDD0">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注册资金</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2432E4F8">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44726B4C">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6548771C">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中级职称人员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85B228">
            <w:pPr>
              <w:pStyle w:val="44"/>
              <w:widowControl/>
              <w:wordWrap w:val="0"/>
              <w:jc w:val="center"/>
              <w:rPr>
                <w:rFonts w:hint="eastAsia" w:ascii="宋体" w:hAnsi="宋体" w:eastAsia="宋体" w:cs="宋体"/>
                <w:color w:val="auto"/>
                <w:kern w:val="0"/>
                <w:sz w:val="24"/>
                <w:szCs w:val="24"/>
                <w:highlight w:val="none"/>
                <w:lang w:val="en-US"/>
              </w:rPr>
            </w:pPr>
          </w:p>
        </w:tc>
      </w:tr>
      <w:tr w14:paraId="6FC5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7CEC645F">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04EE8BDE">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311150DE">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2BD3042B">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FAD1E4C">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初级职称人员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62D70B">
            <w:pPr>
              <w:pStyle w:val="44"/>
              <w:widowControl/>
              <w:wordWrap w:val="0"/>
              <w:jc w:val="center"/>
              <w:rPr>
                <w:rFonts w:hint="eastAsia" w:ascii="宋体" w:hAnsi="宋体" w:eastAsia="宋体" w:cs="宋体"/>
                <w:color w:val="auto"/>
                <w:kern w:val="0"/>
                <w:sz w:val="24"/>
                <w:szCs w:val="24"/>
                <w:highlight w:val="none"/>
                <w:lang w:val="en-US"/>
              </w:rPr>
            </w:pPr>
          </w:p>
        </w:tc>
      </w:tr>
      <w:tr w14:paraId="37A3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E37AD3F">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0E15C867">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银行账号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184D07FF">
            <w:pPr>
              <w:pStyle w:val="44"/>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40DDC1A0">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F9FFC4A">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6367298">
            <w:pPr>
              <w:pStyle w:val="44"/>
              <w:widowControl/>
              <w:wordWrap w:val="0"/>
              <w:jc w:val="center"/>
              <w:rPr>
                <w:rFonts w:hint="eastAsia" w:ascii="宋体" w:hAnsi="宋体" w:eastAsia="宋体" w:cs="宋体"/>
                <w:color w:val="auto"/>
                <w:kern w:val="0"/>
                <w:sz w:val="24"/>
                <w:szCs w:val="24"/>
                <w:highlight w:val="none"/>
                <w:lang w:val="en-US"/>
              </w:rPr>
            </w:pPr>
          </w:p>
        </w:tc>
      </w:tr>
      <w:tr w14:paraId="1102F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A2E8288">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经营范围</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834FD61">
            <w:pPr>
              <w:pStyle w:val="44"/>
              <w:widowControl/>
              <w:wordWrap w:val="0"/>
              <w:jc w:val="left"/>
              <w:rPr>
                <w:rFonts w:hint="eastAsia" w:ascii="宋体" w:hAnsi="宋体" w:eastAsia="宋体" w:cs="宋体"/>
                <w:color w:val="auto"/>
                <w:kern w:val="0"/>
                <w:sz w:val="24"/>
                <w:szCs w:val="24"/>
                <w:highlight w:val="none"/>
                <w:lang w:val="en-US"/>
              </w:rPr>
            </w:pPr>
          </w:p>
        </w:tc>
      </w:tr>
      <w:tr w14:paraId="6B61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B0EF196">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关联企业情况</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5F16FFA9">
            <w:pPr>
              <w:pStyle w:val="44"/>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包括但不限于与投标人存在以下关系的不同单位：</w:t>
            </w:r>
          </w:p>
          <w:p w14:paraId="5129B660">
            <w:pPr>
              <w:pStyle w:val="44"/>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法定代表人为同一人的。</w:t>
            </w:r>
          </w:p>
          <w:p w14:paraId="576061E8">
            <w:pPr>
              <w:pStyle w:val="44"/>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存在控股、管理关系的。</w:t>
            </w:r>
          </w:p>
          <w:p w14:paraId="01015F45">
            <w:pPr>
              <w:pStyle w:val="44"/>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主要人员相互任职的。</w:t>
            </w:r>
          </w:p>
        </w:tc>
      </w:tr>
      <w:tr w14:paraId="02C10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00FB50C">
            <w:pPr>
              <w:pStyle w:val="44"/>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备注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30CDEEAF">
            <w:pPr>
              <w:pStyle w:val="44"/>
              <w:widowControl/>
              <w:wordWrap w:val="0"/>
              <w:jc w:val="center"/>
              <w:rPr>
                <w:rFonts w:hint="eastAsia" w:ascii="宋体" w:hAnsi="宋体" w:eastAsia="宋体" w:cs="宋体"/>
                <w:color w:val="auto"/>
                <w:kern w:val="0"/>
                <w:sz w:val="24"/>
                <w:szCs w:val="24"/>
                <w:highlight w:val="none"/>
                <w:lang w:val="en-US"/>
              </w:rPr>
            </w:pPr>
          </w:p>
        </w:tc>
      </w:tr>
    </w:tbl>
    <w:p w14:paraId="544C641D">
      <w:pPr>
        <w:pStyle w:val="44"/>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说明：</w:t>
      </w:r>
    </w:p>
    <w:p w14:paraId="54F408E6">
      <w:pPr>
        <w:pStyle w:val="44"/>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lang w:eastAsia="zh-CN"/>
        </w:rPr>
        <w:t>《投标人基本情况表》后应附以下资料：</w:t>
      </w:r>
    </w:p>
    <w:p w14:paraId="3319B5E7">
      <w:pPr>
        <w:pStyle w:val="44"/>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
          <w:bCs/>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1</w:t>
      </w:r>
      <w:r>
        <w:rPr>
          <w:rFonts w:hint="eastAsia" w:ascii="宋体" w:hAnsi="宋体" w:eastAsia="宋体" w:cs="宋体"/>
          <w:color w:val="auto"/>
          <w:kern w:val="0"/>
          <w:highlight w:val="none"/>
          <w:lang w:eastAsia="zh-CN"/>
        </w:rPr>
        <w:t>）企业营业执照、资质证书、安全生产许可证的（</w:t>
      </w:r>
      <w:r>
        <w:rPr>
          <w:rFonts w:hint="eastAsia" w:ascii="宋体" w:hAnsi="宋体" w:eastAsia="宋体" w:cs="宋体"/>
          <w:b/>
          <w:bCs/>
          <w:color w:val="auto"/>
          <w:kern w:val="0"/>
          <w:highlight w:val="none"/>
          <w:lang w:eastAsia="zh-CN"/>
        </w:rPr>
        <w:t>因推行电子证照，企业的营业执照、资质证书等可以提供电子证照。为实时掌握项目投标单位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w:t>
      </w:r>
      <w:r>
        <w:rPr>
          <w:rFonts w:hint="eastAsia" w:ascii="宋体" w:hAnsi="宋体" w:eastAsia="宋体" w:cs="宋体"/>
          <w:b/>
          <w:bCs/>
          <w:color w:val="auto"/>
          <w:kern w:val="0"/>
          <w:highlight w:val="none"/>
          <w:lang w:val="en-US"/>
        </w:rPr>
        <w:t>https://zlaq.mohurd.gov.cn</w:t>
      </w:r>
      <w:r>
        <w:rPr>
          <w:rFonts w:hint="eastAsia" w:ascii="宋体" w:hAnsi="宋体" w:eastAsia="宋体" w:cs="宋体"/>
          <w:b/>
          <w:bCs/>
          <w:color w:val="auto"/>
          <w:kern w:val="0"/>
          <w:highlight w:val="none"/>
          <w:lang w:eastAsia="zh-CN"/>
        </w:rPr>
        <w:t>，进入后点击“安全生产许可证信息”，输入企业名称和统一社会信用代码即可查询。如中标后，投标单位安全生产许可证发生被暂扣情形，需双方另行协商）；</w:t>
      </w:r>
    </w:p>
    <w:p w14:paraId="0247C9B7">
      <w:pPr>
        <w:pStyle w:val="44"/>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2</w:t>
      </w:r>
      <w:r>
        <w:rPr>
          <w:rFonts w:hint="eastAsia" w:ascii="宋体" w:hAnsi="宋体" w:eastAsia="宋体" w:cs="宋体"/>
          <w:color w:val="auto"/>
          <w:kern w:val="0"/>
          <w:highlight w:val="none"/>
          <w:lang w:eastAsia="zh-CN"/>
        </w:rPr>
        <w:t>）“进粤企业和人员诚信信息登记平台”企业信息情况打印页。（适用于省外建筑企业）</w:t>
      </w:r>
    </w:p>
    <w:p w14:paraId="55004909">
      <w:pPr>
        <w:pStyle w:val="44"/>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3</w:t>
      </w:r>
      <w:r>
        <w:rPr>
          <w:rFonts w:hint="eastAsia" w:ascii="宋体" w:hAnsi="宋体" w:eastAsia="宋体" w:cs="宋体"/>
          <w:color w:val="auto"/>
          <w:kern w:val="0"/>
          <w:highlight w:val="none"/>
          <w:lang w:eastAsia="zh-CN"/>
        </w:rPr>
        <w:t>）《法人和非法人组织公共信用信息报告》（在“信用中国”网站企业查询界面中下载）。</w:t>
      </w:r>
    </w:p>
    <w:p w14:paraId="3ABF5CD4">
      <w:pPr>
        <w:pStyle w:val="4"/>
        <w:bidi w:val="0"/>
        <w:ind w:left="0" w:leftChars="0" w:firstLine="0" w:firstLineChars="0"/>
        <w:rPr>
          <w:rFonts w:hint="eastAsia" w:ascii="宋体" w:hAnsi="宋体" w:eastAsia="宋体" w:cs="宋体"/>
          <w:b/>
          <w:bCs/>
          <w:color w:val="auto"/>
          <w:kern w:val="0"/>
          <w:highlight w:val="none"/>
          <w:lang w:val="en-US"/>
        </w:rPr>
      </w:pPr>
      <w:bookmarkStart w:id="66" w:name="_Toc26101"/>
      <w:bookmarkStart w:id="67" w:name="_Toc15844"/>
      <w:bookmarkStart w:id="68" w:name="_Toc5569"/>
      <w:r>
        <w:rPr>
          <w:rFonts w:hint="eastAsia" w:ascii="宋体" w:hAnsi="宋体" w:eastAsia="宋体" w:cs="宋体"/>
          <w:color w:val="auto"/>
          <w:lang w:val="en-US" w:eastAsia="zh-CN"/>
        </w:rPr>
        <w:t>格式七   项目经理简历表</w:t>
      </w:r>
      <w:bookmarkEnd w:id="66"/>
      <w:bookmarkEnd w:id="67"/>
      <w:bookmarkEnd w:id="68"/>
    </w:p>
    <w:p w14:paraId="7670EFD4">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项目经理简历表</w:t>
      </w:r>
    </w:p>
    <w:p w14:paraId="162B9385">
      <w:pPr>
        <w:pStyle w:val="42"/>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tbl>
      <w:tblPr>
        <w:tblStyle w:val="23"/>
        <w:tblpPr w:leftFromText="180" w:rightFromText="180" w:vertAnchor="text" w:horzAnchor="page" w:tblpX="1370"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16A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30A5D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04DE06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1D9AF0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1CCFE5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0A88D45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19A788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E21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0E51B7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2C92D7E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FFF4B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1C33C4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1F5C678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A50DF8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A58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F0A1CE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7821BEE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5849C3D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B2286D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234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478F591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以项目经理身份参与过的主要业绩（已完工项目）</w:t>
            </w:r>
          </w:p>
        </w:tc>
      </w:tr>
      <w:tr w14:paraId="1C1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0046C0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A25E37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2F78D6C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32D37E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525B1B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0448A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035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49EB6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55FD6C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434712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342E6F0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921DA5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9A0513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99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FA2B7D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2D9569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40C393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7EF817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7EF401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2B8C1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0EB4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713E17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6DE638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0C18228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D2EE6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8EB2E3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A03EA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80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3EAE1D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777644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41F58A4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47411B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5CA3BD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E3EA68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5CA93D24">
      <w:pPr>
        <w:pStyle w:val="42"/>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项目经理：（签字）</w:t>
      </w:r>
    </w:p>
    <w:p w14:paraId="22762671">
      <w:pPr>
        <w:rPr>
          <w:rFonts w:hint="eastAsia" w:ascii="宋体" w:hAnsi="宋体" w:eastAsia="宋体" w:cs="宋体"/>
          <w:color w:val="auto"/>
          <w:lang w:val="en-US"/>
        </w:rPr>
      </w:pPr>
      <w:r>
        <w:rPr>
          <w:rFonts w:hint="eastAsia" w:ascii="宋体" w:hAnsi="宋体" w:eastAsia="宋体" w:cs="宋体"/>
          <w:color w:val="auto"/>
          <w:lang w:val="en-US"/>
        </w:rPr>
        <w:t xml:space="preserve"> </w:t>
      </w:r>
    </w:p>
    <w:p w14:paraId="78842D1D">
      <w:pPr>
        <w:pStyle w:val="42"/>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25D87F04">
      <w:pPr>
        <w:rPr>
          <w:rFonts w:hint="eastAsia" w:ascii="宋体" w:hAnsi="宋体" w:eastAsia="宋体" w:cs="宋体"/>
          <w:color w:val="auto"/>
          <w:lang w:val="en-US"/>
        </w:rPr>
      </w:pPr>
      <w:r>
        <w:rPr>
          <w:rFonts w:hint="eastAsia" w:ascii="宋体" w:hAnsi="宋体" w:eastAsia="宋体" w:cs="宋体"/>
          <w:color w:val="auto"/>
          <w:lang w:val="en-US" w:eastAsia="zh-CN"/>
        </w:rPr>
        <w:t xml:space="preserve"> </w:t>
      </w:r>
    </w:p>
    <w:p w14:paraId="492C02B1">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说明：《项目经理简历表》后应附拟派项目经理以下资料：</w:t>
      </w:r>
    </w:p>
    <w:p w14:paraId="712062EB">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0A378CA2">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2.建造师电子注册证书（在使用有效期内的有效电子证书）彩色扫描件；</w:t>
      </w:r>
    </w:p>
    <w:p w14:paraId="492D6AC8">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3.B类安全生产考核合格证书彩色扫描件或广东省建筑施工企业管理人员安全生产考核系统考核合格信息彩色扫描件；</w:t>
      </w:r>
    </w:p>
    <w:p w14:paraId="0CD05AB4">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4.在本单位缴纳社保的证明（至少</w:t>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个月，其中必须有2026年05月）复印件或打印件。拟派项目经理为退休返聘人员无法提供社保证明的，提供退休证和劳动合同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57890759">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5.“进粤企业和人员诚信信息登记平台”个人（项目经理等）信息情况截图。（适用于省外建筑企业）</w:t>
      </w:r>
    </w:p>
    <w:p w14:paraId="5AB60903">
      <w:pPr>
        <w:rPr>
          <w:rFonts w:hint="eastAsia" w:ascii="宋体" w:hAnsi="宋体" w:eastAsia="宋体" w:cs="宋体"/>
          <w:color w:val="auto"/>
          <w:lang w:val="en-US" w:eastAsia="zh-CN"/>
        </w:rPr>
      </w:pPr>
    </w:p>
    <w:p w14:paraId="3FCCE684">
      <w:pPr>
        <w:rPr>
          <w:rFonts w:hint="eastAsia" w:ascii="宋体" w:hAnsi="宋体" w:eastAsia="宋体" w:cs="宋体"/>
          <w:color w:val="auto"/>
          <w:lang w:val="en-US" w:eastAsia="zh-CN"/>
        </w:rPr>
      </w:pPr>
    </w:p>
    <w:p w14:paraId="66994DC4">
      <w:pPr>
        <w:rPr>
          <w:rFonts w:hint="eastAsia" w:ascii="宋体" w:hAnsi="宋体" w:eastAsia="宋体" w:cs="宋体"/>
          <w:color w:val="auto"/>
          <w:lang w:val="en-US" w:eastAsia="zh-CN"/>
        </w:rPr>
      </w:pPr>
    </w:p>
    <w:p w14:paraId="4930256D">
      <w:pPr>
        <w:rPr>
          <w:rFonts w:hint="eastAsia" w:ascii="宋体" w:hAnsi="宋体" w:eastAsia="宋体" w:cs="宋体"/>
          <w:color w:val="auto"/>
          <w:lang w:val="en-US" w:eastAsia="zh-CN"/>
        </w:rPr>
      </w:pPr>
    </w:p>
    <w:p w14:paraId="107DB75B">
      <w:pPr>
        <w:rPr>
          <w:rFonts w:hint="eastAsia" w:ascii="宋体" w:hAnsi="宋体" w:eastAsia="宋体" w:cs="宋体"/>
          <w:color w:val="auto"/>
          <w:lang w:val="en-US" w:eastAsia="zh-CN"/>
        </w:rPr>
      </w:pPr>
    </w:p>
    <w:p w14:paraId="2B266F11">
      <w:pPr>
        <w:rPr>
          <w:rFonts w:hint="eastAsia" w:ascii="宋体" w:hAnsi="宋体" w:eastAsia="宋体" w:cs="宋体"/>
          <w:color w:val="auto"/>
          <w:lang w:val="en-US" w:eastAsia="zh-CN"/>
        </w:rPr>
      </w:pPr>
    </w:p>
    <w:p w14:paraId="09C07C6B">
      <w:pPr>
        <w:rPr>
          <w:rFonts w:hint="eastAsia" w:ascii="宋体" w:hAnsi="宋体" w:eastAsia="宋体" w:cs="宋体"/>
          <w:color w:val="auto"/>
          <w:lang w:val="en-US" w:eastAsia="zh-CN"/>
        </w:rPr>
      </w:pPr>
    </w:p>
    <w:p w14:paraId="060AA4F3">
      <w:pPr>
        <w:rPr>
          <w:rFonts w:hint="eastAsia" w:ascii="宋体" w:hAnsi="宋体" w:eastAsia="宋体" w:cs="宋体"/>
          <w:color w:val="auto"/>
          <w:lang w:val="en-US" w:eastAsia="zh-CN"/>
        </w:rPr>
      </w:pPr>
    </w:p>
    <w:p w14:paraId="097D0D37">
      <w:pPr>
        <w:pStyle w:val="4"/>
        <w:bidi w:val="0"/>
        <w:ind w:left="0" w:leftChars="0" w:firstLine="0" w:firstLineChars="0"/>
        <w:rPr>
          <w:rFonts w:hint="eastAsia" w:ascii="宋体" w:hAnsi="宋体" w:eastAsia="宋体" w:cs="宋体"/>
          <w:b/>
          <w:bCs w:val="0"/>
          <w:color w:val="auto"/>
          <w:kern w:val="0"/>
          <w:highlight w:val="none"/>
          <w:lang w:val="en-US"/>
        </w:rPr>
      </w:pPr>
      <w:bookmarkStart w:id="69" w:name="_Toc8043"/>
      <w:bookmarkStart w:id="70" w:name="_Toc20448"/>
      <w:bookmarkStart w:id="71" w:name="_Toc16516"/>
      <w:r>
        <w:rPr>
          <w:rFonts w:hint="eastAsia" w:ascii="宋体" w:hAnsi="宋体" w:eastAsia="宋体" w:cs="宋体"/>
          <w:color w:val="auto"/>
          <w:lang w:val="en-US" w:eastAsia="zh-CN"/>
        </w:rPr>
        <w:t>格式八   项目经理任职声明</w:t>
      </w:r>
      <w:bookmarkEnd w:id="69"/>
      <w:bookmarkEnd w:id="70"/>
      <w:bookmarkEnd w:id="71"/>
    </w:p>
    <w:p w14:paraId="3971E9E9">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项目经理任职声明</w:t>
      </w:r>
    </w:p>
    <w:p w14:paraId="111AD5B9">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1B118EEC">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我方在此声明，我方拟派往</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（项目名称）的项目经理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（项目经理姓名）现阶段没有担任任何在施（包括已中标未开工、已开工未竣工、在项目开标时间仍在建筑市场监管平台被“锁定”无法报建的）建设工程项目的项目经理。</w:t>
      </w:r>
    </w:p>
    <w:p w14:paraId="7006ADE8">
      <w:pPr>
        <w:keepNext w:val="0"/>
        <w:keepLines w:val="0"/>
        <w:widowControl w:val="0"/>
        <w:suppressLineNumbers w:val="0"/>
        <w:wordWrap w:val="0"/>
        <w:spacing w:before="0" w:beforeAutospacing="0" w:after="0" w:afterAutospacing="0" w:line="440" w:lineRule="exact"/>
        <w:ind w:left="0" w:right="0" w:firstLine="48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我方保证上述信息的真实和准确，并愿意承担因我方就此弄虚作假所引起的一切法律后果。</w:t>
      </w:r>
    </w:p>
    <w:p w14:paraId="03430CD7">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特此承诺  </w:t>
      </w:r>
    </w:p>
    <w:p w14:paraId="1ED07DC8">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p>
    <w:p w14:paraId="6DD8FCC0">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p>
    <w:p w14:paraId="12EEA21F">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092F249E">
      <w:pPr>
        <w:rPr>
          <w:rFonts w:hint="eastAsia" w:ascii="宋体" w:hAnsi="宋体" w:eastAsia="宋体" w:cs="宋体"/>
          <w:color w:val="auto"/>
          <w:lang w:val="en-US"/>
        </w:rPr>
      </w:pPr>
    </w:p>
    <w:p w14:paraId="41C16FD2">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4FA5C49B">
      <w:pPr>
        <w:rPr>
          <w:rFonts w:hint="eastAsia" w:ascii="宋体" w:hAnsi="宋体" w:eastAsia="宋体" w:cs="宋体"/>
          <w:color w:val="auto"/>
          <w:lang w:val="en-US"/>
        </w:rPr>
      </w:pPr>
    </w:p>
    <w:p w14:paraId="6ED7969E">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年  月   日</w:t>
      </w:r>
    </w:p>
    <w:p w14:paraId="4786E6A3">
      <w:pPr>
        <w:rPr>
          <w:rFonts w:hint="eastAsia" w:ascii="宋体" w:hAnsi="宋体" w:eastAsia="宋体" w:cs="宋体"/>
          <w:color w:val="auto"/>
          <w:lang w:val="en-US" w:eastAsia="zh-CN"/>
        </w:rPr>
      </w:pPr>
    </w:p>
    <w:p w14:paraId="4B9AF456">
      <w:pPr>
        <w:rPr>
          <w:rFonts w:hint="eastAsia" w:ascii="宋体" w:hAnsi="宋体" w:eastAsia="宋体" w:cs="宋体"/>
          <w:color w:val="auto"/>
          <w:lang w:val="en-US" w:eastAsia="zh-CN"/>
        </w:rPr>
      </w:pPr>
    </w:p>
    <w:p w14:paraId="583602CD">
      <w:pPr>
        <w:rPr>
          <w:rFonts w:hint="eastAsia" w:ascii="宋体" w:hAnsi="宋体" w:eastAsia="宋体" w:cs="宋体"/>
          <w:color w:val="auto"/>
          <w:lang w:val="en-US" w:eastAsia="zh-CN"/>
        </w:rPr>
      </w:pPr>
    </w:p>
    <w:p w14:paraId="37AB2C2E">
      <w:pPr>
        <w:rPr>
          <w:rFonts w:hint="eastAsia" w:ascii="宋体" w:hAnsi="宋体" w:eastAsia="宋体" w:cs="宋体"/>
          <w:color w:val="auto"/>
          <w:lang w:val="en-US" w:eastAsia="zh-CN"/>
        </w:rPr>
      </w:pPr>
    </w:p>
    <w:p w14:paraId="755FA165">
      <w:pPr>
        <w:rPr>
          <w:rFonts w:hint="eastAsia" w:ascii="宋体" w:hAnsi="宋体" w:eastAsia="宋体" w:cs="宋体"/>
          <w:color w:val="auto"/>
          <w:lang w:val="en-US" w:eastAsia="zh-CN"/>
        </w:rPr>
      </w:pPr>
    </w:p>
    <w:p w14:paraId="0FF9A845">
      <w:pPr>
        <w:rPr>
          <w:rFonts w:hint="eastAsia" w:ascii="宋体" w:hAnsi="宋体" w:eastAsia="宋体" w:cs="宋体"/>
          <w:color w:val="auto"/>
          <w:lang w:val="en-US" w:eastAsia="zh-CN"/>
        </w:rPr>
      </w:pPr>
    </w:p>
    <w:p w14:paraId="69E30FA6">
      <w:pPr>
        <w:rPr>
          <w:rFonts w:hint="eastAsia" w:ascii="宋体" w:hAnsi="宋体" w:eastAsia="宋体" w:cs="宋体"/>
          <w:color w:val="auto"/>
          <w:lang w:val="en-US" w:eastAsia="zh-CN"/>
        </w:rPr>
      </w:pPr>
    </w:p>
    <w:p w14:paraId="4CA1B89F">
      <w:pPr>
        <w:rPr>
          <w:rFonts w:hint="eastAsia" w:ascii="宋体" w:hAnsi="宋体" w:eastAsia="宋体" w:cs="宋体"/>
          <w:color w:val="auto"/>
          <w:lang w:val="en-US" w:eastAsia="zh-CN"/>
        </w:rPr>
      </w:pPr>
    </w:p>
    <w:p w14:paraId="26263A18">
      <w:pPr>
        <w:rPr>
          <w:rFonts w:hint="eastAsia" w:ascii="宋体" w:hAnsi="宋体" w:eastAsia="宋体" w:cs="宋体"/>
          <w:color w:val="auto"/>
          <w:lang w:val="en-US" w:eastAsia="zh-CN"/>
        </w:rPr>
      </w:pPr>
    </w:p>
    <w:p w14:paraId="1DE33082">
      <w:pPr>
        <w:rPr>
          <w:rFonts w:hint="eastAsia" w:ascii="宋体" w:hAnsi="宋体" w:eastAsia="宋体" w:cs="宋体"/>
          <w:color w:val="auto"/>
          <w:lang w:val="en-US" w:eastAsia="zh-CN"/>
        </w:rPr>
      </w:pPr>
    </w:p>
    <w:p w14:paraId="015B9A35">
      <w:pPr>
        <w:rPr>
          <w:rFonts w:hint="eastAsia" w:ascii="宋体" w:hAnsi="宋体" w:eastAsia="宋体" w:cs="宋体"/>
          <w:color w:val="auto"/>
          <w:lang w:val="en-US" w:eastAsia="zh-CN"/>
        </w:rPr>
      </w:pPr>
    </w:p>
    <w:p w14:paraId="092DB482">
      <w:pPr>
        <w:rPr>
          <w:rFonts w:hint="eastAsia" w:ascii="宋体" w:hAnsi="宋体" w:eastAsia="宋体" w:cs="宋体"/>
          <w:color w:val="auto"/>
          <w:lang w:val="en-US" w:eastAsia="zh-CN"/>
        </w:rPr>
      </w:pPr>
    </w:p>
    <w:p w14:paraId="475AFDFD">
      <w:pPr>
        <w:rPr>
          <w:rFonts w:hint="eastAsia" w:ascii="宋体" w:hAnsi="宋体" w:eastAsia="宋体" w:cs="宋体"/>
          <w:color w:val="auto"/>
          <w:lang w:val="en-US" w:eastAsia="zh-CN"/>
        </w:rPr>
      </w:pPr>
    </w:p>
    <w:p w14:paraId="187526C3">
      <w:pPr>
        <w:rPr>
          <w:rFonts w:hint="eastAsia" w:ascii="宋体" w:hAnsi="宋体" w:eastAsia="宋体" w:cs="宋体"/>
          <w:color w:val="auto"/>
          <w:lang w:val="en-US" w:eastAsia="zh-CN"/>
        </w:rPr>
      </w:pPr>
    </w:p>
    <w:p w14:paraId="7FD2E3D1">
      <w:pPr>
        <w:rPr>
          <w:rFonts w:hint="eastAsia" w:ascii="宋体" w:hAnsi="宋体" w:eastAsia="宋体" w:cs="宋体"/>
          <w:color w:val="auto"/>
          <w:lang w:val="en-US" w:eastAsia="zh-CN"/>
        </w:rPr>
      </w:pPr>
    </w:p>
    <w:p w14:paraId="36F5FCD0">
      <w:pPr>
        <w:rPr>
          <w:rFonts w:hint="eastAsia" w:ascii="宋体" w:hAnsi="宋体" w:eastAsia="宋体" w:cs="宋体"/>
          <w:color w:val="auto"/>
          <w:lang w:val="en-US" w:eastAsia="zh-CN"/>
        </w:rPr>
      </w:pPr>
    </w:p>
    <w:p w14:paraId="161B3737">
      <w:pPr>
        <w:rPr>
          <w:rFonts w:hint="eastAsia" w:ascii="宋体" w:hAnsi="宋体" w:eastAsia="宋体" w:cs="宋体"/>
          <w:color w:val="auto"/>
          <w:lang w:val="en-US" w:eastAsia="zh-CN"/>
        </w:rPr>
      </w:pPr>
    </w:p>
    <w:p w14:paraId="1FF1D1E5">
      <w:pPr>
        <w:rPr>
          <w:rFonts w:hint="eastAsia" w:ascii="宋体" w:hAnsi="宋体" w:eastAsia="宋体" w:cs="宋体"/>
          <w:color w:val="auto"/>
          <w:lang w:val="en-US" w:eastAsia="zh-CN"/>
        </w:rPr>
      </w:pPr>
    </w:p>
    <w:p w14:paraId="1CDE724E">
      <w:pPr>
        <w:rPr>
          <w:rFonts w:hint="eastAsia" w:ascii="宋体" w:hAnsi="宋体" w:eastAsia="宋体" w:cs="宋体"/>
          <w:color w:val="auto"/>
          <w:lang w:val="en-US" w:eastAsia="zh-CN"/>
        </w:rPr>
      </w:pPr>
    </w:p>
    <w:p w14:paraId="68259464">
      <w:pPr>
        <w:rPr>
          <w:rFonts w:hint="eastAsia" w:ascii="宋体" w:hAnsi="宋体" w:eastAsia="宋体" w:cs="宋体"/>
          <w:color w:val="auto"/>
          <w:lang w:val="en-US" w:eastAsia="zh-CN"/>
        </w:rPr>
      </w:pPr>
    </w:p>
    <w:p w14:paraId="176A91E8">
      <w:pPr>
        <w:rPr>
          <w:rFonts w:hint="eastAsia" w:ascii="宋体" w:hAnsi="宋体" w:eastAsia="宋体" w:cs="宋体"/>
          <w:color w:val="auto"/>
          <w:lang w:val="en-US" w:eastAsia="zh-CN"/>
        </w:rPr>
      </w:pPr>
    </w:p>
    <w:p w14:paraId="68D9C968">
      <w:pPr>
        <w:rPr>
          <w:rFonts w:hint="eastAsia" w:ascii="宋体" w:hAnsi="宋体" w:eastAsia="宋体" w:cs="宋体"/>
          <w:color w:val="auto"/>
          <w:lang w:val="en-US" w:eastAsia="zh-CN"/>
        </w:rPr>
      </w:pPr>
    </w:p>
    <w:p w14:paraId="3F57CBCA">
      <w:pPr>
        <w:rPr>
          <w:rFonts w:hint="eastAsia" w:ascii="宋体" w:hAnsi="宋体" w:eastAsia="宋体" w:cs="宋体"/>
          <w:color w:val="auto"/>
          <w:lang w:val="en-US" w:eastAsia="zh-CN"/>
        </w:rPr>
      </w:pPr>
    </w:p>
    <w:p w14:paraId="25AADA9E">
      <w:pPr>
        <w:pStyle w:val="4"/>
        <w:bidi w:val="0"/>
        <w:ind w:left="0" w:leftChars="0" w:firstLine="0" w:firstLineChars="0"/>
        <w:rPr>
          <w:rFonts w:hint="eastAsia" w:ascii="宋体" w:hAnsi="宋体" w:eastAsia="宋体" w:cs="宋体"/>
          <w:b/>
          <w:bCs/>
          <w:color w:val="auto"/>
          <w:kern w:val="0"/>
          <w:highlight w:val="none"/>
          <w:lang w:val="en-US"/>
        </w:rPr>
      </w:pPr>
      <w:bookmarkStart w:id="72" w:name="_Toc26368"/>
      <w:bookmarkStart w:id="73" w:name="_Toc21116"/>
      <w:bookmarkStart w:id="74" w:name="_Toc5223"/>
      <w:r>
        <w:rPr>
          <w:rFonts w:hint="eastAsia" w:ascii="宋体" w:hAnsi="宋体" w:eastAsia="宋体" w:cs="宋体"/>
          <w:color w:val="auto"/>
          <w:lang w:val="en-US" w:eastAsia="zh-CN"/>
        </w:rPr>
        <w:t>格式九   项目技术负责人简历表</w:t>
      </w:r>
      <w:bookmarkEnd w:id="72"/>
      <w:bookmarkEnd w:id="73"/>
      <w:bookmarkEnd w:id="74"/>
    </w:p>
    <w:tbl>
      <w:tblPr>
        <w:tblStyle w:val="23"/>
        <w:tblpPr w:leftFromText="180" w:rightFromText="180" w:vertAnchor="text" w:horzAnchor="page" w:tblpX="1528" w:tblpY="1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155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5A80AE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00BE1D2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1837E4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8E84F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4E60B20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0F889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15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EF92E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6856210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C78E7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0A658B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073824E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BDE2C4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AA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07D367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7D11E49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00F84C6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B63C9F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041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6CCB7AD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以项目技术负责人身份参与过的主要业绩（已完工项目）</w:t>
            </w:r>
          </w:p>
        </w:tc>
      </w:tr>
      <w:tr w14:paraId="130B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559664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68393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089B27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852330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52B56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9C727C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7285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BA1A78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9E0FA9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2C7E6D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70691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DBCCF4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B2A674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ABA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BEB8F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9B889B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4546FC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A6A235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1BDD698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644DCD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735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B375A7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32725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71AB9D0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F5AF0A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08C2B96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0BE65B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166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E7875E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E7336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3C1EF7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588A57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49A13F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49ED97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2F8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C9CDF6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008286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10CB1E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7D0D76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E0FD47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3AA3F1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2A5C44FF">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b/>
          <w:bCs/>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项目技术负责人简历表</w:t>
      </w:r>
    </w:p>
    <w:p w14:paraId="70803F74">
      <w:pPr>
        <w:keepNext w:val="0"/>
        <w:keepLines w:val="0"/>
        <w:widowControl w:val="0"/>
        <w:suppressLineNumbers w:val="0"/>
        <w:wordWrap w:val="0"/>
        <w:spacing w:before="0" w:beforeAutospacing="0" w:after="0" w:afterAutospacing="0" w:line="440" w:lineRule="exact"/>
        <w:ind w:right="0"/>
        <w:jc w:val="both"/>
        <w:outlineLvl w:val="9"/>
        <w:rPr>
          <w:rFonts w:hint="eastAsia" w:ascii="宋体" w:hAnsi="宋体" w:eastAsia="宋体" w:cs="宋体"/>
          <w:color w:val="auto"/>
          <w:kern w:val="0"/>
          <w:highlight w:val="none"/>
          <w:lang w:val="en-US"/>
        </w:rPr>
      </w:pPr>
    </w:p>
    <w:p w14:paraId="13B06CFB">
      <w:pPr>
        <w:pStyle w:val="42"/>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4BC153CA">
      <w:pPr>
        <w:rPr>
          <w:rFonts w:hint="eastAsia" w:ascii="宋体" w:hAnsi="宋体" w:eastAsia="宋体" w:cs="宋体"/>
          <w:color w:val="auto"/>
          <w:lang w:eastAsia="zh-CN"/>
        </w:rPr>
      </w:pPr>
    </w:p>
    <w:p w14:paraId="1E8E09F1">
      <w:pPr>
        <w:rPr>
          <w:rFonts w:hint="eastAsia" w:ascii="宋体" w:hAnsi="宋体" w:eastAsia="宋体" w:cs="宋体"/>
          <w:color w:val="auto"/>
          <w:lang w:eastAsia="zh-CN"/>
        </w:rPr>
      </w:pPr>
    </w:p>
    <w:p w14:paraId="4AA7D1A2">
      <w:pPr>
        <w:pStyle w:val="42"/>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项目技术负责人：</w:t>
      </w:r>
      <w:r>
        <w:rPr>
          <w:rFonts w:hint="eastAsia" w:ascii="宋体" w:hAnsi="宋体" w:eastAsia="宋体" w:cs="宋体"/>
          <w:color w:val="auto"/>
          <w:kern w:val="0"/>
          <w:highlight w:val="none"/>
          <w:u w:val="single"/>
          <w:lang w:val="en-US"/>
        </w:rPr>
        <w:t xml:space="preserve">         </w:t>
      </w:r>
      <w:r>
        <w:rPr>
          <w:rFonts w:hint="eastAsia" w:ascii="宋体" w:hAnsi="宋体" w:eastAsia="宋体" w:cs="宋体"/>
          <w:color w:val="auto"/>
          <w:kern w:val="0"/>
          <w:highlight w:val="none"/>
          <w:lang w:eastAsia="zh-CN"/>
        </w:rPr>
        <w:t>（签字）</w:t>
      </w:r>
    </w:p>
    <w:p w14:paraId="77A87A7C">
      <w:pPr>
        <w:rPr>
          <w:rFonts w:hint="eastAsia" w:ascii="宋体" w:hAnsi="宋体" w:eastAsia="宋体" w:cs="宋体"/>
          <w:color w:val="auto"/>
          <w:lang w:val="en-US"/>
        </w:rPr>
      </w:pPr>
      <w:r>
        <w:rPr>
          <w:rFonts w:hint="eastAsia" w:ascii="宋体" w:hAnsi="宋体" w:eastAsia="宋体" w:cs="宋体"/>
          <w:color w:val="auto"/>
          <w:lang w:val="en-US"/>
        </w:rPr>
        <w:t xml:space="preserve"> </w:t>
      </w:r>
    </w:p>
    <w:p w14:paraId="3591334C">
      <w:pPr>
        <w:pStyle w:val="42"/>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3652B6D9">
      <w:pPr>
        <w:rPr>
          <w:rFonts w:hint="eastAsia" w:ascii="宋体" w:hAnsi="宋体" w:eastAsia="宋体" w:cs="宋体"/>
          <w:color w:val="auto"/>
          <w:lang w:val="en-US"/>
        </w:rPr>
      </w:pPr>
      <w:r>
        <w:rPr>
          <w:rFonts w:hint="eastAsia" w:ascii="宋体" w:hAnsi="宋体" w:eastAsia="宋体" w:cs="宋体"/>
          <w:color w:val="auto"/>
          <w:lang w:val="en-US" w:eastAsia="zh-CN"/>
        </w:rPr>
        <w:t xml:space="preserve"> </w:t>
      </w:r>
    </w:p>
    <w:p w14:paraId="18956059">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说明：《项目技术负责人简历表》后应附拟派项目技术负责人以下资料：</w:t>
      </w:r>
    </w:p>
    <w:p w14:paraId="08538B93">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06B77C09">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2.职称证彩色扫描件；</w:t>
      </w:r>
    </w:p>
    <w:p w14:paraId="41F80FD8">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3.在本单位缴纳社保的证明（至少</w:t>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个月，其中必须有2026年05月）彩色扫描件。拟派项目技术负责人为退休返聘人员无法提供社保证明的，提供退休证和劳动合同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6F7387BE">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4.“进粤企业和人员诚信信息登记平台”个人信息情况截图。（适用于省外建筑企业）</w:t>
      </w:r>
    </w:p>
    <w:p w14:paraId="4F911B8B">
      <w:pPr>
        <w:rPr>
          <w:rFonts w:hint="eastAsia" w:ascii="宋体" w:hAnsi="宋体" w:eastAsia="宋体" w:cs="宋体"/>
          <w:color w:val="auto"/>
          <w:lang w:val="en-US" w:eastAsia="zh-CN"/>
        </w:rPr>
      </w:pPr>
    </w:p>
    <w:p w14:paraId="08014EBB">
      <w:pPr>
        <w:rPr>
          <w:rFonts w:hint="eastAsia" w:ascii="宋体" w:hAnsi="宋体" w:eastAsia="宋体" w:cs="宋体"/>
          <w:color w:val="auto"/>
          <w:lang w:val="en-US" w:eastAsia="zh-CN"/>
        </w:rPr>
      </w:pPr>
    </w:p>
    <w:p w14:paraId="44EF7A5C">
      <w:pPr>
        <w:rPr>
          <w:rFonts w:hint="eastAsia" w:ascii="宋体" w:hAnsi="宋体" w:eastAsia="宋体" w:cs="宋体"/>
          <w:color w:val="auto"/>
          <w:lang w:val="en-US" w:eastAsia="zh-CN"/>
        </w:rPr>
      </w:pPr>
    </w:p>
    <w:p w14:paraId="2FC064DF">
      <w:pPr>
        <w:rPr>
          <w:rFonts w:hint="eastAsia" w:ascii="宋体" w:hAnsi="宋体" w:eastAsia="宋体" w:cs="宋体"/>
          <w:color w:val="auto"/>
          <w:lang w:val="en-US" w:eastAsia="zh-CN"/>
        </w:rPr>
      </w:pPr>
    </w:p>
    <w:p w14:paraId="702C5DDB">
      <w:pPr>
        <w:rPr>
          <w:rFonts w:hint="eastAsia" w:ascii="宋体" w:hAnsi="宋体" w:eastAsia="宋体" w:cs="宋体"/>
          <w:color w:val="auto"/>
          <w:lang w:val="en-US" w:eastAsia="zh-CN"/>
        </w:rPr>
      </w:pPr>
    </w:p>
    <w:p w14:paraId="7138B26D">
      <w:pPr>
        <w:rPr>
          <w:rFonts w:hint="eastAsia" w:ascii="宋体" w:hAnsi="宋体" w:eastAsia="宋体" w:cs="宋体"/>
          <w:color w:val="auto"/>
          <w:lang w:val="en-US" w:eastAsia="zh-CN"/>
        </w:rPr>
      </w:pPr>
    </w:p>
    <w:p w14:paraId="39CC0543">
      <w:pPr>
        <w:rPr>
          <w:rFonts w:hint="eastAsia" w:ascii="宋体" w:hAnsi="宋体" w:eastAsia="宋体" w:cs="宋体"/>
          <w:color w:val="auto"/>
          <w:lang w:val="en-US" w:eastAsia="zh-CN"/>
        </w:rPr>
      </w:pPr>
    </w:p>
    <w:p w14:paraId="4EC7C3DC">
      <w:pPr>
        <w:pStyle w:val="4"/>
        <w:bidi w:val="0"/>
        <w:ind w:left="0" w:leftChars="0" w:firstLine="0" w:firstLineChars="0"/>
        <w:rPr>
          <w:rFonts w:hint="eastAsia" w:ascii="宋体" w:hAnsi="宋体" w:eastAsia="宋体" w:cs="宋体"/>
          <w:color w:val="auto"/>
          <w:highlight w:val="none"/>
        </w:rPr>
      </w:pPr>
      <w:bookmarkStart w:id="75" w:name="_Toc200338098"/>
      <w:bookmarkEnd w:id="75"/>
      <w:bookmarkStart w:id="76" w:name="_Toc21395"/>
      <w:bookmarkStart w:id="77" w:name="_Toc12949"/>
      <w:bookmarkStart w:id="78" w:name="_Toc17996"/>
      <w:bookmarkStart w:id="79" w:name="_Toc5480"/>
      <w:bookmarkStart w:id="80" w:name="_Toc8264"/>
      <w:bookmarkStart w:id="81" w:name="_Toc11997"/>
      <w:bookmarkStart w:id="82" w:name="_Toc23363"/>
      <w:r>
        <w:rPr>
          <w:rFonts w:hint="eastAsia" w:ascii="宋体" w:hAnsi="宋体" w:eastAsia="宋体" w:cs="宋体"/>
          <w:color w:val="auto"/>
          <w:lang w:val="en-US" w:eastAsia="zh-CN"/>
        </w:rPr>
        <w:t>格式十   专职安全员简历表</w:t>
      </w:r>
      <w:bookmarkEnd w:id="76"/>
      <w:bookmarkEnd w:id="77"/>
      <w:bookmarkEnd w:id="78"/>
      <w:bookmarkEnd w:id="79"/>
    </w:p>
    <w:tbl>
      <w:tblPr>
        <w:tblStyle w:val="2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F193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C34570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38842B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268A924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47AC6EE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63A3D7F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2372CC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7D15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554AFE1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173B138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305018F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00C99A8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60DEB2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1AD9CB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602A9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9AE9BD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5EFE4C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07D2C9D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5CD9D8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2400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6C170E3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以专职安全员身份参与过的主要业绩（已完工项目）</w:t>
            </w:r>
          </w:p>
        </w:tc>
      </w:tr>
      <w:tr w14:paraId="34BB8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57E281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8286A0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E39695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C19111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6A43F8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7521D4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5F193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87D127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9279CB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96F8FD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B2C7DE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B3460F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1322F6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5245B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256C1A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BA3B45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82E71B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2FC4B1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E7004A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BCCA6E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6F0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D49A40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58DE3E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52B955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4B0947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6611B5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30D4D5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0C846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1896473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C8D095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A974FB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385716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B802CA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997ECC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31050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813EBC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D78696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79703B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A8252F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6C5460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A5D254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bl>
    <w:p w14:paraId="0EFDF962">
      <w:pPr>
        <w:wordWrap w:val="0"/>
        <w:adjustRightInd w:val="0"/>
        <w:snapToGrid w:val="0"/>
        <w:spacing w:line="440" w:lineRule="exact"/>
        <w:jc w:val="center"/>
        <w:rPr>
          <w:rFonts w:hint="eastAsia" w:ascii="宋体" w:hAnsi="宋体" w:eastAsia="宋体" w:cs="宋体"/>
          <w:b/>
          <w:bCs/>
          <w:snapToGrid w:val="0"/>
          <w:color w:val="auto"/>
          <w:kern w:val="0"/>
          <w:szCs w:val="24"/>
          <w:highlight w:val="none"/>
        </w:rPr>
      </w:pPr>
      <w:r>
        <w:rPr>
          <w:rFonts w:hint="eastAsia" w:ascii="宋体" w:hAnsi="宋体" w:eastAsia="宋体" w:cs="宋体"/>
          <w:b/>
          <w:snapToGrid w:val="0"/>
          <w:color w:val="auto"/>
          <w:kern w:val="0"/>
          <w:sz w:val="30"/>
          <w:highlight w:val="none"/>
        </w:rPr>
        <w:t>专职安全员简历表</w:t>
      </w:r>
    </w:p>
    <w:p w14:paraId="06B17600">
      <w:pPr>
        <w:rPr>
          <w:rFonts w:hint="eastAsia" w:ascii="宋体" w:hAnsi="宋体" w:eastAsia="宋体" w:cs="宋体"/>
          <w:color w:val="auto"/>
        </w:rPr>
      </w:pPr>
    </w:p>
    <w:p w14:paraId="63DF84C4">
      <w:pPr>
        <w:rPr>
          <w:rFonts w:hint="eastAsia" w:ascii="宋体" w:hAnsi="宋体" w:eastAsia="宋体" w:cs="宋体"/>
          <w:color w:val="auto"/>
        </w:rPr>
      </w:pPr>
    </w:p>
    <w:p w14:paraId="650615DC">
      <w:pPr>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专职安全员：</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w:t>
      </w:r>
    </w:p>
    <w:p w14:paraId="69A41910">
      <w:pPr>
        <w:rPr>
          <w:rFonts w:hint="eastAsia" w:ascii="宋体" w:hAnsi="宋体" w:eastAsia="宋体" w:cs="宋体"/>
          <w:color w:val="auto"/>
        </w:rPr>
      </w:pPr>
    </w:p>
    <w:p w14:paraId="73C35DD3">
      <w:pPr>
        <w:wordWrap w:val="0"/>
        <w:adjustRightInd w:val="0"/>
        <w:snapToGrid w:val="0"/>
        <w:spacing w:line="440" w:lineRule="exact"/>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14:paraId="6BD2EC36">
      <w:pPr>
        <w:rPr>
          <w:rFonts w:hint="eastAsia" w:ascii="宋体" w:hAnsi="宋体" w:eastAsia="宋体" w:cs="宋体"/>
          <w:color w:val="auto"/>
        </w:rPr>
      </w:pPr>
    </w:p>
    <w:p w14:paraId="515EB81B">
      <w:pPr>
        <w:rPr>
          <w:rFonts w:hint="eastAsia" w:ascii="宋体" w:hAnsi="宋体" w:eastAsia="宋体" w:cs="宋体"/>
          <w:color w:val="auto"/>
          <w:lang w:val="en-US"/>
        </w:rPr>
      </w:pPr>
    </w:p>
    <w:p w14:paraId="7B711828">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说明：《专职安全员简历表》后应附拟派项目专职安全员以下资料：</w:t>
      </w:r>
    </w:p>
    <w:p w14:paraId="582AFAD6">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rPr>
        <w:t>身份证彩色扫描件；</w:t>
      </w:r>
    </w:p>
    <w:p w14:paraId="70864089">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rPr>
        <w:t>C类安全生产考核合格证书彩色扫描件或“广东省建筑施工企业管理人员安全生产考核信息系统”考核合格信息彩色扫描件；</w:t>
      </w:r>
    </w:p>
    <w:p w14:paraId="1E841860">
      <w:pPr>
        <w:keepNext w:val="0"/>
        <w:keepLines w:val="0"/>
        <w:widowControl w:val="0"/>
        <w:suppressLineNumbers w:val="0"/>
        <w:wordWrap w:val="0"/>
        <w:spacing w:before="0" w:beforeAutospacing="0" w:after="0" w:afterAutospacing="0" w:line="400" w:lineRule="exact"/>
        <w:ind w:right="0"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3.在本单位缴纳社保的证明（至少3个月，其中必须有</w:t>
      </w:r>
      <w:r>
        <w:rPr>
          <w:rFonts w:hint="eastAsia" w:ascii="宋体" w:hAnsi="宋体" w:eastAsia="宋体" w:cs="宋体"/>
          <w:color w:val="auto"/>
          <w:kern w:val="0"/>
          <w:sz w:val="21"/>
          <w:szCs w:val="21"/>
          <w:highlight w:val="none"/>
          <w:lang w:val="en-US" w:eastAsia="zh-CN" w:bidi="ar"/>
        </w:rPr>
        <w:t>2026年05月</w:t>
      </w:r>
      <w:r>
        <w:rPr>
          <w:rFonts w:hint="eastAsia" w:ascii="宋体" w:hAnsi="宋体" w:eastAsia="宋体" w:cs="宋体"/>
          <w:color w:val="auto"/>
          <w:kern w:val="0"/>
          <w:sz w:val="21"/>
          <w:szCs w:val="21"/>
          <w:highlight w:val="none"/>
          <w:lang w:val="en-US" w:eastAsia="zh-CN"/>
        </w:rPr>
        <w:t>）彩色扫描件。拟派</w:t>
      </w:r>
      <w:r>
        <w:rPr>
          <w:rFonts w:hint="eastAsia" w:ascii="宋体" w:hAnsi="宋体" w:eastAsia="宋体" w:cs="宋体"/>
          <w:color w:val="auto"/>
          <w:kern w:val="0"/>
          <w:sz w:val="21"/>
          <w:szCs w:val="21"/>
          <w:highlight w:val="none"/>
          <w:lang w:val="en-US"/>
        </w:rPr>
        <w:t>专职安全员</w:t>
      </w:r>
      <w:r>
        <w:rPr>
          <w:rFonts w:hint="eastAsia" w:ascii="宋体" w:hAnsi="宋体" w:eastAsia="宋体" w:cs="宋体"/>
          <w:color w:val="auto"/>
          <w:kern w:val="0"/>
          <w:sz w:val="21"/>
          <w:szCs w:val="21"/>
          <w:highlight w:val="none"/>
          <w:lang w:val="en-US" w:eastAsia="zh-CN"/>
        </w:rPr>
        <w:t>为退休返聘人员无法提供社保证明的，提供退休证和劳动合同（返聘协议）彩色扫描件。</w:t>
      </w:r>
    </w:p>
    <w:p w14:paraId="196BA109">
      <w:pPr>
        <w:keepNext w:val="0"/>
        <w:keepLines w:val="0"/>
        <w:widowControl w:val="0"/>
        <w:suppressLineNumbers w:val="0"/>
        <w:wordWrap w:val="0"/>
        <w:spacing w:before="0" w:beforeAutospacing="0" w:after="0" w:afterAutospacing="0" w:line="400" w:lineRule="exact"/>
        <w:ind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rPr>
        <w:t>“进粤企业和人员诚信信息登记平台”个人信息情况截图。（适用于省外建筑企业）</w:t>
      </w:r>
    </w:p>
    <w:p w14:paraId="6AFB6A37">
      <w:pPr>
        <w:rPr>
          <w:rFonts w:hint="eastAsia" w:ascii="宋体" w:hAnsi="宋体" w:eastAsia="宋体" w:cs="宋体"/>
          <w:color w:val="auto"/>
          <w:lang w:val="en-US" w:eastAsia="zh-CN"/>
        </w:rPr>
      </w:pPr>
    </w:p>
    <w:p w14:paraId="637C1E4A">
      <w:pPr>
        <w:rPr>
          <w:rFonts w:hint="eastAsia" w:ascii="宋体" w:hAnsi="宋体" w:eastAsia="宋体" w:cs="宋体"/>
          <w:color w:val="auto"/>
          <w:lang w:val="en-US" w:eastAsia="zh-CN"/>
        </w:rPr>
      </w:pPr>
    </w:p>
    <w:p w14:paraId="15BE0200">
      <w:pPr>
        <w:rPr>
          <w:rFonts w:hint="eastAsia" w:ascii="宋体" w:hAnsi="宋体" w:eastAsia="宋体" w:cs="宋体"/>
          <w:color w:val="auto"/>
          <w:lang w:val="en-US" w:eastAsia="zh-CN"/>
        </w:rPr>
      </w:pPr>
    </w:p>
    <w:p w14:paraId="33F23831">
      <w:pPr>
        <w:rPr>
          <w:rFonts w:hint="eastAsia" w:ascii="宋体" w:hAnsi="宋体" w:eastAsia="宋体" w:cs="宋体"/>
          <w:color w:val="auto"/>
          <w:lang w:val="en-US" w:eastAsia="zh-CN"/>
        </w:rPr>
      </w:pPr>
    </w:p>
    <w:p w14:paraId="077DC89A">
      <w:pPr>
        <w:rPr>
          <w:rFonts w:hint="eastAsia" w:ascii="宋体" w:hAnsi="宋体" w:eastAsia="宋体" w:cs="宋体"/>
          <w:color w:val="auto"/>
          <w:lang w:val="en-US" w:eastAsia="zh-CN"/>
        </w:rPr>
      </w:pPr>
    </w:p>
    <w:p w14:paraId="0A450E92">
      <w:pPr>
        <w:rPr>
          <w:rFonts w:hint="eastAsia" w:ascii="宋体" w:hAnsi="宋体" w:eastAsia="宋体" w:cs="宋体"/>
          <w:color w:val="auto"/>
          <w:lang w:val="en-US" w:eastAsia="zh-CN"/>
        </w:rPr>
      </w:pPr>
    </w:p>
    <w:p w14:paraId="5B96035C">
      <w:pPr>
        <w:rPr>
          <w:rFonts w:hint="eastAsia" w:ascii="宋体" w:hAnsi="宋体" w:eastAsia="宋体" w:cs="宋体"/>
          <w:color w:val="auto"/>
          <w:lang w:val="en-US" w:eastAsia="zh-CN"/>
        </w:rPr>
      </w:pPr>
    </w:p>
    <w:p w14:paraId="7575C7F5">
      <w:pPr>
        <w:pStyle w:val="4"/>
        <w:bidi w:val="0"/>
        <w:ind w:left="0" w:leftChars="0" w:firstLine="0" w:firstLineChars="0"/>
        <w:rPr>
          <w:rFonts w:hint="eastAsia" w:ascii="宋体" w:hAnsi="宋体" w:eastAsia="宋体" w:cs="宋体"/>
          <w:b/>
          <w:bCs/>
          <w:color w:val="auto"/>
          <w:kern w:val="0"/>
          <w:highlight w:val="none"/>
          <w:lang w:val="en-US"/>
        </w:rPr>
      </w:pPr>
      <w:bookmarkStart w:id="83" w:name="_Toc27763"/>
      <w:bookmarkStart w:id="84" w:name="_Toc28886"/>
      <w:r>
        <w:rPr>
          <w:rFonts w:hint="eastAsia" w:ascii="宋体" w:hAnsi="宋体" w:eastAsia="宋体" w:cs="宋体"/>
          <w:color w:val="auto"/>
          <w:lang w:val="en-US" w:eastAsia="zh-CN"/>
        </w:rPr>
        <w:t>格式</w:t>
      </w:r>
      <w:bookmarkEnd w:id="80"/>
      <w:bookmarkStart w:id="85" w:name="_Hlt287950384"/>
      <w:bookmarkEnd w:id="85"/>
      <w:r>
        <w:rPr>
          <w:rFonts w:hint="eastAsia" w:ascii="宋体" w:hAnsi="宋体" w:eastAsia="宋体" w:cs="宋体"/>
          <w:color w:val="auto"/>
          <w:lang w:val="en-US" w:eastAsia="zh-CN"/>
        </w:rPr>
        <w:t>十一   项目管理机构组成表</w:t>
      </w:r>
      <w:bookmarkEnd w:id="81"/>
      <w:bookmarkEnd w:id="83"/>
      <w:bookmarkEnd w:id="84"/>
    </w:p>
    <w:p w14:paraId="13F4C680">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800"/>
        <w:gridCol w:w="1455"/>
        <w:gridCol w:w="945"/>
        <w:gridCol w:w="930"/>
        <w:gridCol w:w="1440"/>
        <w:gridCol w:w="1783"/>
      </w:tblGrid>
      <w:tr w14:paraId="77F6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D1EF77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1E381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岗位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647DF6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2D82F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性别</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28A45C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年龄</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0D38A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29F295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备注</w:t>
            </w:r>
          </w:p>
        </w:tc>
      </w:tr>
      <w:tr w14:paraId="25D1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4FEAF8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ABC14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项目经理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8E4078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F52D7D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DE236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B76B2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CB013C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59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9825C5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56B64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项目技术负责人</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7A34E6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5A090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6C5E83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84D5FE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770C26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28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023A3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800" w:type="dxa"/>
            <w:tcBorders>
              <w:top w:val="single" w:color="auto" w:sz="4" w:space="0"/>
              <w:left w:val="single" w:color="auto" w:sz="4" w:space="0"/>
              <w:right w:val="single" w:color="auto" w:sz="4" w:space="0"/>
            </w:tcBorders>
            <w:noWrap w:val="0"/>
            <w:vAlign w:val="center"/>
          </w:tcPr>
          <w:p w14:paraId="194F16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专职安全员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C96A3A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9787A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81C47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372396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E494C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C35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9210E1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4FE202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施工员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0C2B46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B21FD2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D08F32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F0FDD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9CCEDB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2C4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EA9F6E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12BD1F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E73BB1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EB9CA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6BBE8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00676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DBBB87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CAA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2BEAEE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478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材料员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E1E1EF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4DBE0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9F7EE9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63AAA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5ADD3A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A67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FF4DBE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29A8A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资料员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99B08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38FA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06FD09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4B1ED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C759B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47B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B46A3A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A8D9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E30EB0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EA279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CCA04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B27F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0B3AB9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3BD0F9CB">
      <w:pPr>
        <w:pStyle w:val="41"/>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3FF8572F">
      <w:pPr>
        <w:pStyle w:val="41"/>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说明：</w:t>
      </w:r>
    </w:p>
    <w:p w14:paraId="615034CA">
      <w:pPr>
        <w:pStyle w:val="41"/>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《项目管理机构组成表》后应附表中拟派人员（项目经理、项目技术负责人、</w:t>
      </w:r>
      <w:r>
        <w:rPr>
          <w:rFonts w:hint="eastAsia" w:ascii="宋体" w:hAnsi="宋体" w:eastAsia="宋体" w:cs="宋体"/>
          <w:color w:val="auto"/>
          <w:sz w:val="21"/>
          <w:szCs w:val="21"/>
          <w:highlight w:val="none"/>
          <w:lang w:val="en-US" w:eastAsia="zh-CN"/>
        </w:rPr>
        <w:t>专职安全员</w:t>
      </w:r>
      <w:r>
        <w:rPr>
          <w:rFonts w:hint="eastAsia" w:ascii="宋体" w:hAnsi="宋体" w:eastAsia="宋体" w:cs="宋体"/>
          <w:color w:val="auto"/>
          <w:sz w:val="21"/>
          <w:szCs w:val="21"/>
          <w:highlight w:val="none"/>
          <w:lang w:eastAsia="zh-CN"/>
        </w:rPr>
        <w:t>除外）以下资料：</w:t>
      </w:r>
    </w:p>
    <w:p w14:paraId="601B3845">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（1）身份证彩色扫描件；</w:t>
      </w:r>
    </w:p>
    <w:p w14:paraId="5B879094">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（2）职称证或岗位证书彩色扫描件；</w:t>
      </w:r>
    </w:p>
    <w:p w14:paraId="57E9F50C">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（3）在本单位缴纳社保的证明（至少3个月，其中必须有2026年05月）彩色扫描件。拟派人员为退休返聘人员无法提供社保证明的，提供退休证和劳动合同（返聘协议）彩色扫描件。</w:t>
      </w:r>
    </w:p>
    <w:p w14:paraId="6950114E">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（4）“进粤企业和人员诚信信息登记平台”个人信息情况截图。（适用于省外建筑企业）</w:t>
      </w:r>
    </w:p>
    <w:p w14:paraId="11E704A7">
      <w:pPr>
        <w:pStyle w:val="41"/>
        <w:keepNext w:val="0"/>
        <w:keepLines w:val="0"/>
        <w:widowControl w:val="0"/>
        <w:suppressLineNumbers w:val="0"/>
        <w:wordWrap w:val="0"/>
        <w:spacing w:line="400" w:lineRule="exact"/>
        <w:ind w:left="0" w:firstLine="0"/>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联合体投标的，《项目管理机构组成表》应包括联合体成员单位参与项目管理机构的人员，并提供以上所需资料。</w:t>
      </w:r>
    </w:p>
    <w:p w14:paraId="12CDE3DD">
      <w:pPr>
        <w:rPr>
          <w:rFonts w:hint="eastAsia" w:ascii="宋体" w:hAnsi="宋体" w:eastAsia="宋体" w:cs="宋体"/>
          <w:color w:val="auto"/>
          <w:lang w:val="en-US"/>
        </w:rPr>
      </w:pPr>
      <w:bookmarkStart w:id="86" w:name="_Hlt69116778"/>
      <w:bookmarkEnd w:id="86"/>
      <w:bookmarkStart w:id="87" w:name="_Hlt68774664"/>
      <w:bookmarkEnd w:id="87"/>
      <w:bookmarkStart w:id="88" w:name="_附件十：单项工程费汇总表"/>
      <w:bookmarkEnd w:id="88"/>
      <w:bookmarkStart w:id="89" w:name="_附件二十五：综合评审合理低价法"/>
      <w:bookmarkEnd w:id="89"/>
      <w:bookmarkStart w:id="90" w:name="_附件二十四：技术标提问单"/>
      <w:bookmarkEnd w:id="90"/>
    </w:p>
    <w:p w14:paraId="3779FA15">
      <w:pPr>
        <w:rPr>
          <w:rFonts w:hint="eastAsia" w:ascii="宋体" w:hAnsi="宋体" w:eastAsia="宋体" w:cs="宋体"/>
          <w:color w:val="auto"/>
          <w:lang w:val="en-US"/>
        </w:rPr>
      </w:pPr>
    </w:p>
    <w:p w14:paraId="360F0F61">
      <w:pPr>
        <w:rPr>
          <w:rFonts w:hint="eastAsia" w:ascii="宋体" w:hAnsi="宋体" w:eastAsia="宋体" w:cs="宋体"/>
          <w:color w:val="auto"/>
          <w:lang w:val="en-US"/>
        </w:rPr>
      </w:pPr>
    </w:p>
    <w:p w14:paraId="323C890B">
      <w:pPr>
        <w:rPr>
          <w:rFonts w:hint="eastAsia" w:ascii="宋体" w:hAnsi="宋体" w:eastAsia="宋体" w:cs="宋体"/>
          <w:color w:val="auto"/>
          <w:lang w:val="en-US"/>
        </w:rPr>
      </w:pPr>
    </w:p>
    <w:p w14:paraId="152C8A94">
      <w:pPr>
        <w:rPr>
          <w:rFonts w:hint="eastAsia" w:ascii="宋体" w:hAnsi="宋体" w:eastAsia="宋体" w:cs="宋体"/>
          <w:color w:val="auto"/>
          <w:lang w:val="en-US"/>
        </w:rPr>
      </w:pPr>
    </w:p>
    <w:p w14:paraId="70B14695">
      <w:pPr>
        <w:rPr>
          <w:rFonts w:hint="eastAsia" w:ascii="宋体" w:hAnsi="宋体" w:eastAsia="宋体" w:cs="宋体"/>
          <w:color w:val="auto"/>
          <w:lang w:val="en-US"/>
        </w:rPr>
      </w:pPr>
    </w:p>
    <w:p w14:paraId="4C81923B">
      <w:pPr>
        <w:rPr>
          <w:rFonts w:hint="eastAsia" w:ascii="宋体" w:hAnsi="宋体" w:eastAsia="宋体" w:cs="宋体"/>
          <w:color w:val="auto"/>
          <w:lang w:val="en-US"/>
        </w:rPr>
      </w:pPr>
    </w:p>
    <w:p w14:paraId="5D22D1BA">
      <w:pPr>
        <w:rPr>
          <w:rFonts w:hint="eastAsia" w:ascii="宋体" w:hAnsi="宋体" w:eastAsia="宋体" w:cs="宋体"/>
          <w:color w:val="auto"/>
          <w:lang w:val="en-US"/>
        </w:rPr>
      </w:pPr>
    </w:p>
    <w:p w14:paraId="7F7FE219">
      <w:pPr>
        <w:rPr>
          <w:rFonts w:hint="eastAsia" w:ascii="宋体" w:hAnsi="宋体" w:eastAsia="宋体" w:cs="宋体"/>
          <w:color w:val="auto"/>
          <w:lang w:val="en-US"/>
        </w:rPr>
      </w:pPr>
    </w:p>
    <w:p w14:paraId="330FA066">
      <w:pPr>
        <w:rPr>
          <w:rFonts w:hint="eastAsia" w:ascii="宋体" w:hAnsi="宋体" w:eastAsia="宋体" w:cs="宋体"/>
          <w:color w:val="auto"/>
          <w:lang w:val="en-US"/>
        </w:rPr>
      </w:pPr>
    </w:p>
    <w:p w14:paraId="20036E9F">
      <w:pPr>
        <w:rPr>
          <w:rFonts w:hint="eastAsia" w:ascii="宋体" w:hAnsi="宋体" w:eastAsia="宋体" w:cs="宋体"/>
          <w:color w:val="auto"/>
          <w:lang w:val="en-US"/>
        </w:rPr>
      </w:pPr>
    </w:p>
    <w:p w14:paraId="44285936">
      <w:pPr>
        <w:rPr>
          <w:rFonts w:hint="eastAsia" w:ascii="宋体" w:hAnsi="宋体" w:eastAsia="宋体" w:cs="宋体"/>
          <w:color w:val="auto"/>
          <w:lang w:eastAsia="zh-CN"/>
        </w:rPr>
      </w:pPr>
    </w:p>
    <w:p w14:paraId="162AE6BD">
      <w:pPr>
        <w:pStyle w:val="4"/>
        <w:bidi w:val="0"/>
        <w:ind w:left="0" w:leftChars="0" w:firstLine="0" w:firstLineChars="0"/>
        <w:rPr>
          <w:rFonts w:hint="eastAsia" w:ascii="宋体" w:hAnsi="宋体" w:eastAsia="宋体" w:cs="宋体"/>
          <w:b/>
          <w:bCs/>
          <w:color w:val="auto"/>
          <w:sz w:val="24"/>
          <w:szCs w:val="24"/>
          <w:highlight w:val="none"/>
          <w:lang w:val="en-US"/>
        </w:rPr>
      </w:pPr>
      <w:bookmarkStart w:id="91" w:name="_Toc26809"/>
      <w:bookmarkStart w:id="92" w:name="_Toc15664"/>
      <w:bookmarkStart w:id="93" w:name="_Toc1515"/>
      <w:r>
        <w:rPr>
          <w:rFonts w:hint="eastAsia" w:ascii="宋体" w:hAnsi="宋体" w:eastAsia="宋体" w:cs="宋体"/>
          <w:color w:val="auto"/>
          <w:lang w:val="en-US" w:eastAsia="zh-CN"/>
        </w:rPr>
        <w:t>格式十二   建造师查询页（有效期+建造师签字）</w:t>
      </w:r>
      <w:bookmarkEnd w:id="91"/>
      <w:bookmarkEnd w:id="92"/>
      <w:bookmarkEnd w:id="93"/>
    </w:p>
    <w:p w14:paraId="5FCB7342">
      <w:pPr>
        <w:pStyle w:val="41"/>
        <w:keepNext w:val="0"/>
        <w:keepLines w:val="0"/>
        <w:widowControl w:val="0"/>
        <w:suppressLineNumbers w:val="0"/>
        <w:wordWrap w:val="0"/>
        <w:ind w:left="0" w:firstLine="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fldChar w:fldCharType="begin"/>
      </w:r>
      <w:r>
        <w:rPr>
          <w:rFonts w:hint="eastAsia" w:ascii="宋体" w:hAnsi="宋体" w:eastAsia="宋体" w:cs="宋体"/>
          <w:color w:val="auto"/>
          <w:highlight w:val="none"/>
          <w:lang w:val="en-US"/>
        </w:rPr>
        <w:instrText xml:space="preserve">INCLUDEPICTURE "C:\\Users\\user\\Downloads\\../AppData/Local/Temp/ksohtml12540/wps34.jpg" \* MERGEFORMATINET </w:instrText>
      </w:r>
      <w:r>
        <w:rPr>
          <w:rFonts w:hint="eastAsia" w:ascii="宋体" w:hAnsi="宋体" w:eastAsia="宋体" w:cs="宋体"/>
          <w:color w:val="auto"/>
          <w:highlight w:val="none"/>
          <w:lang w:val="en-US"/>
        </w:rPr>
        <w:fldChar w:fldCharType="separate"/>
      </w:r>
      <w:r>
        <w:rPr>
          <w:rFonts w:hint="eastAsia" w:ascii="宋体" w:hAnsi="宋体" w:eastAsia="宋体" w:cs="宋体"/>
          <w:color w:val="auto"/>
          <w:highlight w:val="none"/>
          <w:lang w:val="en-US"/>
        </w:rPr>
        <w:drawing>
          <wp:inline distT="0" distB="0" distL="114300" distR="114300">
            <wp:extent cx="5915025" cy="8277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915025" cy="8277225"/>
                    </a:xfrm>
                    <a:prstGeom prst="rect">
                      <a:avLst/>
                    </a:prstGeom>
                    <a:noFill/>
                    <a:ln>
                      <a:noFill/>
                    </a:ln>
                  </pic:spPr>
                </pic:pic>
              </a:graphicData>
            </a:graphic>
          </wp:inline>
        </w:drawing>
      </w:r>
      <w:r>
        <w:rPr>
          <w:rFonts w:hint="eastAsia" w:ascii="宋体" w:hAnsi="宋体" w:eastAsia="宋体" w:cs="宋体"/>
          <w:color w:val="auto"/>
          <w:highlight w:val="none"/>
          <w:lang w:val="en-US"/>
        </w:rPr>
        <w:fldChar w:fldCharType="end"/>
      </w:r>
    </w:p>
    <w:p w14:paraId="4CBF4C52">
      <w:pPr>
        <w:rPr>
          <w:rFonts w:hint="eastAsia" w:ascii="宋体" w:hAnsi="宋体" w:eastAsia="宋体" w:cs="宋体"/>
          <w:color w:val="auto"/>
          <w:lang w:val="en-US"/>
        </w:rPr>
      </w:pPr>
    </w:p>
    <w:p w14:paraId="4DD10AA0">
      <w:pPr>
        <w:rPr>
          <w:rFonts w:hint="eastAsia" w:ascii="宋体" w:hAnsi="宋体" w:eastAsia="宋体" w:cs="宋体"/>
          <w:color w:val="auto"/>
          <w:lang w:val="en-US"/>
        </w:rPr>
      </w:pPr>
    </w:p>
    <w:p w14:paraId="25160B61">
      <w:pPr>
        <w:rPr>
          <w:rFonts w:hint="eastAsia" w:ascii="宋体" w:hAnsi="宋体" w:eastAsia="宋体" w:cs="宋体"/>
          <w:color w:val="auto"/>
          <w:lang w:val="en-US"/>
        </w:rPr>
      </w:pPr>
    </w:p>
    <w:p w14:paraId="202BB8E4">
      <w:pPr>
        <w:pStyle w:val="40"/>
        <w:keepNext w:val="0"/>
        <w:keepLines w:val="0"/>
        <w:widowControl w:val="0"/>
        <w:suppressLineNumbers w:val="0"/>
        <w:wordWrap w:val="0"/>
        <w:spacing w:before="0" w:beforeAutospacing="0" w:after="0" w:afterAutospacing="0"/>
        <w:ind w:left="3621" w:leftChars="15" w:right="0" w:hanging="3590" w:hangingChars="1496"/>
        <w:jc w:val="both"/>
        <w:outlineLvl w:val="9"/>
        <w:rPr>
          <w:rFonts w:hint="eastAsia" w:ascii="宋体" w:hAnsi="宋体" w:eastAsia="宋体" w:cs="宋体"/>
          <w:color w:val="auto"/>
          <w:highlight w:val="none"/>
          <w:lang w:val="en-US"/>
        </w:rPr>
      </w:pPr>
      <w:bookmarkStart w:id="94" w:name="_Toc142468134"/>
      <w:bookmarkEnd w:id="94"/>
      <w:bookmarkStart w:id="95" w:name="_附件二十一：土建工程、电气工程、给排水工程工程清单项目费汇总表"/>
      <w:bookmarkEnd w:id="95"/>
      <w:bookmarkStart w:id="96" w:name="_Toc132687128"/>
      <w:bookmarkEnd w:id="96"/>
      <w:bookmarkStart w:id="97" w:name="_Toc133160683"/>
      <w:bookmarkEnd w:id="97"/>
      <w:bookmarkStart w:id="98" w:name="_Toc133815902"/>
      <w:bookmarkEnd w:id="98"/>
      <w:bookmarkStart w:id="99" w:name="_Hlt87793582"/>
      <w:bookmarkEnd w:id="99"/>
      <w:bookmarkStart w:id="100" w:name="_Toc137444778"/>
      <w:bookmarkEnd w:id="100"/>
      <w:bookmarkStart w:id="101" w:name="_Toc13722"/>
      <w:bookmarkEnd w:id="101"/>
      <w:bookmarkStart w:id="102" w:name="_Hlt87783244"/>
      <w:bookmarkEnd w:id="102"/>
      <w:bookmarkStart w:id="103" w:name="_Toc346"/>
      <w:bookmarkEnd w:id="103"/>
      <w:bookmarkStart w:id="104" w:name="_附件十六：措施项目清单计价表"/>
      <w:bookmarkEnd w:id="104"/>
      <w:bookmarkStart w:id="105" w:name="_Toc78794873"/>
      <w:r>
        <w:rPr>
          <w:rFonts w:hint="eastAsia" w:ascii="宋体" w:hAnsi="宋体" w:eastAsia="宋体" w:cs="宋体"/>
          <w:color w:val="auto"/>
          <w:highlight w:val="none"/>
          <w:lang w:val="en-US"/>
        </w:rPr>
        <w:drawing>
          <wp:inline distT="0" distB="0" distL="114300" distR="114300">
            <wp:extent cx="5981065" cy="6862445"/>
            <wp:effectExtent l="0" t="0" r="63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981065" cy="6862445"/>
                    </a:xfrm>
                    <a:prstGeom prst="rect">
                      <a:avLst/>
                    </a:prstGeom>
                    <a:noFill/>
                    <a:ln>
                      <a:noFill/>
                    </a:ln>
                  </pic:spPr>
                </pic:pic>
              </a:graphicData>
            </a:graphic>
          </wp:inline>
        </w:drawing>
      </w:r>
      <w:bookmarkEnd w:id="105"/>
    </w:p>
    <w:p w14:paraId="13E67456">
      <w:pPr>
        <w:rPr>
          <w:rFonts w:hint="eastAsia" w:ascii="宋体" w:hAnsi="宋体" w:eastAsia="宋体" w:cs="宋体"/>
          <w:color w:val="auto"/>
          <w:lang w:val="en-US"/>
        </w:rPr>
      </w:pPr>
    </w:p>
    <w:p w14:paraId="09B466A2">
      <w:pPr>
        <w:rPr>
          <w:rFonts w:hint="eastAsia" w:ascii="宋体" w:hAnsi="宋体" w:eastAsia="宋体" w:cs="宋体"/>
          <w:color w:val="auto"/>
          <w:lang w:val="en-US"/>
        </w:rPr>
      </w:pPr>
    </w:p>
    <w:p w14:paraId="758B85DF">
      <w:pPr>
        <w:rPr>
          <w:rFonts w:hint="eastAsia" w:ascii="宋体" w:hAnsi="宋体" w:eastAsia="宋体" w:cs="宋体"/>
          <w:color w:val="auto"/>
          <w:lang w:val="en-US"/>
        </w:rPr>
      </w:pPr>
    </w:p>
    <w:p w14:paraId="1376A9F7">
      <w:pPr>
        <w:rPr>
          <w:rFonts w:hint="eastAsia" w:ascii="宋体" w:hAnsi="宋体" w:eastAsia="宋体" w:cs="宋体"/>
          <w:color w:val="auto"/>
          <w:lang w:val="en-US"/>
        </w:rPr>
      </w:pPr>
    </w:p>
    <w:p w14:paraId="03F824E8">
      <w:pPr>
        <w:rPr>
          <w:rFonts w:hint="eastAsia" w:ascii="宋体" w:hAnsi="宋体" w:eastAsia="宋体" w:cs="宋体"/>
          <w:color w:val="auto"/>
          <w:lang w:val="en-US"/>
        </w:rPr>
      </w:pPr>
    </w:p>
    <w:p w14:paraId="1BD8B445">
      <w:pPr>
        <w:rPr>
          <w:rFonts w:hint="eastAsia" w:ascii="宋体" w:hAnsi="宋体" w:eastAsia="宋体" w:cs="宋体"/>
          <w:color w:val="auto"/>
          <w:lang w:val="en-US"/>
        </w:rPr>
      </w:pPr>
    </w:p>
    <w:p w14:paraId="53DAC3BD">
      <w:pPr>
        <w:rPr>
          <w:rFonts w:hint="eastAsia" w:ascii="宋体" w:hAnsi="宋体" w:eastAsia="宋体" w:cs="宋体"/>
          <w:color w:val="auto"/>
          <w:lang w:val="en-US"/>
        </w:rPr>
      </w:pPr>
    </w:p>
    <w:p w14:paraId="054DE327">
      <w:pPr>
        <w:rPr>
          <w:rFonts w:hint="eastAsia" w:ascii="宋体" w:hAnsi="宋体" w:eastAsia="宋体" w:cs="宋体"/>
          <w:color w:val="auto"/>
          <w:lang w:val="en-US"/>
        </w:rPr>
      </w:pPr>
    </w:p>
    <w:p w14:paraId="6AF3E874">
      <w:pPr>
        <w:rPr>
          <w:rFonts w:hint="eastAsia" w:ascii="宋体" w:hAnsi="宋体" w:eastAsia="宋体" w:cs="宋体"/>
          <w:color w:val="auto"/>
          <w:lang w:val="en-US"/>
        </w:rPr>
      </w:pPr>
    </w:p>
    <w:p w14:paraId="5161A4B5">
      <w:pPr>
        <w:rPr>
          <w:rFonts w:hint="eastAsia" w:ascii="宋体" w:hAnsi="宋体" w:eastAsia="宋体" w:cs="宋体"/>
          <w:color w:val="auto"/>
          <w:lang w:val="en-US"/>
        </w:rPr>
      </w:pPr>
    </w:p>
    <w:p w14:paraId="797BC470">
      <w:pPr>
        <w:rPr>
          <w:rFonts w:hint="eastAsia" w:ascii="宋体" w:hAnsi="宋体" w:eastAsia="宋体" w:cs="宋体"/>
          <w:color w:val="auto"/>
          <w:lang w:val="en-US" w:eastAsia="zh-CN"/>
        </w:rPr>
      </w:pPr>
    </w:p>
    <w:p w14:paraId="3414A641">
      <w:pPr>
        <w:pStyle w:val="4"/>
        <w:bidi w:val="0"/>
        <w:ind w:left="0" w:leftChars="0" w:firstLine="0" w:firstLineChars="0"/>
        <w:rPr>
          <w:rFonts w:hint="eastAsia" w:ascii="宋体" w:hAnsi="宋体" w:eastAsia="宋体" w:cs="宋体"/>
          <w:color w:val="auto"/>
          <w:lang w:val="en-US" w:eastAsia="zh-CN"/>
        </w:rPr>
      </w:pPr>
      <w:bookmarkStart w:id="106" w:name="_Toc14118"/>
      <w:bookmarkStart w:id="107" w:name="_Toc18564"/>
      <w:r>
        <w:rPr>
          <w:rFonts w:hint="eastAsia" w:ascii="宋体" w:hAnsi="宋体" w:eastAsia="宋体" w:cs="宋体"/>
          <w:color w:val="auto"/>
          <w:lang w:val="en-US" w:eastAsia="zh-CN"/>
        </w:rPr>
        <w:t>格式十三   危险性较大的分部分项工程清单及超过一定规模的危险性较大的分部分项工程清单</w:t>
      </w:r>
      <w:bookmarkEnd w:id="82"/>
      <w:bookmarkEnd w:id="106"/>
      <w:bookmarkEnd w:id="107"/>
    </w:p>
    <w:p w14:paraId="55B961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6"/>
          <w:szCs w:val="36"/>
          <w:highlight w:val="none"/>
          <w:lang w:val="en-US"/>
        </w:rPr>
      </w:pPr>
      <w:r>
        <w:rPr>
          <w:rFonts w:hint="eastAsia" w:ascii="宋体" w:hAnsi="宋体" w:eastAsia="宋体" w:cs="宋体"/>
          <w:b/>
          <w:bCs/>
          <w:color w:val="auto"/>
          <w:kern w:val="2"/>
          <w:sz w:val="32"/>
          <w:szCs w:val="32"/>
          <w:highlight w:val="none"/>
          <w:lang w:val="en-US" w:eastAsia="zh-CN" w:bidi="ar"/>
        </w:rPr>
        <w:t>危险性较大的分部分项工程清单及超过一定规模的危险性较大的分部分项工程清单</w:t>
      </w:r>
    </w:p>
    <w:p w14:paraId="669F3AA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1.根据中华人民共和国住房和城乡建设部令第37号《危险性较大的分部分项工程安全管理规定》（以下简称“37号文”），投标人在投标时须补充完善危大工程清单并明确相应的安全管理措施。</w:t>
      </w:r>
    </w:p>
    <w:p w14:paraId="0FDE667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招标人根据设计文件的要求及37号文、粤建规范〔2019〕2号文的规定列出“危险性较大的分部分项工程清单及超过一定规模的危险性较大的分部分项工程清单”中与本招标项目相关的清单项，具体详见第5点“打√”标识。</w:t>
      </w:r>
    </w:p>
    <w:p w14:paraId="0B6DD4A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（1）投标单位同意建设单位在清单中标识的该项请在对应项打“√”标识，并与投标文件中提供相应的安全管理措施。</w:t>
      </w:r>
    </w:p>
    <w:p w14:paraId="486B342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（2）投标单位对清单中认为需要补充的该项请在对应项打“√”标识，并于投标文件中提供相应的安全管理措施。</w:t>
      </w:r>
    </w:p>
    <w:p w14:paraId="3421899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（3）投标单位不同意建设单位在清单中标识的该项请在对应项打“×”标识，并在备注栏填上相关说明。</w:t>
      </w:r>
    </w:p>
    <w:p w14:paraId="086904AA">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rFonts w:hint="eastAsia" w:ascii="宋体" w:hAnsi="宋体" w:eastAsia="宋体" w:cs="宋体"/>
          <w:b/>
          <w:bCs w:val="0"/>
          <w:color w:val="auto"/>
          <w:highlight w:val="none"/>
          <w:u w:val="single"/>
          <w:lang w:val="en-US"/>
        </w:rPr>
      </w:pPr>
      <w:r>
        <w:rPr>
          <w:rFonts w:hint="eastAsia" w:ascii="宋体" w:hAnsi="宋体" w:eastAsia="宋体" w:cs="宋体"/>
          <w:b/>
          <w:bCs w:val="0"/>
          <w:color w:val="auto"/>
          <w:kern w:val="2"/>
          <w:sz w:val="24"/>
          <w:szCs w:val="24"/>
          <w:highlight w:val="none"/>
          <w:u w:val="single"/>
          <w:lang w:val="en-US" w:eastAsia="zh-CN" w:bidi="ar"/>
        </w:rPr>
        <w:t>3.投标单位应当在投标时根据招标人提供的下述第5点清单，在投标施工组织中回应建设单位提供的危大工程清单，补充相应的安全管理措施。（为减轻标书编制的工作量，投标单位回应的危大工程清单提供相应的安全管理措施的页数应控制在3页内）</w:t>
      </w:r>
    </w:p>
    <w:p w14:paraId="0F9E3510">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AC0FB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5.危险性较大的分部分项工程清单及超过一定规模的危险性较大的分部分项工程清单：</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5"/>
        <w:gridCol w:w="1234"/>
        <w:gridCol w:w="1266"/>
        <w:gridCol w:w="839"/>
      </w:tblGrid>
      <w:tr w14:paraId="23DD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center"/>
          </w:tcPr>
          <w:p w14:paraId="6E26D1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一、危险性较大的分部分项工程清单</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1C9CF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建设单位</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055D4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4FFEFBF">
            <w:pPr>
              <w:keepNext w:val="0"/>
              <w:keepLines w:val="0"/>
              <w:widowControl w:val="0"/>
              <w:suppressLineNumbers w:val="0"/>
              <w:spacing w:before="0" w:beforeAutospacing="0" w:after="0" w:afterAutospacing="0" w:line="360" w:lineRule="auto"/>
              <w:ind w:right="0"/>
              <w:jc w:val="center"/>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备注</w:t>
            </w:r>
          </w:p>
        </w:tc>
      </w:tr>
      <w:tr w14:paraId="0D1C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063865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一、基坑支护</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AF49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E202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3E3D5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729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D7C0D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（一）开挖深度超过3m（含3m）的基坑（槽）的土方开挖、支护、降水工程。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614CE2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EF364A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377AA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17E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CBDF1F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（二）开挖深度虽未超过3m，但地质条件、周围环境和地下管线复杂，或影响毗邻建、构筑物安全的基坑（槽）的土方开挖、支护、降水工程。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B422F5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578E8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1041D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9F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509D7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B43222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3E980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5BC9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248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1A4536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810528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2CE84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2E6F4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472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4B6A1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3E6600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A79AC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597AC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28A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30A526D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1F1C2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46DE7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8716F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789E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601C7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C262B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AB1E7C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F70CE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87B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313122B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（一）采用非常规起重设备、方法，且单件起吊重量在10kN及以上的起重吊装工程。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7B5B27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E1622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6297E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3914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510D5C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（二）采用起重机械进行安装的工程。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8F5392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DBC80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3BE9E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3DB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20BEF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（三）起重机械安装和拆卸工程。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86A7B7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D24FCE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26BDA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9C9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32BE43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9CCF2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444DB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6404F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9DD4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7434E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（一）搭设高度24m及以上的落地式钢管脚手架工程（包括采光井、电梯井脚手架）。</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8E02E1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1B4AF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C982E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E75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4C75D1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（二）附着式升降脚手架工程。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102A0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449A6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40065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31E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05832B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（三）悬挑式脚手架工程。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9563D6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D1391C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B0B4A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ED51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8C2F1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（四）高处作业吊篮。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BEC493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EAFDA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15FB2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6A3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364FF86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（五）卸料平台、操作平台工程。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AB3BA0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C2D1B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D0B9E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B3C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14D98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（六）异型脚手架工程。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85B0B5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90083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5ADE9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F35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4B68BF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AB525A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A4A4F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B62A4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7F7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792D3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可能影响行人、交通、电力设施、通讯设施或其他建、构筑物安全的拆除工程。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8D08D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822474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70BAB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5D1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688444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六、暗挖工程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5DCC3D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15040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293E2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80A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CDFD9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C832DE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21CC4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29172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16C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600E9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七、其他</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D5DFE8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F25E5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6D56A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0DE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AC915A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（一）建筑幕墙安装工程。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2804E4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C85A3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1C077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E40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2F8CD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（二）钢结构、网架和索膜结构安装工程。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62509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D951C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CCE4D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74C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B8BDE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（三）人工挖孔桩工程。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8B41F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55CB30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1C548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CF4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71DFDB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517FFB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A99ED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FB3BA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E12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327DBD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（五）装配式建筑混凝土预制构件安装工程。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95EB45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3775A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DEFB0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439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38ECD2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48C0DA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F7857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C4032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5EE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center"/>
          </w:tcPr>
          <w:p w14:paraId="54512D5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color w:val="auto"/>
                <w:kern w:val="2"/>
                <w:sz w:val="24"/>
                <w:szCs w:val="24"/>
                <w:highlight w:val="none"/>
                <w:lang w:val="en-US" w:eastAsia="zh-CN" w:bidi="ar"/>
              </w:rPr>
              <w:t>二、超过一定规模的危险性较大的分部分项工程清单</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FBB84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建设单位</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F54F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0F0F9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备注</w:t>
            </w:r>
          </w:p>
        </w:tc>
      </w:tr>
      <w:tr w14:paraId="23CF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0F50F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一、深基坑工程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7776E6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6A341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2EA59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182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16F7A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开挖深度超过5m（含5m）的基坑（槽）的土方开挖、支护、降水工程。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C92A22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57D56D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EA0FB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920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BE9A3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61737A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FCF0E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208A4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51E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F178C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10EED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D2CECE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86DFE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A58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4E1E75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（二）混凝土模板支撑工程：搭设高度8m及以上，或搭设跨度18m及以上，或施工总荷载（设计值）15kN/m2及以上，或集中线荷载（设计值）20kN/m及以上。</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CF3EA5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49EB1C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0E048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558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EA6E2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（三）承重支撑体系：用于钢结构安装等满堂支撑体系，承受单点集中荷载7kN及以上。</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B19E17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D1927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B1EC5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306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11B4D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826B3C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47EDA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306E3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75A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775D6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（一）采用非常规起重设备、方法，且单件起吊重量在100kN及以上的起重吊装工程。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63D420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DC85C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1DD69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76E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CE722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（二）起重量300kN及以上，或搭设总高度200m及以上，或搭设基础标高在200m及以上的起重机械安装和拆卸工程。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E630B2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4CD69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E0D5A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D2D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4F76B84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D9FE9D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BE527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6B3A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11B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BDF8D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（一）搭设高度50m及以上的落地式钢管脚手架工程。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202ED9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028FF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57565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352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72CDE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（二）提升高度在150m及以上的附着式升降脚手架工程或附着式升降操作平台工程。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58FCA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C7E25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24C9C0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4C5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7B542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（三）分段架体搭设高度20m及以上的悬挑式脚手架工程。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304C01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803F5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169B4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EA0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7C0CAC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E10C88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4E4EB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64E60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23A6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9FBBC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（一）码头、桥梁、高架、烟囱、水塔或拆除中容易引起有毒有害气（液）体或粉尘扩散、易燃易爆事故发生的特殊建、构筑物的拆除工程。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D9F4B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13F89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B970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0B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602E04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（二）文物保护建筑、优秀历史建筑或历史文化风貌区影响范围内的拆除工程。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9AAF8C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F23DB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07C21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1BC4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F5090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六、暗挖工程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1BF2C2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AAD4A6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94A4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B41C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97F63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A5D829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E715B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A97B1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717E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1895D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七、其他</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8839A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E9658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32D7E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1A4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60520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（一）施工高度50m及以上的建筑幕墙安装工程。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AC16D9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EE6D0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AB5F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066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247E6D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（二）跨度36m及以上的钢结构安装工程，或跨度60m及以上的网架和索膜结构安装工程。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461A6C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DCCF4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B9A95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288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11D713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（三）开挖深度16m及以上的人工挖孔桩工程。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B77184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A6C9C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F0A56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6EF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0CB50D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DDA1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3C708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38748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17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4911BC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（五）重量1000kN及以上的大型结构整体顶升、平移、转体等施工工艺。</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068599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C3E1F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21509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315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45" w:type="dxa"/>
            <w:tcBorders>
              <w:top w:val="single" w:color="000000" w:sz="4" w:space="0"/>
              <w:left w:val="single" w:color="000000" w:sz="4" w:space="0"/>
              <w:bottom w:val="single" w:color="000000" w:sz="4" w:space="0"/>
              <w:right w:val="single" w:color="000000" w:sz="4" w:space="0"/>
            </w:tcBorders>
            <w:noWrap w:val="0"/>
            <w:vAlign w:val="top"/>
          </w:tcPr>
          <w:p w14:paraId="51C1AD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C5D093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CA996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A3E1B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bl>
    <w:p w14:paraId="7918A2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 xml:space="preserve"> </w:t>
      </w:r>
    </w:p>
    <w:p w14:paraId="3A84E6E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备注：1.根据《危险性较大的分部分项工程安全管理规定》，该《危险性较大的分部分项工程清单及超过一定规模的危险性较大的分部分项工程清单》应由建设单位 组织勘察、设计等单位在招标文件中先行“勾选（对应项打‘√’标识）”危险性较大的分部分项工程。</w:t>
      </w:r>
    </w:p>
    <w:p w14:paraId="456E5C9E">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该《危险性较大的分部分项工程清单及超过一定规模的危险性较大的分部分项工程清单》在办理建设项目施工许可时必须提供，且各地建设行政主管部门可按照《广东省建设工程项目招标中标后监督检查办法》相关规定开展检查。</w:t>
      </w:r>
    </w:p>
    <w:p w14:paraId="306E1AB0">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3.如果需要（如需要通过计算编制专项方案，或者需要专家论证），可中标后提供详细版。</w:t>
      </w:r>
    </w:p>
    <w:p w14:paraId="1542750B">
      <w:pPr>
        <w:rPr>
          <w:rFonts w:hint="eastAsia" w:ascii="宋体" w:hAnsi="宋体" w:eastAsia="宋体" w:cs="宋体"/>
          <w:color w:val="auto"/>
          <w:lang w:val="en-US"/>
        </w:rPr>
      </w:pPr>
    </w:p>
    <w:p w14:paraId="10AFDE46">
      <w:pPr>
        <w:rPr>
          <w:rFonts w:hint="eastAsia" w:ascii="宋体" w:hAnsi="宋体" w:eastAsia="宋体" w:cs="宋体"/>
          <w:color w:val="auto"/>
          <w:lang w:val="en-US"/>
        </w:rPr>
      </w:pPr>
    </w:p>
    <w:p w14:paraId="57ECDAE3">
      <w:pPr>
        <w:rPr>
          <w:rFonts w:hint="eastAsia" w:ascii="宋体" w:hAnsi="宋体" w:eastAsia="宋体" w:cs="宋体"/>
          <w:color w:val="auto"/>
          <w:lang w:val="en-US"/>
        </w:rPr>
      </w:pPr>
    </w:p>
    <w:p w14:paraId="67050705">
      <w:pPr>
        <w:rPr>
          <w:rFonts w:hint="eastAsia" w:ascii="宋体" w:hAnsi="宋体" w:eastAsia="宋体" w:cs="宋体"/>
          <w:color w:val="auto"/>
          <w:lang w:val="en-US"/>
        </w:rPr>
      </w:pPr>
    </w:p>
    <w:p w14:paraId="01703BD2">
      <w:pPr>
        <w:rPr>
          <w:rFonts w:hint="eastAsia" w:ascii="宋体" w:hAnsi="宋体" w:eastAsia="宋体" w:cs="宋体"/>
          <w:color w:val="auto"/>
          <w:lang w:val="en-US"/>
        </w:rPr>
      </w:pPr>
    </w:p>
    <w:p w14:paraId="37151A58">
      <w:pPr>
        <w:rPr>
          <w:rFonts w:hint="eastAsia" w:ascii="宋体" w:hAnsi="宋体" w:eastAsia="宋体" w:cs="宋体"/>
          <w:color w:val="auto"/>
          <w:lang w:val="en-US"/>
        </w:rPr>
      </w:pPr>
    </w:p>
    <w:p w14:paraId="1A7DD1DE">
      <w:pPr>
        <w:rPr>
          <w:rFonts w:hint="eastAsia" w:ascii="宋体" w:hAnsi="宋体" w:eastAsia="宋体" w:cs="宋体"/>
          <w:color w:val="auto"/>
          <w:lang w:val="en-US"/>
        </w:rPr>
      </w:pPr>
    </w:p>
    <w:p w14:paraId="0EC00CD6">
      <w:pPr>
        <w:rPr>
          <w:rFonts w:hint="eastAsia" w:ascii="宋体" w:hAnsi="宋体" w:eastAsia="宋体" w:cs="宋体"/>
          <w:color w:val="auto"/>
          <w:lang w:val="en-US"/>
        </w:rPr>
      </w:pPr>
    </w:p>
    <w:p w14:paraId="74907635">
      <w:pPr>
        <w:rPr>
          <w:rFonts w:hint="eastAsia" w:ascii="宋体" w:hAnsi="宋体" w:eastAsia="宋体" w:cs="宋体"/>
          <w:color w:val="auto"/>
          <w:lang w:val="en-US"/>
        </w:rPr>
      </w:pPr>
    </w:p>
    <w:p w14:paraId="0F44191D">
      <w:pPr>
        <w:pStyle w:val="4"/>
        <w:bidi w:val="0"/>
        <w:ind w:left="0" w:leftChars="0" w:firstLine="0" w:firstLineChars="0"/>
        <w:rPr>
          <w:rFonts w:hint="eastAsia" w:ascii="宋体" w:hAnsi="宋体" w:eastAsia="宋体" w:cs="宋体"/>
          <w:color w:val="auto"/>
          <w:lang w:val="en-US" w:eastAsia="zh-CN"/>
        </w:rPr>
      </w:pPr>
      <w:bookmarkStart w:id="108" w:name="_Toc21344"/>
      <w:r>
        <w:rPr>
          <w:rFonts w:hint="eastAsia" w:ascii="宋体" w:hAnsi="宋体" w:eastAsia="宋体" w:cs="宋体"/>
          <w:color w:val="auto"/>
          <w:lang w:val="en-US" w:eastAsia="zh-CN"/>
        </w:rPr>
        <w:t>格式十四</w:t>
      </w:r>
      <w:bookmarkStart w:id="109" w:name="_Toc15860"/>
      <w:r>
        <w:rPr>
          <w:rFonts w:hint="eastAsia" w:ascii="宋体" w:hAnsi="宋体" w:eastAsia="宋体" w:cs="宋体"/>
          <w:color w:val="auto"/>
          <w:lang w:val="en-US" w:eastAsia="zh-CN"/>
        </w:rPr>
        <w:t xml:space="preserve">   履约保函</w:t>
      </w:r>
      <w:bookmarkEnd w:id="108"/>
      <w:bookmarkEnd w:id="109"/>
    </w:p>
    <w:p w14:paraId="06E6DE59">
      <w:pPr>
        <w:widowControl/>
        <w:ind w:firstLine="562"/>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履约保函</w:t>
      </w:r>
    </w:p>
    <w:p w14:paraId="4A826DFB">
      <w:pPr>
        <w:autoSpaceDE w:val="0"/>
        <w:autoSpaceDN w:val="0"/>
        <w:adjustRightInd w:val="0"/>
        <w:spacing w:before="120" w:beforeLines="50"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sz w:val="24"/>
          <w:szCs w:val="24"/>
          <w:highlight w:val="none"/>
          <w:u w:val="single"/>
        </w:rPr>
        <w:t xml:space="preserve">   （招标人名称）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kern w:val="0"/>
          <w:sz w:val="24"/>
          <w:szCs w:val="24"/>
          <w:highlight w:val="none"/>
        </w:rPr>
        <w:t>下称受益人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1D19F1B0">
      <w:pPr>
        <w:autoSpaceDE w:val="0"/>
        <w:autoSpaceDN w:val="0"/>
        <w:adjustRightInd w:val="0"/>
        <w:spacing w:before="120" w:beforeLines="50" w:after="120" w:after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下称“被保证人”</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kern w:val="0"/>
          <w:sz w:val="24"/>
          <w:szCs w:val="24"/>
          <w:highlight w:val="none"/>
        </w:rPr>
        <w:t>/拟与贵方签订编号为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kern w:val="0"/>
          <w:sz w:val="24"/>
          <w:szCs w:val="24"/>
          <w:highlight w:val="none"/>
        </w:rPr>
        <w:t xml:space="preserve"> 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下称“主合同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。我行在此接受被保证人的委托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在此向受益人提供不可撤销的履约保证担保：</w:t>
      </w:r>
    </w:p>
    <w:p w14:paraId="1D913BF0">
      <w:pPr>
        <w:autoSpaceDE w:val="0"/>
        <w:autoSpaceDN w:val="0"/>
        <w:adjustRightInd w:val="0"/>
        <w:spacing w:before="120" w:beforeLines="50" w:line="420" w:lineRule="exact"/>
        <w:ind w:left="36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一、本保函最高担保金额为人民币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元</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91A4FEB">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二、本保函的有效期自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6ED211BA">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三、在本保证担保的保证期间内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如被保证人违反合同或协议约定的义务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我方将收到受益人经法定代表人或其授权委托代理人签字并加盖公章的书面索赔通知后二十个工作日内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不争辩、不挑剔、不可撤销地向受益人支付索赔款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直至本保证担保的最高担保金额。</w:t>
      </w:r>
    </w:p>
    <w:p w14:paraId="4EFF46D4">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四、索赔通知应说明索赔理由、索赔款额的计算方法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并必须在本保证担保的保证期内送达我方。</w:t>
      </w:r>
    </w:p>
    <w:p w14:paraId="4CCDF24F">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五、本保函担保项下的权利不得转让。</w:t>
      </w:r>
    </w:p>
    <w:p w14:paraId="3D5CA0B1">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六、我方提供本保证担保后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受益人与被保证人对主合同进行修订的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应当由被保证人将修订后的合同原件送我方备案。</w:t>
      </w:r>
    </w:p>
    <w:p w14:paraId="0AE3313E">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七、本保证担保的保证期届满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或我方向受益人支付的索赔款已达本保证担保</w:t>
      </w:r>
    </w:p>
    <w:p w14:paraId="7CAF5360">
      <w:pPr>
        <w:autoSpaceDE w:val="0"/>
        <w:autoSpaceDN w:val="0"/>
        <w:adjustRightInd w:val="0"/>
        <w:spacing w:before="120" w:beforeLines="50"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的最高担保金额，我方的保证责任免除。</w:t>
      </w:r>
    </w:p>
    <w:p w14:paraId="24F6AA93">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八、本保函适用中华人民共和国法律。</w:t>
      </w:r>
    </w:p>
    <w:p w14:paraId="221A1DAD">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九、本保函以中文文本为准，涂改无效。</w:t>
      </w:r>
    </w:p>
    <w:p w14:paraId="38EE964F">
      <w:pPr>
        <w:rPr>
          <w:rFonts w:hint="eastAsia" w:ascii="宋体" w:hAnsi="宋体" w:eastAsia="宋体" w:cs="宋体"/>
          <w:color w:val="auto"/>
        </w:rPr>
      </w:pPr>
    </w:p>
    <w:p w14:paraId="7E576EF9">
      <w:pPr>
        <w:autoSpaceDE w:val="0"/>
        <w:autoSpaceDN w:val="0"/>
        <w:adjustRightInd w:val="0"/>
        <w:spacing w:before="120" w:before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担保人名称（盖章）：</w:t>
      </w:r>
    </w:p>
    <w:p w14:paraId="07E5B6B9">
      <w:pPr>
        <w:autoSpaceDE w:val="0"/>
        <w:autoSpaceDN w:val="0"/>
        <w:adjustRightInd w:val="0"/>
        <w:spacing w:before="120" w:before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或其授权委托代理人：</w:t>
      </w:r>
    </w:p>
    <w:p w14:paraId="66B1A273">
      <w:pPr>
        <w:autoSpaceDE w:val="0"/>
        <w:autoSpaceDN w:val="0"/>
        <w:adjustRightInd w:val="0"/>
        <w:spacing w:before="120" w:before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p>
    <w:p w14:paraId="3CC4E032">
      <w:pPr>
        <w:autoSpaceDE w:val="0"/>
        <w:autoSpaceDN w:val="0"/>
        <w:adjustRightInd w:val="0"/>
        <w:spacing w:before="120" w:before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476500A2">
      <w:pPr>
        <w:autoSpaceDE w:val="0"/>
        <w:autoSpaceDN w:val="0"/>
        <w:adjustRightInd w:val="0"/>
        <w:spacing w:before="120" w:beforeLines="50" w:line="420" w:lineRule="exact"/>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邮编：                 电话：</w:t>
      </w:r>
    </w:p>
    <w:p w14:paraId="022886A0">
      <w:pPr>
        <w:rPr>
          <w:rFonts w:hint="eastAsia" w:ascii="宋体" w:hAnsi="宋体" w:eastAsia="宋体" w:cs="宋体"/>
          <w:color w:val="auto"/>
          <w:lang w:val="en-US"/>
        </w:rPr>
      </w:pPr>
    </w:p>
    <w:p w14:paraId="255553C6">
      <w:pPr>
        <w:rPr>
          <w:rFonts w:hint="eastAsia" w:ascii="宋体" w:hAnsi="宋体" w:eastAsia="宋体" w:cs="宋体"/>
          <w:color w:val="auto"/>
          <w:lang w:val="en-US"/>
        </w:rPr>
      </w:pPr>
    </w:p>
    <w:p w14:paraId="5E2C63D2">
      <w:pPr>
        <w:pStyle w:val="4"/>
        <w:bidi w:val="0"/>
        <w:ind w:left="0" w:leftChars="0" w:firstLine="0" w:firstLineChars="0"/>
        <w:rPr>
          <w:rFonts w:hint="eastAsia" w:ascii="宋体" w:hAnsi="宋体" w:eastAsia="宋体" w:cs="宋体"/>
          <w:color w:val="auto"/>
          <w:lang w:val="en-US" w:eastAsia="zh-CN"/>
        </w:rPr>
      </w:pPr>
      <w:bookmarkStart w:id="110" w:name="_Toc19005"/>
      <w:bookmarkStart w:id="111" w:name="_Toc29254"/>
      <w:bookmarkStart w:id="112" w:name="_Toc19815"/>
      <w:r>
        <w:rPr>
          <w:rFonts w:hint="eastAsia" w:ascii="宋体" w:hAnsi="宋体" w:eastAsia="宋体" w:cs="宋体"/>
          <w:color w:val="auto"/>
          <w:lang w:val="en-US" w:eastAsia="zh-CN"/>
        </w:rPr>
        <w:t>格式十五   原件一览表</w:t>
      </w:r>
      <w:bookmarkEnd w:id="110"/>
      <w:bookmarkEnd w:id="111"/>
    </w:p>
    <w:tbl>
      <w:tblPr>
        <w:tblStyle w:val="23"/>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506"/>
        <w:gridCol w:w="829"/>
        <w:gridCol w:w="1165"/>
        <w:gridCol w:w="1625"/>
        <w:gridCol w:w="754"/>
        <w:gridCol w:w="958"/>
        <w:gridCol w:w="1570"/>
      </w:tblGrid>
      <w:tr w14:paraId="2CF1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7F33D">
            <w:pPr>
              <w:pStyle w:val="19"/>
              <w:keepNext w:val="0"/>
              <w:keepLines w:val="0"/>
              <w:widowControl/>
              <w:suppressLineNumbers w:val="0"/>
              <w:spacing w:before="100" w:beforeAutospacing="1" w:after="100" w:afterAutospacing="1" w:line="336"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原件一览表</w:t>
            </w:r>
          </w:p>
        </w:tc>
      </w:tr>
      <w:tr w14:paraId="0AE0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15A2D">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工程名称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24A9C">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p>
        </w:tc>
      </w:tr>
      <w:tr w14:paraId="3041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322F6">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投标人名称                （请务必填写单位全称）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01F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7B0C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08BC5">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投标人法定代表人或其</w:t>
            </w:r>
          </w:p>
          <w:p w14:paraId="3A715B84">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委托代理人签名</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B4FCF">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52CA5">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手机号码</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F5763">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1AE8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918D">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递交的证明材料原件如下：</w:t>
            </w:r>
          </w:p>
        </w:tc>
      </w:tr>
      <w:tr w14:paraId="747B4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8541">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54364">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证明材料原件名称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0C19B">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DEE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w:t>
            </w:r>
          </w:p>
        </w:tc>
      </w:tr>
      <w:tr w14:paraId="2993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A60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662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C5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6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5A05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057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72A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F0E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0A2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6053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624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08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7DA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999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13ED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3FF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9F0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ED3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1D6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46FD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FEEC">
            <w:pPr>
              <w:keepNext w:val="0"/>
              <w:keepLines w:val="0"/>
              <w:widowControl w:val="0"/>
              <w:suppressLineNumbers w:val="0"/>
              <w:spacing w:before="0" w:beforeAutospacing="0" w:after="0" w:afterAutospacing="0" w:line="360" w:lineRule="auto"/>
              <w:ind w:left="8" w:right="0" w:hanging="94"/>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注意：</w:t>
            </w:r>
          </w:p>
        </w:tc>
        <w:tc>
          <w:tcPr>
            <w:tcW w:w="840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5851A">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70A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B6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p w14:paraId="31C0E7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接收原件经办人（招标代理）：</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872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948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F78D5">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r w14:paraId="4B37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31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退还原件接收人（投标人）：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B52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C38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B917A">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bl>
    <w:p w14:paraId="6571816A">
      <w:pPr>
        <w:rPr>
          <w:rFonts w:hint="eastAsia" w:ascii="宋体" w:hAnsi="宋体" w:eastAsia="宋体" w:cs="宋体"/>
          <w:color w:val="auto"/>
          <w:lang w:eastAsia="zh-CN"/>
        </w:rPr>
      </w:pPr>
    </w:p>
    <w:p w14:paraId="4A804E78">
      <w:pPr>
        <w:rPr>
          <w:rFonts w:hint="eastAsia" w:ascii="宋体" w:hAnsi="宋体" w:eastAsia="宋体" w:cs="宋体"/>
          <w:color w:val="auto"/>
          <w:lang w:eastAsia="zh-CN"/>
        </w:rPr>
      </w:pPr>
    </w:p>
    <w:p w14:paraId="566A4F67">
      <w:pPr>
        <w:rPr>
          <w:rFonts w:hint="eastAsia" w:ascii="宋体" w:hAnsi="宋体" w:eastAsia="宋体" w:cs="宋体"/>
          <w:color w:val="auto"/>
          <w:lang w:eastAsia="zh-CN"/>
        </w:rPr>
      </w:pPr>
    </w:p>
    <w:p w14:paraId="01C4625E">
      <w:pPr>
        <w:rPr>
          <w:rFonts w:hint="eastAsia" w:ascii="宋体" w:hAnsi="宋体" w:eastAsia="宋体" w:cs="宋体"/>
          <w:color w:val="auto"/>
          <w:lang w:eastAsia="zh-CN"/>
        </w:rPr>
      </w:pPr>
    </w:p>
    <w:p w14:paraId="47706349">
      <w:pPr>
        <w:rPr>
          <w:rFonts w:hint="eastAsia" w:ascii="宋体" w:hAnsi="宋体" w:eastAsia="宋体" w:cs="宋体"/>
          <w:color w:val="auto"/>
          <w:lang w:eastAsia="zh-CN"/>
        </w:rPr>
      </w:pPr>
    </w:p>
    <w:p w14:paraId="2FD0968E">
      <w:pPr>
        <w:rPr>
          <w:rFonts w:hint="eastAsia" w:ascii="宋体" w:hAnsi="宋体" w:eastAsia="宋体" w:cs="宋体"/>
          <w:color w:val="auto"/>
          <w:lang w:eastAsia="zh-CN"/>
        </w:rPr>
      </w:pPr>
    </w:p>
    <w:p w14:paraId="0A2345AC">
      <w:pPr>
        <w:rPr>
          <w:rFonts w:hint="eastAsia" w:ascii="宋体" w:hAnsi="宋体" w:eastAsia="宋体" w:cs="宋体"/>
          <w:color w:val="auto"/>
          <w:lang w:eastAsia="zh-CN"/>
        </w:rPr>
      </w:pPr>
    </w:p>
    <w:p w14:paraId="647D005A">
      <w:pPr>
        <w:pStyle w:val="4"/>
        <w:bidi w:val="0"/>
        <w:ind w:left="0" w:leftChars="0" w:firstLine="0" w:firstLineChars="0"/>
        <w:rPr>
          <w:rFonts w:hint="eastAsia" w:ascii="宋体" w:hAnsi="宋体" w:eastAsia="宋体" w:cs="宋体"/>
          <w:color w:val="auto"/>
          <w:lang w:val="en-US" w:eastAsia="zh-CN"/>
        </w:rPr>
      </w:pPr>
      <w:bookmarkStart w:id="113" w:name="_Toc30092"/>
      <w:bookmarkStart w:id="114" w:name="_Toc28885"/>
      <w:r>
        <w:rPr>
          <w:rFonts w:hint="eastAsia" w:ascii="宋体" w:hAnsi="宋体" w:eastAsia="宋体" w:cs="宋体"/>
          <w:color w:val="auto"/>
          <w:lang w:val="en-US" w:eastAsia="zh-CN"/>
        </w:rPr>
        <w:t>格式十六   定标因素评审资料</w:t>
      </w:r>
      <w:bookmarkEnd w:id="112"/>
      <w:bookmarkEnd w:id="113"/>
      <w:bookmarkEnd w:id="114"/>
    </w:p>
    <w:p w14:paraId="71F509A1">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4941A5FD">
      <w:pPr>
        <w:rPr>
          <w:rFonts w:hint="eastAsia" w:ascii="宋体" w:hAnsi="宋体" w:eastAsia="宋体" w:cs="宋体"/>
          <w:color w:val="auto"/>
          <w:lang w:eastAsia="zh-CN"/>
        </w:rPr>
      </w:pPr>
    </w:p>
    <w:p w14:paraId="07753F0B">
      <w:pPr>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第三章 评标</w:t>
      </w:r>
      <w:r>
        <w:rPr>
          <w:rFonts w:hint="eastAsia" w:ascii="宋体" w:hAnsi="宋体" w:eastAsia="宋体" w:cs="宋体"/>
          <w:b w:val="0"/>
          <w:bCs w:val="0"/>
          <w:color w:val="auto"/>
          <w:sz w:val="28"/>
          <w:szCs w:val="28"/>
          <w:highlight w:val="none"/>
          <w:lang w:eastAsia="zh-CN"/>
        </w:rPr>
        <w:t>定标</w:t>
      </w:r>
      <w:r>
        <w:rPr>
          <w:rFonts w:hint="eastAsia" w:ascii="宋体" w:hAnsi="宋体" w:eastAsia="宋体" w:cs="宋体"/>
          <w:b w:val="0"/>
          <w:bCs w:val="0"/>
          <w:color w:val="auto"/>
          <w:sz w:val="28"/>
          <w:szCs w:val="28"/>
          <w:highlight w:val="none"/>
        </w:rPr>
        <w:t>办法</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3D88F13F">
      <w:pPr>
        <w:rPr>
          <w:rFonts w:hint="eastAsia" w:ascii="宋体" w:hAnsi="宋体" w:eastAsia="宋体" w:cs="宋体"/>
          <w:color w:val="auto"/>
        </w:rPr>
      </w:pPr>
    </w:p>
    <w:p w14:paraId="47D592AC">
      <w:pPr>
        <w:rPr>
          <w:rFonts w:hint="eastAsia" w:ascii="宋体" w:hAnsi="宋体" w:eastAsia="宋体" w:cs="宋体"/>
          <w:color w:val="auto"/>
        </w:rPr>
      </w:pPr>
    </w:p>
    <w:p w14:paraId="25970233">
      <w:pPr>
        <w:rPr>
          <w:rFonts w:hint="eastAsia" w:ascii="宋体" w:hAnsi="宋体" w:eastAsia="宋体" w:cs="宋体"/>
          <w:color w:val="auto"/>
        </w:rPr>
      </w:pPr>
    </w:p>
    <w:p w14:paraId="7BB80EE4">
      <w:pPr>
        <w:rPr>
          <w:rFonts w:hint="eastAsia" w:ascii="宋体" w:hAnsi="宋体" w:eastAsia="宋体" w:cs="宋体"/>
          <w:color w:val="auto"/>
          <w:lang w:val="en-US"/>
        </w:rPr>
      </w:pPr>
    </w:p>
    <w:p w14:paraId="628F1571">
      <w:pPr>
        <w:rPr>
          <w:rFonts w:hint="eastAsia" w:ascii="宋体" w:hAnsi="宋体" w:eastAsia="宋体" w:cs="宋体"/>
          <w:color w:val="auto"/>
          <w:lang w:val="en-US"/>
        </w:rPr>
      </w:pPr>
    </w:p>
    <w:p w14:paraId="5790DB68">
      <w:pPr>
        <w:rPr>
          <w:rFonts w:hint="eastAsia" w:ascii="宋体" w:hAnsi="宋体" w:eastAsia="宋体" w:cs="宋体"/>
          <w:color w:val="auto"/>
          <w:lang w:val="en-US"/>
        </w:rPr>
      </w:pPr>
    </w:p>
    <w:p w14:paraId="55969203">
      <w:pPr>
        <w:rPr>
          <w:rFonts w:hint="eastAsia" w:ascii="宋体" w:hAnsi="宋体" w:eastAsia="宋体" w:cs="宋体"/>
          <w:color w:val="auto"/>
          <w:lang w:val="en-US"/>
        </w:rPr>
      </w:pPr>
    </w:p>
    <w:p w14:paraId="58C0B4B2">
      <w:pPr>
        <w:rPr>
          <w:rFonts w:hint="eastAsia" w:ascii="宋体" w:hAnsi="宋体" w:eastAsia="宋体" w:cs="宋体"/>
          <w:color w:val="auto"/>
          <w:lang w:val="en-US"/>
        </w:rPr>
      </w:pPr>
    </w:p>
    <w:p w14:paraId="6DD1C1C7">
      <w:pPr>
        <w:rPr>
          <w:rFonts w:hint="eastAsia" w:ascii="宋体" w:hAnsi="宋体" w:eastAsia="宋体" w:cs="宋体"/>
          <w:color w:val="auto"/>
          <w:lang w:val="en-US"/>
        </w:rPr>
      </w:pPr>
    </w:p>
    <w:p w14:paraId="0CB8C3BF">
      <w:pPr>
        <w:rPr>
          <w:rFonts w:hint="eastAsia" w:ascii="宋体" w:hAnsi="宋体" w:eastAsia="宋体" w:cs="宋体"/>
          <w:color w:val="auto"/>
          <w:lang w:val="en-US"/>
        </w:rPr>
      </w:pPr>
    </w:p>
    <w:p w14:paraId="3D388880">
      <w:pPr>
        <w:rPr>
          <w:rFonts w:hint="eastAsia" w:ascii="宋体" w:hAnsi="宋体" w:eastAsia="宋体" w:cs="宋体"/>
          <w:color w:val="auto"/>
          <w:lang w:val="en-US"/>
        </w:rPr>
      </w:pPr>
    </w:p>
    <w:p w14:paraId="7D9E55A2">
      <w:pPr>
        <w:rPr>
          <w:rFonts w:hint="eastAsia" w:ascii="宋体" w:hAnsi="宋体" w:eastAsia="宋体" w:cs="宋体"/>
          <w:color w:val="auto"/>
          <w:lang w:val="en-US"/>
        </w:rPr>
      </w:pPr>
    </w:p>
    <w:p w14:paraId="5C40A3B1">
      <w:pPr>
        <w:rPr>
          <w:rFonts w:hint="eastAsia" w:ascii="宋体" w:hAnsi="宋体" w:eastAsia="宋体" w:cs="宋体"/>
          <w:color w:val="auto"/>
          <w:lang w:val="en-US"/>
        </w:rPr>
      </w:pPr>
    </w:p>
    <w:p w14:paraId="6E8B50DE">
      <w:pPr>
        <w:rPr>
          <w:rFonts w:hint="eastAsia" w:ascii="宋体" w:hAnsi="宋体" w:eastAsia="宋体" w:cs="宋体"/>
          <w:color w:val="auto"/>
          <w:lang w:val="en-US"/>
        </w:rPr>
      </w:pPr>
    </w:p>
    <w:p w14:paraId="2B69A305">
      <w:pPr>
        <w:rPr>
          <w:rFonts w:hint="eastAsia" w:ascii="宋体" w:hAnsi="宋体" w:eastAsia="宋体" w:cs="宋体"/>
          <w:color w:val="auto"/>
          <w:lang w:val="en-US"/>
        </w:rPr>
      </w:pPr>
    </w:p>
    <w:p w14:paraId="638AAED5">
      <w:pPr>
        <w:rPr>
          <w:rFonts w:hint="eastAsia" w:ascii="宋体" w:hAnsi="宋体" w:eastAsia="宋体" w:cs="宋体"/>
          <w:color w:val="auto"/>
          <w:lang w:val="en-US"/>
        </w:rPr>
      </w:pPr>
    </w:p>
    <w:p w14:paraId="24061215">
      <w:pPr>
        <w:rPr>
          <w:rFonts w:hint="eastAsia" w:ascii="宋体" w:hAnsi="宋体" w:eastAsia="宋体" w:cs="宋体"/>
          <w:color w:val="auto"/>
          <w:lang w:val="en-US"/>
        </w:rPr>
      </w:pPr>
    </w:p>
    <w:p w14:paraId="1E38EE85">
      <w:pPr>
        <w:rPr>
          <w:rFonts w:hint="eastAsia" w:ascii="宋体" w:hAnsi="宋体" w:eastAsia="宋体" w:cs="宋体"/>
          <w:color w:val="auto"/>
          <w:lang w:val="en-US"/>
        </w:rPr>
      </w:pPr>
    </w:p>
    <w:p w14:paraId="75FCF320">
      <w:pPr>
        <w:rPr>
          <w:rFonts w:hint="eastAsia" w:ascii="宋体" w:hAnsi="宋体" w:eastAsia="宋体" w:cs="宋体"/>
          <w:color w:val="auto"/>
          <w:lang w:val="en-US"/>
        </w:rPr>
      </w:pPr>
    </w:p>
    <w:p w14:paraId="52D0E747">
      <w:pPr>
        <w:rPr>
          <w:rFonts w:hint="eastAsia" w:ascii="宋体" w:hAnsi="宋体" w:eastAsia="宋体" w:cs="宋体"/>
          <w:color w:val="auto"/>
          <w:lang w:val="en-US"/>
        </w:rPr>
      </w:pPr>
    </w:p>
    <w:p w14:paraId="04807EB8">
      <w:pPr>
        <w:rPr>
          <w:rFonts w:hint="eastAsia" w:ascii="宋体" w:hAnsi="宋体" w:eastAsia="宋体" w:cs="宋体"/>
          <w:color w:val="auto"/>
          <w:lang w:val="en-US"/>
        </w:rPr>
      </w:pPr>
    </w:p>
    <w:p w14:paraId="33B95A34">
      <w:pPr>
        <w:rPr>
          <w:rFonts w:hint="eastAsia" w:ascii="宋体" w:hAnsi="宋体" w:eastAsia="宋体" w:cs="宋体"/>
          <w:color w:val="auto"/>
          <w:lang w:val="en-US"/>
        </w:rPr>
      </w:pPr>
    </w:p>
    <w:p w14:paraId="15508FB6">
      <w:pPr>
        <w:rPr>
          <w:rFonts w:hint="eastAsia" w:ascii="宋体" w:hAnsi="宋体" w:eastAsia="宋体" w:cs="宋体"/>
          <w:color w:val="auto"/>
          <w:lang w:val="en-US"/>
        </w:rPr>
      </w:pPr>
    </w:p>
    <w:p w14:paraId="238F5CE4">
      <w:pPr>
        <w:rPr>
          <w:rFonts w:hint="eastAsia" w:ascii="宋体" w:hAnsi="宋体" w:eastAsia="宋体" w:cs="宋体"/>
          <w:color w:val="auto"/>
          <w:lang w:val="en-US"/>
        </w:rPr>
      </w:pPr>
    </w:p>
    <w:p w14:paraId="496F9214">
      <w:pPr>
        <w:rPr>
          <w:rFonts w:hint="eastAsia" w:ascii="宋体" w:hAnsi="宋体" w:eastAsia="宋体" w:cs="宋体"/>
          <w:color w:val="auto"/>
          <w:lang w:val="en-US"/>
        </w:rPr>
      </w:pPr>
    </w:p>
    <w:p w14:paraId="6252F98C">
      <w:pPr>
        <w:rPr>
          <w:rFonts w:hint="eastAsia" w:ascii="宋体" w:hAnsi="宋体" w:eastAsia="宋体" w:cs="宋体"/>
          <w:color w:val="auto"/>
          <w:lang w:val="en-US"/>
        </w:rPr>
      </w:pPr>
    </w:p>
    <w:p w14:paraId="6B93B636">
      <w:pPr>
        <w:rPr>
          <w:rFonts w:hint="eastAsia" w:ascii="宋体" w:hAnsi="宋体" w:eastAsia="宋体" w:cs="宋体"/>
          <w:color w:val="auto"/>
          <w:lang w:val="en-US"/>
        </w:rPr>
      </w:pPr>
    </w:p>
    <w:p w14:paraId="0B414BD5">
      <w:pPr>
        <w:rPr>
          <w:rFonts w:hint="eastAsia" w:ascii="宋体" w:hAnsi="宋体" w:eastAsia="宋体" w:cs="宋体"/>
          <w:color w:val="auto"/>
          <w:lang w:val="en-US"/>
        </w:rPr>
      </w:pPr>
    </w:p>
    <w:p w14:paraId="740214C4">
      <w:pPr>
        <w:rPr>
          <w:rFonts w:hint="eastAsia" w:ascii="宋体" w:hAnsi="宋体" w:eastAsia="宋体" w:cs="宋体"/>
          <w:color w:val="auto"/>
          <w:lang w:val="en-US"/>
        </w:rPr>
      </w:pPr>
    </w:p>
    <w:p w14:paraId="5576BA27">
      <w:pPr>
        <w:rPr>
          <w:rFonts w:hint="eastAsia" w:ascii="宋体" w:hAnsi="宋体" w:eastAsia="宋体" w:cs="宋体"/>
          <w:color w:val="auto"/>
          <w:lang w:val="en-US"/>
        </w:rPr>
      </w:pPr>
    </w:p>
    <w:p w14:paraId="2A54D257">
      <w:pPr>
        <w:rPr>
          <w:rFonts w:hint="eastAsia" w:ascii="宋体" w:hAnsi="宋体" w:eastAsia="宋体" w:cs="宋体"/>
          <w:color w:val="auto"/>
          <w:lang w:val="en-US"/>
        </w:rPr>
      </w:pPr>
    </w:p>
    <w:p w14:paraId="7E76257B">
      <w:pPr>
        <w:rPr>
          <w:rFonts w:hint="eastAsia" w:ascii="宋体" w:hAnsi="宋体" w:eastAsia="宋体" w:cs="宋体"/>
          <w:color w:val="auto"/>
          <w:lang w:val="en-US"/>
        </w:rPr>
      </w:pPr>
    </w:p>
    <w:p w14:paraId="2A0D3A1E">
      <w:pPr>
        <w:rPr>
          <w:rFonts w:hint="eastAsia" w:ascii="宋体" w:hAnsi="宋体" w:eastAsia="宋体" w:cs="宋体"/>
          <w:color w:val="auto"/>
          <w:lang w:val="en-US"/>
        </w:rPr>
      </w:pPr>
    </w:p>
    <w:p w14:paraId="5C7CE541">
      <w:pPr>
        <w:rPr>
          <w:rFonts w:hint="eastAsia" w:ascii="宋体" w:hAnsi="宋体" w:eastAsia="宋体" w:cs="宋体"/>
          <w:color w:val="auto"/>
          <w:lang w:val="en-US"/>
        </w:rPr>
      </w:pPr>
    </w:p>
    <w:p w14:paraId="2EEB9DCA">
      <w:pPr>
        <w:rPr>
          <w:rFonts w:hint="eastAsia" w:ascii="宋体" w:hAnsi="宋体" w:eastAsia="宋体" w:cs="宋体"/>
          <w:color w:val="auto"/>
          <w:lang w:val="en-US"/>
        </w:rPr>
      </w:pPr>
    </w:p>
    <w:p w14:paraId="7571C272">
      <w:pPr>
        <w:rPr>
          <w:rFonts w:hint="eastAsia" w:ascii="宋体" w:hAnsi="宋体" w:eastAsia="宋体" w:cs="宋体"/>
          <w:color w:val="auto"/>
          <w:lang w:val="en-US"/>
        </w:rPr>
      </w:pPr>
    </w:p>
    <w:p w14:paraId="023088EC">
      <w:pPr>
        <w:rPr>
          <w:rFonts w:hint="eastAsia" w:ascii="宋体" w:hAnsi="宋体" w:eastAsia="宋体" w:cs="宋体"/>
          <w:color w:val="auto"/>
          <w:lang w:val="en-US"/>
        </w:rPr>
      </w:pPr>
    </w:p>
    <w:p w14:paraId="09AF741E">
      <w:pPr>
        <w:rPr>
          <w:rFonts w:hint="eastAsia" w:ascii="宋体" w:hAnsi="宋体" w:eastAsia="宋体" w:cs="宋体"/>
          <w:color w:val="auto"/>
          <w:lang w:val="en-US"/>
        </w:rPr>
      </w:pPr>
    </w:p>
    <w:p w14:paraId="4DE07FF1">
      <w:pPr>
        <w:rPr>
          <w:rFonts w:hint="eastAsia" w:ascii="宋体" w:hAnsi="宋体" w:eastAsia="宋体" w:cs="宋体"/>
          <w:color w:val="auto"/>
          <w:lang w:val="en-US"/>
        </w:rPr>
      </w:pPr>
    </w:p>
    <w:p w14:paraId="3C9F0E67">
      <w:pPr>
        <w:rPr>
          <w:rFonts w:hint="eastAsia" w:ascii="宋体" w:hAnsi="宋体" w:eastAsia="宋体" w:cs="宋体"/>
          <w:color w:val="auto"/>
          <w:lang w:val="en-US"/>
        </w:rPr>
      </w:pPr>
    </w:p>
    <w:p w14:paraId="4FF513D2">
      <w:pPr>
        <w:pStyle w:val="3"/>
        <w:bidi w:val="0"/>
        <w:jc w:val="center"/>
        <w:rPr>
          <w:rFonts w:hint="eastAsia" w:ascii="宋体" w:hAnsi="宋体" w:eastAsia="宋体" w:cs="宋体"/>
          <w:color w:val="auto"/>
        </w:rPr>
      </w:pPr>
      <w:bookmarkStart w:id="115" w:name="_Toc22102"/>
      <w:r>
        <w:rPr>
          <w:rFonts w:hint="eastAsia" w:ascii="宋体" w:hAnsi="宋体" w:eastAsia="宋体" w:cs="宋体"/>
          <w:color w:val="auto"/>
        </w:rPr>
        <w:t>第五章</w:t>
      </w:r>
      <w:r>
        <w:rPr>
          <w:rFonts w:hint="eastAsia" w:ascii="宋体" w:hAnsi="宋体" w:eastAsia="宋体" w:cs="宋体"/>
          <w:color w:val="auto"/>
          <w:lang w:val="en-US" w:eastAsia="zh-CN"/>
        </w:rPr>
        <w:t xml:space="preserve">   合同条款及</w:t>
      </w:r>
      <w:r>
        <w:rPr>
          <w:rFonts w:hint="eastAsia" w:ascii="宋体" w:hAnsi="宋体" w:eastAsia="宋体" w:cs="宋体"/>
          <w:color w:val="auto"/>
        </w:rPr>
        <w:t>合同文件格式</w:t>
      </w:r>
      <w:bookmarkEnd w:id="115"/>
    </w:p>
    <w:p w14:paraId="10B3EAE0">
      <w:pPr>
        <w:autoSpaceDE w:val="0"/>
        <w:autoSpaceDN w:val="0"/>
        <w:adjustRightInd w:val="0"/>
        <w:spacing w:before="120" w:beforeLines="50" w:line="420" w:lineRule="exact"/>
        <w:ind w:firstLine="361" w:firstLineChars="150"/>
        <w:jc w:val="left"/>
        <w:rPr>
          <w:rFonts w:hint="eastAsia" w:ascii="宋体" w:hAnsi="宋体" w:eastAsia="宋体" w:cs="宋体"/>
          <w:b/>
          <w:bCs/>
          <w:color w:val="auto"/>
          <w:kern w:val="0"/>
          <w:sz w:val="24"/>
          <w:szCs w:val="24"/>
          <w:highlight w:val="none"/>
        </w:rPr>
      </w:pPr>
      <w:bookmarkStart w:id="116" w:name="_Toc20638"/>
      <w:bookmarkStart w:id="117" w:name="_Toc5017"/>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拟签订合同的主要条款</w:t>
      </w:r>
    </w:p>
    <w:p w14:paraId="7E4FB331">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1.工程承包方式</w:t>
      </w:r>
      <w:bookmarkEnd w:id="116"/>
      <w:bookmarkEnd w:id="117"/>
    </w:p>
    <w:p w14:paraId="3DA12518">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 承包人以中标价按包工</w:t>
      </w:r>
      <w:bookmarkStart w:id="118" w:name="_Hlt87948212"/>
      <w:bookmarkEnd w:id="118"/>
      <w:r>
        <w:rPr>
          <w:rFonts w:hint="eastAsia" w:ascii="宋体" w:hAnsi="宋体" w:eastAsia="宋体" w:cs="宋体"/>
          <w:snapToGrid w:val="0"/>
          <w:color w:val="auto"/>
          <w:kern w:val="0"/>
          <w:sz w:val="24"/>
          <w:szCs w:val="24"/>
          <w:highlight w:val="none"/>
        </w:rPr>
        <w:t>包料、包质量、包安全包文明施工、包工期方式总承包施工，不允许转包和违法分包，如果确需分包须与发包人协商，在得到发包人和监理单位同意后报建设行政主管部门备案。</w:t>
      </w:r>
    </w:p>
    <w:p w14:paraId="749D05BB">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 包工包料：材料符合招标文件要求并报验使用；办理用工保险。</w:t>
      </w:r>
    </w:p>
    <w:p w14:paraId="0BC5192A">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 包质量：符合招标文件要求。</w:t>
      </w:r>
    </w:p>
    <w:p w14:paraId="5E192686">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 包安全包文明施工：符合招标文件要求。</w:t>
      </w:r>
    </w:p>
    <w:p w14:paraId="70645038">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 包工期：本招标项目施工必须在招标工期内完成。</w:t>
      </w:r>
    </w:p>
    <w:p w14:paraId="15151B63">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b/>
          <w:bCs/>
          <w:snapToGrid w:val="0"/>
          <w:color w:val="auto"/>
          <w:kern w:val="0"/>
          <w:sz w:val="24"/>
          <w:szCs w:val="24"/>
          <w:highlight w:val="none"/>
          <w:lang w:val="en-US" w:eastAsia="zh-CN"/>
        </w:rPr>
      </w:pPr>
      <w:bookmarkStart w:id="119" w:name="_2、工程结算原则"/>
      <w:bookmarkEnd w:id="119"/>
      <w:bookmarkStart w:id="120" w:name="_Toc326916630"/>
      <w:bookmarkStart w:id="121" w:name="_Toc5555"/>
      <w:bookmarkStart w:id="122" w:name="_Toc322793289"/>
      <w:bookmarkStart w:id="123" w:name="_Toc4320"/>
      <w:bookmarkStart w:id="124" w:name="_Hlt87948447"/>
      <w:bookmarkStart w:id="125" w:name="_Hlt87948449"/>
      <w:bookmarkStart w:id="126" w:name="_Toc4363"/>
      <w:bookmarkStart w:id="127" w:name="_Toc14079373"/>
      <w:r>
        <w:rPr>
          <w:rFonts w:hint="eastAsia" w:ascii="宋体" w:hAnsi="宋体" w:eastAsia="宋体" w:cs="宋体"/>
          <w:b/>
          <w:bCs/>
          <w:snapToGrid w:val="0"/>
          <w:color w:val="auto"/>
          <w:kern w:val="0"/>
          <w:sz w:val="24"/>
          <w:szCs w:val="24"/>
          <w:highlight w:val="none"/>
          <w:lang w:val="en-US" w:eastAsia="zh-CN"/>
        </w:rPr>
        <w:t>2.工程结算原则</w:t>
      </w:r>
      <w:bookmarkEnd w:id="120"/>
      <w:bookmarkEnd w:id="121"/>
      <w:bookmarkEnd w:id="122"/>
      <w:bookmarkEnd w:id="123"/>
    </w:p>
    <w:p w14:paraId="3AA2832E">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bookmarkStart w:id="128" w:name="_Hlt88974053"/>
      <w:bookmarkEnd w:id="128"/>
      <w:r>
        <w:rPr>
          <w:rFonts w:hint="eastAsia" w:ascii="宋体" w:hAnsi="宋体" w:eastAsia="宋体" w:cs="宋体"/>
          <w:b/>
          <w:bCs/>
          <w:snapToGrid w:val="0"/>
          <w:color w:val="auto"/>
          <w:kern w:val="0"/>
          <w:sz w:val="24"/>
          <w:szCs w:val="24"/>
          <w:highlight w:val="none"/>
        </w:rPr>
        <w:t>2.1</w:t>
      </w:r>
      <w:r>
        <w:rPr>
          <w:rFonts w:hint="eastAsia" w:ascii="宋体" w:hAnsi="宋体" w:eastAsia="宋体" w:cs="宋体"/>
          <w:snapToGrid w:val="0"/>
          <w:color w:val="auto"/>
          <w:kern w:val="0"/>
          <w:sz w:val="24"/>
          <w:szCs w:val="24"/>
          <w:highlight w:val="none"/>
        </w:rPr>
        <w:t xml:space="preserve"> 承包人的投标总价为中标价，即为签约合同价。</w:t>
      </w:r>
    </w:p>
    <w:p w14:paraId="62E32640">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w:t>
      </w:r>
      <w:r>
        <w:rPr>
          <w:rFonts w:hint="eastAsia" w:ascii="宋体" w:hAnsi="宋体" w:eastAsia="宋体" w:cs="宋体"/>
          <w:snapToGrid w:val="0"/>
          <w:color w:val="auto"/>
          <w:kern w:val="0"/>
          <w:sz w:val="24"/>
          <w:szCs w:val="24"/>
          <w:highlight w:val="none"/>
        </w:rPr>
        <w:t xml:space="preserve"> 招标工程量清单标明的工程量是投标人投标报价的共同基础，竣工结算的工程量按《建设工程工程量清单计价标准》（GB50500—2024）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2336E57A">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w:t>
      </w:r>
      <w:r>
        <w:rPr>
          <w:rFonts w:hint="eastAsia" w:ascii="宋体" w:hAnsi="宋体" w:eastAsia="宋体" w:cs="宋体"/>
          <w:snapToGrid w:val="0"/>
          <w:color w:val="auto"/>
          <w:kern w:val="0"/>
          <w:sz w:val="24"/>
          <w:szCs w:val="24"/>
          <w:highlight w:val="none"/>
        </w:rPr>
        <w:t xml:space="preserve"> 施工合同履行期间，若出现下列情形的，发、承包双方应当按照以下规定调整合同价款：</w:t>
      </w:r>
    </w:p>
    <w:p w14:paraId="417E858F">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w:t>
      </w:r>
      <w:r>
        <w:rPr>
          <w:rFonts w:hint="eastAsia" w:ascii="宋体" w:hAnsi="宋体" w:eastAsia="宋体" w:cs="宋体"/>
          <w:snapToGrid w:val="0"/>
          <w:color w:val="auto"/>
          <w:kern w:val="0"/>
          <w:sz w:val="24"/>
          <w:szCs w:val="24"/>
          <w:highlight w:val="none"/>
        </w:rPr>
        <w:t xml:space="preserve"> 法律法规变化</w:t>
      </w:r>
    </w:p>
    <w:p w14:paraId="28DB873A">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2.3.1.1</w:t>
      </w:r>
      <w:r>
        <w:rPr>
          <w:rFonts w:hint="eastAsia" w:ascii="宋体" w:hAnsi="宋体" w:eastAsia="宋体" w:cs="宋体"/>
          <w:snapToGrid w:val="0"/>
          <w:color w:val="auto"/>
          <w:kern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42036DB1">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b/>
          <w:bCs/>
          <w:snapToGrid w:val="0"/>
          <w:color w:val="auto"/>
          <w:kern w:val="0"/>
          <w:sz w:val="24"/>
          <w:szCs w:val="24"/>
          <w:highlight w:val="none"/>
        </w:rPr>
        <w:t>注：本招标文件所称“基准日”，均指投标文件</w:t>
      </w:r>
      <w:r>
        <w:rPr>
          <w:rFonts w:hint="eastAsia" w:ascii="宋体" w:hAnsi="宋体" w:eastAsia="宋体" w:cs="宋体"/>
          <w:b/>
          <w:bCs/>
          <w:snapToGrid w:val="0"/>
          <w:color w:val="auto"/>
          <w:kern w:val="0"/>
          <w:sz w:val="24"/>
          <w:szCs w:val="24"/>
          <w:highlight w:val="none"/>
          <w:lang w:val="en-US" w:eastAsia="zh-CN"/>
        </w:rPr>
        <w:t>提</w:t>
      </w:r>
      <w:r>
        <w:rPr>
          <w:rFonts w:hint="eastAsia" w:ascii="宋体" w:hAnsi="宋体" w:eastAsia="宋体" w:cs="宋体"/>
          <w:b/>
          <w:bCs/>
          <w:snapToGrid w:val="0"/>
          <w:color w:val="auto"/>
          <w:kern w:val="0"/>
          <w:sz w:val="24"/>
          <w:szCs w:val="24"/>
          <w:highlight w:val="none"/>
        </w:rPr>
        <w:t>交截止时间（见第</w:t>
      </w:r>
      <w:r>
        <w:rPr>
          <w:rFonts w:hint="eastAsia" w:ascii="宋体" w:hAnsi="宋体" w:eastAsia="宋体" w:cs="宋体"/>
          <w:b/>
          <w:bCs/>
          <w:snapToGrid w:val="0"/>
          <w:color w:val="auto"/>
          <w:kern w:val="0"/>
          <w:sz w:val="24"/>
          <w:szCs w:val="24"/>
          <w:highlight w:val="none"/>
          <w:lang w:val="en-US" w:eastAsia="zh-CN"/>
        </w:rPr>
        <w:t>二</w:t>
      </w:r>
      <w:r>
        <w:rPr>
          <w:rFonts w:hint="eastAsia" w:ascii="宋体" w:hAnsi="宋体" w:eastAsia="宋体" w:cs="宋体"/>
          <w:b/>
          <w:bCs/>
          <w:snapToGrid w:val="0"/>
          <w:color w:val="auto"/>
          <w:kern w:val="0"/>
          <w:sz w:val="24"/>
          <w:szCs w:val="24"/>
          <w:highlight w:val="none"/>
        </w:rPr>
        <w:t>章第二节“重要事项时间地点一览表”）前28天</w:t>
      </w:r>
      <w:r>
        <w:rPr>
          <w:rFonts w:hint="eastAsia" w:ascii="宋体" w:hAnsi="宋体" w:eastAsia="宋体" w:cs="宋体"/>
          <w:b/>
          <w:bCs/>
          <w:snapToGrid w:val="0"/>
          <w:color w:val="auto"/>
          <w:kern w:val="0"/>
          <w:sz w:val="24"/>
          <w:szCs w:val="24"/>
          <w:highlight w:val="none"/>
          <w:lang w:eastAsia="zh-CN"/>
        </w:rPr>
        <w:t>。</w:t>
      </w:r>
    </w:p>
    <w:p w14:paraId="54B10397">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2.3.1.2</w:t>
      </w:r>
      <w:r>
        <w:rPr>
          <w:rFonts w:hint="eastAsia" w:ascii="宋体" w:hAnsi="宋体" w:eastAsia="宋体" w:cs="宋体"/>
          <w:snapToGrid w:val="0"/>
          <w:color w:val="auto"/>
          <w:kern w:val="0"/>
          <w:sz w:val="24"/>
          <w:szCs w:val="24"/>
          <w:highlight w:val="none"/>
        </w:rPr>
        <w:t xml:space="preserve"> 因承包人原因导致工程延误，本章第</w:t>
      </w:r>
      <w:r>
        <w:rPr>
          <w:rFonts w:hint="eastAsia" w:ascii="宋体" w:hAnsi="宋体" w:eastAsia="宋体" w:cs="宋体"/>
          <w:b/>
          <w:bCs/>
          <w:snapToGrid w:val="0"/>
          <w:color w:val="auto"/>
          <w:kern w:val="0"/>
          <w:sz w:val="24"/>
          <w:szCs w:val="24"/>
          <w:highlight w:val="none"/>
        </w:rPr>
        <w:t>2.3.1.1</w:t>
      </w:r>
      <w:r>
        <w:rPr>
          <w:rFonts w:hint="eastAsia" w:ascii="宋体" w:hAnsi="宋体" w:eastAsia="宋体" w:cs="宋体"/>
          <w:snapToGrid w:val="0"/>
          <w:color w:val="auto"/>
          <w:kern w:val="0"/>
          <w:sz w:val="24"/>
          <w:szCs w:val="24"/>
          <w:highlight w:val="none"/>
        </w:rPr>
        <w:t>子目中的法定机构根据国家法律法规变化发布新规的时间在合同工程原定竣工时间之后的，合同价款调增的不予调整，合同价款调减的予以调整。</w:t>
      </w:r>
    </w:p>
    <w:p w14:paraId="2D45F178">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w:t>
      </w:r>
      <w:r>
        <w:rPr>
          <w:rFonts w:hint="eastAsia" w:ascii="宋体" w:hAnsi="宋体" w:eastAsia="宋体" w:cs="宋体"/>
          <w:snapToGrid w:val="0"/>
          <w:color w:val="auto"/>
          <w:kern w:val="0"/>
          <w:sz w:val="24"/>
          <w:szCs w:val="24"/>
          <w:highlight w:val="none"/>
        </w:rPr>
        <w:t xml:space="preserve"> 工程量偏差或变化</w:t>
      </w:r>
    </w:p>
    <w:p w14:paraId="74EF1F30">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2.3.2.1</w:t>
      </w:r>
      <w:r>
        <w:rPr>
          <w:rFonts w:hint="eastAsia" w:ascii="宋体" w:hAnsi="宋体" w:eastAsia="宋体" w:cs="宋体"/>
          <w:snapToGrid w:val="0"/>
          <w:color w:val="auto"/>
          <w:kern w:val="0"/>
          <w:sz w:val="24"/>
          <w:szCs w:val="24"/>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338EF5EB">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对于合理报价的清单项目，当工程量增加超过15%时，增加部分的工程量的综合单价以投标报价《分部分项工程和单价措施项目清单与计价表》中综合单价为基价调低3%；当工程量减少超过15%时，减少后剩余部分的工程量的综合单价以投标报价《分部分项工程和单价措施项目清单与计价表》中综合单价为基价调高3%。</w:t>
      </w:r>
    </w:p>
    <w:p w14:paraId="63B2609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不平衡报价的认定。经修正算术性错误后的中标人已标价工程量清单中，对于投标报价中综合单价相对</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《分部分项工程和单价措施项目清单与计价表》中对应综合单价的偏差大于±15% 的清单项目，视为不平衡报价项目。</w:t>
      </w:r>
      <w:r>
        <w:rPr>
          <w:rFonts w:hint="eastAsia" w:ascii="宋体" w:hAnsi="宋体" w:eastAsia="宋体" w:cs="宋体"/>
          <w:b/>
          <w:bCs/>
          <w:snapToGrid w:val="0"/>
          <w:color w:val="auto"/>
          <w:kern w:val="0"/>
          <w:sz w:val="24"/>
          <w:szCs w:val="24"/>
          <w:highlight w:val="none"/>
        </w:rPr>
        <w:t>对于按照不平衡报价的清单项目，其综合单价按照以下方法调整：</w:t>
      </w:r>
    </w:p>
    <w:p w14:paraId="5BD5F2E8">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以</w:t>
      </w:r>
      <w:r>
        <w:rPr>
          <w:rFonts w:hint="eastAsia" w:ascii="宋体" w:hAnsi="宋体" w:eastAsia="宋体" w:cs="宋体"/>
          <w:b/>
          <w:bCs/>
          <w:snapToGrid w:val="0"/>
          <w:color w:val="auto"/>
          <w:kern w:val="0"/>
          <w:sz w:val="24"/>
          <w:szCs w:val="24"/>
          <w:highlight w:val="none"/>
          <w:lang w:val="en-US" w:eastAsia="zh-CN"/>
        </w:rPr>
        <w:t>最高投标限价</w:t>
      </w:r>
      <w:r>
        <w:rPr>
          <w:rFonts w:hint="eastAsia" w:ascii="宋体" w:hAnsi="宋体" w:eastAsia="宋体" w:cs="宋体"/>
          <w:b/>
          <w:bCs/>
          <w:snapToGrid w:val="0"/>
          <w:color w:val="auto"/>
          <w:kern w:val="0"/>
          <w:sz w:val="24"/>
          <w:szCs w:val="24"/>
          <w:highlight w:val="none"/>
        </w:rPr>
        <w:t>中《分部分项工程和单价措施项目清单与计价表》子目相对应综合单价×（1</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rPr>
        <w:t>中标下浮率）。</w:t>
      </w:r>
    </w:p>
    <w:p w14:paraId="5948F27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中标下浮率=[1-（中标价-中标</w:t>
      </w:r>
      <w:r>
        <w:rPr>
          <w:rFonts w:hint="eastAsia" w:ascii="宋体" w:hAnsi="宋体" w:eastAsia="宋体" w:cs="宋体"/>
          <w:b/>
          <w:bCs/>
          <w:snapToGrid w:val="0"/>
          <w:color w:val="auto"/>
          <w:kern w:val="0"/>
          <w:sz w:val="24"/>
          <w:szCs w:val="24"/>
          <w:highlight w:val="none"/>
          <w:lang w:val="en-US" w:eastAsia="zh-CN"/>
        </w:rPr>
        <w:t>安全生产措施费</w:t>
      </w:r>
      <w:r>
        <w:rPr>
          <w:rFonts w:hint="eastAsia" w:ascii="宋体" w:hAnsi="宋体" w:eastAsia="宋体" w:cs="宋体"/>
          <w:b/>
          <w:bCs/>
          <w:snapToGrid w:val="0"/>
          <w:color w:val="auto"/>
          <w:kern w:val="0"/>
          <w:sz w:val="24"/>
          <w:szCs w:val="24"/>
          <w:highlight w:val="none"/>
        </w:rPr>
        <w:t>-暂列金额-暂估价）/（</w:t>
      </w:r>
      <w:r>
        <w:rPr>
          <w:rFonts w:hint="eastAsia" w:ascii="宋体" w:hAnsi="宋体" w:eastAsia="宋体" w:cs="宋体"/>
          <w:b/>
          <w:bCs/>
          <w:snapToGrid w:val="0"/>
          <w:color w:val="auto"/>
          <w:kern w:val="0"/>
          <w:sz w:val="24"/>
          <w:szCs w:val="24"/>
          <w:highlight w:val="none"/>
          <w:lang w:eastAsia="zh-CN"/>
        </w:rPr>
        <w:t>最高投标限价</w:t>
      </w:r>
      <w:r>
        <w:rPr>
          <w:rFonts w:hint="eastAsia" w:ascii="宋体" w:hAnsi="宋体" w:eastAsia="宋体" w:cs="宋体"/>
          <w:b/>
          <w:bCs/>
          <w:snapToGrid w:val="0"/>
          <w:color w:val="auto"/>
          <w:kern w:val="0"/>
          <w:sz w:val="24"/>
          <w:szCs w:val="24"/>
          <w:highlight w:val="none"/>
        </w:rPr>
        <w:t>-控制价</w:t>
      </w:r>
      <w:r>
        <w:rPr>
          <w:rFonts w:hint="eastAsia" w:ascii="宋体" w:hAnsi="宋体" w:eastAsia="宋体" w:cs="宋体"/>
          <w:b/>
          <w:bCs/>
          <w:snapToGrid w:val="0"/>
          <w:color w:val="auto"/>
          <w:kern w:val="0"/>
          <w:sz w:val="24"/>
          <w:szCs w:val="24"/>
          <w:highlight w:val="none"/>
          <w:lang w:val="en-US" w:eastAsia="zh-CN"/>
        </w:rPr>
        <w:t>安全生产措施费</w:t>
      </w:r>
      <w:r>
        <w:rPr>
          <w:rFonts w:hint="eastAsia" w:ascii="宋体" w:hAnsi="宋体" w:eastAsia="宋体" w:cs="宋体"/>
          <w:b/>
          <w:bCs/>
          <w:snapToGrid w:val="0"/>
          <w:color w:val="auto"/>
          <w:kern w:val="0"/>
          <w:sz w:val="24"/>
          <w:szCs w:val="24"/>
          <w:highlight w:val="none"/>
        </w:rPr>
        <w:t>-暂列金额-暂估价）] ×100%</w:t>
      </w:r>
    </w:p>
    <w:p w14:paraId="7678E60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048A6784">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2.3.2.2</w:t>
      </w:r>
      <w:r>
        <w:rPr>
          <w:rFonts w:hint="eastAsia" w:ascii="宋体" w:hAnsi="宋体" w:eastAsia="宋体" w:cs="宋体"/>
          <w:snapToGrid w:val="0"/>
          <w:color w:val="auto"/>
          <w:kern w:val="0"/>
          <w:sz w:val="24"/>
          <w:szCs w:val="24"/>
          <w:highlight w:val="none"/>
        </w:rPr>
        <w:t xml:space="preserve"> 如果工程量出现本章第</w:t>
      </w:r>
      <w:r>
        <w:rPr>
          <w:rFonts w:hint="eastAsia" w:ascii="宋体" w:hAnsi="宋体" w:eastAsia="宋体" w:cs="宋体"/>
          <w:b/>
          <w:bCs/>
          <w:snapToGrid w:val="0"/>
          <w:color w:val="auto"/>
          <w:kern w:val="0"/>
          <w:sz w:val="24"/>
          <w:szCs w:val="24"/>
          <w:highlight w:val="none"/>
        </w:rPr>
        <w:t>2.3.2.1</w:t>
      </w:r>
      <w:r>
        <w:rPr>
          <w:rFonts w:hint="eastAsia" w:ascii="宋体" w:hAnsi="宋体" w:eastAsia="宋体" w:cs="宋体"/>
          <w:snapToGrid w:val="0"/>
          <w:color w:val="auto"/>
          <w:kern w:val="0"/>
          <w:sz w:val="24"/>
          <w:szCs w:val="24"/>
          <w:highlight w:val="none"/>
        </w:rPr>
        <w:t>子目的变化，且该变化引起相关措施项目相应发生变化时，按系数或单一总价方式计价的，工程量增加的措施项目费调增，工程量减少的措施项目费调减。</w:t>
      </w:r>
    </w:p>
    <w:p w14:paraId="0D6F2A15">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2.3.3</w:t>
      </w:r>
      <w:r>
        <w:rPr>
          <w:rFonts w:hint="eastAsia" w:ascii="宋体" w:hAnsi="宋体" w:eastAsia="宋体" w:cs="宋体"/>
          <w:snapToGrid w:val="0"/>
          <w:color w:val="auto"/>
          <w:kern w:val="0"/>
          <w:sz w:val="24"/>
          <w:szCs w:val="24"/>
          <w:highlight w:val="none"/>
        </w:rPr>
        <w:t xml:space="preserve"> 工程变更</w:t>
      </w:r>
    </w:p>
    <w:p w14:paraId="634EF246">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2.3.3.1</w:t>
      </w:r>
      <w:r>
        <w:rPr>
          <w:rFonts w:hint="eastAsia" w:ascii="宋体" w:hAnsi="宋体" w:eastAsia="宋体" w:cs="宋体"/>
          <w:snapToGrid w:val="0"/>
          <w:color w:val="auto"/>
          <w:kern w:val="0"/>
          <w:sz w:val="24"/>
          <w:szCs w:val="24"/>
          <w:highlight w:val="none"/>
        </w:rPr>
        <w:t xml:space="preserve"> 合同履行期间，因工程变更引起已标价工程量清单项目发生变化时，按照以下规定调整：</w:t>
      </w:r>
    </w:p>
    <w:p w14:paraId="4846BCE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（1）已标价工程量清单中有适用于变更工程项目的，采用该项目的单价。</w:t>
      </w:r>
      <w:r>
        <w:rPr>
          <w:rFonts w:hint="eastAsia" w:ascii="宋体" w:hAnsi="宋体" w:eastAsia="宋体" w:cs="宋体"/>
          <w:b/>
          <w:bCs/>
          <w:snapToGrid w:val="0"/>
          <w:color w:val="auto"/>
          <w:kern w:val="0"/>
          <w:sz w:val="24"/>
          <w:szCs w:val="24"/>
          <w:highlight w:val="none"/>
        </w:rPr>
        <w:t>但如果被采用的项目属于被认定为不平衡报价的清单项目，变更工程项目的单价按照本章2.3.2.1的方法调整。</w:t>
      </w:r>
    </w:p>
    <w:p w14:paraId="1567688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（2）已标价工程量清单中没有适用但有类似于变更工程项目的，可在合理范围内参照类似项目的单价。</w:t>
      </w:r>
      <w:r>
        <w:rPr>
          <w:rFonts w:hint="eastAsia" w:ascii="宋体" w:hAnsi="宋体" w:eastAsia="宋体" w:cs="宋体"/>
          <w:b/>
          <w:bCs/>
          <w:snapToGrid w:val="0"/>
          <w:color w:val="auto"/>
          <w:kern w:val="0"/>
          <w:sz w:val="24"/>
          <w:szCs w:val="24"/>
          <w:highlight w:val="none"/>
        </w:rPr>
        <w:t>但如果被参考的类似项目属于按被认定为不平衡报价的清单项目，变更工程项目的单价按照本章2.3.2.1的方法调整。</w:t>
      </w:r>
    </w:p>
    <w:p w14:paraId="0292FD6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w:t>
      </w:r>
      <w:r>
        <w:rPr>
          <w:rFonts w:hint="eastAsia" w:ascii="宋体" w:hAnsi="宋体" w:eastAsia="宋体" w:cs="宋体"/>
          <w:snapToGrid w:val="0"/>
          <w:color w:val="auto"/>
          <w:kern w:val="0"/>
          <w:sz w:val="24"/>
          <w:szCs w:val="24"/>
          <w:highlight w:val="none"/>
          <w:lang w:eastAsia="zh-CN"/>
        </w:rPr>
        <w:t>中标下浮率的计算公式如下：</w:t>
      </w:r>
    </w:p>
    <w:p w14:paraId="61786508">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中标下浮率=[1-（中标价-中标</w:t>
      </w:r>
      <w:r>
        <w:rPr>
          <w:rFonts w:hint="eastAsia" w:ascii="宋体" w:hAnsi="宋体" w:eastAsia="宋体" w:cs="宋体"/>
          <w:b/>
          <w:bCs/>
          <w:snapToGrid w:val="0"/>
          <w:color w:val="auto"/>
          <w:kern w:val="0"/>
          <w:sz w:val="24"/>
          <w:szCs w:val="24"/>
          <w:highlight w:val="none"/>
          <w:lang w:val="en-US" w:eastAsia="zh-CN"/>
        </w:rPr>
        <w:t>安全生产措施费</w:t>
      </w:r>
      <w:r>
        <w:rPr>
          <w:rFonts w:hint="eastAsia" w:ascii="宋体" w:hAnsi="宋体" w:eastAsia="宋体" w:cs="宋体"/>
          <w:b/>
          <w:bCs/>
          <w:snapToGrid w:val="0"/>
          <w:color w:val="auto"/>
          <w:kern w:val="0"/>
          <w:sz w:val="24"/>
          <w:szCs w:val="24"/>
          <w:highlight w:val="none"/>
        </w:rPr>
        <w:t>-暂列金额-暂估价）/（</w:t>
      </w:r>
      <w:r>
        <w:rPr>
          <w:rFonts w:hint="eastAsia" w:ascii="宋体" w:hAnsi="宋体" w:eastAsia="宋体" w:cs="宋体"/>
          <w:b/>
          <w:bCs/>
          <w:snapToGrid w:val="0"/>
          <w:color w:val="auto"/>
          <w:kern w:val="0"/>
          <w:sz w:val="24"/>
          <w:szCs w:val="24"/>
          <w:highlight w:val="none"/>
          <w:lang w:eastAsia="zh-CN"/>
        </w:rPr>
        <w:t>最高投标限价</w:t>
      </w:r>
      <w:r>
        <w:rPr>
          <w:rFonts w:hint="eastAsia" w:ascii="宋体" w:hAnsi="宋体" w:eastAsia="宋体" w:cs="宋体"/>
          <w:b/>
          <w:bCs/>
          <w:snapToGrid w:val="0"/>
          <w:color w:val="auto"/>
          <w:kern w:val="0"/>
          <w:sz w:val="24"/>
          <w:szCs w:val="24"/>
          <w:highlight w:val="none"/>
        </w:rPr>
        <w:t>-控制价</w:t>
      </w:r>
      <w:r>
        <w:rPr>
          <w:rFonts w:hint="eastAsia" w:ascii="宋体" w:hAnsi="宋体" w:eastAsia="宋体" w:cs="宋体"/>
          <w:b/>
          <w:bCs/>
          <w:snapToGrid w:val="0"/>
          <w:color w:val="auto"/>
          <w:kern w:val="0"/>
          <w:sz w:val="24"/>
          <w:szCs w:val="24"/>
          <w:highlight w:val="none"/>
          <w:lang w:val="en-US" w:eastAsia="zh-CN"/>
        </w:rPr>
        <w:t>安全生产措施费</w:t>
      </w:r>
      <w:r>
        <w:rPr>
          <w:rFonts w:hint="eastAsia" w:ascii="宋体" w:hAnsi="宋体" w:eastAsia="宋体" w:cs="宋体"/>
          <w:b/>
          <w:bCs/>
          <w:snapToGrid w:val="0"/>
          <w:color w:val="auto"/>
          <w:kern w:val="0"/>
          <w:sz w:val="24"/>
          <w:szCs w:val="24"/>
          <w:highlight w:val="none"/>
        </w:rPr>
        <w:t>-暂列金额-暂估价）] ×100%</w:t>
      </w:r>
    </w:p>
    <w:p w14:paraId="0F6091E1">
      <w:pPr>
        <w:keepNext w:val="0"/>
        <w:keepLines w:val="0"/>
        <w:pageBreakBefore w:val="0"/>
        <w:widowControl w:val="0"/>
        <w:numPr>
          <w:ilvl w:val="0"/>
          <w:numId w:val="2"/>
        </w:numPr>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60D1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2.3.3.2</w:t>
      </w:r>
      <w:r>
        <w:rPr>
          <w:rFonts w:hint="eastAsia" w:ascii="宋体" w:hAnsi="宋体" w:eastAsia="宋体" w:cs="宋体"/>
          <w:snapToGrid w:val="0"/>
          <w:color w:val="auto"/>
          <w:kern w:val="0"/>
          <w:sz w:val="24"/>
          <w:szCs w:val="24"/>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0807F60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（1）安全生产措施费应按照实际发生变化的措施项目计算。</w:t>
      </w:r>
    </w:p>
    <w:p w14:paraId="159EDFFA">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（2）采用单价计算的措施项目费，应按照实际发生变化的措施项目，按本章第</w:t>
      </w:r>
      <w:r>
        <w:rPr>
          <w:rFonts w:hint="eastAsia" w:ascii="宋体" w:hAnsi="宋体" w:eastAsia="宋体" w:cs="宋体"/>
          <w:b/>
          <w:bCs/>
          <w:snapToGrid w:val="0"/>
          <w:color w:val="auto"/>
          <w:kern w:val="0"/>
          <w:sz w:val="24"/>
          <w:szCs w:val="24"/>
          <w:highlight w:val="none"/>
        </w:rPr>
        <w:t>2.3.3.1</w:t>
      </w:r>
      <w:r>
        <w:rPr>
          <w:rFonts w:hint="eastAsia" w:ascii="宋体" w:hAnsi="宋体" w:eastAsia="宋体" w:cs="宋体"/>
          <w:snapToGrid w:val="0"/>
          <w:color w:val="auto"/>
          <w:kern w:val="0"/>
          <w:sz w:val="24"/>
          <w:szCs w:val="24"/>
          <w:highlight w:val="none"/>
        </w:rPr>
        <w:t>子目的规定确定单价。</w:t>
      </w:r>
    </w:p>
    <w:p w14:paraId="2D2B2B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（3）按总价或系数计算的措施项目费，应按照实际发生变化的措施项目费调整并考虑中标下浮率因素，即调整金额</w:t>
      </w:r>
      <w:r>
        <w:rPr>
          <w:rFonts w:hint="eastAsia" w:ascii="宋体" w:hAnsi="宋体" w:eastAsia="宋体" w:cs="宋体"/>
          <w:bCs/>
          <w:snapToGrid w:val="0"/>
          <w:color w:val="auto"/>
          <w:kern w:val="0"/>
          <w:sz w:val="24"/>
          <w:szCs w:val="24"/>
          <w:highlight w:val="none"/>
        </w:rPr>
        <w:t>＝按照实际变化调整</w:t>
      </w:r>
      <w:r>
        <w:rPr>
          <w:rFonts w:hint="eastAsia" w:ascii="宋体" w:hAnsi="宋体" w:eastAsia="宋体" w:cs="宋体"/>
          <w:snapToGrid w:val="0"/>
          <w:color w:val="auto"/>
          <w:kern w:val="0"/>
          <w:sz w:val="24"/>
          <w:szCs w:val="24"/>
          <w:highlight w:val="none"/>
        </w:rPr>
        <w:t>后的金额</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中标下浮率</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p>
    <w:p w14:paraId="51EDAA5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如果承包人未事先将拟实施的方案提交发包人确认，视为工程变更不引起措施项目费的调整或承包人放弃调整措施项目费的权利。</w:t>
      </w:r>
    </w:p>
    <w:p w14:paraId="547D002C">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color w:val="auto"/>
          <w:spacing w:val="-2"/>
          <w:sz w:val="24"/>
          <w:szCs w:val="24"/>
          <w:highlight w:val="none"/>
        </w:rPr>
      </w:pP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HYPERLINK "2.3.3.3"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2.3.3.3</w:t>
      </w:r>
      <w:r>
        <w:rPr>
          <w:rFonts w:hint="eastAsia" w:ascii="宋体" w:hAnsi="宋体" w:eastAsia="宋体" w:cs="宋体"/>
          <w:b/>
          <w:bCs/>
          <w:snapToGrid w:val="0"/>
          <w:color w:val="auto"/>
          <w:kern w:val="0"/>
          <w:sz w:val="24"/>
          <w:szCs w:val="24"/>
          <w:highlight w:val="none"/>
        </w:rPr>
        <w:fldChar w:fldCharType="end"/>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7A4F1E4C">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2.3.4</w:t>
      </w:r>
      <w:r>
        <w:rPr>
          <w:rFonts w:hint="eastAsia" w:ascii="宋体" w:hAnsi="宋体" w:eastAsia="宋体" w:cs="宋体"/>
          <w:snapToGrid w:val="0"/>
          <w:color w:val="auto"/>
          <w:kern w:val="0"/>
          <w:sz w:val="24"/>
          <w:szCs w:val="24"/>
          <w:highlight w:val="none"/>
        </w:rPr>
        <w:t xml:space="preserve"> 项目特征不符</w:t>
      </w:r>
    </w:p>
    <w:p w14:paraId="30CBF5F0">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auto"/>
          <w:kern w:val="0"/>
          <w:sz w:val="24"/>
          <w:szCs w:val="24"/>
          <w:highlight w:val="none"/>
        </w:rPr>
        <w:t>2.3.3</w:t>
      </w:r>
      <w:r>
        <w:rPr>
          <w:rFonts w:hint="eastAsia" w:ascii="宋体" w:hAnsi="宋体" w:eastAsia="宋体" w:cs="宋体"/>
          <w:snapToGrid w:val="0"/>
          <w:color w:val="auto"/>
          <w:kern w:val="0"/>
          <w:sz w:val="24"/>
          <w:szCs w:val="24"/>
          <w:highlight w:val="none"/>
        </w:rPr>
        <w:t>目相关条款的规定重新确定相应工程量清单项目的综合单价，并调整合同价款。</w:t>
      </w:r>
    </w:p>
    <w:p w14:paraId="452EB113">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2.3.5</w:t>
      </w:r>
      <w:r>
        <w:rPr>
          <w:rFonts w:hint="eastAsia" w:ascii="宋体" w:hAnsi="宋体" w:eastAsia="宋体" w:cs="宋体"/>
          <w:snapToGrid w:val="0"/>
          <w:color w:val="auto"/>
          <w:kern w:val="0"/>
          <w:sz w:val="24"/>
          <w:szCs w:val="24"/>
          <w:highlight w:val="none"/>
        </w:rPr>
        <w:t xml:space="preserve"> 招标工程量清单缺项</w:t>
      </w:r>
    </w:p>
    <w:p w14:paraId="75DA7061">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2.3.5.1</w:t>
      </w:r>
      <w:r>
        <w:rPr>
          <w:rFonts w:hint="eastAsia" w:ascii="宋体" w:hAnsi="宋体" w:eastAsia="宋体" w:cs="宋体"/>
          <w:snapToGrid w:val="0"/>
          <w:color w:val="auto"/>
          <w:kern w:val="0"/>
          <w:sz w:val="24"/>
          <w:szCs w:val="24"/>
          <w:highlight w:val="none"/>
        </w:rPr>
        <w:t xml:space="preserve"> 合同履行期间，由于招标工程量清单中缺项，新增分部分项工程清单项目，应按照本章第</w:t>
      </w:r>
      <w:r>
        <w:rPr>
          <w:rFonts w:hint="eastAsia" w:ascii="宋体" w:hAnsi="宋体" w:eastAsia="宋体" w:cs="宋体"/>
          <w:b/>
          <w:bCs/>
          <w:snapToGrid w:val="0"/>
          <w:color w:val="auto"/>
          <w:kern w:val="0"/>
          <w:sz w:val="24"/>
          <w:szCs w:val="24"/>
          <w:highlight w:val="none"/>
        </w:rPr>
        <w:t>2.3.3.1</w:t>
      </w:r>
      <w:r>
        <w:rPr>
          <w:rFonts w:hint="eastAsia" w:ascii="宋体" w:hAnsi="宋体" w:eastAsia="宋体" w:cs="宋体"/>
          <w:snapToGrid w:val="0"/>
          <w:color w:val="auto"/>
          <w:kern w:val="0"/>
          <w:sz w:val="24"/>
          <w:szCs w:val="24"/>
          <w:highlight w:val="none"/>
        </w:rPr>
        <w:t>子目的规定确定单价，并调整合同价款。</w:t>
      </w:r>
    </w:p>
    <w:p w14:paraId="0D3315C0">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2.3.5.2</w:t>
      </w:r>
      <w:r>
        <w:rPr>
          <w:rFonts w:hint="eastAsia" w:ascii="宋体" w:hAnsi="宋体" w:eastAsia="宋体" w:cs="宋体"/>
          <w:snapToGrid w:val="0"/>
          <w:color w:val="auto"/>
          <w:kern w:val="0"/>
          <w:sz w:val="24"/>
          <w:szCs w:val="24"/>
          <w:highlight w:val="none"/>
        </w:rPr>
        <w:t xml:space="preserve"> 新增分部分项工程清单项目后，引起措施项目发生变化的，应按照本章第</w:t>
      </w:r>
      <w:r>
        <w:rPr>
          <w:rFonts w:hint="eastAsia" w:ascii="宋体" w:hAnsi="宋体" w:eastAsia="宋体" w:cs="宋体"/>
          <w:b/>
          <w:bCs/>
          <w:snapToGrid w:val="0"/>
          <w:color w:val="auto"/>
          <w:kern w:val="0"/>
          <w:sz w:val="24"/>
          <w:szCs w:val="24"/>
          <w:highlight w:val="none"/>
        </w:rPr>
        <w:t>2.3.3.2</w:t>
      </w:r>
      <w:r>
        <w:rPr>
          <w:rFonts w:hint="eastAsia" w:ascii="宋体" w:hAnsi="宋体" w:eastAsia="宋体" w:cs="宋体"/>
          <w:snapToGrid w:val="0"/>
          <w:color w:val="auto"/>
          <w:kern w:val="0"/>
          <w:sz w:val="24"/>
          <w:szCs w:val="24"/>
          <w:highlight w:val="none"/>
        </w:rPr>
        <w:t>子目的规定，在承包人提交的实施方案被发包人批准后调整合同价款。</w:t>
      </w:r>
    </w:p>
    <w:p w14:paraId="3158CD14">
      <w:pPr>
        <w:keepNext w:val="0"/>
        <w:keepLines w:val="0"/>
        <w:pageBreakBefore w:val="0"/>
        <w:widowControl w:val="0"/>
        <w:kinsoku/>
        <w:wordWrap w:val="0"/>
        <w:overflowPunct/>
        <w:topLinePunct w:val="0"/>
        <w:autoSpaceDE/>
        <w:autoSpaceDN/>
        <w:bidi w:val="0"/>
        <w:adjustRightInd w:val="0"/>
        <w:snapToGrid w:val="0"/>
        <w:spacing w:line="500" w:lineRule="exact"/>
        <w:ind w:right="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2.3.5.3</w:t>
      </w:r>
      <w:r>
        <w:rPr>
          <w:rFonts w:hint="eastAsia" w:ascii="宋体" w:hAnsi="宋体" w:eastAsia="宋体" w:cs="宋体"/>
          <w:snapToGrid w:val="0"/>
          <w:color w:val="auto"/>
          <w:kern w:val="0"/>
          <w:sz w:val="24"/>
          <w:szCs w:val="24"/>
          <w:highlight w:val="none"/>
        </w:rPr>
        <w:t xml:space="preserve"> 由于招标工程量清单中措施项目缺项，承包人应将新增措施项目实施方案提交发包人批准后，按照本章第</w:t>
      </w:r>
      <w:r>
        <w:rPr>
          <w:rFonts w:hint="eastAsia" w:ascii="宋体" w:hAnsi="宋体" w:eastAsia="宋体" w:cs="宋体"/>
          <w:b/>
          <w:bCs/>
          <w:snapToGrid w:val="0"/>
          <w:color w:val="auto"/>
          <w:kern w:val="0"/>
          <w:sz w:val="24"/>
          <w:szCs w:val="24"/>
          <w:highlight w:val="none"/>
        </w:rPr>
        <w:t>2.3.3.1</w:t>
      </w:r>
      <w:r>
        <w:rPr>
          <w:rFonts w:hint="eastAsia" w:ascii="宋体" w:hAnsi="宋体" w:eastAsia="宋体" w:cs="宋体"/>
          <w:snapToGrid w:val="0"/>
          <w:color w:val="auto"/>
          <w:kern w:val="0"/>
          <w:sz w:val="24"/>
          <w:szCs w:val="24"/>
          <w:highlight w:val="none"/>
        </w:rPr>
        <w:t>子目、第</w:t>
      </w:r>
      <w:r>
        <w:rPr>
          <w:rFonts w:hint="eastAsia" w:ascii="宋体" w:hAnsi="宋体" w:eastAsia="宋体" w:cs="宋体"/>
          <w:b/>
          <w:bCs/>
          <w:snapToGrid w:val="0"/>
          <w:color w:val="auto"/>
          <w:kern w:val="0"/>
          <w:sz w:val="24"/>
          <w:szCs w:val="24"/>
          <w:highlight w:val="none"/>
        </w:rPr>
        <w:t>2.3.3.2</w:t>
      </w:r>
      <w:r>
        <w:rPr>
          <w:rFonts w:hint="eastAsia" w:ascii="宋体" w:hAnsi="宋体" w:eastAsia="宋体" w:cs="宋体"/>
          <w:snapToGrid w:val="0"/>
          <w:color w:val="auto"/>
          <w:kern w:val="0"/>
          <w:sz w:val="24"/>
          <w:szCs w:val="24"/>
          <w:highlight w:val="none"/>
        </w:rPr>
        <w:t>子目的规定调整合同价款。</w:t>
      </w:r>
    </w:p>
    <w:p w14:paraId="05205310">
      <w:pPr>
        <w:keepNext w:val="0"/>
        <w:keepLines w:val="0"/>
        <w:pageBreakBefore w:val="0"/>
        <w:widowControl w:val="0"/>
        <w:kinsoku/>
        <w:wordWrap w:val="0"/>
        <w:overflowPunct/>
        <w:topLinePunct w:val="0"/>
        <w:autoSpaceDE/>
        <w:autoSpaceDN/>
        <w:bidi w:val="0"/>
        <w:adjustRightInd w:val="0"/>
        <w:snapToGrid w:val="0"/>
        <w:spacing w:line="500" w:lineRule="exact"/>
        <w:ind w:right="0"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2.3.6</w:t>
      </w:r>
      <w:r>
        <w:rPr>
          <w:rFonts w:hint="eastAsia" w:ascii="宋体" w:hAnsi="宋体" w:eastAsia="宋体" w:cs="宋体"/>
          <w:bCs/>
          <w:snapToGrid w:val="0"/>
          <w:color w:val="auto"/>
          <w:kern w:val="0"/>
          <w:sz w:val="24"/>
          <w:szCs w:val="24"/>
          <w:highlight w:val="none"/>
        </w:rPr>
        <w:t xml:space="preserve"> 物价变化</w:t>
      </w:r>
    </w:p>
    <w:p w14:paraId="1AD7B8C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"2.3.6.1"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snapToGrid w:val="0"/>
          <w:color w:val="auto"/>
          <w:kern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1921419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结算人工费＝中标人工费×F1</w:t>
      </w:r>
    </w:p>
    <w:p w14:paraId="1CBCFF4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式中，F1 为施工当月项目所在地工程造价管理机构发布的动态人工调整系数。</w:t>
      </w:r>
    </w:p>
    <w:p w14:paraId="40EC0F3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"2.3.6.2"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2.3.6.2</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t xml:space="preserve">  本招标项目约定，材料、工程设备单价涨跌风险幅度值 A 为 5% 。合同履行期间，当《</w:t>
      </w:r>
      <w:r>
        <w:rPr>
          <w:rFonts w:hint="eastAsia" w:ascii="宋体" w:hAnsi="宋体" w:eastAsia="宋体" w:cs="宋体"/>
          <w:snapToGrid w:val="0"/>
          <w:color w:val="auto"/>
          <w:kern w:val="0"/>
          <w:sz w:val="24"/>
          <w:szCs w:val="24"/>
          <w:highlight w:val="none"/>
          <w:lang w:eastAsia="zh-CN"/>
        </w:rPr>
        <w:t>承包人提供可调价主要材料表一</w:t>
      </w:r>
      <w:r>
        <w:rPr>
          <w:rFonts w:hint="eastAsia" w:ascii="宋体" w:hAnsi="宋体" w:eastAsia="宋体" w:cs="宋体"/>
          <w:snapToGrid w:val="0"/>
          <w:color w:val="auto"/>
          <w:kern w:val="0"/>
          <w:sz w:val="24"/>
          <w:szCs w:val="24"/>
          <w:highlight w:val="none"/>
        </w:rPr>
        <w:t>》（详见招标工程量清单）中的材料、工程设备单价涨跌幅度等于或低于 A 值时，该材料、工程设备单价不予调整；超过A 值时，其超过部分可以调整。相关费用按有关规定进行相应调整。</w:t>
      </w:r>
    </w:p>
    <w:p w14:paraId="4C8B5E5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a.</w:t>
      </w:r>
      <w:r>
        <w:rPr>
          <w:rFonts w:hint="eastAsia" w:ascii="宋体" w:hAnsi="宋体" w:eastAsia="宋体" w:cs="宋体"/>
          <w:snapToGrid w:val="0"/>
          <w:color w:val="auto"/>
          <w:kern w:val="0"/>
          <w:sz w:val="24"/>
          <w:szCs w:val="24"/>
          <w:highlight w:val="none"/>
          <w:lang w:eastAsia="zh-CN"/>
        </w:rPr>
        <w:t>如果承包人投标报价中材料、工程设备单价（以下简称“中标单价”）低于基准日当月项目所在地工程造价管理机构发布的对应材料、工程设备单价（以下简称“基准单价 ”），该材料、工程设备的结算单价调整公式为：</w:t>
      </w:r>
    </w:p>
    <w:p w14:paraId="73546DEE">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14:paraId="02A96EA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p>
    <w:p w14:paraId="67C9A4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p>
    <w:p w14:paraId="0B56706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p>
    <w:p w14:paraId="09AE1CD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p>
    <w:p w14:paraId="2E756C1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20" o:title=""/>
            <o:lock v:ext="edit" aspectratio="t"/>
            <w10:wrap type="none"/>
            <w10:anchorlock/>
          </v:shape>
          <o:OLEObject Type="Embed" ProgID="Equation.KSEE3" ShapeID="_x0000_i1030" DrawAspect="Content" ObjectID="_1468075730" r:id="rId19">
            <o:LockedField>false</o:LockedField>
          </o:OLEObject>
        </w:object>
      </w:r>
    </w:p>
    <w:p w14:paraId="4D06844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以上公式中，F1为中标单价；F0为基准单价；F2为施工当月项目所在地工程造价管理机构发布的材料、工程设备单价；A为合同约定的材料、工程设备单价涨跌风险幅度值。</w:t>
      </w:r>
    </w:p>
    <w:p w14:paraId="4831EAD5">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"2.3.6.3"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2.3.6.3</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t xml:space="preserve">  合同履行期间，当《发包人提供材料和工程设备一览表》（详见招标工程量清单）中的材料、工程设备单价发生变化时，由发包人按照实际变化调整，并列入合同价款。</w:t>
      </w:r>
    </w:p>
    <w:p w14:paraId="5C546FD5">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"2.3.6.4"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2.3.6.4</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t xml:space="preserve">  本招标项目约定，施工机具台班单价涨跌风险幅度值 B 为 10% 。合同履行期间，当施工机具台班单价涨跌幅度等于或低于 B 值时，该施工机具台班单价不予调整；超过 B 值时，其超过部分可以调整。相关费用按有关规定进行相应调整。</w:t>
      </w:r>
    </w:p>
    <w:p w14:paraId="7C0C288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．如果承包人投标报价中施工机具台班单价（以下简称“ 中标单价 ”）低于基准日当月项目所在地工程造价管理机构发布的对应施工机具台班单价（以下简称“基准单价 ”），该施工机具台班的结算单价调整公式为：</w:t>
      </w:r>
    </w:p>
    <w:p w14:paraId="534A4B8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22" embosscolor="#FFFFFF" o:title=""/>
            <o:lock v:ext="edit" grouping="f" rotation="f" text="f" aspectratio="t"/>
            <w10:wrap type="none"/>
            <w10:anchorlock/>
          </v:shape>
          <o:OLEObject Type="Embed" ProgID="Equation.KSEE3" ShapeID="_x0000_i1031" DrawAspect="Content" ObjectID="_1468075731" r:id="rId21">
            <o:LockedField>false</o:LockedField>
          </o:OLEObject>
        </w:object>
      </w:r>
    </w:p>
    <w:p w14:paraId="69BBAB73">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24" embosscolor="#FFFFFF" o:title=""/>
            <o:lock v:ext="edit" grouping="f" rotation="f" text="f" aspectratio="t"/>
            <w10:wrap type="none"/>
            <w10:anchorlock/>
          </v:shape>
          <o:OLEObject Type="Embed" ProgID="Equation.KSEE3" ShapeID="_x0000_i1032" DrawAspect="Content" ObjectID="_1468075732" r:id="rId23">
            <o:LockedField>false</o:LockedField>
          </o:OLEObject>
        </w:object>
      </w:r>
    </w:p>
    <w:p w14:paraId="6244B29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6819997E">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26" embosscolor="#FFFFFF" o:title=""/>
            <o:lock v:ext="edit" grouping="f" rotation="f" text="f" aspectratio="t"/>
            <w10:wrap type="none"/>
            <w10:anchorlock/>
          </v:shape>
          <o:OLEObject Type="Embed" ProgID="Equation.KSEE3" ShapeID="_x0000_i1033" DrawAspect="Content" ObjectID="_1468075733" r:id="rId25">
            <o:LockedField>false</o:LockedField>
          </o:OLEObject>
        </w:object>
      </w:r>
    </w:p>
    <w:p w14:paraId="4B5234E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28" embosscolor="#FFFFFF" o:title=""/>
            <o:lock v:ext="edit" grouping="f" rotation="f" text="f" aspectratio="t"/>
            <w10:wrap type="none"/>
            <w10:anchorlock/>
          </v:shape>
          <o:OLEObject Type="Embed" ProgID="Equation.KSEE3" ShapeID="_x0000_i1034" DrawAspect="Content" ObjectID="_1468075734" r:id="rId27">
            <o:LockedField>false</o:LockedField>
          </o:OLEObject>
        </w:object>
      </w:r>
    </w:p>
    <w:p w14:paraId="4ED8FEA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7DE425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35" DrawAspect="Content" ObjectID="_1468075735" r:id="rId29">
            <o:LockedField>false</o:LockedField>
          </o:OLEObject>
        </w:object>
      </w:r>
    </w:p>
    <w:p w14:paraId="34530D0C">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25.8pt;width:152.7pt;" o:ole="t" filled="f" o:preferrelative="t" stroked="f" coordsize="21600,21600">
            <v:path/>
            <v:fill on="f" focussize="0,0"/>
            <v:stroke on="f"/>
            <v:imagedata r:id="rId32" o:title=""/>
            <o:lock v:ext="edit" aspectratio="t"/>
            <w10:wrap type="none"/>
            <w10:anchorlock/>
          </v:shape>
          <o:OLEObject Type="Embed" ProgID="Equation.KSEE3" ShapeID="_x0000_i1036" DrawAspect="Content" ObjectID="_1468075736" r:id="rId31">
            <o:LockedField>false</o:LockedField>
          </o:OLEObject>
        </w:object>
      </w:r>
    </w:p>
    <w:p w14:paraId="4F48308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以上公式中，F1为中标单价；F0为基准单价；F2为施工当月项目所在地工程造价管理机构发布的施工机具台班单价；B为合同约定的施工机具台班单价涨跌风险幅度值。</w:t>
      </w:r>
    </w:p>
    <w:p w14:paraId="791E4E87">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2.3.7</w:t>
      </w:r>
      <w:r>
        <w:rPr>
          <w:rFonts w:hint="eastAsia" w:ascii="宋体" w:hAnsi="宋体" w:eastAsia="宋体" w:cs="宋体"/>
          <w:bCs/>
          <w:snapToGrid w:val="0"/>
          <w:color w:val="auto"/>
          <w:kern w:val="0"/>
          <w:sz w:val="24"/>
          <w:szCs w:val="24"/>
          <w:highlight w:val="none"/>
        </w:rPr>
        <w:t xml:space="preserve"> 暂估价和暂列金额</w:t>
      </w:r>
    </w:p>
    <w:p w14:paraId="26FAA9EC">
      <w:pPr>
        <w:keepNext w:val="0"/>
        <w:keepLines w:val="0"/>
        <w:pageBreakBefore w:val="0"/>
        <w:widowControl w:val="0"/>
        <w:kinsoku/>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2.3.7.1</w:t>
      </w:r>
      <w:r>
        <w:rPr>
          <w:rFonts w:hint="eastAsia" w:ascii="宋体" w:hAnsi="宋体" w:eastAsia="宋体" w:cs="宋体"/>
          <w:bCs/>
          <w:snapToGrid w:val="0"/>
          <w:color w:val="auto"/>
          <w:kern w:val="0"/>
          <w:sz w:val="24"/>
          <w:szCs w:val="24"/>
          <w:highlight w:val="none"/>
        </w:rPr>
        <w:t xml:space="preserve"> 暂估价项目按暂估价的规定确定专业工程承包人（或材料供应商、工程设备供应商）后，将专业工程合同价款（或材料单价、工程设备单价）取代相应暂估价，并调整合同价款。</w:t>
      </w:r>
    </w:p>
    <w:p w14:paraId="0034C289">
      <w:pPr>
        <w:keepNext w:val="0"/>
        <w:keepLines w:val="0"/>
        <w:pageBreakBefore w:val="0"/>
        <w:widowControl w:val="0"/>
        <w:kinsoku/>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2.3.7.2</w:t>
      </w:r>
      <w:r>
        <w:rPr>
          <w:rFonts w:hint="eastAsia" w:ascii="宋体" w:hAnsi="宋体" w:eastAsia="宋体" w:cs="宋体"/>
          <w:bCs/>
          <w:snapToGrid w:val="0"/>
          <w:color w:val="auto"/>
          <w:kern w:val="0"/>
          <w:sz w:val="24"/>
          <w:szCs w:val="24"/>
          <w:highlight w:val="none"/>
        </w:rPr>
        <w:t xml:space="preserve"> 暂列金额由发包人掌握和使用。暂列金额项目若有发生，按暂列金额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6459C14B">
      <w:pPr>
        <w:keepNext w:val="0"/>
        <w:keepLines w:val="0"/>
        <w:pageBreakBefore w:val="0"/>
        <w:widowControl w:val="0"/>
        <w:kinsoku/>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lang w:val="en-US" w:eastAsia="en-US"/>
        </w:rPr>
      </w:pPr>
      <w:r>
        <w:rPr>
          <w:rFonts w:hint="eastAsia" w:ascii="宋体" w:hAnsi="宋体" w:eastAsia="宋体" w:cs="宋体"/>
          <w:b/>
          <w:bCs w:val="0"/>
          <w:snapToGrid w:val="0"/>
          <w:color w:val="auto"/>
          <w:kern w:val="0"/>
          <w:sz w:val="24"/>
          <w:szCs w:val="24"/>
          <w:highlight w:val="none"/>
          <w:lang w:val="en-US" w:eastAsia="en-US"/>
        </w:rPr>
        <w:t>2.3.8</w:t>
      </w:r>
      <w:r>
        <w:rPr>
          <w:rFonts w:hint="eastAsia" w:ascii="宋体" w:hAnsi="宋体" w:eastAsia="宋体" w:cs="宋体"/>
          <w:bCs/>
          <w:snapToGrid w:val="0"/>
          <w:color w:val="auto"/>
          <w:kern w:val="0"/>
          <w:sz w:val="24"/>
          <w:szCs w:val="24"/>
          <w:highlight w:val="none"/>
          <w:lang w:val="en-US" w:eastAsia="en-US"/>
        </w:rPr>
        <w:t xml:space="preserve"> </w:t>
      </w:r>
      <w:r>
        <w:rPr>
          <w:rFonts w:hint="eastAsia" w:ascii="宋体" w:hAnsi="宋体" w:eastAsia="宋体" w:cs="宋体"/>
          <w:bCs/>
          <w:snapToGrid w:val="0"/>
          <w:color w:val="auto"/>
          <w:kern w:val="0"/>
          <w:sz w:val="24"/>
          <w:szCs w:val="24"/>
          <w:highlight w:val="none"/>
        </w:rPr>
        <w:t>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槽</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工料费；工程成品保护费；施工中的临时停水停电；基础埋深 2 米以内挖土方的塌方；日间照明施工增加费</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不包括地下室和特殊工程</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；完工清场后的垃圾外运；地上</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地下</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设施，建筑物的临时保护设施费和二次加工基地设施费；雨季施工增加费；</w:t>
      </w:r>
      <w:r>
        <w:rPr>
          <w:rFonts w:hint="eastAsia" w:ascii="宋体" w:hAnsi="宋体" w:eastAsia="宋体" w:cs="宋体"/>
          <w:bCs/>
          <w:snapToGrid w:val="0"/>
          <w:color w:val="auto"/>
          <w:kern w:val="0"/>
          <w:sz w:val="24"/>
          <w:szCs w:val="24"/>
          <w:highlight w:val="none"/>
          <w:lang w:eastAsia="zh-CN"/>
        </w:rPr>
        <w:t>已完成</w:t>
      </w:r>
      <w:r>
        <w:rPr>
          <w:rFonts w:hint="eastAsia" w:ascii="宋体" w:hAnsi="宋体" w:eastAsia="宋体" w:cs="宋体"/>
          <w:bCs/>
          <w:snapToGrid w:val="0"/>
          <w:color w:val="auto"/>
          <w:kern w:val="0"/>
          <w:sz w:val="24"/>
          <w:szCs w:val="24"/>
          <w:highlight w:val="none"/>
        </w:rPr>
        <w:t>工程及设备保护等。</w:t>
      </w:r>
    </w:p>
    <w:p w14:paraId="41710F5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2.3.9</w:t>
      </w:r>
      <w:r>
        <w:rPr>
          <w:rFonts w:hint="eastAsia" w:ascii="宋体" w:hAnsi="宋体" w:eastAsia="宋体" w:cs="宋体"/>
          <w:bCs/>
          <w:snapToGrid w:val="0"/>
          <w:color w:val="auto"/>
          <w:kern w:val="0"/>
          <w:sz w:val="24"/>
          <w:szCs w:val="24"/>
          <w:highlight w:val="none"/>
        </w:rPr>
        <w:t xml:space="preserve"> 其余事项（如不可抗力、索赔、现场签证等）的调整原则按照《建设工程工程量清单计价标准》（GB50500—2024）有关规定执行。</w:t>
      </w:r>
    </w:p>
    <w:p w14:paraId="3B0493B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 xml:space="preserve"> </w:t>
      </w:r>
      <w:bookmarkStart w:id="129" w:name="_Hlt112206782"/>
      <w:bookmarkEnd w:id="129"/>
      <w:r>
        <w:rPr>
          <w:rFonts w:hint="eastAsia" w:ascii="宋体" w:hAnsi="宋体" w:eastAsia="宋体" w:cs="宋体"/>
          <w:snapToGrid w:val="0"/>
          <w:color w:val="auto"/>
          <w:kern w:val="0"/>
          <w:sz w:val="24"/>
          <w:szCs w:val="24"/>
          <w:highlight w:val="none"/>
        </w:rPr>
        <w:t>凡将引起合同价款调增的事项，承包人必须于拟实施14天前，将详细的报价书（含拟实施项目名称、变更部位、理由、预计造价等）报监理单位审核和发包人批准后方可实施。</w:t>
      </w:r>
    </w:p>
    <w:p w14:paraId="25F09E1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2.5</w:t>
      </w:r>
      <w:r>
        <w:rPr>
          <w:rFonts w:hint="eastAsia" w:ascii="宋体" w:hAnsi="宋体" w:eastAsia="宋体" w:cs="宋体"/>
          <w:snapToGrid w:val="0"/>
          <w:color w:val="auto"/>
          <w:kern w:val="0"/>
          <w:sz w:val="24"/>
          <w:szCs w:val="24"/>
          <w:highlight w:val="none"/>
        </w:rPr>
        <w:t xml:space="preserve"> 承包人不得以不完全了解现场情况为理由，提出额外付款或延长工期等要求。对此类要求，发包人不作任何考虑及答复。</w:t>
      </w:r>
    </w:p>
    <w:p w14:paraId="455EE0B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2.6</w:t>
      </w:r>
      <w:r>
        <w:rPr>
          <w:rFonts w:hint="eastAsia" w:ascii="宋体" w:hAnsi="宋体" w:eastAsia="宋体" w:cs="宋体"/>
          <w:snapToGrid w:val="0"/>
          <w:color w:val="auto"/>
          <w:kern w:val="0"/>
          <w:sz w:val="24"/>
          <w:szCs w:val="24"/>
          <w:highlight w:val="none"/>
        </w:rPr>
        <w:t xml:space="preserve"> 承包人已标价工程量清单中漏报、错报或少报的清单项目，其价格均视为已经包含在其它清单项目中，竣工结算时不得重新组价和调整。</w:t>
      </w:r>
    </w:p>
    <w:p w14:paraId="4A9ED7CA">
      <w:pPr>
        <w:keepNext w:val="0"/>
        <w:keepLines w:val="0"/>
        <w:pageBreakBefore w:val="0"/>
        <w:widowControl w:val="0"/>
        <w:kinsoku/>
        <w:wordWrap w:val="0"/>
        <w:overflowPunct/>
        <w:topLinePunct w:val="0"/>
        <w:autoSpaceDE/>
        <w:autoSpaceDN/>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2.7</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rPr>
        <w:t>完工后，发、承包双方和受其委托具备相应资质的工程造价咨询单位必须按照《建设工程工程量清单计价标准》（GB50500—2024）和国家、省、市的有关规定办理竣工结算。</w:t>
      </w:r>
    </w:p>
    <w:p w14:paraId="04A8946A">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2.8</w:t>
      </w:r>
      <w:r>
        <w:rPr>
          <w:rFonts w:hint="eastAsia" w:ascii="宋体" w:hAnsi="宋体" w:eastAsia="宋体" w:cs="宋体"/>
          <w:snapToGrid w:val="0"/>
          <w:color w:val="auto"/>
          <w:kern w:val="0"/>
          <w:sz w:val="24"/>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bookmarkEnd w:id="124"/>
      <w:bookmarkEnd w:id="125"/>
    </w:p>
    <w:p w14:paraId="1763A0FB">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2.9 </w:t>
      </w:r>
      <w:r>
        <w:rPr>
          <w:rFonts w:hint="eastAsia" w:ascii="宋体" w:hAnsi="宋体" w:eastAsia="宋体" w:cs="宋体"/>
          <w:snapToGrid w:val="0"/>
          <w:color w:val="auto"/>
          <w:kern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3C76406E">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b/>
          <w:bCs/>
          <w:snapToGrid w:val="0"/>
          <w:color w:val="auto"/>
          <w:kern w:val="0"/>
          <w:sz w:val="24"/>
          <w:szCs w:val="24"/>
          <w:highlight w:val="none"/>
          <w:lang w:val="en-US" w:eastAsia="zh-CN"/>
        </w:rPr>
      </w:pPr>
      <w:bookmarkStart w:id="130" w:name="_Toc3851"/>
      <w:r>
        <w:rPr>
          <w:rFonts w:hint="eastAsia" w:ascii="宋体" w:hAnsi="宋体" w:eastAsia="宋体" w:cs="宋体"/>
          <w:b/>
          <w:bCs/>
          <w:snapToGrid w:val="0"/>
          <w:color w:val="auto"/>
          <w:kern w:val="0"/>
          <w:sz w:val="24"/>
          <w:szCs w:val="24"/>
          <w:highlight w:val="none"/>
          <w:lang w:val="en-US" w:eastAsia="zh-CN"/>
        </w:rPr>
        <w:t>3.工程付款办法</w:t>
      </w:r>
      <w:bookmarkEnd w:id="130"/>
      <w:bookmarkStart w:id="131" w:name="_Hlt69114106"/>
      <w:bookmarkEnd w:id="131"/>
      <w:bookmarkStart w:id="132" w:name="_Hlt88976467"/>
      <w:bookmarkEnd w:id="132"/>
      <w:bookmarkStart w:id="133" w:name="_Hlt66593437"/>
      <w:bookmarkEnd w:id="133"/>
      <w:bookmarkStart w:id="134" w:name="_Hlt70150985"/>
      <w:bookmarkEnd w:id="134"/>
      <w:bookmarkStart w:id="135" w:name="_Hlt69669774"/>
      <w:bookmarkEnd w:id="135"/>
      <w:bookmarkStart w:id="136" w:name="_Hlt66591689"/>
      <w:bookmarkEnd w:id="136"/>
      <w:bookmarkStart w:id="137" w:name="_Hlt69700007"/>
      <w:bookmarkEnd w:id="137"/>
      <w:bookmarkStart w:id="138" w:name="_Hlt66608388"/>
      <w:bookmarkEnd w:id="138"/>
    </w:p>
    <w:p w14:paraId="7DA887A8">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3.1本项目支付施工</w:t>
      </w:r>
      <w:r>
        <w:rPr>
          <w:rFonts w:hint="eastAsia" w:ascii="宋体" w:hAnsi="宋体" w:eastAsia="宋体" w:cs="宋体"/>
          <w:b/>
          <w:bCs/>
          <w:snapToGrid w:val="0"/>
          <w:color w:val="auto"/>
          <w:kern w:val="0"/>
          <w:sz w:val="24"/>
          <w:szCs w:val="24"/>
          <w:highlight w:val="none"/>
        </w:rPr>
        <w:t>预付款</w:t>
      </w:r>
      <w:r>
        <w:rPr>
          <w:rFonts w:hint="eastAsia" w:ascii="宋体" w:hAnsi="宋体" w:eastAsia="宋体" w:cs="宋体"/>
          <w:snapToGrid w:val="0"/>
          <w:color w:val="auto"/>
          <w:kern w:val="0"/>
          <w:sz w:val="24"/>
          <w:szCs w:val="24"/>
          <w:highlight w:val="none"/>
        </w:rPr>
        <w:t>。</w:t>
      </w:r>
    </w:p>
    <w:p w14:paraId="5C092EF2">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3.2施工预付款必须专用于合同工程，并按以下原则支付和抵扣：</w:t>
      </w:r>
    </w:p>
    <w:p w14:paraId="32BD07B0">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3.2.1施工预付款支付比例为：按施工合同价</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扣除安全生产措施费、暂估价、暂列金）20</w:t>
      </w:r>
      <w:r>
        <w:rPr>
          <w:rFonts w:hint="eastAsia" w:ascii="宋体" w:hAnsi="宋体" w:eastAsia="宋体" w:cs="宋体"/>
          <w:snapToGrid w:val="0"/>
          <w:color w:val="auto"/>
          <w:kern w:val="0"/>
          <w:sz w:val="24"/>
          <w:szCs w:val="24"/>
          <w:highlight w:val="none"/>
        </w:rPr>
        <w:t>%支付。</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en-US"/>
        </w:rPr>
        <w:t>本项目资金来源为财政资金，预付款支付比例及拨付时间视财政情况统筹决定，财政资金不足时，可降低预付款支付比率</w:t>
      </w:r>
      <w:r>
        <w:rPr>
          <w:rFonts w:hint="eastAsia" w:ascii="宋体" w:hAnsi="宋体" w:eastAsia="宋体" w:cs="宋体"/>
          <w:snapToGrid w:val="0"/>
          <w:color w:val="auto"/>
          <w:kern w:val="0"/>
          <w:sz w:val="24"/>
          <w:szCs w:val="24"/>
          <w:highlight w:val="none"/>
          <w:lang w:val="en-US" w:eastAsia="zh-CN"/>
        </w:rPr>
        <w:t>或分批支付</w:t>
      </w:r>
      <w:r>
        <w:rPr>
          <w:rFonts w:hint="eastAsia" w:ascii="宋体" w:hAnsi="宋体" w:eastAsia="宋体" w:cs="宋体"/>
          <w:snapToGrid w:val="0"/>
          <w:color w:val="auto"/>
          <w:kern w:val="0"/>
          <w:sz w:val="24"/>
          <w:szCs w:val="24"/>
          <w:highlight w:val="none"/>
          <w:lang w:val="en-US" w:eastAsia="en-US"/>
        </w:rPr>
        <w:t>以及延缓拨付时间，具体以财政</w:t>
      </w:r>
      <w:r>
        <w:rPr>
          <w:rFonts w:hint="eastAsia" w:ascii="宋体" w:hAnsi="宋体" w:eastAsia="宋体" w:cs="宋体"/>
          <w:snapToGrid w:val="0"/>
          <w:color w:val="auto"/>
          <w:kern w:val="0"/>
          <w:sz w:val="24"/>
          <w:szCs w:val="24"/>
          <w:highlight w:val="none"/>
          <w:lang w:val="en-US" w:eastAsia="zh-CN"/>
        </w:rPr>
        <w:t>部门</w:t>
      </w:r>
      <w:r>
        <w:rPr>
          <w:rFonts w:hint="eastAsia" w:ascii="宋体" w:hAnsi="宋体" w:eastAsia="宋体" w:cs="宋体"/>
          <w:snapToGrid w:val="0"/>
          <w:color w:val="auto"/>
          <w:kern w:val="0"/>
          <w:sz w:val="24"/>
          <w:szCs w:val="24"/>
          <w:highlight w:val="none"/>
          <w:lang w:val="en-US" w:eastAsia="en-US"/>
        </w:rPr>
        <w:t>和建设单位意见为准</w:t>
      </w:r>
      <w:r>
        <w:rPr>
          <w:rFonts w:hint="eastAsia" w:ascii="宋体" w:hAnsi="宋体" w:eastAsia="宋体" w:cs="宋体"/>
          <w:snapToGrid w:val="0"/>
          <w:color w:val="auto"/>
          <w:kern w:val="0"/>
          <w:sz w:val="24"/>
          <w:szCs w:val="24"/>
          <w:highlight w:val="none"/>
          <w:lang w:val="en-US" w:eastAsia="zh-CN"/>
        </w:rPr>
        <w:t>，其中70%支付给工程账户，30%支付给工人工资专用账户。）</w:t>
      </w:r>
    </w:p>
    <w:p w14:paraId="18F89B59">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3.2.2本招标项目</w:t>
      </w:r>
      <w:r>
        <w:rPr>
          <w:rFonts w:hint="eastAsia" w:ascii="宋体" w:hAnsi="宋体" w:eastAsia="宋体" w:cs="宋体"/>
          <w:snapToGrid w:val="0"/>
          <w:color w:val="auto"/>
          <w:kern w:val="0"/>
          <w:sz w:val="24"/>
          <w:szCs w:val="24"/>
          <w:highlight w:val="none"/>
          <w:lang w:val="en-US" w:eastAsia="zh-CN"/>
        </w:rPr>
        <w:t>要求</w:t>
      </w:r>
      <w:r>
        <w:rPr>
          <w:rFonts w:hint="eastAsia" w:ascii="宋体" w:hAnsi="宋体" w:eastAsia="宋体" w:cs="宋体"/>
          <w:snapToGrid w:val="0"/>
          <w:color w:val="auto"/>
          <w:kern w:val="0"/>
          <w:sz w:val="24"/>
          <w:szCs w:val="24"/>
          <w:highlight w:val="none"/>
        </w:rPr>
        <w:t>承包人提供与预付款等额的预付款保函。</w:t>
      </w:r>
    </w:p>
    <w:p w14:paraId="7654FC05">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3.2.3承包人应在签订合同后，在提供符合要求的预付款保函或预付款保险及在具备施工条件的前提下，向发包人提交预付款支付申请。凡未签订合同或不具备施工条件的工程，发包人不得预付工程款。</w:t>
      </w:r>
    </w:p>
    <w:p w14:paraId="66007C3E">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3.2.4预付款应从每支付期应支付给承包人的工程进度款中扣回，</w:t>
      </w:r>
      <w:r>
        <w:rPr>
          <w:rFonts w:hint="eastAsia" w:ascii="宋体" w:hAnsi="宋体" w:eastAsia="宋体" w:cs="宋体"/>
          <w:snapToGrid w:val="0"/>
          <w:color w:val="auto"/>
          <w:kern w:val="0"/>
          <w:sz w:val="24"/>
          <w:szCs w:val="24"/>
          <w:highlight w:val="none"/>
          <w:lang w:val="en-US" w:eastAsia="zh-CN"/>
        </w:rPr>
        <w:t>每次扣回实际支付预付款比例的50%，</w:t>
      </w:r>
      <w:r>
        <w:rPr>
          <w:rFonts w:hint="eastAsia" w:ascii="宋体" w:hAnsi="宋体" w:eastAsia="宋体" w:cs="宋体"/>
          <w:snapToGrid w:val="0"/>
          <w:color w:val="auto"/>
          <w:kern w:val="0"/>
          <w:sz w:val="24"/>
          <w:szCs w:val="24"/>
          <w:highlight w:val="none"/>
        </w:rPr>
        <w:t>直到扣回的金额达到合同约定的预付款金额为止。</w:t>
      </w:r>
    </w:p>
    <w:p w14:paraId="169DB81F">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3.3施工过程中按月申报工程进度款：承包人每月按工程实际完成工程量（含变更及增加工程）申报，承包人必须将已完成工程量和工程付款申请书</w:t>
      </w:r>
      <w:r>
        <w:rPr>
          <w:rFonts w:hint="eastAsia" w:ascii="宋体" w:hAnsi="宋体" w:eastAsia="宋体" w:cs="宋体"/>
          <w:snapToGrid w:val="0"/>
          <w:color w:val="auto"/>
          <w:kern w:val="0"/>
          <w:sz w:val="24"/>
          <w:szCs w:val="24"/>
          <w:highlight w:val="none"/>
          <w:lang w:val="en-US" w:eastAsia="zh-CN"/>
        </w:rPr>
        <w:t>等相关资料，</w:t>
      </w:r>
      <w:r>
        <w:rPr>
          <w:rFonts w:hint="eastAsia" w:ascii="宋体" w:hAnsi="宋体" w:eastAsia="宋体" w:cs="宋体"/>
          <w:snapToGrid w:val="0"/>
          <w:color w:val="auto"/>
          <w:kern w:val="0"/>
          <w:sz w:val="24"/>
          <w:szCs w:val="24"/>
          <w:highlight w:val="none"/>
        </w:rPr>
        <w:t>于当月26日前报监理单位核</w:t>
      </w:r>
      <w:bookmarkStart w:id="139" w:name="_Hlt127094354"/>
      <w:bookmarkEnd w:id="139"/>
      <w:r>
        <w:rPr>
          <w:rFonts w:hint="eastAsia" w:ascii="宋体" w:hAnsi="宋体" w:eastAsia="宋体" w:cs="宋体"/>
          <w:snapToGrid w:val="0"/>
          <w:color w:val="auto"/>
          <w:kern w:val="0"/>
          <w:sz w:val="24"/>
          <w:szCs w:val="24"/>
          <w:highlight w:val="none"/>
        </w:rPr>
        <w:t>实。经监理单位审核、发包人审定后的工程进度款（指已经按照合同约定，扣除该支付期内因承包人违约而应扣除的管理费），申报后按</w:t>
      </w:r>
      <w:r>
        <w:rPr>
          <w:rFonts w:hint="eastAsia" w:ascii="宋体" w:hAnsi="宋体" w:eastAsia="宋体" w:cs="宋体"/>
          <w:snapToGrid w:val="0"/>
          <w:color w:val="auto"/>
          <w:kern w:val="0"/>
          <w:sz w:val="24"/>
          <w:szCs w:val="24"/>
          <w:highlight w:val="none"/>
          <w:lang w:eastAsia="zh-CN"/>
        </w:rPr>
        <w:t>资金</w:t>
      </w:r>
      <w:r>
        <w:rPr>
          <w:rFonts w:hint="eastAsia" w:ascii="宋体" w:hAnsi="宋体" w:eastAsia="宋体" w:cs="宋体"/>
          <w:snapToGrid w:val="0"/>
          <w:color w:val="auto"/>
          <w:kern w:val="0"/>
          <w:sz w:val="24"/>
          <w:szCs w:val="24"/>
          <w:highlight w:val="none"/>
        </w:rPr>
        <w:t>拨付到位实际情况进行支付。</w:t>
      </w:r>
    </w:p>
    <w:p w14:paraId="1047EE55">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3.4每月的工程进度款按工程实际完成工程量的</w:t>
      </w:r>
      <w:r>
        <w:rPr>
          <w:rFonts w:hint="eastAsia" w:ascii="宋体" w:hAnsi="宋体" w:eastAsia="宋体" w:cs="宋体"/>
          <w:snapToGrid w:val="0"/>
          <w:color w:val="auto"/>
          <w:kern w:val="0"/>
          <w:sz w:val="24"/>
          <w:szCs w:val="24"/>
          <w:highlight w:val="none"/>
          <w:lang w:val="en-US" w:eastAsia="zh-CN"/>
        </w:rPr>
        <w:t>80</w:t>
      </w:r>
      <w:r>
        <w:rPr>
          <w:rFonts w:hint="eastAsia" w:ascii="宋体" w:hAnsi="宋体" w:eastAsia="宋体" w:cs="宋体"/>
          <w:snapToGrid w:val="0"/>
          <w:color w:val="auto"/>
          <w:kern w:val="0"/>
          <w:sz w:val="24"/>
          <w:szCs w:val="24"/>
          <w:highlight w:val="none"/>
        </w:rPr>
        <w:t>%申请支付（其中70%支付</w:t>
      </w:r>
      <w:r>
        <w:rPr>
          <w:rFonts w:hint="eastAsia" w:ascii="宋体" w:hAnsi="宋体" w:eastAsia="宋体" w:cs="宋体"/>
          <w:snapToGrid w:val="0"/>
          <w:color w:val="auto"/>
          <w:kern w:val="0"/>
          <w:sz w:val="24"/>
          <w:szCs w:val="24"/>
          <w:highlight w:val="none"/>
          <w:lang w:val="en-US" w:eastAsia="zh-CN"/>
        </w:rPr>
        <w:t>给工程账户</w:t>
      </w:r>
      <w:r>
        <w:rPr>
          <w:rFonts w:hint="eastAsia" w:ascii="宋体" w:hAnsi="宋体" w:eastAsia="宋体" w:cs="宋体"/>
          <w:snapToGrid w:val="0"/>
          <w:color w:val="auto"/>
          <w:kern w:val="0"/>
          <w:sz w:val="24"/>
          <w:szCs w:val="24"/>
          <w:highlight w:val="none"/>
        </w:rPr>
        <w:t>，30%支付</w:t>
      </w:r>
      <w:r>
        <w:rPr>
          <w:rFonts w:hint="eastAsia" w:ascii="宋体" w:hAnsi="宋体" w:eastAsia="宋体" w:cs="宋体"/>
          <w:snapToGrid w:val="0"/>
          <w:color w:val="auto"/>
          <w:kern w:val="0"/>
          <w:sz w:val="24"/>
          <w:szCs w:val="24"/>
          <w:highlight w:val="none"/>
          <w:lang w:val="en-US" w:eastAsia="zh-CN"/>
        </w:rPr>
        <w:t>给</w:t>
      </w:r>
      <w:r>
        <w:rPr>
          <w:rFonts w:hint="eastAsia" w:ascii="宋体" w:hAnsi="宋体" w:eastAsia="宋体" w:cs="宋体"/>
          <w:snapToGrid w:val="0"/>
          <w:color w:val="auto"/>
          <w:kern w:val="0"/>
          <w:sz w:val="24"/>
          <w:szCs w:val="24"/>
          <w:highlight w:val="none"/>
        </w:rPr>
        <w:t>工人工资专用</w:t>
      </w:r>
      <w:r>
        <w:rPr>
          <w:rFonts w:hint="eastAsia" w:ascii="宋体" w:hAnsi="宋体" w:eastAsia="宋体" w:cs="宋体"/>
          <w:snapToGrid w:val="0"/>
          <w:color w:val="auto"/>
          <w:kern w:val="0"/>
          <w:sz w:val="24"/>
          <w:szCs w:val="24"/>
          <w:highlight w:val="none"/>
          <w:lang w:val="en-US" w:eastAsia="zh-CN"/>
        </w:rPr>
        <w:t>账户</w:t>
      </w:r>
      <w:r>
        <w:rPr>
          <w:rFonts w:hint="eastAsia" w:ascii="宋体" w:hAnsi="宋体" w:eastAsia="宋体" w:cs="宋体"/>
          <w:snapToGrid w:val="0"/>
          <w:color w:val="auto"/>
          <w:kern w:val="0"/>
          <w:sz w:val="24"/>
          <w:szCs w:val="24"/>
          <w:highlight w:val="none"/>
        </w:rPr>
        <w:t>），工程进度款中的作业工人工资款项由发包人单独足额拨付到承包人的工资专户。</w:t>
      </w:r>
    </w:p>
    <w:p w14:paraId="1C94EC44">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措施项目费中的“</w:t>
      </w:r>
      <w:r>
        <w:rPr>
          <w:rFonts w:hint="eastAsia" w:ascii="宋体" w:hAnsi="宋体" w:eastAsia="宋体" w:cs="宋体"/>
          <w:snapToGrid w:val="0"/>
          <w:color w:val="auto"/>
          <w:kern w:val="0"/>
          <w:sz w:val="24"/>
          <w:szCs w:val="24"/>
          <w:highlight w:val="none"/>
          <w:lang w:val="en-US" w:eastAsia="zh-CN"/>
        </w:rPr>
        <w:t>安全生产措施费</w:t>
      </w:r>
      <w:r>
        <w:rPr>
          <w:rFonts w:hint="eastAsia" w:ascii="宋体" w:hAnsi="宋体" w:eastAsia="宋体" w:cs="宋体"/>
          <w:snapToGrid w:val="0"/>
          <w:color w:val="auto"/>
          <w:kern w:val="0"/>
          <w:sz w:val="24"/>
          <w:szCs w:val="24"/>
          <w:highlight w:val="none"/>
        </w:rPr>
        <w:t>”拨付按照《广东省建设工程计价依据</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2024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》执行，按照项目所在地的建设行政主管部门有关规定支付。发生一般事故及以上等级重大安全事故的，发包人可扣除承包人金额相当于所有“安全生产措施费”的工程管理费。</w:t>
      </w:r>
    </w:p>
    <w:p w14:paraId="3B2941D1">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变更工程造价必须经监理单位核实，并经发包人核定后方可支付。</w:t>
      </w:r>
    </w:p>
    <w:p w14:paraId="0A611E1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结算审核完成后，于次月支付至</w:t>
      </w:r>
      <w:r>
        <w:rPr>
          <w:rFonts w:hint="eastAsia" w:ascii="宋体" w:hAnsi="宋体" w:eastAsia="宋体" w:cs="宋体"/>
          <w:snapToGrid w:val="0"/>
          <w:color w:val="auto"/>
          <w:kern w:val="0"/>
          <w:sz w:val="24"/>
          <w:szCs w:val="24"/>
          <w:highlight w:val="none"/>
          <w:lang w:val="en-US" w:eastAsia="zh-CN"/>
        </w:rPr>
        <w:t>审核</w:t>
      </w:r>
      <w:r>
        <w:rPr>
          <w:rFonts w:hint="eastAsia" w:ascii="宋体" w:hAnsi="宋体" w:eastAsia="宋体" w:cs="宋体"/>
          <w:snapToGrid w:val="0"/>
          <w:color w:val="auto"/>
          <w:kern w:val="0"/>
          <w:sz w:val="24"/>
          <w:szCs w:val="24"/>
          <w:highlight w:val="none"/>
        </w:rPr>
        <w:t>价格的97%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lang w:val="en-US"/>
        </w:rPr>
        <w:t>财政</w:t>
      </w:r>
      <w:r>
        <w:rPr>
          <w:rFonts w:hint="eastAsia" w:ascii="宋体" w:hAnsi="宋体" w:eastAsia="宋体" w:cs="宋体"/>
          <w:snapToGrid w:val="0"/>
          <w:color w:val="auto"/>
          <w:kern w:val="0"/>
          <w:sz w:val="24"/>
          <w:szCs w:val="24"/>
          <w:highlight w:val="none"/>
          <w:lang w:val="en-US" w:eastAsia="zh-CN"/>
        </w:rPr>
        <w:t>部门</w:t>
      </w:r>
      <w:r>
        <w:rPr>
          <w:rFonts w:hint="eastAsia" w:ascii="宋体" w:hAnsi="宋体" w:eastAsia="宋体" w:cs="宋体"/>
          <w:snapToGrid w:val="0"/>
          <w:color w:val="auto"/>
          <w:kern w:val="0"/>
          <w:sz w:val="24"/>
          <w:szCs w:val="24"/>
          <w:highlight w:val="none"/>
          <w:lang w:val="en-US"/>
        </w:rPr>
        <w:t>审定后的价格为准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，剩余3%转为质量保证金；承包人提交了等额质量保证担保或质量保证保险的，于次月一次性结清合同价格。</w:t>
      </w:r>
    </w:p>
    <w:p w14:paraId="254F7B51">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本招标项目缺陷责任期为</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年（自通过竣工验收之日起计）。缺陷责任期到期后，承包人向发包人申请退还质量保证。发包人收到退还申请后，于14天内会同承包人进行核实。经双方核实且均无异议后，发包人在核实之日起14天内将应返保证金（或银行保函）退还承包人。</w:t>
      </w:r>
    </w:p>
    <w:p w14:paraId="17799AE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发包人每次支付工程款前，承包人均应提供有效的增值税</w:t>
      </w:r>
      <w:r>
        <w:rPr>
          <w:rFonts w:hint="eastAsia" w:ascii="宋体" w:hAnsi="宋体" w:eastAsia="宋体" w:cs="宋体"/>
          <w:snapToGrid w:val="0"/>
          <w:color w:val="auto"/>
          <w:kern w:val="0"/>
          <w:sz w:val="24"/>
          <w:szCs w:val="24"/>
          <w:highlight w:val="none"/>
          <w:lang w:val="en-US" w:eastAsia="zh-CN"/>
        </w:rPr>
        <w:t>专用</w:t>
      </w:r>
      <w:r>
        <w:rPr>
          <w:rFonts w:hint="eastAsia" w:ascii="宋体" w:hAnsi="宋体" w:eastAsia="宋体" w:cs="宋体"/>
          <w:snapToGrid w:val="0"/>
          <w:color w:val="auto"/>
          <w:kern w:val="0"/>
          <w:sz w:val="24"/>
          <w:szCs w:val="24"/>
          <w:highlight w:val="none"/>
        </w:rPr>
        <w:t>发票。如果承包人无法提供符合要求的发票，由此造成的相应损失由承包人承担。</w:t>
      </w:r>
    </w:p>
    <w:p w14:paraId="53558102">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3.10暂列金额支付方式：承包人需根据相关管理办法进行办理相关程序后，与次月的工程进度款一并报送；若承包人原因未按上述办法在规定时间内完善工程变更签证相关程序的，次月工程进度款暂停拨付。在暂列金额的范围内，最终经发包人确认后支付至该部分实际完成工程量的50%，其余部分待最终结算完成审核后支付至97%，剩余3%为工程质量保修金。在承包人提供了等额的质量保证金保函后，支付至审核价的100%。</w:t>
      </w:r>
    </w:p>
    <w:p w14:paraId="162C0411">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3.11材料暂估价、专业工程暂估价支付方式：材料暂估价、专业工程暂估价与每个月的工程进度款一并报送，但需要列明详细项目内容，该部分材料暂估价、专业工程暂估价按该部分实际完成工程量的50%支付，剩余部分待最终结算完成后支付至97%，剩余3%为工程质量保修金。</w:t>
      </w:r>
    </w:p>
    <w:bookmarkEnd w:id="126"/>
    <w:bookmarkEnd w:id="127"/>
    <w:p w14:paraId="1EB7756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b/>
          <w:bCs/>
          <w:snapToGrid w:val="0"/>
          <w:color w:val="auto"/>
          <w:kern w:val="0"/>
          <w:sz w:val="24"/>
          <w:szCs w:val="24"/>
          <w:highlight w:val="none"/>
          <w:lang w:val="en-US" w:eastAsia="zh-CN"/>
        </w:rPr>
      </w:pPr>
      <w:bookmarkStart w:id="140" w:name="_Toc1590"/>
      <w:r>
        <w:rPr>
          <w:rFonts w:hint="eastAsia" w:ascii="宋体" w:hAnsi="宋体" w:eastAsia="宋体" w:cs="宋体"/>
          <w:b/>
          <w:bCs/>
          <w:snapToGrid w:val="0"/>
          <w:color w:val="auto"/>
          <w:kern w:val="0"/>
          <w:sz w:val="24"/>
          <w:szCs w:val="24"/>
          <w:highlight w:val="none"/>
          <w:lang w:val="en-US" w:eastAsia="zh-CN"/>
        </w:rPr>
        <w:t>4.专用合同条款</w:t>
      </w:r>
      <w:bookmarkEnd w:id="140"/>
    </w:p>
    <w:p w14:paraId="4A50794F">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4.1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专业工程分包</w:t>
      </w:r>
    </w:p>
    <w:p w14:paraId="0B0B429D">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098CC912">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 工程移交延误违约</w:t>
      </w:r>
    </w:p>
    <w:p w14:paraId="2609B783">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4.2.1因承包人原因，工程没有按期竣工时（除自然灾害、流行疾病、业主方通知停工造成的工期顺延外），承包人须在逾期第一天起每天按合同价的1‰向发包人返纳逾期竣工违约金。逾期竣工违约金的最高限额为合同总价的5%。（开工时间具体以监理发出开工通知为准）</w:t>
      </w:r>
    </w:p>
    <w:p w14:paraId="3B39FF1A">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人民币2000元支付违约金给发包人，在结算中一并扣除。</w:t>
      </w:r>
    </w:p>
    <w:p w14:paraId="4DB28DEC">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4.2.3</w:t>
      </w:r>
      <w:r>
        <w:rPr>
          <w:rFonts w:hint="eastAsia" w:ascii="宋体" w:hAnsi="宋体" w:eastAsia="宋体" w:cs="宋体"/>
          <w:snapToGrid w:val="0"/>
          <w:color w:val="auto"/>
          <w:kern w:val="0"/>
          <w:sz w:val="24"/>
          <w:szCs w:val="24"/>
          <w:highlight w:val="none"/>
        </w:rPr>
        <w:t>投标报价应充分考虑在施工中由于发包人造成停工或工期延误等因素所产生的相关费用，发包人不予另计费；停工发生后，若可复工时，承包人应在收到发包人或监理单位发出的复工通知书后3日内复工，否则，逾期第壹天起每天按合同价款的</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作误工违约处理。自该项目开工后，中标单位因自身原因导致停工（具体停工日期由发包人现场管理人员确定）累计超过3天，每月的工程进度款调整为按工程实际完成工程量的70%支付，剩余工程款结算审核定案后支付到97%</w:t>
      </w:r>
      <w:r>
        <w:rPr>
          <w:rFonts w:hint="eastAsia" w:ascii="宋体" w:hAnsi="宋体" w:eastAsia="宋体" w:cs="宋体"/>
          <w:snapToGrid w:val="0"/>
          <w:color w:val="auto"/>
          <w:kern w:val="0"/>
          <w:sz w:val="24"/>
          <w:szCs w:val="24"/>
          <w:highlight w:val="none"/>
          <w:lang w:eastAsia="zh-CN"/>
        </w:rPr>
        <w:t>。</w:t>
      </w:r>
    </w:p>
    <w:p w14:paraId="3641DFD3">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4.2.4承包人在进场后7天内提交施工进度计划，并注明主要施工节点时间，送监理单位及发包人审核后，作为工期考核的阶段性指标，若因承包人原因无法按进度节点完成的，逾期第</w:t>
      </w:r>
      <w:r>
        <w:rPr>
          <w:rFonts w:hint="eastAsia" w:ascii="宋体" w:hAnsi="宋体" w:eastAsia="宋体" w:cs="宋体"/>
          <w:snapToGrid w:val="0"/>
          <w:color w:val="auto"/>
          <w:kern w:val="0"/>
          <w:sz w:val="24"/>
          <w:szCs w:val="24"/>
          <w:highlight w:val="none"/>
        </w:rPr>
        <w:t>壹</w:t>
      </w:r>
      <w:r>
        <w:rPr>
          <w:rFonts w:hint="eastAsia" w:ascii="宋体" w:hAnsi="宋体" w:eastAsia="宋体" w:cs="宋体"/>
          <w:snapToGrid w:val="0"/>
          <w:color w:val="auto"/>
          <w:kern w:val="0"/>
          <w:sz w:val="24"/>
          <w:szCs w:val="24"/>
          <w:highlight w:val="none"/>
          <w:lang w:val="en-US" w:eastAsia="zh-CN"/>
        </w:rPr>
        <w:t>天起每天按1000元向发包人返纳逾期违约金。</w:t>
      </w:r>
    </w:p>
    <w:p w14:paraId="5FF7E9B3">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 质量违约</w:t>
      </w:r>
    </w:p>
    <w:p w14:paraId="4973EC7B">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4.3.1材料违约处理：若发现材料不符合国家标准或发包人在技术规范中规定的标准，视为承包人违约，按现行《建设工程质量管理条例》处理。</w:t>
      </w:r>
    </w:p>
    <w:p w14:paraId="608EAD2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4.3.2工程质量违约</w:t>
      </w:r>
    </w:p>
    <w:p w14:paraId="5FC252EE">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4.3.2.1在施工过程中经监理单位日常巡查或抽检发现未达到合格标准，责令承包人进行整改，如未按规定时间进行整改或整改不到位的，每次按5000元缴纳违约金给发包人，在进度款或结算款中一并扣除。</w:t>
      </w:r>
    </w:p>
    <w:p w14:paraId="200DF44C">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4.3.2.2如工程在竣工验收时未达到合格标准，则按合同价款的1%向发包人缴纳质量违约金。</w:t>
      </w:r>
    </w:p>
    <w:p w14:paraId="0F30DA96">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4.4重大责任事故违约</w:t>
      </w:r>
    </w:p>
    <w:p w14:paraId="57C2B64F">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4.4.1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承包人应同时缴纳惩罚性违约金10万元。</w:t>
      </w:r>
    </w:p>
    <w:p w14:paraId="3C83881F">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4.5用工违约</w:t>
      </w:r>
    </w:p>
    <w:p w14:paraId="1C2EFB62">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4.5.1在合同履行期间，如经查实承包人拖欠或克扣农民工或劳务工工资，导致劳资纠纷或发生危及公共安全或正常社会秩序的事件的，按承包人违约处理，承包人应按拖欠或克扣农民工或劳务工工资总金额3倍的标准向发包人缴纳惩罚性违约金。</w:t>
      </w:r>
    </w:p>
    <w:p w14:paraId="5BB35FB0">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 安全文明施工违约</w:t>
      </w:r>
    </w:p>
    <w:p w14:paraId="1BCFB76D">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4.6.1如承包人违反国家、广东省、发包人及合同关于安全文明施工的规定，但尚未造成安全责任事故，承包人应及时改正行为并赔偿相关方的损失，如未及时整改，针对每一违约行为每持续一天应缴纳违约金2000元。</w:t>
      </w:r>
    </w:p>
    <w:p w14:paraId="7A2ED49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4.6.2承包人现场施工人员存在野蛮施工行为，经现场发包人（含监理单位）管理人员确认后，首次发现责令承包人进行整改，如未按规定时间进行整改或整改不到位的，承包人须按1万元/次缴纳违约金；如因野蛮施工行为，引起投诉或网络问政的，承包人须按1万元/次缴纳违约金；并承担因野蛮施工行为所造成的全部责任。</w:t>
      </w:r>
    </w:p>
    <w:p w14:paraId="228AB85D">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4.6.3承包人必须接受发包人及监理单位组织的安全、文明施工的检查，检查中的不合格项目、安全隐患必须在规定的时间内整改完成，否则每拖延一天处以1万元人民币违约金，直至整改合格。</w:t>
      </w:r>
    </w:p>
    <w:p w14:paraId="6E4DB159">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4.6.4承包人在施工现场发生工伤或其他责任事故的，承包人按下列标准缴纳违约金：</w:t>
      </w:r>
    </w:p>
    <w:p w14:paraId="175A336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①一次事故或全年累计死亡3人及以上：安全第一责任人在韶关市地区建设范围内公开检查；项目部必须撤换项目经理、主管安全副经理和安全主管，一次或全年累计缴纳违约金10万元至12万元；</w:t>
      </w:r>
    </w:p>
    <w:p w14:paraId="39CECE91">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②一次事故或全年累计死亡2人：安全第一责任人在韶关市地区建设范围内公开检查；承包人必须撤换项目主管安全副经理或安全主管；一次或全年累计缴纳违约金7万元至10万元人民币；</w:t>
      </w:r>
    </w:p>
    <w:p w14:paraId="126B0E11">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③全年死亡1人：安全第一责任人在韶关市地区建设范围内公开检查，并报其上级单位；建议承包人撤换项目安全主管；缴纳违约金5万元至7万元人民币。</w:t>
      </w:r>
    </w:p>
    <w:p w14:paraId="28CB8534">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④重伤事故、造成10人及以上集体中毒住院、经济损失重大的火灾、设备及交通事故，缴纳违约金3万元人民币。</w:t>
      </w:r>
    </w:p>
    <w:p w14:paraId="15D6AF1D">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⑤因施工造成的道路交通中断、通讯中断、管线漏水漏气等全部责任事故，由承包人承担责任，并缴纳违约金2万元人民币。</w:t>
      </w:r>
    </w:p>
    <w:p w14:paraId="0B468BB3">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 其他违约</w:t>
      </w:r>
    </w:p>
    <w:p w14:paraId="2A77D7AC">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4.7.1承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缴纳违约金给发包人。</w:t>
      </w:r>
    </w:p>
    <w:p w14:paraId="456F6E44">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4.7.2 中标人施工资料必须与形象进度同步，如招标人在日常检查中发现不同步的现象的，视为违约并扣除违约金5000元/次。</w:t>
      </w:r>
    </w:p>
    <w:p w14:paraId="1B666787">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4.7.3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12FAE012">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4.7.4发包人根据项目实施进度情况要求承包人增派项目管理人员，而承包人不予增派的，视为承包人违约，承包人须按5万元/人次缴纳违约金给发包人。</w:t>
      </w:r>
    </w:p>
    <w:p w14:paraId="53D1E245">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4.7.5发包人对上述约定中的规定并不免除承包人接受国家、地方政府相关部门依法对承包人的处罚。</w:t>
      </w:r>
    </w:p>
    <w:p w14:paraId="6E2D6B2F">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4.7.6承包人没有正当合理的理由中途退场，可扣除承包人已递交的所有履约风险保证金。</w:t>
      </w:r>
    </w:p>
    <w:p w14:paraId="38CF7D65">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4.7.7有下列情况之一的，承包人在一年内不得参与发包人的任何工程任务，并勒令从现施工的工地退场，同时缴纳10万元违约金：</w:t>
      </w:r>
    </w:p>
    <w:p w14:paraId="7EB787B8">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A.路面沉降、开裂超过规范要求并造成不良社会影响的；</w:t>
      </w:r>
    </w:p>
    <w:p w14:paraId="7CC128E0">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B.发生重大责任安全事故的；</w:t>
      </w:r>
    </w:p>
    <w:p w14:paraId="0A842EA4">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C.不能在合同规定的期限内竣工的；</w:t>
      </w:r>
    </w:p>
    <w:p w14:paraId="106908BC">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D.承包人所承担的施工任务在施工期间，由于工程质量或工程进度原因，监理单位发出10个以上（含10个）停工令的；</w:t>
      </w:r>
    </w:p>
    <w:p w14:paraId="7612F9B0">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E.质量监督部门在抽检时发出5个以上（含5个）由于工程质量原因通报的；</w:t>
      </w:r>
    </w:p>
    <w:p w14:paraId="21CE5E73">
      <w:pPr>
        <w:keepNext w:val="0"/>
        <w:keepLines w:val="0"/>
        <w:pageBreakBefore w:val="0"/>
        <w:widowControl w:val="0"/>
        <w:kinsoku/>
        <w:wordWrap w:val="0"/>
        <w:overflowPunct/>
        <w:topLinePunct w:val="0"/>
        <w:autoSpaceDE/>
        <w:autoSpaceDN/>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F.业主组织的质量大检查发现由于工程质量原因而通报两次以上（含两次）的。</w:t>
      </w:r>
    </w:p>
    <w:p w14:paraId="692E5536">
      <w:pPr>
        <w:spacing w:before="78" w:line="324" w:lineRule="auto"/>
        <w:ind w:firstLine="480"/>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二、合同文件格式</w:t>
      </w: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3600C1CE">
      <w:pPr>
        <w:rPr>
          <w:rFonts w:hint="eastAsia" w:ascii="宋体" w:hAnsi="宋体" w:eastAsia="宋体" w:cs="宋体"/>
          <w:color w:val="auto"/>
          <w:lang w:eastAsia="zh-CN"/>
        </w:rPr>
      </w:pPr>
    </w:p>
    <w:p w14:paraId="5109683D">
      <w:pPr>
        <w:rPr>
          <w:rFonts w:hint="eastAsia" w:ascii="宋体" w:hAnsi="宋体" w:eastAsia="宋体" w:cs="宋体"/>
          <w:color w:val="auto"/>
          <w:lang w:eastAsia="zh-CN"/>
        </w:rPr>
      </w:pPr>
    </w:p>
    <w:p w14:paraId="08CC82C3">
      <w:pPr>
        <w:rPr>
          <w:rFonts w:hint="eastAsia" w:ascii="宋体" w:hAnsi="宋体" w:eastAsia="宋体" w:cs="宋体"/>
          <w:color w:val="auto"/>
          <w:lang w:eastAsia="zh-CN"/>
        </w:rPr>
      </w:pPr>
    </w:p>
    <w:p w14:paraId="280FFAFF">
      <w:pPr>
        <w:rPr>
          <w:rFonts w:hint="eastAsia" w:ascii="宋体" w:hAnsi="宋体" w:eastAsia="宋体" w:cs="宋体"/>
          <w:color w:val="auto"/>
          <w:lang w:eastAsia="zh-CN"/>
        </w:rPr>
      </w:pPr>
    </w:p>
    <w:p w14:paraId="2A85A487">
      <w:pPr>
        <w:rPr>
          <w:rFonts w:hint="eastAsia" w:ascii="宋体" w:hAnsi="宋体" w:eastAsia="宋体" w:cs="宋体"/>
          <w:color w:val="auto"/>
          <w:lang w:eastAsia="zh-CN"/>
        </w:rPr>
      </w:pPr>
    </w:p>
    <w:p w14:paraId="3638840A">
      <w:pPr>
        <w:rPr>
          <w:rFonts w:hint="eastAsia" w:ascii="宋体" w:hAnsi="宋体" w:eastAsia="宋体" w:cs="宋体"/>
          <w:color w:val="auto"/>
          <w:lang w:eastAsia="zh-CN"/>
        </w:rPr>
      </w:pPr>
    </w:p>
    <w:p w14:paraId="71C66653">
      <w:pPr>
        <w:rPr>
          <w:rFonts w:hint="eastAsia" w:ascii="宋体" w:hAnsi="宋体" w:eastAsia="宋体" w:cs="宋体"/>
          <w:color w:val="auto"/>
          <w:lang w:eastAsia="zh-CN"/>
        </w:rPr>
      </w:pPr>
    </w:p>
    <w:p w14:paraId="1E549549">
      <w:pPr>
        <w:rPr>
          <w:rFonts w:hint="eastAsia" w:ascii="宋体" w:hAnsi="宋体" w:eastAsia="宋体" w:cs="宋体"/>
          <w:color w:val="auto"/>
          <w:lang w:eastAsia="zh-CN"/>
        </w:rPr>
      </w:pPr>
    </w:p>
    <w:p w14:paraId="2C6DD746">
      <w:pPr>
        <w:rPr>
          <w:rFonts w:hint="eastAsia" w:ascii="宋体" w:hAnsi="宋体" w:eastAsia="宋体" w:cs="宋体"/>
          <w:color w:val="auto"/>
          <w:lang w:eastAsia="zh-CN"/>
        </w:rPr>
      </w:pPr>
    </w:p>
    <w:p w14:paraId="2F1C4EA7">
      <w:pPr>
        <w:rPr>
          <w:rFonts w:hint="eastAsia" w:ascii="宋体" w:hAnsi="宋体" w:eastAsia="宋体" w:cs="宋体"/>
          <w:color w:val="auto"/>
          <w:lang w:eastAsia="zh-CN"/>
        </w:rPr>
      </w:pPr>
    </w:p>
    <w:p w14:paraId="2F27B4E7">
      <w:pPr>
        <w:rPr>
          <w:rFonts w:hint="eastAsia" w:ascii="宋体" w:hAnsi="宋体" w:eastAsia="宋体" w:cs="宋体"/>
          <w:color w:val="auto"/>
          <w:lang w:eastAsia="zh-CN"/>
        </w:rPr>
      </w:pPr>
    </w:p>
    <w:p w14:paraId="0BD4AB10">
      <w:pPr>
        <w:rPr>
          <w:rFonts w:hint="eastAsia" w:ascii="宋体" w:hAnsi="宋体" w:eastAsia="宋体" w:cs="宋体"/>
          <w:color w:val="auto"/>
          <w:lang w:eastAsia="zh-CN"/>
        </w:rPr>
      </w:pPr>
    </w:p>
    <w:p w14:paraId="5D83FBDD">
      <w:pPr>
        <w:rPr>
          <w:rFonts w:hint="eastAsia" w:ascii="宋体" w:hAnsi="宋体" w:eastAsia="宋体" w:cs="宋体"/>
          <w:color w:val="auto"/>
          <w:lang w:eastAsia="zh-CN"/>
        </w:rPr>
      </w:pPr>
    </w:p>
    <w:p w14:paraId="2C13E804">
      <w:pPr>
        <w:rPr>
          <w:rFonts w:hint="eastAsia" w:ascii="宋体" w:hAnsi="宋体" w:eastAsia="宋体" w:cs="宋体"/>
          <w:color w:val="auto"/>
          <w:lang w:eastAsia="zh-CN"/>
        </w:rPr>
      </w:pPr>
    </w:p>
    <w:p w14:paraId="21D15730">
      <w:pPr>
        <w:rPr>
          <w:rFonts w:hint="eastAsia" w:ascii="宋体" w:hAnsi="宋体" w:eastAsia="宋体" w:cs="宋体"/>
          <w:color w:val="auto"/>
          <w:lang w:eastAsia="zh-CN"/>
        </w:rPr>
      </w:pPr>
    </w:p>
    <w:p w14:paraId="30EB5590">
      <w:pPr>
        <w:rPr>
          <w:rFonts w:hint="eastAsia" w:ascii="宋体" w:hAnsi="宋体" w:eastAsia="宋体" w:cs="宋体"/>
          <w:color w:val="auto"/>
          <w:lang w:eastAsia="zh-CN"/>
        </w:rPr>
      </w:pPr>
    </w:p>
    <w:p w14:paraId="71D46C76">
      <w:pPr>
        <w:rPr>
          <w:rFonts w:hint="eastAsia" w:ascii="宋体" w:hAnsi="宋体" w:eastAsia="宋体" w:cs="宋体"/>
          <w:color w:val="auto"/>
          <w:lang w:eastAsia="zh-CN"/>
        </w:rPr>
      </w:pPr>
    </w:p>
    <w:p w14:paraId="19D61244">
      <w:pPr>
        <w:rPr>
          <w:rFonts w:hint="eastAsia" w:ascii="宋体" w:hAnsi="宋体" w:eastAsia="宋体" w:cs="宋体"/>
          <w:color w:val="auto"/>
          <w:lang w:eastAsia="zh-CN"/>
        </w:rPr>
      </w:pPr>
    </w:p>
    <w:p w14:paraId="73737EEA">
      <w:pPr>
        <w:rPr>
          <w:rFonts w:hint="eastAsia" w:ascii="宋体" w:hAnsi="宋体" w:eastAsia="宋体" w:cs="宋体"/>
          <w:color w:val="auto"/>
          <w:lang w:eastAsia="zh-CN"/>
        </w:rPr>
      </w:pPr>
    </w:p>
    <w:p w14:paraId="6FD98259">
      <w:pPr>
        <w:rPr>
          <w:rFonts w:hint="eastAsia" w:ascii="宋体" w:hAnsi="宋体" w:eastAsia="宋体" w:cs="宋体"/>
          <w:color w:val="auto"/>
          <w:lang w:eastAsia="zh-CN"/>
        </w:rPr>
      </w:pPr>
    </w:p>
    <w:p w14:paraId="3D99B18B">
      <w:pPr>
        <w:rPr>
          <w:rFonts w:hint="eastAsia" w:ascii="宋体" w:hAnsi="宋体" w:eastAsia="宋体" w:cs="宋体"/>
          <w:color w:val="auto"/>
          <w:lang w:eastAsia="zh-CN"/>
        </w:rPr>
      </w:pPr>
    </w:p>
    <w:p w14:paraId="03851BA3">
      <w:pPr>
        <w:rPr>
          <w:rFonts w:hint="eastAsia" w:ascii="宋体" w:hAnsi="宋体" w:eastAsia="宋体" w:cs="宋体"/>
          <w:color w:val="auto"/>
          <w:lang w:eastAsia="zh-CN"/>
        </w:rPr>
      </w:pPr>
    </w:p>
    <w:p w14:paraId="5C196A7F">
      <w:pPr>
        <w:rPr>
          <w:rFonts w:hint="eastAsia" w:ascii="宋体" w:hAnsi="宋体" w:eastAsia="宋体" w:cs="宋体"/>
          <w:color w:val="auto"/>
          <w:lang w:eastAsia="zh-CN"/>
        </w:rPr>
      </w:pPr>
    </w:p>
    <w:p w14:paraId="00793006">
      <w:pPr>
        <w:rPr>
          <w:rFonts w:hint="eastAsia" w:ascii="宋体" w:hAnsi="宋体" w:eastAsia="宋体" w:cs="宋体"/>
          <w:color w:val="auto"/>
          <w:lang w:eastAsia="zh-CN"/>
        </w:rPr>
      </w:pPr>
    </w:p>
    <w:p w14:paraId="74895A95">
      <w:pPr>
        <w:rPr>
          <w:rFonts w:hint="eastAsia" w:ascii="宋体" w:hAnsi="宋体" w:eastAsia="宋体" w:cs="宋体"/>
          <w:color w:val="auto"/>
          <w:lang w:eastAsia="zh-CN"/>
        </w:rPr>
      </w:pPr>
    </w:p>
    <w:p w14:paraId="278602B8">
      <w:pPr>
        <w:rPr>
          <w:rFonts w:hint="eastAsia" w:ascii="宋体" w:hAnsi="宋体" w:eastAsia="宋体" w:cs="宋体"/>
          <w:color w:val="auto"/>
          <w:lang w:eastAsia="zh-CN"/>
        </w:rPr>
      </w:pPr>
    </w:p>
    <w:p w14:paraId="00B3893B">
      <w:pPr>
        <w:rPr>
          <w:rFonts w:hint="eastAsia" w:ascii="宋体" w:hAnsi="宋体" w:eastAsia="宋体" w:cs="宋体"/>
          <w:color w:val="auto"/>
          <w:lang w:eastAsia="zh-CN"/>
        </w:rPr>
      </w:pPr>
    </w:p>
    <w:p w14:paraId="16477748">
      <w:pPr>
        <w:rPr>
          <w:rFonts w:hint="eastAsia" w:ascii="宋体" w:hAnsi="宋体" w:eastAsia="宋体" w:cs="宋体"/>
          <w:color w:val="auto"/>
          <w:lang w:eastAsia="zh-CN"/>
        </w:rPr>
      </w:pPr>
    </w:p>
    <w:p w14:paraId="4D121543">
      <w:pPr>
        <w:pStyle w:val="3"/>
        <w:bidi w:val="0"/>
        <w:jc w:val="center"/>
        <w:rPr>
          <w:rFonts w:hint="eastAsia" w:ascii="宋体" w:hAnsi="宋体" w:eastAsia="宋体" w:cs="宋体"/>
          <w:color w:val="auto"/>
        </w:rPr>
      </w:pPr>
      <w:bookmarkStart w:id="141" w:name="_Toc26994"/>
      <w:r>
        <w:rPr>
          <w:rFonts w:hint="eastAsia" w:ascii="宋体" w:hAnsi="宋体" w:eastAsia="宋体" w:cs="宋体"/>
          <w:color w:val="auto"/>
        </w:rPr>
        <w:t>第六章</w:t>
      </w:r>
      <w:r>
        <w:rPr>
          <w:rFonts w:hint="eastAsia" w:ascii="宋体" w:hAnsi="宋体" w:eastAsia="宋体" w:cs="宋体"/>
          <w:color w:val="auto"/>
          <w:lang w:val="en-US" w:eastAsia="zh-CN"/>
        </w:rPr>
        <w:t xml:space="preserve">   </w:t>
      </w:r>
      <w:r>
        <w:rPr>
          <w:rFonts w:hint="eastAsia" w:ascii="宋体" w:hAnsi="宋体" w:eastAsia="宋体" w:cs="宋体"/>
          <w:color w:val="auto"/>
        </w:rPr>
        <w:t>施工图纸</w:t>
      </w:r>
      <w:bookmarkEnd w:id="141"/>
    </w:p>
    <w:p w14:paraId="7275AB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1293BA7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（与项目招标文件同时发布）</w:t>
      </w:r>
    </w:p>
    <w:p w14:paraId="2DBA1BC0">
      <w:pPr>
        <w:rPr>
          <w:rFonts w:hint="eastAsia" w:ascii="宋体" w:hAnsi="宋体" w:eastAsia="宋体" w:cs="宋体"/>
          <w:color w:val="auto"/>
          <w:lang w:eastAsia="zh-CN"/>
        </w:rPr>
      </w:pPr>
    </w:p>
    <w:p w14:paraId="611E25AA">
      <w:pPr>
        <w:rPr>
          <w:rFonts w:hint="eastAsia" w:ascii="宋体" w:hAnsi="宋体" w:eastAsia="宋体" w:cs="宋体"/>
          <w:color w:val="auto"/>
          <w:lang w:eastAsia="zh-CN"/>
        </w:rPr>
      </w:pPr>
    </w:p>
    <w:p w14:paraId="716A20FB">
      <w:pPr>
        <w:rPr>
          <w:rFonts w:hint="eastAsia" w:ascii="宋体" w:hAnsi="宋体" w:eastAsia="宋体" w:cs="宋体"/>
          <w:color w:val="auto"/>
          <w:lang w:eastAsia="zh-CN"/>
        </w:rPr>
      </w:pPr>
    </w:p>
    <w:p w14:paraId="15CDBE97">
      <w:pPr>
        <w:rPr>
          <w:rFonts w:hint="eastAsia" w:ascii="宋体" w:hAnsi="宋体" w:eastAsia="宋体" w:cs="宋体"/>
          <w:color w:val="auto"/>
          <w:lang w:eastAsia="zh-CN"/>
        </w:rPr>
      </w:pPr>
    </w:p>
    <w:p w14:paraId="5FD4B268">
      <w:pPr>
        <w:rPr>
          <w:rFonts w:hint="eastAsia" w:ascii="宋体" w:hAnsi="宋体" w:eastAsia="宋体" w:cs="宋体"/>
          <w:color w:val="auto"/>
          <w:lang w:eastAsia="zh-CN"/>
        </w:rPr>
      </w:pPr>
    </w:p>
    <w:p w14:paraId="1E8F2B9F">
      <w:pPr>
        <w:rPr>
          <w:rFonts w:hint="eastAsia" w:ascii="宋体" w:hAnsi="宋体" w:eastAsia="宋体" w:cs="宋体"/>
          <w:color w:val="auto"/>
          <w:lang w:eastAsia="zh-CN"/>
        </w:rPr>
      </w:pPr>
    </w:p>
    <w:p w14:paraId="15D4D5BC">
      <w:pPr>
        <w:rPr>
          <w:rFonts w:hint="eastAsia" w:ascii="宋体" w:hAnsi="宋体" w:eastAsia="宋体" w:cs="宋体"/>
          <w:color w:val="auto"/>
          <w:lang w:eastAsia="zh-CN"/>
        </w:rPr>
      </w:pPr>
    </w:p>
    <w:p w14:paraId="0383EA43">
      <w:pPr>
        <w:rPr>
          <w:rFonts w:hint="eastAsia" w:ascii="宋体" w:hAnsi="宋体" w:eastAsia="宋体" w:cs="宋体"/>
          <w:color w:val="auto"/>
          <w:lang w:eastAsia="zh-CN"/>
        </w:rPr>
      </w:pPr>
    </w:p>
    <w:p w14:paraId="160AF593">
      <w:pPr>
        <w:rPr>
          <w:rFonts w:hint="eastAsia" w:ascii="宋体" w:hAnsi="宋体" w:eastAsia="宋体" w:cs="宋体"/>
          <w:color w:val="auto"/>
          <w:lang w:eastAsia="zh-CN"/>
        </w:rPr>
      </w:pPr>
    </w:p>
    <w:p w14:paraId="1AFF3C70">
      <w:pPr>
        <w:rPr>
          <w:rFonts w:hint="eastAsia" w:ascii="宋体" w:hAnsi="宋体" w:eastAsia="宋体" w:cs="宋体"/>
          <w:color w:val="auto"/>
          <w:lang w:eastAsia="zh-CN"/>
        </w:rPr>
      </w:pPr>
    </w:p>
    <w:p w14:paraId="564F0E58">
      <w:pPr>
        <w:rPr>
          <w:rFonts w:hint="eastAsia" w:ascii="宋体" w:hAnsi="宋体" w:eastAsia="宋体" w:cs="宋体"/>
          <w:color w:val="auto"/>
          <w:lang w:eastAsia="zh-CN"/>
        </w:rPr>
      </w:pPr>
    </w:p>
    <w:p w14:paraId="2B4031B5">
      <w:pPr>
        <w:rPr>
          <w:rFonts w:hint="eastAsia" w:ascii="宋体" w:hAnsi="宋体" w:eastAsia="宋体" w:cs="宋体"/>
          <w:color w:val="auto"/>
          <w:lang w:eastAsia="zh-CN"/>
        </w:rPr>
      </w:pPr>
    </w:p>
    <w:p w14:paraId="3AAED797">
      <w:pPr>
        <w:rPr>
          <w:rFonts w:hint="eastAsia" w:ascii="宋体" w:hAnsi="宋体" w:eastAsia="宋体" w:cs="宋体"/>
          <w:color w:val="auto"/>
          <w:lang w:eastAsia="zh-CN"/>
        </w:rPr>
      </w:pPr>
    </w:p>
    <w:p w14:paraId="541A237C">
      <w:pPr>
        <w:rPr>
          <w:rFonts w:hint="eastAsia" w:ascii="宋体" w:hAnsi="宋体" w:eastAsia="宋体" w:cs="宋体"/>
          <w:color w:val="auto"/>
          <w:lang w:eastAsia="zh-CN"/>
        </w:rPr>
      </w:pPr>
    </w:p>
    <w:p w14:paraId="2876CABF">
      <w:pPr>
        <w:rPr>
          <w:rFonts w:hint="eastAsia" w:ascii="宋体" w:hAnsi="宋体" w:eastAsia="宋体" w:cs="宋体"/>
          <w:color w:val="auto"/>
          <w:lang w:eastAsia="zh-CN"/>
        </w:rPr>
      </w:pPr>
    </w:p>
    <w:p w14:paraId="03517376">
      <w:pPr>
        <w:rPr>
          <w:rFonts w:hint="eastAsia" w:ascii="宋体" w:hAnsi="宋体" w:eastAsia="宋体" w:cs="宋体"/>
          <w:color w:val="auto"/>
          <w:lang w:eastAsia="zh-CN"/>
        </w:rPr>
      </w:pPr>
    </w:p>
    <w:p w14:paraId="5BB6EB66">
      <w:pPr>
        <w:rPr>
          <w:rFonts w:hint="eastAsia" w:ascii="宋体" w:hAnsi="宋体" w:eastAsia="宋体" w:cs="宋体"/>
          <w:color w:val="auto"/>
          <w:lang w:eastAsia="zh-CN"/>
        </w:rPr>
      </w:pPr>
    </w:p>
    <w:p w14:paraId="5005EA5E">
      <w:pPr>
        <w:rPr>
          <w:rFonts w:hint="eastAsia" w:ascii="宋体" w:hAnsi="宋体" w:eastAsia="宋体" w:cs="宋体"/>
          <w:color w:val="auto"/>
          <w:lang w:eastAsia="zh-CN"/>
        </w:rPr>
      </w:pPr>
    </w:p>
    <w:p w14:paraId="33170B02">
      <w:pPr>
        <w:rPr>
          <w:rFonts w:hint="eastAsia" w:ascii="宋体" w:hAnsi="宋体" w:eastAsia="宋体" w:cs="宋体"/>
          <w:color w:val="auto"/>
          <w:lang w:eastAsia="zh-CN"/>
        </w:rPr>
      </w:pPr>
    </w:p>
    <w:p w14:paraId="3C691C93">
      <w:pPr>
        <w:rPr>
          <w:rFonts w:hint="eastAsia" w:ascii="宋体" w:hAnsi="宋体" w:eastAsia="宋体" w:cs="宋体"/>
          <w:color w:val="auto"/>
          <w:lang w:eastAsia="zh-CN"/>
        </w:rPr>
      </w:pPr>
    </w:p>
    <w:p w14:paraId="5D9AD963">
      <w:pPr>
        <w:rPr>
          <w:rFonts w:hint="eastAsia" w:ascii="宋体" w:hAnsi="宋体" w:eastAsia="宋体" w:cs="宋体"/>
          <w:color w:val="auto"/>
          <w:lang w:eastAsia="zh-CN"/>
        </w:rPr>
      </w:pPr>
    </w:p>
    <w:p w14:paraId="3FC2FD9B">
      <w:pPr>
        <w:rPr>
          <w:rFonts w:hint="eastAsia" w:ascii="宋体" w:hAnsi="宋体" w:eastAsia="宋体" w:cs="宋体"/>
          <w:color w:val="auto"/>
          <w:lang w:eastAsia="zh-CN"/>
        </w:rPr>
      </w:pPr>
    </w:p>
    <w:p w14:paraId="22EFD51C">
      <w:pPr>
        <w:rPr>
          <w:rFonts w:hint="eastAsia" w:ascii="宋体" w:hAnsi="宋体" w:eastAsia="宋体" w:cs="宋体"/>
          <w:color w:val="auto"/>
          <w:lang w:eastAsia="zh-CN"/>
        </w:rPr>
      </w:pPr>
    </w:p>
    <w:p w14:paraId="16D72AD0">
      <w:pPr>
        <w:rPr>
          <w:rFonts w:hint="eastAsia" w:ascii="宋体" w:hAnsi="宋体" w:eastAsia="宋体" w:cs="宋体"/>
          <w:color w:val="auto"/>
          <w:lang w:eastAsia="zh-CN"/>
        </w:rPr>
      </w:pPr>
    </w:p>
    <w:p w14:paraId="626F0F25">
      <w:pPr>
        <w:rPr>
          <w:rFonts w:hint="eastAsia" w:ascii="宋体" w:hAnsi="宋体" w:eastAsia="宋体" w:cs="宋体"/>
          <w:color w:val="auto"/>
          <w:lang w:eastAsia="zh-CN"/>
        </w:rPr>
      </w:pPr>
    </w:p>
    <w:p w14:paraId="62C77D3B">
      <w:pPr>
        <w:rPr>
          <w:rFonts w:hint="eastAsia" w:ascii="宋体" w:hAnsi="宋体" w:eastAsia="宋体" w:cs="宋体"/>
          <w:color w:val="auto"/>
          <w:lang w:eastAsia="zh-CN"/>
        </w:rPr>
      </w:pPr>
    </w:p>
    <w:p w14:paraId="666A445B">
      <w:pPr>
        <w:rPr>
          <w:rFonts w:hint="eastAsia" w:ascii="宋体" w:hAnsi="宋体" w:eastAsia="宋体" w:cs="宋体"/>
          <w:color w:val="auto"/>
          <w:lang w:eastAsia="zh-CN"/>
        </w:rPr>
      </w:pPr>
    </w:p>
    <w:p w14:paraId="5FD8A42F">
      <w:pPr>
        <w:rPr>
          <w:rFonts w:hint="eastAsia" w:ascii="宋体" w:hAnsi="宋体" w:eastAsia="宋体" w:cs="宋体"/>
          <w:color w:val="auto"/>
          <w:lang w:eastAsia="zh-CN"/>
        </w:rPr>
      </w:pPr>
    </w:p>
    <w:p w14:paraId="29FC328D">
      <w:pPr>
        <w:rPr>
          <w:rFonts w:hint="eastAsia" w:ascii="宋体" w:hAnsi="宋体" w:eastAsia="宋体" w:cs="宋体"/>
          <w:color w:val="auto"/>
          <w:lang w:eastAsia="zh-CN"/>
        </w:rPr>
      </w:pPr>
    </w:p>
    <w:p w14:paraId="65795A6F">
      <w:pPr>
        <w:rPr>
          <w:rFonts w:hint="eastAsia" w:ascii="宋体" w:hAnsi="宋体" w:eastAsia="宋体" w:cs="宋体"/>
          <w:color w:val="auto"/>
          <w:lang w:eastAsia="zh-CN"/>
        </w:rPr>
      </w:pPr>
    </w:p>
    <w:p w14:paraId="64A908FF">
      <w:pPr>
        <w:rPr>
          <w:rFonts w:hint="eastAsia" w:ascii="宋体" w:hAnsi="宋体" w:eastAsia="宋体" w:cs="宋体"/>
          <w:color w:val="auto"/>
          <w:lang w:eastAsia="zh-CN"/>
        </w:rPr>
      </w:pPr>
    </w:p>
    <w:p w14:paraId="7984A271">
      <w:pPr>
        <w:rPr>
          <w:rFonts w:hint="eastAsia" w:ascii="宋体" w:hAnsi="宋体" w:eastAsia="宋体" w:cs="宋体"/>
          <w:color w:val="auto"/>
          <w:lang w:eastAsia="zh-CN"/>
        </w:rPr>
      </w:pPr>
    </w:p>
    <w:p w14:paraId="70F1E11F">
      <w:pPr>
        <w:rPr>
          <w:rFonts w:hint="eastAsia" w:ascii="宋体" w:hAnsi="宋体" w:eastAsia="宋体" w:cs="宋体"/>
          <w:color w:val="auto"/>
          <w:lang w:eastAsia="zh-CN"/>
        </w:rPr>
      </w:pPr>
    </w:p>
    <w:p w14:paraId="423AC159">
      <w:pPr>
        <w:rPr>
          <w:rFonts w:hint="eastAsia" w:ascii="宋体" w:hAnsi="宋体" w:eastAsia="宋体" w:cs="宋体"/>
          <w:color w:val="auto"/>
          <w:lang w:eastAsia="zh-CN"/>
        </w:rPr>
      </w:pPr>
    </w:p>
    <w:p w14:paraId="4ADA2447">
      <w:pPr>
        <w:rPr>
          <w:rFonts w:hint="eastAsia" w:ascii="宋体" w:hAnsi="宋体" w:eastAsia="宋体" w:cs="宋体"/>
          <w:color w:val="auto"/>
          <w:lang w:eastAsia="zh-CN"/>
        </w:rPr>
      </w:pPr>
    </w:p>
    <w:p w14:paraId="699F1421">
      <w:pPr>
        <w:rPr>
          <w:rFonts w:hint="eastAsia" w:ascii="宋体" w:hAnsi="宋体" w:eastAsia="宋体" w:cs="宋体"/>
          <w:color w:val="auto"/>
          <w:lang w:eastAsia="zh-CN"/>
        </w:rPr>
      </w:pPr>
    </w:p>
    <w:p w14:paraId="1E0FF59B">
      <w:pPr>
        <w:rPr>
          <w:rFonts w:hint="eastAsia" w:ascii="宋体" w:hAnsi="宋体" w:eastAsia="宋体" w:cs="宋体"/>
          <w:color w:val="auto"/>
          <w:lang w:eastAsia="zh-CN"/>
        </w:rPr>
      </w:pPr>
    </w:p>
    <w:p w14:paraId="37C18651">
      <w:pPr>
        <w:rPr>
          <w:rFonts w:hint="eastAsia" w:ascii="宋体" w:hAnsi="宋体" w:eastAsia="宋体" w:cs="宋体"/>
          <w:color w:val="auto"/>
          <w:lang w:eastAsia="zh-CN"/>
        </w:rPr>
      </w:pPr>
    </w:p>
    <w:p w14:paraId="56191E50">
      <w:pPr>
        <w:rPr>
          <w:rFonts w:hint="eastAsia" w:ascii="宋体" w:hAnsi="宋体" w:eastAsia="宋体" w:cs="宋体"/>
          <w:color w:val="auto"/>
          <w:lang w:eastAsia="zh-CN"/>
        </w:rPr>
      </w:pPr>
    </w:p>
    <w:p w14:paraId="4C8F447A">
      <w:pPr>
        <w:rPr>
          <w:rFonts w:hint="eastAsia" w:ascii="宋体" w:hAnsi="宋体" w:eastAsia="宋体" w:cs="宋体"/>
          <w:color w:val="auto"/>
          <w:lang w:eastAsia="zh-CN"/>
        </w:rPr>
      </w:pPr>
    </w:p>
    <w:p w14:paraId="0C99EA74">
      <w:pPr>
        <w:rPr>
          <w:rFonts w:hint="eastAsia" w:ascii="宋体" w:hAnsi="宋体" w:eastAsia="宋体" w:cs="宋体"/>
          <w:color w:val="auto"/>
          <w:lang w:eastAsia="zh-CN"/>
        </w:rPr>
      </w:pPr>
    </w:p>
    <w:p w14:paraId="1314AD12">
      <w:pPr>
        <w:rPr>
          <w:rFonts w:hint="eastAsia" w:ascii="宋体" w:hAnsi="宋体" w:eastAsia="宋体" w:cs="宋体"/>
          <w:color w:val="auto"/>
          <w:lang w:eastAsia="zh-CN"/>
        </w:rPr>
      </w:pPr>
    </w:p>
    <w:p w14:paraId="697A45C5">
      <w:pPr>
        <w:pStyle w:val="3"/>
        <w:bidi w:val="0"/>
        <w:jc w:val="center"/>
        <w:rPr>
          <w:rFonts w:hint="eastAsia" w:ascii="宋体" w:hAnsi="宋体" w:eastAsia="宋体" w:cs="宋体"/>
          <w:color w:val="auto"/>
          <w:lang w:eastAsia="zh-CN"/>
        </w:rPr>
      </w:pPr>
      <w:bookmarkStart w:id="142" w:name="_Toc28591"/>
      <w:r>
        <w:rPr>
          <w:rFonts w:hint="eastAsia" w:ascii="宋体" w:hAnsi="宋体" w:eastAsia="宋体" w:cs="宋体"/>
          <w:color w:val="auto"/>
        </w:rPr>
        <w:t>第七章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142"/>
    </w:p>
    <w:p w14:paraId="14E4A2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1C4CDF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（与项目招标文件同时发布）</w:t>
      </w:r>
    </w:p>
    <w:p w14:paraId="2985C663">
      <w:pPr>
        <w:rPr>
          <w:rFonts w:hint="eastAsia" w:ascii="宋体" w:hAnsi="宋体" w:eastAsia="宋体" w:cs="宋体"/>
          <w:color w:val="auto"/>
          <w:lang w:eastAsia="zh-CN"/>
        </w:rPr>
      </w:pPr>
    </w:p>
    <w:p w14:paraId="007EF4FD">
      <w:pPr>
        <w:rPr>
          <w:rFonts w:hint="eastAsia" w:ascii="宋体" w:hAnsi="宋体" w:eastAsia="宋体" w:cs="宋体"/>
          <w:color w:val="auto"/>
          <w:lang w:eastAsia="zh-CN"/>
        </w:rPr>
      </w:pPr>
    </w:p>
    <w:p w14:paraId="7EBB0DFD">
      <w:pPr>
        <w:rPr>
          <w:rFonts w:hint="eastAsia" w:ascii="宋体" w:hAnsi="宋体" w:eastAsia="宋体" w:cs="宋体"/>
          <w:color w:val="auto"/>
          <w:lang w:eastAsia="zh-CN"/>
        </w:rPr>
      </w:pPr>
    </w:p>
    <w:p w14:paraId="6AA59DB2">
      <w:pPr>
        <w:rPr>
          <w:rFonts w:hint="eastAsia" w:ascii="宋体" w:hAnsi="宋体" w:eastAsia="宋体" w:cs="宋体"/>
          <w:color w:val="auto"/>
          <w:lang w:eastAsia="zh-CN"/>
        </w:rPr>
      </w:pPr>
    </w:p>
    <w:p w14:paraId="7E2FE39F">
      <w:pPr>
        <w:rPr>
          <w:rFonts w:hint="eastAsia" w:ascii="宋体" w:hAnsi="宋体" w:eastAsia="宋体" w:cs="宋体"/>
          <w:color w:val="auto"/>
          <w:lang w:eastAsia="zh-CN"/>
        </w:rPr>
      </w:pPr>
    </w:p>
    <w:p w14:paraId="2E04100A">
      <w:pPr>
        <w:rPr>
          <w:rFonts w:hint="eastAsia" w:ascii="宋体" w:hAnsi="宋体" w:eastAsia="宋体" w:cs="宋体"/>
          <w:color w:val="auto"/>
          <w:lang w:eastAsia="zh-CN"/>
        </w:rPr>
      </w:pPr>
    </w:p>
    <w:p w14:paraId="46E4E6F8">
      <w:pPr>
        <w:rPr>
          <w:rFonts w:hint="eastAsia" w:ascii="宋体" w:hAnsi="宋体" w:eastAsia="宋体" w:cs="宋体"/>
          <w:color w:val="auto"/>
          <w:lang w:eastAsia="zh-CN"/>
        </w:rPr>
      </w:pPr>
    </w:p>
    <w:p w14:paraId="2DDE88EC">
      <w:pPr>
        <w:rPr>
          <w:rFonts w:hint="eastAsia" w:ascii="宋体" w:hAnsi="宋体" w:eastAsia="宋体" w:cs="宋体"/>
          <w:color w:val="auto"/>
          <w:lang w:eastAsia="zh-CN"/>
        </w:rPr>
      </w:pPr>
    </w:p>
    <w:p w14:paraId="7B3B9372">
      <w:pPr>
        <w:rPr>
          <w:rFonts w:hint="eastAsia" w:ascii="宋体" w:hAnsi="宋体" w:eastAsia="宋体" w:cs="宋体"/>
          <w:color w:val="auto"/>
          <w:lang w:eastAsia="zh-CN"/>
        </w:rPr>
      </w:pPr>
    </w:p>
    <w:p w14:paraId="6CCE1497">
      <w:pPr>
        <w:rPr>
          <w:rFonts w:hint="eastAsia" w:ascii="宋体" w:hAnsi="宋体" w:eastAsia="宋体" w:cs="宋体"/>
          <w:color w:val="auto"/>
          <w:lang w:eastAsia="zh-CN"/>
        </w:rPr>
      </w:pPr>
    </w:p>
    <w:p w14:paraId="1BD65DA0">
      <w:pPr>
        <w:rPr>
          <w:rFonts w:hint="eastAsia" w:ascii="宋体" w:hAnsi="宋体" w:eastAsia="宋体" w:cs="宋体"/>
          <w:color w:val="auto"/>
          <w:lang w:eastAsia="zh-CN"/>
        </w:rPr>
      </w:pPr>
    </w:p>
    <w:p w14:paraId="1EAD2C4D">
      <w:pPr>
        <w:rPr>
          <w:rFonts w:hint="eastAsia" w:ascii="宋体" w:hAnsi="宋体" w:eastAsia="宋体" w:cs="宋体"/>
          <w:color w:val="auto"/>
          <w:lang w:eastAsia="zh-CN"/>
        </w:rPr>
      </w:pPr>
    </w:p>
    <w:p w14:paraId="748CF8E0">
      <w:pPr>
        <w:rPr>
          <w:rFonts w:hint="eastAsia" w:ascii="宋体" w:hAnsi="宋体" w:eastAsia="宋体" w:cs="宋体"/>
          <w:color w:val="auto"/>
          <w:lang w:eastAsia="zh-CN"/>
        </w:rPr>
      </w:pPr>
    </w:p>
    <w:p w14:paraId="46FECAC8">
      <w:pPr>
        <w:rPr>
          <w:rFonts w:hint="eastAsia" w:ascii="宋体" w:hAnsi="宋体" w:eastAsia="宋体" w:cs="宋体"/>
          <w:color w:val="auto"/>
          <w:lang w:eastAsia="zh-CN"/>
        </w:rPr>
      </w:pPr>
    </w:p>
    <w:p w14:paraId="0E1EEB32">
      <w:pPr>
        <w:rPr>
          <w:rFonts w:hint="eastAsia" w:ascii="宋体" w:hAnsi="宋体" w:eastAsia="宋体" w:cs="宋体"/>
          <w:color w:val="auto"/>
          <w:lang w:eastAsia="zh-CN"/>
        </w:rPr>
      </w:pPr>
    </w:p>
    <w:p w14:paraId="45AEAAEC">
      <w:pPr>
        <w:rPr>
          <w:rFonts w:hint="eastAsia" w:ascii="宋体" w:hAnsi="宋体" w:eastAsia="宋体" w:cs="宋体"/>
          <w:color w:val="auto"/>
          <w:lang w:eastAsia="zh-CN"/>
        </w:rPr>
      </w:pPr>
    </w:p>
    <w:p w14:paraId="12CECF41">
      <w:pPr>
        <w:rPr>
          <w:rFonts w:hint="eastAsia" w:ascii="宋体" w:hAnsi="宋体" w:eastAsia="宋体" w:cs="宋体"/>
          <w:color w:val="auto"/>
          <w:lang w:eastAsia="zh-CN"/>
        </w:rPr>
      </w:pPr>
    </w:p>
    <w:p w14:paraId="4973B401">
      <w:pPr>
        <w:rPr>
          <w:rFonts w:hint="eastAsia" w:ascii="宋体" w:hAnsi="宋体" w:eastAsia="宋体" w:cs="宋体"/>
          <w:color w:val="auto"/>
          <w:lang w:eastAsia="zh-CN"/>
        </w:rPr>
      </w:pPr>
    </w:p>
    <w:p w14:paraId="531EA8D8">
      <w:pPr>
        <w:rPr>
          <w:rFonts w:hint="eastAsia" w:ascii="宋体" w:hAnsi="宋体" w:eastAsia="宋体" w:cs="宋体"/>
          <w:color w:val="auto"/>
          <w:lang w:eastAsia="zh-CN"/>
        </w:rPr>
      </w:pPr>
    </w:p>
    <w:p w14:paraId="09729E5B">
      <w:pPr>
        <w:rPr>
          <w:rFonts w:hint="eastAsia" w:ascii="宋体" w:hAnsi="宋体" w:eastAsia="宋体" w:cs="宋体"/>
          <w:color w:val="auto"/>
          <w:lang w:eastAsia="zh-CN"/>
        </w:rPr>
      </w:pPr>
    </w:p>
    <w:p w14:paraId="39BCA3E9">
      <w:pPr>
        <w:rPr>
          <w:rFonts w:hint="eastAsia" w:ascii="宋体" w:hAnsi="宋体" w:eastAsia="宋体" w:cs="宋体"/>
          <w:color w:val="auto"/>
          <w:lang w:eastAsia="zh-CN"/>
        </w:rPr>
      </w:pPr>
    </w:p>
    <w:p w14:paraId="6B92188B">
      <w:pPr>
        <w:rPr>
          <w:rFonts w:hint="eastAsia" w:ascii="宋体" w:hAnsi="宋体" w:eastAsia="宋体" w:cs="宋体"/>
          <w:color w:val="auto"/>
          <w:lang w:eastAsia="zh-CN"/>
        </w:rPr>
      </w:pPr>
    </w:p>
    <w:p w14:paraId="2ED9059C">
      <w:pPr>
        <w:rPr>
          <w:rFonts w:hint="eastAsia" w:ascii="宋体" w:hAnsi="宋体" w:eastAsia="宋体" w:cs="宋体"/>
          <w:color w:val="auto"/>
          <w:lang w:eastAsia="zh-CN"/>
        </w:rPr>
      </w:pPr>
    </w:p>
    <w:p w14:paraId="2C32C381">
      <w:pPr>
        <w:rPr>
          <w:rFonts w:hint="eastAsia" w:ascii="宋体" w:hAnsi="宋体" w:eastAsia="宋体" w:cs="宋体"/>
          <w:color w:val="auto"/>
          <w:lang w:eastAsia="zh-CN"/>
        </w:rPr>
      </w:pPr>
    </w:p>
    <w:p w14:paraId="51368601">
      <w:pPr>
        <w:rPr>
          <w:rFonts w:hint="eastAsia" w:ascii="宋体" w:hAnsi="宋体" w:eastAsia="宋体" w:cs="宋体"/>
          <w:color w:val="auto"/>
          <w:lang w:eastAsia="zh-CN"/>
        </w:rPr>
      </w:pPr>
    </w:p>
    <w:p w14:paraId="52055670">
      <w:pPr>
        <w:rPr>
          <w:rFonts w:hint="eastAsia" w:ascii="宋体" w:hAnsi="宋体" w:eastAsia="宋体" w:cs="宋体"/>
          <w:color w:val="auto"/>
          <w:lang w:eastAsia="zh-CN"/>
        </w:rPr>
      </w:pPr>
    </w:p>
    <w:p w14:paraId="50257B52">
      <w:pPr>
        <w:rPr>
          <w:rFonts w:hint="eastAsia" w:ascii="宋体" w:hAnsi="宋体" w:eastAsia="宋体" w:cs="宋体"/>
          <w:color w:val="auto"/>
          <w:lang w:eastAsia="zh-CN"/>
        </w:rPr>
      </w:pPr>
    </w:p>
    <w:p w14:paraId="11C3374B">
      <w:pPr>
        <w:rPr>
          <w:rFonts w:hint="eastAsia" w:ascii="宋体" w:hAnsi="宋体" w:eastAsia="宋体" w:cs="宋体"/>
          <w:color w:val="auto"/>
          <w:lang w:eastAsia="zh-CN"/>
        </w:rPr>
      </w:pPr>
    </w:p>
    <w:p w14:paraId="386F6D3B">
      <w:pPr>
        <w:rPr>
          <w:rFonts w:hint="eastAsia" w:ascii="宋体" w:hAnsi="宋体" w:eastAsia="宋体" w:cs="宋体"/>
          <w:color w:val="auto"/>
          <w:lang w:eastAsia="zh-CN"/>
        </w:rPr>
      </w:pPr>
    </w:p>
    <w:p w14:paraId="46257BF2">
      <w:pPr>
        <w:rPr>
          <w:rFonts w:hint="eastAsia" w:ascii="宋体" w:hAnsi="宋体" w:eastAsia="宋体" w:cs="宋体"/>
          <w:color w:val="auto"/>
          <w:lang w:eastAsia="zh-CN"/>
        </w:rPr>
      </w:pPr>
    </w:p>
    <w:p w14:paraId="62566A2F">
      <w:pPr>
        <w:rPr>
          <w:rFonts w:hint="eastAsia" w:ascii="宋体" w:hAnsi="宋体" w:eastAsia="宋体" w:cs="宋体"/>
          <w:color w:val="auto"/>
          <w:lang w:eastAsia="zh-CN"/>
        </w:rPr>
      </w:pPr>
    </w:p>
    <w:p w14:paraId="6AD9DD64">
      <w:pPr>
        <w:rPr>
          <w:rFonts w:hint="eastAsia" w:ascii="宋体" w:hAnsi="宋体" w:eastAsia="宋体" w:cs="宋体"/>
          <w:color w:val="auto"/>
          <w:lang w:eastAsia="zh-CN"/>
        </w:rPr>
      </w:pPr>
    </w:p>
    <w:p w14:paraId="796A6714">
      <w:pPr>
        <w:rPr>
          <w:rFonts w:hint="eastAsia" w:ascii="宋体" w:hAnsi="宋体" w:eastAsia="宋体" w:cs="宋体"/>
          <w:color w:val="auto"/>
          <w:lang w:eastAsia="zh-CN"/>
        </w:rPr>
      </w:pPr>
    </w:p>
    <w:p w14:paraId="6580A300">
      <w:pPr>
        <w:rPr>
          <w:rFonts w:hint="eastAsia" w:ascii="宋体" w:hAnsi="宋体" w:eastAsia="宋体" w:cs="宋体"/>
          <w:color w:val="auto"/>
          <w:lang w:eastAsia="zh-CN"/>
        </w:rPr>
      </w:pPr>
    </w:p>
    <w:p w14:paraId="297DD0E8">
      <w:pPr>
        <w:rPr>
          <w:rFonts w:hint="eastAsia" w:ascii="宋体" w:hAnsi="宋体" w:eastAsia="宋体" w:cs="宋体"/>
          <w:color w:val="auto"/>
          <w:lang w:eastAsia="zh-CN"/>
        </w:rPr>
      </w:pPr>
    </w:p>
    <w:p w14:paraId="3F4EAC5E">
      <w:pPr>
        <w:rPr>
          <w:rFonts w:hint="eastAsia" w:ascii="宋体" w:hAnsi="宋体" w:eastAsia="宋体" w:cs="宋体"/>
          <w:color w:val="auto"/>
          <w:lang w:eastAsia="zh-CN"/>
        </w:rPr>
      </w:pPr>
    </w:p>
    <w:p w14:paraId="3EE95148">
      <w:pPr>
        <w:rPr>
          <w:rFonts w:hint="eastAsia" w:ascii="宋体" w:hAnsi="宋体" w:eastAsia="宋体" w:cs="宋体"/>
          <w:color w:val="auto"/>
          <w:lang w:eastAsia="zh-CN"/>
        </w:rPr>
      </w:pPr>
    </w:p>
    <w:p w14:paraId="6116E12A">
      <w:pPr>
        <w:rPr>
          <w:rFonts w:hint="eastAsia" w:ascii="宋体" w:hAnsi="宋体" w:eastAsia="宋体" w:cs="宋体"/>
          <w:color w:val="auto"/>
          <w:lang w:eastAsia="zh-CN"/>
        </w:rPr>
      </w:pPr>
    </w:p>
    <w:p w14:paraId="6ECE4994">
      <w:pPr>
        <w:rPr>
          <w:rFonts w:hint="eastAsia" w:ascii="宋体" w:hAnsi="宋体" w:eastAsia="宋体" w:cs="宋体"/>
          <w:color w:val="auto"/>
          <w:lang w:eastAsia="zh-CN"/>
        </w:rPr>
      </w:pPr>
    </w:p>
    <w:p w14:paraId="2DC122C5">
      <w:pPr>
        <w:rPr>
          <w:rFonts w:hint="eastAsia" w:ascii="宋体" w:hAnsi="宋体" w:eastAsia="宋体" w:cs="宋体"/>
          <w:color w:val="auto"/>
          <w:lang w:eastAsia="zh-CN"/>
        </w:rPr>
      </w:pPr>
    </w:p>
    <w:p w14:paraId="330B0CE6">
      <w:pPr>
        <w:rPr>
          <w:rFonts w:hint="eastAsia" w:ascii="宋体" w:hAnsi="宋体" w:eastAsia="宋体" w:cs="宋体"/>
          <w:color w:val="auto"/>
          <w:lang w:eastAsia="zh-CN"/>
        </w:rPr>
      </w:pPr>
    </w:p>
    <w:p w14:paraId="3486AC9D">
      <w:pPr>
        <w:rPr>
          <w:rFonts w:hint="eastAsia" w:ascii="宋体" w:hAnsi="宋体" w:eastAsia="宋体" w:cs="宋体"/>
          <w:color w:val="auto"/>
          <w:lang w:eastAsia="zh-CN"/>
        </w:rPr>
      </w:pPr>
    </w:p>
    <w:p w14:paraId="59DD617D">
      <w:pPr>
        <w:pStyle w:val="3"/>
        <w:bidi w:val="0"/>
        <w:jc w:val="center"/>
        <w:rPr>
          <w:rFonts w:hint="eastAsia" w:ascii="宋体" w:hAnsi="宋体" w:eastAsia="宋体" w:cs="宋体"/>
          <w:b/>
          <w:bCs/>
          <w:color w:val="auto"/>
          <w:sz w:val="28"/>
          <w:szCs w:val="28"/>
          <w:highlight w:val="none"/>
          <w:lang w:eastAsia="zh-CN"/>
        </w:rPr>
      </w:pPr>
      <w:bookmarkStart w:id="143" w:name="_Toc16120"/>
      <w:r>
        <w:rPr>
          <w:rFonts w:hint="eastAsia" w:ascii="宋体" w:hAnsi="宋体" w:eastAsia="宋体" w:cs="宋体"/>
          <w:color w:val="auto"/>
        </w:rPr>
        <w:t>第八章</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最高投标限</w:t>
      </w:r>
      <w:r>
        <w:rPr>
          <w:rFonts w:hint="eastAsia" w:ascii="宋体" w:hAnsi="宋体" w:eastAsia="宋体" w:cs="宋体"/>
          <w:color w:val="auto"/>
        </w:rPr>
        <w:t>价</w:t>
      </w:r>
      <w:bookmarkEnd w:id="143"/>
    </w:p>
    <w:p w14:paraId="70CE19C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项目最高投标限价为人民币（大写）：陆佰壹拾壹万壹仟壹佰叁拾陆元肆角玖分（¥6,111,136.49元）。其中安全生产措施费为¥143,161.24元，暂列金额为¥475,687.42元，专业工程暂估价为¥10,000.00元。具体详见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5900"/>
        <w:gridCol w:w="3007"/>
      </w:tblGrid>
      <w:tr w14:paraId="3054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017091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序号</w:t>
            </w:r>
          </w:p>
        </w:tc>
        <w:tc>
          <w:tcPr>
            <w:tcW w:w="5900" w:type="dxa"/>
            <w:noWrap w:val="0"/>
            <w:vAlign w:val="center"/>
          </w:tcPr>
          <w:p w14:paraId="1FA520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项目内容</w:t>
            </w:r>
          </w:p>
        </w:tc>
        <w:tc>
          <w:tcPr>
            <w:tcW w:w="3007" w:type="dxa"/>
            <w:noWrap w:val="0"/>
            <w:vAlign w:val="center"/>
          </w:tcPr>
          <w:p w14:paraId="62676C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金额（元）</w:t>
            </w:r>
          </w:p>
        </w:tc>
      </w:tr>
      <w:tr w14:paraId="432C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256123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5900" w:type="dxa"/>
            <w:noWrap w:val="0"/>
            <w:vAlign w:val="center"/>
          </w:tcPr>
          <w:p w14:paraId="432C552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分部分项工程费</w:t>
            </w:r>
          </w:p>
        </w:tc>
        <w:tc>
          <w:tcPr>
            <w:tcW w:w="3007" w:type="dxa"/>
            <w:noWrap w:val="0"/>
            <w:vAlign w:val="center"/>
          </w:tcPr>
          <w:p w14:paraId="6D20DC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4756874.19</w:t>
            </w:r>
          </w:p>
        </w:tc>
      </w:tr>
      <w:tr w14:paraId="3F5F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14E3D7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5900" w:type="dxa"/>
            <w:noWrap w:val="0"/>
            <w:vAlign w:val="center"/>
          </w:tcPr>
          <w:p w14:paraId="5307CAC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寮浈共建标准厂房及其配套项目二期6＃楼改造项目</w:t>
            </w:r>
          </w:p>
        </w:tc>
        <w:tc>
          <w:tcPr>
            <w:tcW w:w="3007" w:type="dxa"/>
            <w:noWrap w:val="0"/>
            <w:vAlign w:val="center"/>
          </w:tcPr>
          <w:p w14:paraId="43F323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4756874.19</w:t>
            </w:r>
          </w:p>
        </w:tc>
      </w:tr>
      <w:tr w14:paraId="1C21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72DB8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1.1.1</w:t>
            </w:r>
          </w:p>
        </w:tc>
        <w:tc>
          <w:tcPr>
            <w:tcW w:w="5900" w:type="dxa"/>
            <w:noWrap w:val="0"/>
            <w:vAlign w:val="center"/>
          </w:tcPr>
          <w:p w14:paraId="1B1E117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建筑部分</w:t>
            </w:r>
          </w:p>
        </w:tc>
        <w:tc>
          <w:tcPr>
            <w:tcW w:w="3007" w:type="dxa"/>
            <w:noWrap w:val="0"/>
            <w:vAlign w:val="center"/>
          </w:tcPr>
          <w:p w14:paraId="30CEB3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2939417.82</w:t>
            </w:r>
          </w:p>
        </w:tc>
      </w:tr>
      <w:tr w14:paraId="06CF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042F76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1.1.2</w:t>
            </w:r>
          </w:p>
        </w:tc>
        <w:tc>
          <w:tcPr>
            <w:tcW w:w="5900" w:type="dxa"/>
            <w:noWrap w:val="0"/>
            <w:vAlign w:val="center"/>
          </w:tcPr>
          <w:p w14:paraId="740FDCC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围墙</w:t>
            </w:r>
          </w:p>
        </w:tc>
        <w:tc>
          <w:tcPr>
            <w:tcW w:w="3007" w:type="dxa"/>
            <w:noWrap w:val="0"/>
            <w:vAlign w:val="center"/>
          </w:tcPr>
          <w:p w14:paraId="5BFA09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138227.3</w:t>
            </w:r>
            <w:r>
              <w:rPr>
                <w:rFonts w:hint="eastAsia" w:ascii="宋体" w:hAnsi="宋体" w:eastAsia="宋体" w:cs="宋体"/>
                <w:color w:val="auto"/>
                <w:sz w:val="24"/>
                <w:szCs w:val="24"/>
                <w:lang w:val="en-US" w:eastAsia="zh-CN"/>
              </w:rPr>
              <w:t>0</w:t>
            </w:r>
          </w:p>
        </w:tc>
      </w:tr>
      <w:tr w14:paraId="0249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72790F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1.1.3</w:t>
            </w:r>
          </w:p>
        </w:tc>
        <w:tc>
          <w:tcPr>
            <w:tcW w:w="5900" w:type="dxa"/>
            <w:noWrap w:val="0"/>
            <w:vAlign w:val="center"/>
          </w:tcPr>
          <w:p w14:paraId="09B5CA8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安装工程</w:t>
            </w:r>
          </w:p>
        </w:tc>
        <w:tc>
          <w:tcPr>
            <w:tcW w:w="3007" w:type="dxa"/>
            <w:noWrap w:val="0"/>
            <w:vAlign w:val="center"/>
          </w:tcPr>
          <w:p w14:paraId="0CDCB6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1679229.07</w:t>
            </w:r>
          </w:p>
        </w:tc>
      </w:tr>
      <w:tr w14:paraId="039E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47814D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5900" w:type="dxa"/>
            <w:noWrap w:val="0"/>
            <w:vAlign w:val="center"/>
          </w:tcPr>
          <w:p w14:paraId="00655DC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措施项目费</w:t>
            </w:r>
          </w:p>
        </w:tc>
        <w:tc>
          <w:tcPr>
            <w:tcW w:w="3007" w:type="dxa"/>
            <w:noWrap w:val="0"/>
            <w:vAlign w:val="center"/>
          </w:tcPr>
          <w:p w14:paraId="5D39D9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364811.32</w:t>
            </w:r>
          </w:p>
        </w:tc>
      </w:tr>
      <w:tr w14:paraId="42F0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439CCE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5900" w:type="dxa"/>
            <w:noWrap w:val="0"/>
            <w:vAlign w:val="center"/>
          </w:tcPr>
          <w:p w14:paraId="3213B27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其中：安全生产措施费</w:t>
            </w:r>
          </w:p>
        </w:tc>
        <w:tc>
          <w:tcPr>
            <w:tcW w:w="3007" w:type="dxa"/>
            <w:noWrap w:val="0"/>
            <w:vAlign w:val="center"/>
          </w:tcPr>
          <w:p w14:paraId="63BC7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143161.24</w:t>
            </w:r>
          </w:p>
        </w:tc>
      </w:tr>
      <w:tr w14:paraId="3696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07965B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5900" w:type="dxa"/>
            <w:noWrap w:val="0"/>
            <w:vAlign w:val="center"/>
          </w:tcPr>
          <w:p w14:paraId="6AC9F80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其他项目费</w:t>
            </w:r>
          </w:p>
        </w:tc>
        <w:tc>
          <w:tcPr>
            <w:tcW w:w="3007" w:type="dxa"/>
            <w:noWrap w:val="0"/>
            <w:vAlign w:val="center"/>
          </w:tcPr>
          <w:p w14:paraId="189A5C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485687.42</w:t>
            </w:r>
          </w:p>
        </w:tc>
      </w:tr>
      <w:tr w14:paraId="126A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73B1C7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3.1</w:t>
            </w:r>
          </w:p>
        </w:tc>
        <w:tc>
          <w:tcPr>
            <w:tcW w:w="5900" w:type="dxa"/>
            <w:noWrap w:val="0"/>
            <w:vAlign w:val="center"/>
          </w:tcPr>
          <w:p w14:paraId="7EEE4A5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其中：暂列金额</w:t>
            </w:r>
          </w:p>
        </w:tc>
        <w:tc>
          <w:tcPr>
            <w:tcW w:w="3007" w:type="dxa"/>
            <w:noWrap w:val="0"/>
            <w:vAlign w:val="center"/>
          </w:tcPr>
          <w:p w14:paraId="077925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475687.42</w:t>
            </w:r>
          </w:p>
        </w:tc>
      </w:tr>
      <w:tr w14:paraId="1CB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2ABD75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w:t>
            </w:r>
          </w:p>
        </w:tc>
        <w:tc>
          <w:tcPr>
            <w:tcW w:w="5900" w:type="dxa"/>
            <w:noWrap w:val="0"/>
            <w:vAlign w:val="center"/>
          </w:tcPr>
          <w:p w14:paraId="52950C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其中：专业工程暂估价</w:t>
            </w:r>
          </w:p>
        </w:tc>
        <w:tc>
          <w:tcPr>
            <w:tcW w:w="3007" w:type="dxa"/>
            <w:noWrap w:val="0"/>
            <w:vAlign w:val="center"/>
          </w:tcPr>
          <w:p w14:paraId="670ACE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10000</w:t>
            </w:r>
            <w:r>
              <w:rPr>
                <w:rFonts w:hint="eastAsia" w:ascii="宋体" w:hAnsi="宋体" w:eastAsia="宋体" w:cs="宋体"/>
                <w:color w:val="auto"/>
                <w:sz w:val="24"/>
                <w:szCs w:val="24"/>
                <w:lang w:val="en-US" w:eastAsia="zh-CN"/>
              </w:rPr>
              <w:t>.00</w:t>
            </w:r>
          </w:p>
        </w:tc>
      </w:tr>
      <w:tr w14:paraId="1158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356BED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3.3</w:t>
            </w:r>
          </w:p>
        </w:tc>
        <w:tc>
          <w:tcPr>
            <w:tcW w:w="5900" w:type="dxa"/>
            <w:noWrap w:val="0"/>
            <w:vAlign w:val="center"/>
          </w:tcPr>
          <w:p w14:paraId="6C296F0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其中：计日工</w:t>
            </w:r>
          </w:p>
        </w:tc>
        <w:tc>
          <w:tcPr>
            <w:tcW w:w="3007" w:type="dxa"/>
            <w:noWrap w:val="0"/>
            <w:vAlign w:val="center"/>
          </w:tcPr>
          <w:p w14:paraId="4A1B34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p>
        </w:tc>
      </w:tr>
      <w:tr w14:paraId="2EAC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338585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w:t>
            </w:r>
          </w:p>
        </w:tc>
        <w:tc>
          <w:tcPr>
            <w:tcW w:w="5900" w:type="dxa"/>
            <w:noWrap w:val="0"/>
            <w:vAlign w:val="center"/>
          </w:tcPr>
          <w:p w14:paraId="4E1380A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其中：总承包服务费</w:t>
            </w:r>
          </w:p>
        </w:tc>
        <w:tc>
          <w:tcPr>
            <w:tcW w:w="3007" w:type="dxa"/>
            <w:noWrap w:val="0"/>
            <w:vAlign w:val="center"/>
          </w:tcPr>
          <w:p w14:paraId="4D34FB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p>
        </w:tc>
      </w:tr>
      <w:tr w14:paraId="50D1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41879E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w:t>
            </w:r>
          </w:p>
        </w:tc>
        <w:tc>
          <w:tcPr>
            <w:tcW w:w="5900" w:type="dxa"/>
            <w:noWrap w:val="0"/>
            <w:vAlign w:val="center"/>
          </w:tcPr>
          <w:p w14:paraId="54B4AC2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其中：合同中约定的其他项目</w:t>
            </w:r>
          </w:p>
        </w:tc>
        <w:tc>
          <w:tcPr>
            <w:tcW w:w="3007" w:type="dxa"/>
            <w:noWrap w:val="0"/>
            <w:vAlign w:val="center"/>
          </w:tcPr>
          <w:p w14:paraId="0D832D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p>
        </w:tc>
      </w:tr>
      <w:tr w14:paraId="6B1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516C97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5900" w:type="dxa"/>
            <w:noWrap w:val="0"/>
            <w:vAlign w:val="center"/>
          </w:tcPr>
          <w:p w14:paraId="743B5BE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税前工程造价</w:t>
            </w:r>
          </w:p>
        </w:tc>
        <w:tc>
          <w:tcPr>
            <w:tcW w:w="3007" w:type="dxa"/>
            <w:noWrap w:val="0"/>
            <w:vAlign w:val="center"/>
          </w:tcPr>
          <w:p w14:paraId="07A165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5607372.93</w:t>
            </w:r>
          </w:p>
        </w:tc>
      </w:tr>
      <w:tr w14:paraId="4DF0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5AF508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5900" w:type="dxa"/>
            <w:noWrap w:val="0"/>
            <w:vAlign w:val="center"/>
          </w:tcPr>
          <w:p w14:paraId="480F7C1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增值税</w:t>
            </w:r>
          </w:p>
        </w:tc>
        <w:tc>
          <w:tcPr>
            <w:tcW w:w="3007" w:type="dxa"/>
            <w:noWrap w:val="0"/>
            <w:vAlign w:val="center"/>
          </w:tcPr>
          <w:p w14:paraId="15AD3B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503763.56</w:t>
            </w:r>
          </w:p>
        </w:tc>
      </w:tr>
      <w:tr w14:paraId="77DC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297B1F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5900" w:type="dxa"/>
            <w:noWrap w:val="0"/>
            <w:vAlign w:val="center"/>
          </w:tcPr>
          <w:p w14:paraId="1E6491A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合计</w:t>
            </w:r>
          </w:p>
        </w:tc>
        <w:tc>
          <w:tcPr>
            <w:tcW w:w="3007" w:type="dxa"/>
            <w:noWrap w:val="0"/>
            <w:vAlign w:val="center"/>
          </w:tcPr>
          <w:p w14:paraId="47077F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6111136.49</w:t>
            </w:r>
          </w:p>
        </w:tc>
      </w:tr>
    </w:tbl>
    <w:p w14:paraId="4B9D5A82">
      <w:pPr>
        <w:rPr>
          <w:rFonts w:hint="eastAsia" w:ascii="宋体" w:hAnsi="宋体" w:eastAsia="宋体" w:cs="宋体"/>
          <w:color w:val="auto"/>
        </w:rPr>
      </w:pPr>
    </w:p>
    <w:sectPr>
      <w:footerReference r:id="rId5" w:type="default"/>
      <w:pgSz w:w="11906" w:h="16838"/>
      <w:pgMar w:top="1134" w:right="1134" w:bottom="1134" w:left="1134"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218A">
    <w:pPr>
      <w:pStyle w:val="14"/>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F0C3C0"/>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62F0C3C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A2B0">
    <w:pPr>
      <w:pStyle w:val="14"/>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ED10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ED10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C8E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6B080"/>
    <w:multiLevelType w:val="singleLevel"/>
    <w:tmpl w:val="C0F6B080"/>
    <w:lvl w:ilvl="0" w:tentative="0">
      <w:start w:val="4"/>
      <w:numFmt w:val="decimal"/>
      <w:suff w:val="nothing"/>
      <w:lvlText w:val="（%1）"/>
      <w:lvlJc w:val="left"/>
      <w:rPr>
        <w:rFonts w:hint="default"/>
        <w:color w:val="000000"/>
      </w:rPr>
    </w:lvl>
  </w:abstractNum>
  <w:abstractNum w:abstractNumId="1">
    <w:nsid w:val="E3CD69B4"/>
    <w:multiLevelType w:val="singleLevel"/>
    <w:tmpl w:val="E3CD69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72FA8"/>
    <w:rsid w:val="07C17B6D"/>
    <w:rsid w:val="093E11F8"/>
    <w:rsid w:val="0B931810"/>
    <w:rsid w:val="0C594239"/>
    <w:rsid w:val="0C9734E7"/>
    <w:rsid w:val="0E082D8B"/>
    <w:rsid w:val="10514DE8"/>
    <w:rsid w:val="10E81DB8"/>
    <w:rsid w:val="12F96745"/>
    <w:rsid w:val="16E566F8"/>
    <w:rsid w:val="183949A3"/>
    <w:rsid w:val="19E40B2B"/>
    <w:rsid w:val="1E7D7293"/>
    <w:rsid w:val="24D7321B"/>
    <w:rsid w:val="260E1D77"/>
    <w:rsid w:val="262072E0"/>
    <w:rsid w:val="29566EF5"/>
    <w:rsid w:val="29F929B9"/>
    <w:rsid w:val="30072FA8"/>
    <w:rsid w:val="34EA459B"/>
    <w:rsid w:val="382D2E86"/>
    <w:rsid w:val="3838207B"/>
    <w:rsid w:val="39CA7F9C"/>
    <w:rsid w:val="3A913F41"/>
    <w:rsid w:val="3F536A0B"/>
    <w:rsid w:val="409F0961"/>
    <w:rsid w:val="447A4D50"/>
    <w:rsid w:val="45D70E28"/>
    <w:rsid w:val="474A22AA"/>
    <w:rsid w:val="479C6D8B"/>
    <w:rsid w:val="4C0B0FA8"/>
    <w:rsid w:val="4C227E9B"/>
    <w:rsid w:val="4D7961AB"/>
    <w:rsid w:val="4F4A0D86"/>
    <w:rsid w:val="501C6CBB"/>
    <w:rsid w:val="50A943A1"/>
    <w:rsid w:val="513D2AA3"/>
    <w:rsid w:val="51E156D8"/>
    <w:rsid w:val="55B60A94"/>
    <w:rsid w:val="575D28BE"/>
    <w:rsid w:val="5A376E68"/>
    <w:rsid w:val="5A6E45B7"/>
    <w:rsid w:val="5BC860E2"/>
    <w:rsid w:val="5C43522A"/>
    <w:rsid w:val="5C627D9A"/>
    <w:rsid w:val="5E1831B8"/>
    <w:rsid w:val="5F5A6ED0"/>
    <w:rsid w:val="5F89029A"/>
    <w:rsid w:val="5F990405"/>
    <w:rsid w:val="6166248C"/>
    <w:rsid w:val="61D60A01"/>
    <w:rsid w:val="61E735F4"/>
    <w:rsid w:val="62652744"/>
    <w:rsid w:val="6369613F"/>
    <w:rsid w:val="65300B2F"/>
    <w:rsid w:val="6645502F"/>
    <w:rsid w:val="674F5576"/>
    <w:rsid w:val="67661800"/>
    <w:rsid w:val="688A2738"/>
    <w:rsid w:val="69084DCC"/>
    <w:rsid w:val="692722AA"/>
    <w:rsid w:val="69463864"/>
    <w:rsid w:val="6A846B5B"/>
    <w:rsid w:val="6A8D10A3"/>
    <w:rsid w:val="6C30791F"/>
    <w:rsid w:val="6CF0610E"/>
    <w:rsid w:val="6F9F00AC"/>
    <w:rsid w:val="720C4819"/>
    <w:rsid w:val="729241B5"/>
    <w:rsid w:val="73174B48"/>
    <w:rsid w:val="736473A9"/>
    <w:rsid w:val="75722D38"/>
    <w:rsid w:val="75924E7E"/>
    <w:rsid w:val="78466CAF"/>
    <w:rsid w:val="7B1402EC"/>
    <w:rsid w:val="7C370DFC"/>
    <w:rsid w:val="7CB4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1830"/>
      </w:tabs>
      <w:spacing w:line="480" w:lineRule="exact"/>
      <w:ind w:left="1830" w:hanging="480"/>
      <w:jc w:val="left"/>
      <w:outlineLvl w:val="0"/>
    </w:pPr>
    <w:rPr>
      <w:rFonts w:ascii="宋体" w:hAnsi="宋体"/>
      <w:b/>
      <w:sz w:val="28"/>
    </w:rPr>
  </w:style>
  <w:style w:type="paragraph" w:styleId="4">
    <w:name w:val="heading 2"/>
    <w:basedOn w:val="1"/>
    <w:next w:val="1"/>
    <w:qFormat/>
    <w:uiPriority w:val="0"/>
    <w:pPr>
      <w:keepNext/>
      <w:tabs>
        <w:tab w:val="left" w:pos="1995"/>
      </w:tabs>
      <w:spacing w:line="480" w:lineRule="exact"/>
      <w:ind w:left="1995" w:hanging="720"/>
      <w:jc w:val="left"/>
      <w:outlineLvl w:val="1"/>
    </w:pPr>
    <w:rPr>
      <w:rFonts w:ascii="宋体" w:hAnsi="宋体"/>
      <w:b/>
      <w:sz w:val="28"/>
    </w:rPr>
  </w:style>
  <w:style w:type="paragraph" w:styleId="5">
    <w:name w:val="heading 3"/>
    <w:basedOn w:val="6"/>
    <w:next w:val="6"/>
    <w:qFormat/>
    <w:uiPriority w:val="0"/>
    <w:pPr>
      <w:keepNext/>
      <w:keepLines/>
      <w:spacing w:before="260" w:beforeLines="0" w:after="260" w:afterLines="0"/>
      <w:jc w:val="center"/>
      <w:outlineLvl w:val="2"/>
    </w:pPr>
    <w:rPr>
      <w:rFonts w:eastAsia="宋体"/>
      <w:b/>
      <w:bCs/>
      <w:sz w:val="28"/>
      <w:szCs w:val="32"/>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宋体"/>
      <w:kern w:val="2"/>
      <w:sz w:val="21"/>
      <w:lang w:val="en-US" w:eastAsia="zh-CN" w:bidi="ar-SA"/>
    </w:rPr>
  </w:style>
  <w:style w:type="paragraph" w:styleId="7">
    <w:name w:val="annotation text"/>
    <w:basedOn w:val="1"/>
    <w:qFormat/>
    <w:uiPriority w:val="0"/>
    <w:pPr>
      <w:jc w:val="left"/>
    </w:pPr>
    <w:rPr>
      <w:rFonts w:ascii="宋体" w:hAnsi="Times New Roman" w:eastAsia="宋体" w:cs="Times New Roman"/>
      <w:sz w:val="28"/>
      <w:szCs w:val="20"/>
    </w:rPr>
  </w:style>
  <w:style w:type="paragraph" w:styleId="8">
    <w:name w:val="Salutation"/>
    <w:basedOn w:val="1"/>
    <w:next w:val="1"/>
    <w:qFormat/>
    <w:uiPriority w:val="0"/>
  </w:style>
  <w:style w:type="paragraph" w:styleId="9">
    <w:name w:val="Body Text"/>
    <w:basedOn w:val="1"/>
    <w:next w:val="1"/>
    <w:qFormat/>
    <w:uiPriority w:val="0"/>
    <w:pPr>
      <w:spacing w:after="120" w:afterLines="0"/>
    </w:pPr>
    <w:rPr>
      <w:rFonts w:eastAsia="宋体"/>
      <w:kern w:val="2"/>
      <w:sz w:val="21"/>
      <w:szCs w:val="24"/>
      <w:lang w:val="en-US" w:eastAsia="zh-CN" w:bidi="ar-SA"/>
    </w:rPr>
  </w:style>
  <w:style w:type="paragraph" w:styleId="10">
    <w:name w:val="Body Text Indent"/>
    <w:basedOn w:val="1"/>
    <w:next w:val="11"/>
    <w:qFormat/>
    <w:uiPriority w:val="0"/>
    <w:pPr>
      <w:ind w:firstLine="480"/>
      <w:jc w:val="center"/>
    </w:pPr>
    <w:rPr>
      <w:rFonts w:eastAsia="黑体"/>
      <w:sz w:val="44"/>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840" w:leftChars="400"/>
    </w:pPr>
    <w:rPr>
      <w:rFonts w:ascii="Calibri" w:hAnsi="Calibri"/>
      <w:szCs w:val="22"/>
    </w:rPr>
  </w:style>
  <w:style w:type="paragraph" w:styleId="13">
    <w:name w:val="Plain Text"/>
    <w:basedOn w:val="1"/>
    <w:qFormat/>
    <w:uiPriority w:val="0"/>
    <w:rPr>
      <w:rFonts w:ascii="宋体" w:hAnsi="Courier New" w:eastAsia="宋体"/>
      <w:kern w:val="2"/>
      <w:sz w:val="21"/>
      <w:lang w:val="en-US" w:eastAsia="zh-CN" w:bidi="ar-SA"/>
    </w:rPr>
  </w:style>
  <w:style w:type="paragraph" w:styleId="14">
    <w:name w:val="footer"/>
    <w:basedOn w:val="1"/>
    <w:next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next w:val="14"/>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7">
    <w:name w:val="toc 2"/>
    <w:basedOn w:val="1"/>
    <w:next w:val="1"/>
    <w:qFormat/>
    <w:uiPriority w:val="0"/>
    <w:pPr>
      <w:ind w:left="420" w:leftChars="200"/>
    </w:pPr>
    <w:rPr>
      <w:rFonts w:ascii="宋体"/>
      <w:b/>
      <w:sz w:val="28"/>
      <w:szCs w:val="20"/>
    </w:rPr>
  </w:style>
  <w:style w:type="paragraph" w:styleId="18">
    <w:name w:val="Body Text 2"/>
    <w:basedOn w:val="1"/>
    <w:next w:val="9"/>
    <w:qFormat/>
    <w:uiPriority w:val="0"/>
    <w:pPr>
      <w:spacing w:after="120" w:afterLines="0" w:line="480" w:lineRule="auto"/>
    </w:pPr>
  </w:style>
  <w:style w:type="paragraph" w:styleId="19">
    <w:name w:val="Normal (Web)"/>
    <w:basedOn w:val="1"/>
    <w:qFormat/>
    <w:uiPriority w:val="0"/>
    <w:pPr>
      <w:widowControl/>
      <w:spacing w:before="100" w:beforeLines="0" w:after="100" w:afterLines="0"/>
      <w:jc w:val="left"/>
    </w:pPr>
    <w:rPr>
      <w:rFonts w:ascii="宋体" w:hAnsi="宋体"/>
      <w:kern w:val="0"/>
      <w:sz w:val="24"/>
      <w:szCs w:val="20"/>
    </w:rPr>
  </w:style>
  <w:style w:type="paragraph" w:styleId="20">
    <w:name w:val="Body Text First Indent"/>
    <w:basedOn w:val="9"/>
    <w:next w:val="1"/>
    <w:qFormat/>
    <w:uiPriority w:val="0"/>
    <w:pPr>
      <w:ind w:firstLine="420"/>
    </w:pPr>
  </w:style>
  <w:style w:type="paragraph" w:styleId="21">
    <w:name w:val="Body Text First Indent 2"/>
    <w:basedOn w:val="10"/>
    <w:next w:val="22"/>
    <w:qFormat/>
    <w:uiPriority w:val="0"/>
    <w:pPr>
      <w:spacing w:after="120"/>
      <w:ind w:left="420" w:leftChars="200" w:firstLine="420" w:firstLineChars="200"/>
    </w:pPr>
    <w:rPr>
      <w:sz w:val="21"/>
      <w:szCs w:val="24"/>
    </w:rPr>
  </w:style>
  <w:style w:type="paragraph" w:customStyle="1" w:styleId="22">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Emphasis"/>
    <w:basedOn w:val="25"/>
    <w:qFormat/>
    <w:uiPriority w:val="0"/>
    <w:rPr>
      <w:i/>
      <w:iCs/>
    </w:rPr>
  </w:style>
  <w:style w:type="paragraph" w:customStyle="1" w:styleId="2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30">
    <w:name w:val="NormalCharacter"/>
    <w:semiHidden/>
    <w:qFormat/>
    <w:uiPriority w:val="0"/>
    <w:rPr>
      <w:rFonts w:ascii="宋体"/>
      <w:kern w:val="2"/>
      <w:sz w:val="24"/>
      <w:lang w:val="en-US" w:eastAsia="zh-CN" w:bidi="ar-SA"/>
    </w:rPr>
  </w:style>
  <w:style w:type="paragraph" w:customStyle="1" w:styleId="31">
    <w:name w:val="正文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32">
    <w:name w:val="普通(网站)1"/>
    <w:basedOn w:val="1"/>
    <w:qFormat/>
    <w:uiPriority w:val="0"/>
    <w:pPr>
      <w:spacing w:before="100" w:beforeAutospacing="1" w:after="100" w:afterAutospacing="1"/>
      <w:jc w:val="left"/>
    </w:pPr>
    <w:rPr>
      <w:rFonts w:ascii="宋体" w:hAnsi="宋体" w:eastAsia="宋体"/>
      <w:kern w:val="0"/>
      <w:sz w:val="24"/>
    </w:rPr>
  </w:style>
  <w:style w:type="paragraph" w:customStyle="1" w:styleId="33">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4">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35">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customStyle="1" w:styleId="36">
    <w:name w:val="正文 New New New New New New New New New New New New New New"/>
    <w:basedOn w:val="1"/>
    <w:qFormat/>
    <w:uiPriority w:val="0"/>
    <w:pPr>
      <w:spacing w:line="240" w:lineRule="auto"/>
    </w:pPr>
    <w:rPr>
      <w:rFonts w:ascii="Times New Roman" w:eastAsia="楷体_GB2312"/>
      <w:sz w:val="21"/>
      <w:szCs w:val="21"/>
    </w:rPr>
  </w:style>
  <w:style w:type="paragraph" w:customStyle="1" w:styleId="3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标题 3 New New"/>
    <w:basedOn w:val="41"/>
    <w:next w:val="41"/>
    <w:qFormat/>
    <w:uiPriority w:val="0"/>
    <w:pPr>
      <w:keepNext/>
      <w:keepLines/>
      <w:widowControl/>
      <w:suppressLineNumbers w:val="0"/>
      <w:spacing w:before="120" w:beforeAutospacing="0" w:after="120" w:afterAutospacing="0" w:line="360" w:lineRule="auto"/>
      <w:ind w:left="0" w:right="0" w:firstLine="420"/>
      <w:jc w:val="center"/>
      <w:outlineLvl w:val="2"/>
    </w:pPr>
    <w:rPr>
      <w:rFonts w:hint="eastAsia" w:ascii="宋体" w:hAnsi="Times New Roman" w:eastAsia="宋体" w:cs="Times New Roman"/>
      <w:kern w:val="0"/>
      <w:sz w:val="24"/>
      <w:szCs w:val="24"/>
      <w:lang w:val="en-US" w:eastAsia="zh-CN" w:bidi="ar"/>
    </w:rPr>
  </w:style>
  <w:style w:type="paragraph" w:customStyle="1" w:styleId="41">
    <w:name w:val="正文缩进 New"/>
    <w:basedOn w:val="42"/>
    <w:qFormat/>
    <w:uiPriority w:val="0"/>
    <w:pPr>
      <w:keepNext w:val="0"/>
      <w:keepLines w:val="0"/>
      <w:widowControl/>
      <w:suppressLineNumbers w:val="0"/>
      <w:spacing w:before="0" w:beforeAutospacing="0" w:after="0" w:afterAutospacing="0" w:line="360" w:lineRule="auto"/>
      <w:ind w:left="0" w:right="0" w:firstLine="420"/>
      <w:jc w:val="left"/>
    </w:pPr>
    <w:rPr>
      <w:rFonts w:hint="eastAsia" w:ascii="宋体" w:hAnsi="Times New Roman" w:eastAsia="宋体" w:cs="Times New Roman"/>
      <w:kern w:val="0"/>
      <w:sz w:val="20"/>
      <w:szCs w:val="20"/>
      <w:lang w:val="en-US" w:eastAsia="zh-CN" w:bidi="ar"/>
    </w:rPr>
  </w:style>
  <w:style w:type="paragraph" w:customStyle="1" w:styleId="42">
    <w:name w:val="正文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360" w:lineRule="auto"/>
      <w:ind w:left="0" w:right="0"/>
      <w:jc w:val="both"/>
    </w:pPr>
    <w:rPr>
      <w:rFonts w:hint="eastAsia" w:ascii="宋体" w:hAnsi="Times New Roman" w:eastAsia="宋体" w:cs="Times New Roman"/>
      <w:kern w:val="2"/>
      <w:sz w:val="24"/>
      <w:szCs w:val="24"/>
      <w:lang w:val="en-US" w:eastAsia="zh-CN" w:bidi="ar"/>
    </w:rPr>
  </w:style>
  <w:style w:type="paragraph" w:customStyle="1" w:styleId="43">
    <w:name w:val="正文文本缩进 New"/>
    <w:basedOn w:val="42"/>
    <w:qFormat/>
    <w:uiPriority w:val="0"/>
    <w:pPr>
      <w:keepNext w:val="0"/>
      <w:keepLines w:val="0"/>
      <w:widowControl w:val="0"/>
      <w:suppressLineNumbers w:val="0"/>
      <w:spacing w:before="0" w:beforeAutospacing="0" w:after="0" w:afterAutospacing="0" w:line="360" w:lineRule="auto"/>
      <w:ind w:left="0" w:right="0" w:firstLine="560" w:firstLineChars="200"/>
      <w:jc w:val="both"/>
    </w:pPr>
    <w:rPr>
      <w:rFonts w:hint="eastAsia" w:ascii="宋体" w:hAnsi="Times New Roman" w:eastAsia="宋体" w:cs="Times New Roman"/>
      <w:kern w:val="2"/>
      <w:sz w:val="24"/>
      <w:szCs w:val="24"/>
      <w:lang w:val="en-US" w:eastAsia="zh-CN" w:bidi="ar"/>
    </w:rPr>
  </w:style>
  <w:style w:type="paragraph" w:customStyle="1" w:styleId="44">
    <w:name w:val="正文 New New New New New New New New New New New New New New New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4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166d82aa-6b3b-4c93-aac9-e09aa01106e8</errorID>
      <errorWord>（</errorWord>
      <group>L1_Punc</group>
      <groupName>标点问题</groupName>
      <ability>L2_Punc_CN</ability>
      <abilityName>标点符号问题</abilityName>
      <candidateList/>
      <explain>同一形式括号套用。</explain>
      <paraID>77845E9C</paraID>
      <start>73</start>
      <end>74</end>
      <status>ignored</status>
      <modifiedWord/>
      <trackRevisions>false</trackRevisions>
    </reviewItem>
    <reviewItem>
      <errorID>36c2d9a3-e24d-49ca-9d08-a5541cdc054e</errorID>
      <errorWord>）</errorWord>
      <group>L1_Punc</group>
      <groupName>标点问题</groupName>
      <ability>L2_Punc_CN</ability>
      <abilityName>标点符号问题</abilityName>
      <candidateList/>
      <explain>同一形式括号套用。</explain>
      <paraID>77845E9C</paraID>
      <start>88</start>
      <end>89</end>
      <status>ignored</status>
      <modifiedWord/>
      <trackRevisions>false</trackRevisions>
    </reviewItem>
    <reviewItem>
      <errorID>66bacf3b-5b6e-4a3a-9470-258234346dda</errorID>
      <errorWord>（</errorWord>
      <group>L1_Punc</group>
      <groupName>标点问题</groupName>
      <ability>L2_Punc_CN</ability>
      <abilityName>标点符号问题</abilityName>
      <candidateList/>
      <explain>同一形式括号套用。</explain>
      <paraID>6F570F60</paraID>
      <start>75</start>
      <end>76</end>
      <status>ignored</status>
      <modifiedWord/>
      <trackRevisions>false</trackRevisions>
    </reviewItem>
    <reviewItem>
      <errorID>bbccfba3-6561-4c6e-bcec-c43eaca59eca</errorID>
      <errorWord>）</errorWord>
      <group>L1_Punc</group>
      <groupName>标点问题</groupName>
      <ability>L2_Punc_CN</ability>
      <abilityName>标点符号问题</abilityName>
      <candidateList/>
      <explain>同一形式括号套用。</explain>
      <paraID>6F570F60</paraID>
      <start>90</start>
      <end>91</end>
      <status>ignored</status>
      <modifiedWord/>
      <trackRevisions>false</trackRevisions>
    </reviewItem>
    <reviewItem>
      <errorID>a67f96c4-8285-4077-b463-3a77bc395ada</errorID>
      <errorWord>证</errorWord>
      <group>L1_Word</group>
      <groupName>字词问题</groupName>
      <ability>L2_Typo</ability>
      <abilityName>字词错误</abilityName>
      <candidateList>
        <item>证金</item>
      </candidateList>
      <explain/>
      <paraID>45174820</paraID>
      <start>19</start>
      <end>20</end>
      <status>ignored</status>
      <modifiedWord/>
      <trackRevisions>false</trackRevisions>
    </reviewItem>
    <reviewItem>
      <errorID>61251e5d-b295-4c2f-bc29-314c7609ccec</errorID>
      <errorWord>证</errorWord>
      <group>L1_Word</group>
      <groupName>字词问题</groupName>
      <ability>L2_Typo</ability>
      <abilityName>字词错误</abilityName>
      <candidateList>
        <item>证金</item>
      </candidateList>
      <explain/>
      <paraID>47AA0853</paraID>
      <start>25</start>
      <end>26</end>
      <status>ignored</status>
      <modifiedWord/>
      <trackRevisions>false</trackRevisions>
    </reviewItem>
    <reviewItem>
      <errorID>45a7ab42-fdb9-4705-8563-5d290a7dae12</errorID>
      <errorWord>条款</errorWord>
      <group>L1_Word</group>
      <groupName>字词问题</groupName>
      <ability>L2_Typo</ability>
      <abilityName>字词错误</abilityName>
      <candidateList>
        <item>条</item>
      </candidateList>
      <explain/>
      <paraID>666D102E</paraID>
      <start>10</start>
      <end>12</end>
      <status>ignored</status>
      <modifiedWord/>
      <trackRevisions>false</trackRevisions>
    </reviewItem>
    <reviewItem>
      <errorID>10d4f5e1-0866-4547-8e11-ee50285bbd3e</errorID>
      <errorWord>保证缴</errorWord>
      <group>L1_Word</group>
      <groupName>字词问题</groupName>
      <ability>L2_Typo</ability>
      <abilityName>字词错误</abilityName>
      <candidateList>
        <item>保证金</item>
      </candidateList>
      <explain/>
      <paraID>6EA8A05A</paraID>
      <start>2</start>
      <end>5</end>
      <status>ignored</status>
      <modifiedWord/>
      <trackRevisions>false</trackRevisions>
    </reviewItem>
    <reviewItem>
      <errorID>43ac0030-15f4-4023-9807-c15be9f1d643</errorID>
      <errorWord>纳</errorWord>
      <group>L1_Word</group>
      <groupName>字词问题</groupName>
      <ability>L2_Typo</ability>
      <abilityName>字词错误</abilityName>
      <candidateList>
        <item>的</item>
      </candidateList>
      <explain>“的”常用于连接修饰语与名词性中心语，表示属性、所属或描述。</explain>
      <paraID>4A3C97C7</paraID>
      <start>0</start>
      <end>1</end>
      <status>ignored</status>
      <modifiedWord/>
      <trackRevisions>false</trackRevisions>
    </reviewItem>
    <reviewItem>
      <errorID>b678cf91-87bc-48ae-ab8f-ad267d4c1f15</errorID>
      <errorWord>法律、法规</errorWord>
      <group>L1_Word</group>
      <groupName>字词问题</groupName>
      <ability>L2_Typo</ability>
      <abilityName>字词错误</abilityName>
      <candidateList>
        <item>法律法规</item>
      </candidateList>
      <explain/>
      <paraID>75F3CD25</paraID>
      <start>22</start>
      <end>27</end>
      <status>ignored</status>
      <modifiedWord/>
      <trackRevisions>false</trackRevisions>
    </reviewItem>
    <reviewItem>
      <errorID>57e20d19-1ca5-41b6-81f5-4096c5d1d40e</errorID>
      <errorWord>国家工业和信息化部</errorWord>
      <group>L1_Political</group>
      <groupName>政治性问题</groupName>
      <ability>L2_Unpolitical</ability>
      <abilityName>政治敏感错误</abilityName>
      <candidateList>
        <item>工业和信息化部</item>
      </candidateList>
      <explain/>
      <paraID>65893364</paraID>
      <start>9</start>
      <end>18</end>
      <status>ignored</status>
      <modifiedWord/>
      <trackRevisions>false</trackRevisions>
    </reviewItem>
    <reviewItem>
      <errorID>8aa9c013-fdcb-4c0a-b297-80840ac535a3</errorID>
      <errorWord>证</errorWord>
      <group>L1_Word</group>
      <groupName>字词问题</groupName>
      <ability>L2_Typo</ability>
      <abilityName>字词错误</abilityName>
      <candidateList>
        <item>证金</item>
      </candidateList>
      <explain/>
      <paraID> 9A85513</paraID>
      <start>6</start>
      <end>7</end>
      <status>ignored</status>
      <modifiedWord/>
      <trackRevisions>false</trackRevisions>
    </reviewItem>
    <reviewItem>
      <errorID>cac44d85-1cb1-4e06-92f4-d6e3531cc288</errorID>
      <errorWord>（</errorWord>
      <group>L1_Punc</group>
      <groupName>标点问题</groupName>
      <ability>L2_Punc_CN</ability>
      <abilityName>标点符号问题</abilityName>
      <candidateList/>
      <explain>同一形式括号套用。</explain>
      <paraID>11305954</paraID>
      <start>111</start>
      <end>112</end>
      <status>ignored</status>
      <modifiedWord/>
      <trackRevisions>false</trackRevisions>
    </reviewItem>
    <reviewItem>
      <errorID>1a787e88-e7dd-466b-9070-5bc1759b5a79</errorID>
      <errorWord>）</errorWord>
      <group>L1_Punc</group>
      <groupName>标点问题</groupName>
      <ability>L2_Punc_CN</ability>
      <abilityName>标点符号问题</abilityName>
      <candidateList/>
      <explain>同一形式括号套用。</explain>
      <paraID>11305954</paraID>
      <start>114</start>
      <end>115</end>
      <status>ignored</status>
      <modifiedWord/>
      <trackRevisions>false</trackRevisions>
    </reviewItem>
    <reviewItem>
      <errorID>500d8267-881b-4467-a90a-e01d091fe6ef</errorID>
      <errorWord>法律、法规</errorWord>
      <group>L1_Word</group>
      <groupName>字词问题</groupName>
      <ability>L2_Typo</ability>
      <abilityName>字词错误</abilityName>
      <candidateList>
        <item>法律法规</item>
      </candidateList>
      <explain/>
      <paraID>5BE6AAD7</paraID>
      <start>5</start>
      <end>10</end>
      <status>ignored</status>
      <modifiedWord/>
      <trackRevisions>false</trackRevisions>
    </reviewItem>
    <reviewItem>
      <errorID>f0a7eda9-ae60-4289-a3b1-bc088f05266b</errorID>
      <errorWord>收</errorWord>
      <group>L1_Word</group>
      <groupName>字词问题</groupName>
      <ability>L2_Typo</ability>
      <abilityName>字词错误</abilityName>
      <candidateList>
        <item>收到</item>
      </candidateList>
      <explain/>
      <paraID>70073BEE</paraID>
      <start>11</start>
      <end>12</end>
      <status>ignored</status>
      <modifiedWord/>
      <trackRevisions>false</trackRevisions>
    </reviewItem>
    <reviewItem>
      <errorID>c86b8cdc-29c9-43d0-814d-ea753d81511a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442AA16B</paraID>
      <start>254</start>
      <end>256</end>
      <status>ignored</status>
      <modifiedWord/>
      <trackRevisions>false</trackRevisions>
    </reviewItem>
    <reviewItem>
      <errorID>bd6e9c58-ec39-4b7f-9bc8-11566b7da9f7</errorID>
      <errorWord>联合体中</errorWord>
      <group>L1_Word</group>
      <groupName>字词问题</groupName>
      <ability>L2_Typo</ability>
      <abilityName>字词错误</abilityName>
      <candidateList>
        <item>联合体</item>
      </candidateList>
      <explain/>
      <paraID>7E641017</paraID>
      <start>41</start>
      <end>45</end>
      <status>ignored</status>
      <modifiedWord/>
      <trackRevisions>false</trackRevisions>
    </reviewItem>
    <reviewItem>
      <errorID>92aebdf6-8e5e-4281-99f5-543831a076a8</errorID>
      <errorWord>法律、法规</errorWord>
      <group>L1_Word</group>
      <groupName>字词问题</groupName>
      <ability>L2_Typo</ability>
      <abilityName>字词错误</abilityName>
      <candidateList>
        <item>法律法规</item>
      </candidateList>
      <explain/>
      <paraID>3C418608</paraID>
      <start>3</start>
      <end>8</end>
      <status>ignored</status>
      <modifiedWord/>
      <trackRevisions>false</trackRevisions>
    </reviewItem>
    <reviewItem>
      <errorID>3d93b6c9-7d05-4496-bef0-bf50fbde8c2f</errorID>
      <errorWord>证</errorWord>
      <group>L1_Word</group>
      <groupName>字词问题</groupName>
      <ability>L2_Typo</ability>
      <abilityName>字词错误</abilityName>
      <candidateList>
        <item>证金</item>
      </candidateList>
      <explain/>
      <paraID>3A0B0A36</paraID>
      <start>31</start>
      <end>32</end>
      <status>ignored</status>
      <modifiedWord/>
      <trackRevisions>false</trackRevisions>
    </reviewItem>
    <reviewItem>
      <errorID>fcd0bbe4-0cba-40a2-bf22-f27a1b38d4ee</errorID>
      <errorWord>证</errorWord>
      <group>L1_Word</group>
      <groupName>字词问题</groupName>
      <ability>L2_Typo</ability>
      <abilityName>字词错误</abilityName>
      <candidateList>
        <item>证金</item>
      </candidateList>
      <explain/>
      <paraID>6F55AECE</paraID>
      <start>30</start>
      <end>31</end>
      <status>ignored</status>
      <modifiedWord/>
      <trackRevisions>false</trackRevisions>
    </reviewItem>
    <reviewItem>
      <errorID>28ff4227-2165-4db5-afeb-ca171d0b705d</errorID>
      <errorWord>证</errorWord>
      <group>L1_Word</group>
      <groupName>字词问题</groupName>
      <ability>L2_Typo</ability>
      <abilityName>字词错误</abilityName>
      <candidateList>
        <item>证金</item>
      </candidateList>
      <explain/>
      <paraID>6F55AECE</paraID>
      <start>93</start>
      <end>94</end>
      <status>ignored</status>
      <modifiedWord/>
      <trackRevisions>false</trackRevisions>
    </reviewItem>
    <reviewItem>
      <errorID>a67d3fcc-ee58-4edf-9447-5f46eb47ec36</errorID>
      <errorWord>证</errorWord>
      <group>L1_Word</group>
      <groupName>字词问题</groupName>
      <ability>L2_Typo</ability>
      <abilityName>字词错误</abilityName>
      <candidateList>
        <item>证金</item>
      </candidateList>
      <explain/>
      <paraID>25ACB460</paraID>
      <start>91</start>
      <end>92</end>
      <status>ignored</status>
      <modifiedWord/>
      <trackRevisions>false</trackRevisions>
    </reviewItem>
    <reviewItem>
      <errorID>cba47cfc-6c19-4c55-adbb-9283f4ac2390</errorID>
      <errorWord>证</errorWord>
      <group>L1_Word</group>
      <groupName>字词问题</groupName>
      <ability>L2_Typo</ability>
      <abilityName>字词错误</abilityName>
      <candidateList>
        <item>证金</item>
      </candidateList>
      <explain/>
      <paraID>621FF29A</paraID>
      <start>51</start>
      <end>52</end>
      <status>ignored</status>
      <modifiedWord/>
      <trackRevisions>false</trackRevisions>
    </reviewItem>
    <reviewItem>
      <errorID>c492d4ee-157b-4661-8240-eb5b76800d8e</errorID>
      <errorWord>纪检监察等机关</errorWord>
      <group>L1_Political</group>
      <groupName>政治性问题</groupName>
      <ability>L2_Keyword</ability>
      <abilityName>固定表述</abilityName>
      <candidateList>
        <item>纪检监察机关</item>
      </candidateList>
      <explain>词汇“纪检监察机关”在特定场景下为固定表述形式，请确认此处的“纪检监察等机关”是否存在不当。</explain>
      <paraID> 912C035</paraID>
      <start>15</start>
      <end>22</end>
      <status>ignored</status>
      <modifiedWord/>
      <trackRevisions>false</trackRevisions>
    </reviewItem>
    <reviewItem>
      <errorID>77dd953b-474c-493e-9688-0bbc1c165ea1</errorID>
      <errorWord>证</errorWord>
      <group>L1_Word</group>
      <groupName>字词问题</groupName>
      <ability>L2_Typo</ability>
      <abilityName>字词错误</abilityName>
      <candidateList>
        <item>证金</item>
      </candidateList>
      <explain/>
      <paraID>5FECADA4</paraID>
      <start>30</start>
      <end>31</end>
      <status>ignored</status>
      <modifiedWord/>
      <trackRevisions>false</trackRevisions>
    </reviewItem>
    <reviewItem>
      <errorID>2e78e2f2-aaf4-4070-a4f6-9cdd460ffa76</errorID>
      <errorWord>法律、法规</errorWord>
      <group>L1_Word</group>
      <groupName>字词问题</groupName>
      <ability>L2_Typo</ability>
      <abilityName>字词错误</abilityName>
      <candidateList>
        <item>法律法规</item>
      </candidateList>
      <explain/>
      <paraID>10FB0658</paraID>
      <start>4</start>
      <end>9</end>
      <status>ignored</status>
      <modifiedWord/>
      <trackRevisions>false</trackRevisions>
    </reviewItem>
    <reviewItem>
      <errorID>bd28d952-5655-4d1e-a01b-747e67b5c6c3</errorID>
      <errorWord>国</errorWord>
      <group>L1_Word</group>
      <groupName>字词问题</groupName>
      <ability>L2_Typo</ability>
      <abilityName>字词错误</abilityName>
      <candidateList>
        <item>国家</item>
      </candidateList>
      <explain/>
      <paraID>15DBFDDE</paraID>
      <start>9</start>
      <end>10</end>
      <status>ignored</status>
      <modifiedWord/>
      <trackRevisions>false</trackRevisions>
    </reviewItem>
    <reviewItem>
      <errorID>226bd1e3-d794-4ccf-bdb8-3df80605a743</errorID>
      <errorWord>收</errorWord>
      <group>L1_Word</group>
      <groupName>字词问题</groupName>
      <ability>L2_Typo</ability>
      <abilityName>字词错误</abilityName>
      <candidateList>
        <item>收到</item>
      </candidateList>
      <explain/>
      <paraID>165314F3</paraID>
      <start>11</start>
      <end>12</end>
      <status>ignored</status>
      <modifiedWord/>
      <trackRevisions>false</trackRevisions>
    </reviewItem>
    <reviewItem>
      <errorID>c75a0829-0969-4bf6-9e55-f2988390dbde</errorID>
      <errorWord>接受</errorWord>
      <group>L1_Word</group>
      <groupName>字词问题</groupName>
      <ability>L2_Typo</ability>
      <abilityName>字词错误</abilityName>
      <candidateList>
        <item>接收</item>
      </candidateList>
      <explain>存在发音相同字词的误用。</explain>
      <paraID>165314F3</paraID>
      <start>56</start>
      <end>58</end>
      <status>ignored</status>
      <modifiedWord/>
      <trackRevisions>false</trackRevisions>
    </reviewItem>
    <reviewItem>
      <errorID>1094a75c-8cde-49c5-9eb0-0ca2500dc307</errorID>
      <errorWord>2026年05月</errorWord>
      <group>L1_Knowledge</group>
      <groupName>知识性问题</groupName>
      <ability>L2_Time</ability>
      <abilityName>日期时间</abilityName>
      <candidateList>
        <item>2026年5月</item>
      </candidateList>
      <explain>根据日常书写习惯，月份一般会省略前导零。</explain>
      <paraID> CD05AB4</paraID>
      <start>25</start>
      <end>33</end>
      <status>ignored</status>
      <modifiedWord/>
      <trackRevisions>false</trackRevisions>
    </reviewItem>
    <reviewItem>
      <errorID>62cd3476-24d9-498d-965e-82b8584d2b87</errorID>
      <errorWord>2026年05月</errorWord>
      <group>L1_Knowledge</group>
      <groupName>知识性问题</groupName>
      <ability>L2_Time</ability>
      <abilityName>日期时间</abilityName>
      <candidateList>
        <item>2026年5月</item>
      </candidateList>
      <explain>根据日常书写习惯，月份一般会省略前导零。</explain>
      <paraID>41F80FD8</paraID>
      <start>25</start>
      <end>33</end>
      <status>ignored</status>
      <modifiedWord/>
      <trackRevisions>false</trackRevisions>
    </reviewItem>
    <reviewItem>
      <errorID>d09f8bf8-ef22-40b0-be5f-7694c5eb55a0</errorID>
      <errorWord>2026年05月</errorWord>
      <group>L1_Knowledge</group>
      <groupName>知识性问题</groupName>
      <ability>L2_Time</ability>
      <abilityName>日期时间</abilityName>
      <candidateList>
        <item>2026年5月</item>
      </candidateList>
      <explain>根据日常书写习惯，月份一般会省略前导零。</explain>
      <paraID>1E841860</paraID>
      <start>25</start>
      <end>33</end>
      <status>ignored</status>
      <modifiedWord/>
      <trackRevisions>false</trackRevisions>
    </reviewItem>
    <reviewItem>
      <errorID>f85b0a44-0203-4c46-bd02-39f619fb7583</errorID>
      <errorWord>2026年05月</errorWord>
      <group>L1_Knowledge</group>
      <groupName>知识性问题</groupName>
      <ability>L2_Time</ability>
      <abilityName>日期时间</abilityName>
      <candidateList>
        <item>2026年5月</item>
      </candidateList>
      <explain>根据日常书写习惯，月份一般会省略前导零。</explain>
      <paraID>57E9F50C</paraID>
      <start>29</start>
      <end>37</end>
      <status>ignored</status>
      <modifiedWord/>
      <trackRevisions>false</trackRevisions>
    </reviewItem>
    <reviewItem>
      <errorID>4585f9e6-9c83-471e-b315-0fe9ce423df3</errorID>
      <errorWord>己</errorWord>
      <group>L1_Word</group>
      <groupName>字词问题</groupName>
      <ability>L2_Typo</ability>
      <abilityName>字词错误</abilityName>
      <candidateList>
        <item>已</item>
      </candidateList>
      <explain>存在字形相近字词的误用。</explain>
      <paraID>1D19F1B0</paraID>
      <start>20</start>
      <end>21</end>
      <status>modified</status>
      <modifiedWord>已</modifiedWord>
      <trackRevisions>false</trackRevisions>
    </reviewItem>
    <reviewItem>
      <errorID>9f9ccc3d-4ac7-4f75-8884-a194bef45306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62E32640</paraID>
      <start>136</start>
      <end>138</end>
      <status>ignored</status>
      <modifiedWord/>
      <trackRevisions>false</trackRevisions>
    </reviewItem>
    <reviewItem>
      <errorID>ea71a959-f923-4fff-8071-2b5c962f8ee0</errorID>
      <errorWord>法律、法规</errorWord>
      <group>L1_Word</group>
      <groupName>字词问题</groupName>
      <ability>L2_Typo</ability>
      <abilityName>字词错误</abilityName>
      <candidateList>
        <item>法律法规</item>
      </candidateList>
      <explain/>
      <paraID>28DB873A</paraID>
      <start>17</start>
      <end>22</end>
      <status>ignored</status>
      <modifiedWord/>
      <trackRevisions>false</trackRevisions>
    </reviewItem>
    <reviewItem>
      <errorID>617dca32-1a02-41c4-a205-80b44d93c0e5</errorID>
      <errorWord>第壹天</errorWord>
      <group>L1_Word</group>
      <groupName>字词问题</groupName>
      <ability>L2_Typo</ability>
      <abilityName>字词错误</abilityName>
      <candidateList>
        <item>第一天</item>
      </candidateList>
      <explain>存在发音相同字词的误用。</explain>
      <paraID>3641DFD3</paraID>
      <start>82</start>
      <end>85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d6bad-ca52-485f-95c6-04057eed7933}">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11988</Words>
  <Characters>12900</Characters>
  <Lines>0</Lines>
  <Paragraphs>0</Paragraphs>
  <TotalTime>38</TotalTime>
  <ScaleCrop>false</ScaleCrop>
  <LinksUpToDate>false</LinksUpToDate>
  <CharactersWithSpaces>13074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2026-03-05T07:04:00Z</dcterms:created>
  <dc:creator>明正</dc:creator>
  <cp:lastModifiedBy>明正</cp:lastModifiedBy>
  <dcterms:modified xsi:type="dcterms:W3CDTF">2026-06-30T02:04:55Z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E26DB9F00BAE4EBDAD9AB14F431ED532_11</vt:lpwstr>
  </property>
  <property fmtid="{D5CDD505-2E9C-101B-9397-08002B2CF9AE}" pid="4" name="KSOTemplateDocerSaveRecord">
    <vt:lpwstr>eyJoZGlkIjoiZTU1MjcyNTlkNzdiMzEwMTJiNjdiZWZkMzY3YmQxMWEiLCJ1c2VySWQiOiIzMjI4NDYzOTkifQ==</vt:lpwstr>
  </property>
</Properties>
</file>