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493F0">
      <w:pPr>
        <w:pStyle w:val="5"/>
        <w:spacing w:line="241" w:lineRule="auto"/>
        <w:rPr>
          <w:rFonts w:hint="eastAsia" w:ascii="宋体" w:hAnsi="宋体" w:eastAsia="宋体" w:cs="宋体"/>
          <w:color w:val="auto"/>
          <w:highlight w:val="none"/>
          <w:lang w:eastAsia="zh-CN"/>
        </w:rPr>
      </w:pPr>
      <w:r>
        <w:rPr>
          <w:rFonts w:hint="eastAsia" w:ascii="宋体" w:hAnsi="宋体" w:eastAsia="宋体" w:cs="宋体"/>
          <w:b/>
          <w:bCs/>
          <w:color w:val="auto"/>
          <w:kern w:val="2"/>
          <w:sz w:val="48"/>
          <w:szCs w:val="48"/>
          <w:highlight w:val="none"/>
          <w:u w:val="none"/>
          <w:lang w:val="en-US" w:eastAsia="zh-CN" w:bidi="ar-SA"/>
        </w:rPr>
        <w:drawing>
          <wp:inline distT="0" distB="0" distL="114300" distR="114300">
            <wp:extent cx="6448425" cy="9088120"/>
            <wp:effectExtent l="0" t="0" r="13335" b="10160"/>
            <wp:docPr id="25" name="图片 25" descr="仁化产业园施工招标文件封面(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仁化产业园施工招标文件封面(1)_01"/>
                    <pic:cNvPicPr>
                      <a:picLocks noChangeAspect="1"/>
                    </pic:cNvPicPr>
                  </pic:nvPicPr>
                  <pic:blipFill>
                    <a:blip r:embed="rId30"/>
                    <a:stretch>
                      <a:fillRect/>
                    </a:stretch>
                  </pic:blipFill>
                  <pic:spPr>
                    <a:xfrm>
                      <a:off x="0" y="0"/>
                      <a:ext cx="6448425" cy="9088120"/>
                    </a:xfrm>
                    <a:prstGeom prst="rect">
                      <a:avLst/>
                    </a:prstGeom>
                  </pic:spPr>
                </pic:pic>
              </a:graphicData>
            </a:graphic>
          </wp:inline>
        </w:drawing>
      </w:r>
      <w:bookmarkStart w:id="262" w:name="_GoBack"/>
      <w:bookmarkEnd w:id="262"/>
      <w:r>
        <w:rPr>
          <w:rFonts w:hint="eastAsia" w:ascii="宋体" w:hAnsi="宋体" w:eastAsia="宋体" w:cs="宋体"/>
          <w:bCs/>
          <w:snapToGrid w:val="0"/>
          <w:color w:val="auto"/>
          <w:sz w:val="28"/>
          <w:szCs w:val="28"/>
          <w:highlight w:val="none"/>
        </w:rPr>
        <w:br w:type="page"/>
      </w:r>
    </w:p>
    <w:p w14:paraId="65468085">
      <w:pPr>
        <w:rPr>
          <w:rFonts w:hint="eastAsia" w:ascii="宋体" w:hAnsi="宋体" w:eastAsia="宋体" w:cs="宋体"/>
          <w:color w:val="auto"/>
          <w:highlight w:val="none"/>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4F4A10F9">
      <w:pPr>
        <w:pStyle w:val="2"/>
        <w:rPr>
          <w:rFonts w:hint="eastAsia" w:ascii="宋体" w:hAnsi="宋体" w:eastAsia="宋体" w:cs="宋体"/>
          <w:b/>
          <w:bCs/>
          <w:color w:val="auto"/>
          <w:kern w:val="2"/>
          <w:sz w:val="56"/>
          <w:szCs w:val="72"/>
          <w:highlight w:val="none"/>
          <w:u w:val="none"/>
          <w:lang w:val="en-US" w:eastAsia="zh-CN" w:bidi="ar-SA"/>
        </w:rPr>
      </w:pPr>
    </w:p>
    <w:p w14:paraId="6E29DB7F">
      <w:pPr>
        <w:rPr>
          <w:rFonts w:hint="eastAsia" w:ascii="宋体" w:hAnsi="宋体" w:eastAsia="宋体" w:cs="宋体"/>
          <w:b/>
          <w:bCs/>
          <w:color w:val="auto"/>
          <w:kern w:val="2"/>
          <w:sz w:val="56"/>
          <w:szCs w:val="72"/>
          <w:highlight w:val="none"/>
          <w:u w:val="none"/>
          <w:lang w:val="en-US" w:eastAsia="zh-CN" w:bidi="ar-SA"/>
        </w:rPr>
      </w:pPr>
    </w:p>
    <w:p w14:paraId="7A96D5DD">
      <w:pPr>
        <w:rPr>
          <w:rFonts w:hint="eastAsia" w:ascii="宋体" w:hAnsi="宋体" w:eastAsia="宋体" w:cs="宋体"/>
          <w:b/>
          <w:bCs/>
          <w:color w:val="auto"/>
          <w:kern w:val="2"/>
          <w:sz w:val="56"/>
          <w:szCs w:val="72"/>
          <w:highlight w:val="none"/>
          <w:u w:val="none"/>
          <w:lang w:val="en-US" w:eastAsia="zh-CN" w:bidi="ar-SA"/>
        </w:rPr>
        <w:sectPr>
          <w:headerReference r:id="rId4"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242E58A3">
      <w:pPr>
        <w:rPr>
          <w:rFonts w:hint="eastAsia" w:ascii="宋体" w:hAnsi="宋体" w:eastAsia="宋体" w:cs="宋体"/>
          <w:color w:val="auto"/>
          <w:highlight w:val="none"/>
        </w:rPr>
      </w:pPr>
    </w:p>
    <w:p w14:paraId="6EF33911">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目录</w:t>
      </w:r>
    </w:p>
    <w:p w14:paraId="5914AFD5">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TOC \o "1-3" \h \u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_Toc7207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第一章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投标人须知</w:t>
      </w:r>
      <w:r>
        <w:rPr>
          <w:sz w:val="28"/>
          <w:szCs w:val="28"/>
        </w:rPr>
        <w:tab/>
      </w:r>
      <w:r>
        <w:rPr>
          <w:sz w:val="28"/>
          <w:szCs w:val="28"/>
        </w:rPr>
        <w:fldChar w:fldCharType="begin"/>
      </w:r>
      <w:r>
        <w:rPr>
          <w:sz w:val="28"/>
          <w:szCs w:val="28"/>
        </w:rPr>
        <w:instrText xml:space="preserve"> PAGEREF _Toc7207 \h </w:instrText>
      </w:r>
      <w:r>
        <w:rPr>
          <w:sz w:val="28"/>
          <w:szCs w:val="28"/>
        </w:rPr>
        <w:fldChar w:fldCharType="separate"/>
      </w:r>
      <w:r>
        <w:rPr>
          <w:sz w:val="28"/>
          <w:szCs w:val="28"/>
        </w:rPr>
        <w:t>3</w:t>
      </w:r>
      <w:r>
        <w:rPr>
          <w:sz w:val="28"/>
          <w:szCs w:val="28"/>
        </w:rPr>
        <w:fldChar w:fldCharType="end"/>
      </w:r>
      <w:r>
        <w:rPr>
          <w:rFonts w:hint="eastAsia" w:ascii="宋体" w:hAnsi="宋体" w:eastAsia="宋体" w:cs="宋体"/>
          <w:color w:val="auto"/>
          <w:sz w:val="28"/>
          <w:szCs w:val="28"/>
          <w:highlight w:val="none"/>
        </w:rPr>
        <w:fldChar w:fldCharType="end"/>
      </w:r>
    </w:p>
    <w:p w14:paraId="3A309485">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_Toc27307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第一节</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投标人须知前附表</w:t>
      </w:r>
      <w:r>
        <w:rPr>
          <w:sz w:val="28"/>
          <w:szCs w:val="28"/>
        </w:rPr>
        <w:tab/>
      </w:r>
      <w:r>
        <w:rPr>
          <w:sz w:val="28"/>
          <w:szCs w:val="28"/>
        </w:rPr>
        <w:fldChar w:fldCharType="begin"/>
      </w:r>
      <w:r>
        <w:rPr>
          <w:sz w:val="28"/>
          <w:szCs w:val="28"/>
        </w:rPr>
        <w:instrText xml:space="preserve"> PAGEREF _Toc27307 \h </w:instrText>
      </w:r>
      <w:r>
        <w:rPr>
          <w:sz w:val="28"/>
          <w:szCs w:val="28"/>
        </w:rPr>
        <w:fldChar w:fldCharType="separate"/>
      </w:r>
      <w:r>
        <w:rPr>
          <w:sz w:val="28"/>
          <w:szCs w:val="28"/>
        </w:rPr>
        <w:t>3</w:t>
      </w:r>
      <w:r>
        <w:rPr>
          <w:sz w:val="28"/>
          <w:szCs w:val="28"/>
        </w:rPr>
        <w:fldChar w:fldCharType="end"/>
      </w:r>
      <w:r>
        <w:rPr>
          <w:rFonts w:hint="eastAsia" w:ascii="宋体" w:hAnsi="宋体" w:eastAsia="宋体" w:cs="宋体"/>
          <w:color w:val="auto"/>
          <w:sz w:val="28"/>
          <w:szCs w:val="28"/>
          <w:highlight w:val="none"/>
        </w:rPr>
        <w:fldChar w:fldCharType="end"/>
      </w:r>
    </w:p>
    <w:p w14:paraId="35B901BF">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_Toc31899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第二节 重要事项时间地点一览表</w:t>
      </w:r>
      <w:r>
        <w:rPr>
          <w:sz w:val="28"/>
          <w:szCs w:val="28"/>
        </w:rPr>
        <w:tab/>
      </w:r>
      <w:r>
        <w:rPr>
          <w:sz w:val="28"/>
          <w:szCs w:val="28"/>
        </w:rPr>
        <w:fldChar w:fldCharType="begin"/>
      </w:r>
      <w:r>
        <w:rPr>
          <w:sz w:val="28"/>
          <w:szCs w:val="28"/>
        </w:rPr>
        <w:instrText xml:space="preserve"> PAGEREF _Toc31899 \h </w:instrText>
      </w:r>
      <w:r>
        <w:rPr>
          <w:sz w:val="28"/>
          <w:szCs w:val="28"/>
        </w:rPr>
        <w:fldChar w:fldCharType="separate"/>
      </w:r>
      <w:r>
        <w:rPr>
          <w:sz w:val="28"/>
          <w:szCs w:val="28"/>
        </w:rPr>
        <w:t>10</w:t>
      </w:r>
      <w:r>
        <w:rPr>
          <w:sz w:val="28"/>
          <w:szCs w:val="28"/>
        </w:rPr>
        <w:fldChar w:fldCharType="end"/>
      </w:r>
      <w:r>
        <w:rPr>
          <w:rFonts w:hint="eastAsia" w:ascii="宋体" w:hAnsi="宋体" w:eastAsia="宋体" w:cs="宋体"/>
          <w:color w:val="auto"/>
          <w:sz w:val="28"/>
          <w:szCs w:val="28"/>
          <w:highlight w:val="none"/>
        </w:rPr>
        <w:fldChar w:fldCharType="end"/>
      </w:r>
    </w:p>
    <w:p w14:paraId="765C1167">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_Toc3267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第三节</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投标人须知正文</w:t>
      </w:r>
      <w:r>
        <w:rPr>
          <w:sz w:val="28"/>
          <w:szCs w:val="28"/>
        </w:rPr>
        <w:tab/>
      </w:r>
      <w:r>
        <w:rPr>
          <w:sz w:val="28"/>
          <w:szCs w:val="28"/>
        </w:rPr>
        <w:fldChar w:fldCharType="begin"/>
      </w:r>
      <w:r>
        <w:rPr>
          <w:sz w:val="28"/>
          <w:szCs w:val="28"/>
        </w:rPr>
        <w:instrText xml:space="preserve"> PAGEREF _Toc3267 \h </w:instrText>
      </w:r>
      <w:r>
        <w:rPr>
          <w:sz w:val="28"/>
          <w:szCs w:val="28"/>
        </w:rPr>
        <w:fldChar w:fldCharType="separate"/>
      </w:r>
      <w:r>
        <w:rPr>
          <w:sz w:val="28"/>
          <w:szCs w:val="28"/>
        </w:rPr>
        <w:t>11</w:t>
      </w:r>
      <w:r>
        <w:rPr>
          <w:sz w:val="28"/>
          <w:szCs w:val="28"/>
        </w:rPr>
        <w:fldChar w:fldCharType="end"/>
      </w:r>
      <w:r>
        <w:rPr>
          <w:rFonts w:hint="eastAsia" w:ascii="宋体" w:hAnsi="宋体" w:eastAsia="宋体" w:cs="宋体"/>
          <w:color w:val="auto"/>
          <w:sz w:val="28"/>
          <w:szCs w:val="28"/>
          <w:highlight w:val="none"/>
        </w:rPr>
        <w:fldChar w:fldCharType="end"/>
      </w:r>
    </w:p>
    <w:p w14:paraId="2463542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_Toc3855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1</w:t>
      </w:r>
      <w:r>
        <w:rPr>
          <w:rFonts w:hint="eastAsia" w:ascii="宋体" w:hAnsi="宋体" w:eastAsia="宋体" w:cs="宋体"/>
          <w:bCs/>
          <w:spacing w:val="-23"/>
          <w:sz w:val="28"/>
          <w:szCs w:val="28"/>
          <w:highlight w:val="none"/>
        </w:rPr>
        <w:t xml:space="preserve"> </w:t>
      </w:r>
      <w:r>
        <w:rPr>
          <w:rFonts w:hint="eastAsia" w:ascii="宋体" w:hAnsi="宋体" w:eastAsia="宋体" w:cs="宋体"/>
          <w:bCs/>
          <w:spacing w:val="-4"/>
          <w:sz w:val="28"/>
          <w:szCs w:val="28"/>
          <w:highlight w:val="none"/>
        </w:rPr>
        <w:t>．项目概况、招标范围和标段划分、投标费用等</w:t>
      </w:r>
      <w:r>
        <w:rPr>
          <w:sz w:val="28"/>
          <w:szCs w:val="28"/>
        </w:rPr>
        <w:tab/>
      </w:r>
      <w:r>
        <w:rPr>
          <w:sz w:val="28"/>
          <w:szCs w:val="28"/>
        </w:rPr>
        <w:fldChar w:fldCharType="begin"/>
      </w:r>
      <w:r>
        <w:rPr>
          <w:sz w:val="28"/>
          <w:szCs w:val="28"/>
        </w:rPr>
        <w:instrText xml:space="preserve"> PAGEREF _Toc3855 \h </w:instrText>
      </w:r>
      <w:r>
        <w:rPr>
          <w:sz w:val="28"/>
          <w:szCs w:val="28"/>
        </w:rPr>
        <w:fldChar w:fldCharType="separate"/>
      </w:r>
      <w:r>
        <w:rPr>
          <w:sz w:val="28"/>
          <w:szCs w:val="28"/>
        </w:rPr>
        <w:t>11</w:t>
      </w:r>
      <w:r>
        <w:rPr>
          <w:sz w:val="28"/>
          <w:szCs w:val="28"/>
        </w:rPr>
        <w:fldChar w:fldCharType="end"/>
      </w:r>
      <w:r>
        <w:rPr>
          <w:rFonts w:hint="eastAsia" w:ascii="宋体" w:hAnsi="宋体" w:eastAsia="宋体" w:cs="宋体"/>
          <w:color w:val="auto"/>
          <w:sz w:val="28"/>
          <w:szCs w:val="28"/>
          <w:highlight w:val="none"/>
        </w:rPr>
        <w:fldChar w:fldCharType="end"/>
      </w:r>
    </w:p>
    <w:p w14:paraId="58FA62A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_Toc8657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2．</w:t>
      </w:r>
      <w:r>
        <w:rPr>
          <w:rFonts w:hint="eastAsia" w:ascii="宋体" w:hAnsi="宋体" w:eastAsia="宋体" w:cs="宋体"/>
          <w:bCs w:val="0"/>
          <w:sz w:val="28"/>
          <w:szCs w:val="28"/>
          <w:highlight w:val="none"/>
          <w:lang w:eastAsia="zh-CN"/>
        </w:rPr>
        <w:t>投标人</w:t>
      </w:r>
      <w:r>
        <w:rPr>
          <w:rFonts w:hint="eastAsia" w:ascii="宋体" w:hAnsi="宋体" w:eastAsia="宋体" w:cs="宋体"/>
          <w:bCs w:val="0"/>
          <w:sz w:val="28"/>
          <w:szCs w:val="28"/>
          <w:highlight w:val="none"/>
        </w:rPr>
        <w:t>资质要求</w:t>
      </w:r>
      <w:r>
        <w:rPr>
          <w:sz w:val="28"/>
          <w:szCs w:val="28"/>
        </w:rPr>
        <w:tab/>
      </w:r>
      <w:r>
        <w:rPr>
          <w:sz w:val="28"/>
          <w:szCs w:val="28"/>
        </w:rPr>
        <w:fldChar w:fldCharType="begin"/>
      </w:r>
      <w:r>
        <w:rPr>
          <w:sz w:val="28"/>
          <w:szCs w:val="28"/>
        </w:rPr>
        <w:instrText xml:space="preserve"> PAGEREF _Toc8657 \h </w:instrText>
      </w:r>
      <w:r>
        <w:rPr>
          <w:sz w:val="28"/>
          <w:szCs w:val="28"/>
        </w:rPr>
        <w:fldChar w:fldCharType="separate"/>
      </w:r>
      <w:r>
        <w:rPr>
          <w:sz w:val="28"/>
          <w:szCs w:val="28"/>
        </w:rPr>
        <w:t>11</w:t>
      </w:r>
      <w:r>
        <w:rPr>
          <w:sz w:val="28"/>
          <w:szCs w:val="28"/>
        </w:rPr>
        <w:fldChar w:fldCharType="end"/>
      </w:r>
      <w:r>
        <w:rPr>
          <w:rFonts w:hint="eastAsia" w:ascii="宋体" w:hAnsi="宋体" w:eastAsia="宋体" w:cs="宋体"/>
          <w:color w:val="auto"/>
          <w:sz w:val="28"/>
          <w:szCs w:val="28"/>
          <w:highlight w:val="none"/>
        </w:rPr>
        <w:fldChar w:fldCharType="end"/>
      </w:r>
    </w:p>
    <w:p w14:paraId="4BB43614">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_Toc18125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3．招标文件的获取</w:t>
      </w:r>
      <w:r>
        <w:rPr>
          <w:sz w:val="28"/>
          <w:szCs w:val="28"/>
        </w:rPr>
        <w:tab/>
      </w:r>
      <w:r>
        <w:rPr>
          <w:sz w:val="28"/>
          <w:szCs w:val="28"/>
        </w:rPr>
        <w:fldChar w:fldCharType="begin"/>
      </w:r>
      <w:r>
        <w:rPr>
          <w:sz w:val="28"/>
          <w:szCs w:val="28"/>
        </w:rPr>
        <w:instrText xml:space="preserve"> PAGEREF _Toc18125 \h </w:instrText>
      </w:r>
      <w:r>
        <w:rPr>
          <w:sz w:val="28"/>
          <w:szCs w:val="28"/>
        </w:rPr>
        <w:fldChar w:fldCharType="separate"/>
      </w:r>
      <w:r>
        <w:rPr>
          <w:sz w:val="28"/>
          <w:szCs w:val="28"/>
        </w:rPr>
        <w:t>13</w:t>
      </w:r>
      <w:r>
        <w:rPr>
          <w:sz w:val="28"/>
          <w:szCs w:val="28"/>
        </w:rPr>
        <w:fldChar w:fldCharType="end"/>
      </w:r>
      <w:r>
        <w:rPr>
          <w:rFonts w:hint="eastAsia" w:ascii="宋体" w:hAnsi="宋体" w:eastAsia="宋体" w:cs="宋体"/>
          <w:color w:val="auto"/>
          <w:sz w:val="28"/>
          <w:szCs w:val="28"/>
          <w:highlight w:val="none"/>
        </w:rPr>
        <w:fldChar w:fldCharType="end"/>
      </w:r>
    </w:p>
    <w:p w14:paraId="645C8306">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_Toc387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4</w:t>
      </w:r>
      <w:r>
        <w:rPr>
          <w:rFonts w:hint="eastAsia" w:ascii="宋体" w:hAnsi="宋体" w:eastAsia="宋体" w:cs="宋体"/>
          <w:bCs/>
          <w:spacing w:val="-8"/>
          <w:sz w:val="28"/>
          <w:szCs w:val="28"/>
          <w:highlight w:val="none"/>
          <w:lang w:val="en-US" w:eastAsia="zh-CN"/>
        </w:rPr>
        <w:t xml:space="preserve"> </w:t>
      </w:r>
      <w:r>
        <w:rPr>
          <w:rFonts w:hint="eastAsia" w:ascii="宋体" w:hAnsi="宋体" w:eastAsia="宋体" w:cs="宋体"/>
          <w:bCs/>
          <w:spacing w:val="-8"/>
          <w:sz w:val="28"/>
          <w:szCs w:val="28"/>
          <w:highlight w:val="none"/>
        </w:rPr>
        <w:t>．工期要求</w:t>
      </w:r>
      <w:r>
        <w:rPr>
          <w:sz w:val="28"/>
          <w:szCs w:val="28"/>
        </w:rPr>
        <w:tab/>
      </w:r>
      <w:r>
        <w:rPr>
          <w:sz w:val="28"/>
          <w:szCs w:val="28"/>
        </w:rPr>
        <w:fldChar w:fldCharType="begin"/>
      </w:r>
      <w:r>
        <w:rPr>
          <w:sz w:val="28"/>
          <w:szCs w:val="28"/>
        </w:rPr>
        <w:instrText xml:space="preserve"> PAGEREF _Toc387 \h </w:instrText>
      </w:r>
      <w:r>
        <w:rPr>
          <w:sz w:val="28"/>
          <w:szCs w:val="28"/>
        </w:rPr>
        <w:fldChar w:fldCharType="separate"/>
      </w:r>
      <w:r>
        <w:rPr>
          <w:sz w:val="28"/>
          <w:szCs w:val="28"/>
        </w:rPr>
        <w:t>15</w:t>
      </w:r>
      <w:r>
        <w:rPr>
          <w:sz w:val="28"/>
          <w:szCs w:val="28"/>
        </w:rPr>
        <w:fldChar w:fldCharType="end"/>
      </w:r>
      <w:r>
        <w:rPr>
          <w:rFonts w:hint="eastAsia" w:ascii="宋体" w:hAnsi="宋体" w:eastAsia="宋体" w:cs="宋体"/>
          <w:color w:val="auto"/>
          <w:sz w:val="28"/>
          <w:szCs w:val="28"/>
          <w:highlight w:val="none"/>
        </w:rPr>
        <w:fldChar w:fldCharType="end"/>
      </w:r>
    </w:p>
    <w:p w14:paraId="26E42103">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_Toc20494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5</w:t>
      </w:r>
      <w:r>
        <w:rPr>
          <w:rFonts w:hint="eastAsia" w:ascii="宋体" w:hAnsi="宋体" w:eastAsia="宋体" w:cs="宋体"/>
          <w:bCs/>
          <w:spacing w:val="-5"/>
          <w:sz w:val="28"/>
          <w:szCs w:val="28"/>
          <w:highlight w:val="none"/>
          <w:lang w:val="en-US" w:eastAsia="zh-CN"/>
        </w:rPr>
        <w:t xml:space="preserve"> </w:t>
      </w:r>
      <w:r>
        <w:rPr>
          <w:rFonts w:hint="eastAsia" w:ascii="宋体" w:hAnsi="宋体" w:eastAsia="宋体" w:cs="宋体"/>
          <w:bCs/>
          <w:spacing w:val="-5"/>
          <w:sz w:val="28"/>
          <w:szCs w:val="28"/>
          <w:highlight w:val="none"/>
        </w:rPr>
        <w:t>．质量标准和材料、机械要求</w:t>
      </w:r>
      <w:r>
        <w:rPr>
          <w:sz w:val="28"/>
          <w:szCs w:val="28"/>
        </w:rPr>
        <w:tab/>
      </w:r>
      <w:r>
        <w:rPr>
          <w:sz w:val="28"/>
          <w:szCs w:val="28"/>
        </w:rPr>
        <w:fldChar w:fldCharType="begin"/>
      </w:r>
      <w:r>
        <w:rPr>
          <w:sz w:val="28"/>
          <w:szCs w:val="28"/>
        </w:rPr>
        <w:instrText xml:space="preserve"> PAGEREF _Toc20494 \h </w:instrText>
      </w:r>
      <w:r>
        <w:rPr>
          <w:sz w:val="28"/>
          <w:szCs w:val="28"/>
        </w:rPr>
        <w:fldChar w:fldCharType="separate"/>
      </w:r>
      <w:r>
        <w:rPr>
          <w:sz w:val="28"/>
          <w:szCs w:val="28"/>
        </w:rPr>
        <w:t>15</w:t>
      </w:r>
      <w:r>
        <w:rPr>
          <w:sz w:val="28"/>
          <w:szCs w:val="28"/>
        </w:rPr>
        <w:fldChar w:fldCharType="end"/>
      </w:r>
      <w:r>
        <w:rPr>
          <w:rFonts w:hint="eastAsia" w:ascii="宋体" w:hAnsi="宋体" w:eastAsia="宋体" w:cs="宋体"/>
          <w:color w:val="auto"/>
          <w:sz w:val="28"/>
          <w:szCs w:val="28"/>
          <w:highlight w:val="none"/>
        </w:rPr>
        <w:fldChar w:fldCharType="end"/>
      </w:r>
    </w:p>
    <w:p w14:paraId="4CB5696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_Toc13650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6</w:t>
      </w:r>
      <w:r>
        <w:rPr>
          <w:rFonts w:hint="eastAsia" w:ascii="宋体" w:hAnsi="宋体" w:eastAsia="宋体" w:cs="宋体"/>
          <w:bCs/>
          <w:spacing w:val="-20"/>
          <w:sz w:val="28"/>
          <w:szCs w:val="28"/>
          <w:highlight w:val="none"/>
        </w:rPr>
        <w:t xml:space="preserve"> </w:t>
      </w:r>
      <w:r>
        <w:rPr>
          <w:rFonts w:hint="eastAsia" w:ascii="宋体" w:hAnsi="宋体" w:eastAsia="宋体" w:cs="宋体"/>
          <w:bCs/>
          <w:spacing w:val="-6"/>
          <w:sz w:val="28"/>
          <w:szCs w:val="28"/>
          <w:highlight w:val="none"/>
        </w:rPr>
        <w:t>．施工条件及现场踏勘</w:t>
      </w:r>
      <w:r>
        <w:rPr>
          <w:sz w:val="28"/>
          <w:szCs w:val="28"/>
        </w:rPr>
        <w:tab/>
      </w:r>
      <w:r>
        <w:rPr>
          <w:sz w:val="28"/>
          <w:szCs w:val="28"/>
        </w:rPr>
        <w:fldChar w:fldCharType="begin"/>
      </w:r>
      <w:r>
        <w:rPr>
          <w:sz w:val="28"/>
          <w:szCs w:val="28"/>
        </w:rPr>
        <w:instrText xml:space="preserve"> PAGEREF _Toc13650 \h </w:instrText>
      </w:r>
      <w:r>
        <w:rPr>
          <w:sz w:val="28"/>
          <w:szCs w:val="28"/>
        </w:rPr>
        <w:fldChar w:fldCharType="separate"/>
      </w:r>
      <w:r>
        <w:rPr>
          <w:sz w:val="28"/>
          <w:szCs w:val="28"/>
        </w:rPr>
        <w:t>16</w:t>
      </w:r>
      <w:r>
        <w:rPr>
          <w:sz w:val="28"/>
          <w:szCs w:val="28"/>
        </w:rPr>
        <w:fldChar w:fldCharType="end"/>
      </w:r>
      <w:r>
        <w:rPr>
          <w:rFonts w:hint="eastAsia" w:ascii="宋体" w:hAnsi="宋体" w:eastAsia="宋体" w:cs="宋体"/>
          <w:color w:val="auto"/>
          <w:sz w:val="28"/>
          <w:szCs w:val="28"/>
          <w:highlight w:val="none"/>
        </w:rPr>
        <w:fldChar w:fldCharType="end"/>
      </w:r>
    </w:p>
    <w:p w14:paraId="6D0198B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_Toc27657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7</w:t>
      </w:r>
      <w:r>
        <w:rPr>
          <w:rFonts w:hint="eastAsia" w:ascii="宋体" w:hAnsi="宋体" w:eastAsia="宋体" w:cs="宋体"/>
          <w:bCs/>
          <w:spacing w:val="-28"/>
          <w:sz w:val="28"/>
          <w:szCs w:val="28"/>
          <w:highlight w:val="none"/>
        </w:rPr>
        <w:t xml:space="preserve"> </w:t>
      </w:r>
      <w:r>
        <w:rPr>
          <w:rFonts w:hint="eastAsia" w:ascii="宋体" w:hAnsi="宋体" w:eastAsia="宋体" w:cs="宋体"/>
          <w:bCs/>
          <w:spacing w:val="-5"/>
          <w:sz w:val="28"/>
          <w:szCs w:val="28"/>
          <w:highlight w:val="none"/>
        </w:rPr>
        <w:t>．招标文件的提问和答疑</w:t>
      </w:r>
      <w:r>
        <w:rPr>
          <w:sz w:val="28"/>
          <w:szCs w:val="28"/>
        </w:rPr>
        <w:tab/>
      </w:r>
      <w:r>
        <w:rPr>
          <w:sz w:val="28"/>
          <w:szCs w:val="28"/>
        </w:rPr>
        <w:fldChar w:fldCharType="begin"/>
      </w:r>
      <w:r>
        <w:rPr>
          <w:sz w:val="28"/>
          <w:szCs w:val="28"/>
        </w:rPr>
        <w:instrText xml:space="preserve"> PAGEREF _Toc27657 \h </w:instrText>
      </w:r>
      <w:r>
        <w:rPr>
          <w:sz w:val="28"/>
          <w:szCs w:val="28"/>
        </w:rPr>
        <w:fldChar w:fldCharType="separate"/>
      </w:r>
      <w:r>
        <w:rPr>
          <w:sz w:val="28"/>
          <w:szCs w:val="28"/>
        </w:rPr>
        <w:t>16</w:t>
      </w:r>
      <w:r>
        <w:rPr>
          <w:sz w:val="28"/>
          <w:szCs w:val="28"/>
        </w:rPr>
        <w:fldChar w:fldCharType="end"/>
      </w:r>
      <w:r>
        <w:rPr>
          <w:rFonts w:hint="eastAsia" w:ascii="宋体" w:hAnsi="宋体" w:eastAsia="宋体" w:cs="宋体"/>
          <w:color w:val="auto"/>
          <w:sz w:val="28"/>
          <w:szCs w:val="28"/>
          <w:highlight w:val="none"/>
        </w:rPr>
        <w:fldChar w:fldCharType="end"/>
      </w:r>
    </w:p>
    <w:p w14:paraId="6717B57D">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_Toc18636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8</w:t>
      </w:r>
      <w:r>
        <w:rPr>
          <w:rFonts w:hint="eastAsia" w:ascii="宋体" w:hAnsi="宋体" w:eastAsia="宋体" w:cs="宋体"/>
          <w:bCs/>
          <w:spacing w:val="-23"/>
          <w:sz w:val="28"/>
          <w:szCs w:val="28"/>
          <w:highlight w:val="none"/>
        </w:rPr>
        <w:t xml:space="preserve"> </w:t>
      </w:r>
      <w:r>
        <w:rPr>
          <w:rFonts w:hint="eastAsia" w:ascii="宋体" w:hAnsi="宋体" w:eastAsia="宋体" w:cs="宋体"/>
          <w:bCs/>
          <w:spacing w:val="-5"/>
          <w:sz w:val="28"/>
          <w:szCs w:val="28"/>
          <w:highlight w:val="none"/>
        </w:rPr>
        <w:t>．</w:t>
      </w:r>
      <w:r>
        <w:rPr>
          <w:rFonts w:hint="eastAsia" w:ascii="宋体" w:hAnsi="宋体" w:eastAsia="宋体" w:cs="宋体"/>
          <w:bCs/>
          <w:spacing w:val="-1"/>
          <w:sz w:val="28"/>
          <w:szCs w:val="28"/>
          <w:highlight w:val="none"/>
          <w:lang w:eastAsia="zh-CN"/>
        </w:rPr>
        <w:t>最高投标限价</w:t>
      </w:r>
      <w:r>
        <w:rPr>
          <w:sz w:val="28"/>
          <w:szCs w:val="28"/>
        </w:rPr>
        <w:tab/>
      </w:r>
      <w:r>
        <w:rPr>
          <w:sz w:val="28"/>
          <w:szCs w:val="28"/>
        </w:rPr>
        <w:fldChar w:fldCharType="begin"/>
      </w:r>
      <w:r>
        <w:rPr>
          <w:sz w:val="28"/>
          <w:szCs w:val="28"/>
        </w:rPr>
        <w:instrText xml:space="preserve"> PAGEREF _Toc18636 \h </w:instrText>
      </w:r>
      <w:r>
        <w:rPr>
          <w:sz w:val="28"/>
          <w:szCs w:val="28"/>
        </w:rPr>
        <w:fldChar w:fldCharType="separate"/>
      </w:r>
      <w:r>
        <w:rPr>
          <w:sz w:val="28"/>
          <w:szCs w:val="28"/>
        </w:rPr>
        <w:t>16</w:t>
      </w:r>
      <w:r>
        <w:rPr>
          <w:sz w:val="28"/>
          <w:szCs w:val="28"/>
        </w:rPr>
        <w:fldChar w:fldCharType="end"/>
      </w:r>
      <w:r>
        <w:rPr>
          <w:rFonts w:hint="eastAsia" w:ascii="宋体" w:hAnsi="宋体" w:eastAsia="宋体" w:cs="宋体"/>
          <w:color w:val="auto"/>
          <w:sz w:val="28"/>
          <w:szCs w:val="28"/>
          <w:highlight w:val="none"/>
        </w:rPr>
        <w:fldChar w:fldCharType="end"/>
      </w:r>
    </w:p>
    <w:p w14:paraId="6466565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_Toc21113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9</w:t>
      </w:r>
      <w:r>
        <w:rPr>
          <w:rFonts w:hint="eastAsia" w:ascii="宋体" w:hAnsi="宋体" w:eastAsia="宋体" w:cs="宋体"/>
          <w:bCs/>
          <w:spacing w:val="-29"/>
          <w:sz w:val="28"/>
          <w:szCs w:val="28"/>
          <w:highlight w:val="none"/>
        </w:rPr>
        <w:t xml:space="preserve"> </w:t>
      </w:r>
      <w:r>
        <w:rPr>
          <w:rFonts w:hint="eastAsia" w:ascii="宋体" w:hAnsi="宋体" w:eastAsia="宋体" w:cs="宋体"/>
          <w:bCs/>
          <w:spacing w:val="-8"/>
          <w:sz w:val="28"/>
          <w:szCs w:val="28"/>
          <w:highlight w:val="none"/>
        </w:rPr>
        <w:t>．投标报价</w:t>
      </w:r>
      <w:r>
        <w:rPr>
          <w:sz w:val="28"/>
          <w:szCs w:val="28"/>
        </w:rPr>
        <w:tab/>
      </w:r>
      <w:r>
        <w:rPr>
          <w:sz w:val="28"/>
          <w:szCs w:val="28"/>
        </w:rPr>
        <w:fldChar w:fldCharType="begin"/>
      </w:r>
      <w:r>
        <w:rPr>
          <w:sz w:val="28"/>
          <w:szCs w:val="28"/>
        </w:rPr>
        <w:instrText xml:space="preserve"> PAGEREF _Toc21113 \h </w:instrText>
      </w:r>
      <w:r>
        <w:rPr>
          <w:sz w:val="28"/>
          <w:szCs w:val="28"/>
        </w:rPr>
        <w:fldChar w:fldCharType="separate"/>
      </w:r>
      <w:r>
        <w:rPr>
          <w:sz w:val="28"/>
          <w:szCs w:val="28"/>
        </w:rPr>
        <w:t>18</w:t>
      </w:r>
      <w:r>
        <w:rPr>
          <w:sz w:val="28"/>
          <w:szCs w:val="28"/>
        </w:rPr>
        <w:fldChar w:fldCharType="end"/>
      </w:r>
      <w:r>
        <w:rPr>
          <w:rFonts w:hint="eastAsia" w:ascii="宋体" w:hAnsi="宋体" w:eastAsia="宋体" w:cs="宋体"/>
          <w:color w:val="auto"/>
          <w:sz w:val="28"/>
          <w:szCs w:val="28"/>
          <w:highlight w:val="none"/>
        </w:rPr>
        <w:fldChar w:fldCharType="end"/>
      </w:r>
    </w:p>
    <w:p w14:paraId="34DEA81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_Toc11650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10</w:t>
      </w:r>
      <w:r>
        <w:rPr>
          <w:rFonts w:hint="eastAsia" w:ascii="宋体" w:hAnsi="宋体" w:eastAsia="宋体" w:cs="宋体"/>
          <w:bCs/>
          <w:spacing w:val="-21"/>
          <w:sz w:val="28"/>
          <w:szCs w:val="28"/>
          <w:highlight w:val="none"/>
        </w:rPr>
        <w:t xml:space="preserve"> </w:t>
      </w:r>
      <w:r>
        <w:rPr>
          <w:rFonts w:hint="eastAsia" w:ascii="宋体" w:hAnsi="宋体" w:eastAsia="宋体" w:cs="宋体"/>
          <w:bCs/>
          <w:spacing w:val="-6"/>
          <w:sz w:val="28"/>
          <w:szCs w:val="28"/>
          <w:highlight w:val="none"/>
        </w:rPr>
        <w:t>．投标文件的编制要求</w:t>
      </w:r>
      <w:r>
        <w:rPr>
          <w:sz w:val="28"/>
          <w:szCs w:val="28"/>
        </w:rPr>
        <w:tab/>
      </w:r>
      <w:r>
        <w:rPr>
          <w:sz w:val="28"/>
          <w:szCs w:val="28"/>
        </w:rPr>
        <w:fldChar w:fldCharType="begin"/>
      </w:r>
      <w:r>
        <w:rPr>
          <w:sz w:val="28"/>
          <w:szCs w:val="28"/>
        </w:rPr>
        <w:instrText xml:space="preserve"> PAGEREF _Toc11650 \h </w:instrText>
      </w:r>
      <w:r>
        <w:rPr>
          <w:sz w:val="28"/>
          <w:szCs w:val="28"/>
        </w:rPr>
        <w:fldChar w:fldCharType="separate"/>
      </w:r>
      <w:r>
        <w:rPr>
          <w:sz w:val="28"/>
          <w:szCs w:val="28"/>
        </w:rPr>
        <w:t>19</w:t>
      </w:r>
      <w:r>
        <w:rPr>
          <w:sz w:val="28"/>
          <w:szCs w:val="28"/>
        </w:rPr>
        <w:fldChar w:fldCharType="end"/>
      </w:r>
      <w:r>
        <w:rPr>
          <w:rFonts w:hint="eastAsia" w:ascii="宋体" w:hAnsi="宋体" w:eastAsia="宋体" w:cs="宋体"/>
          <w:color w:val="auto"/>
          <w:sz w:val="28"/>
          <w:szCs w:val="28"/>
          <w:highlight w:val="none"/>
        </w:rPr>
        <w:fldChar w:fldCharType="end"/>
      </w:r>
    </w:p>
    <w:p w14:paraId="5188FCE8">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_Toc27752 </w:instrText>
      </w:r>
      <w:r>
        <w:rPr>
          <w:rFonts w:hint="eastAsia" w:ascii="宋体" w:hAnsi="宋体" w:eastAsia="宋体" w:cs="宋体"/>
          <w:sz w:val="28"/>
          <w:szCs w:val="28"/>
          <w:highlight w:val="none"/>
        </w:rPr>
        <w:fldChar w:fldCharType="separate"/>
      </w:r>
      <w:r>
        <w:rPr>
          <w:rFonts w:hint="eastAsia" w:ascii="宋体" w:hAnsi="宋体" w:eastAsia="宋体" w:cs="宋体"/>
          <w:bCs/>
          <w:spacing w:val="-9"/>
          <w:sz w:val="28"/>
          <w:szCs w:val="28"/>
          <w:highlight w:val="none"/>
          <w:lang w:val="en-US" w:eastAsia="zh-CN"/>
        </w:rPr>
        <w:t>12.</w:t>
      </w:r>
      <w:r>
        <w:rPr>
          <w:rFonts w:hint="eastAsia" w:ascii="宋体" w:hAnsi="宋体" w:eastAsia="宋体" w:cs="宋体"/>
          <w:bCs/>
          <w:spacing w:val="22"/>
          <w:w w:val="101"/>
          <w:sz w:val="28"/>
          <w:szCs w:val="28"/>
          <w:highlight w:val="none"/>
        </w:rPr>
        <w:t xml:space="preserve"> </w:t>
      </w:r>
      <w:r>
        <w:rPr>
          <w:rFonts w:hint="eastAsia" w:ascii="宋体" w:hAnsi="宋体" w:eastAsia="宋体" w:cs="宋体"/>
          <w:bCs/>
          <w:spacing w:val="-4"/>
          <w:sz w:val="28"/>
          <w:szCs w:val="28"/>
          <w:highlight w:val="none"/>
        </w:rPr>
        <w:t>电子投标及投标解密失败及突发情况的补救方案</w:t>
      </w:r>
      <w:r>
        <w:rPr>
          <w:sz w:val="28"/>
          <w:szCs w:val="28"/>
        </w:rPr>
        <w:tab/>
      </w:r>
      <w:r>
        <w:rPr>
          <w:sz w:val="28"/>
          <w:szCs w:val="28"/>
        </w:rPr>
        <w:fldChar w:fldCharType="begin"/>
      </w:r>
      <w:r>
        <w:rPr>
          <w:sz w:val="28"/>
          <w:szCs w:val="28"/>
        </w:rPr>
        <w:instrText xml:space="preserve"> PAGEREF _Toc27752 \h </w:instrText>
      </w:r>
      <w:r>
        <w:rPr>
          <w:sz w:val="28"/>
          <w:szCs w:val="28"/>
        </w:rPr>
        <w:fldChar w:fldCharType="separate"/>
      </w:r>
      <w:r>
        <w:rPr>
          <w:sz w:val="28"/>
          <w:szCs w:val="28"/>
        </w:rPr>
        <w:t>23</w:t>
      </w:r>
      <w:r>
        <w:rPr>
          <w:sz w:val="28"/>
          <w:szCs w:val="28"/>
        </w:rPr>
        <w:fldChar w:fldCharType="end"/>
      </w:r>
      <w:r>
        <w:rPr>
          <w:rFonts w:hint="eastAsia" w:ascii="宋体" w:hAnsi="宋体" w:eastAsia="宋体" w:cs="宋体"/>
          <w:color w:val="auto"/>
          <w:sz w:val="28"/>
          <w:szCs w:val="28"/>
          <w:highlight w:val="none"/>
        </w:rPr>
        <w:fldChar w:fldCharType="end"/>
      </w:r>
    </w:p>
    <w:p w14:paraId="5AD8092C">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_Toc22312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13</w:t>
      </w:r>
      <w:r>
        <w:rPr>
          <w:rFonts w:hint="eastAsia" w:ascii="宋体" w:hAnsi="宋体" w:eastAsia="宋体" w:cs="宋体"/>
          <w:bCs/>
          <w:spacing w:val="-23"/>
          <w:sz w:val="28"/>
          <w:szCs w:val="28"/>
          <w:highlight w:val="none"/>
        </w:rPr>
        <w:t xml:space="preserve"> </w:t>
      </w:r>
      <w:r>
        <w:rPr>
          <w:rFonts w:hint="eastAsia" w:ascii="宋体" w:hAnsi="宋体" w:eastAsia="宋体" w:cs="宋体"/>
          <w:bCs/>
          <w:spacing w:val="-7"/>
          <w:sz w:val="28"/>
          <w:szCs w:val="28"/>
          <w:highlight w:val="none"/>
        </w:rPr>
        <w:t>．投标文件的提交</w:t>
      </w:r>
      <w:r>
        <w:rPr>
          <w:sz w:val="28"/>
          <w:szCs w:val="28"/>
        </w:rPr>
        <w:tab/>
      </w:r>
      <w:r>
        <w:rPr>
          <w:sz w:val="28"/>
          <w:szCs w:val="28"/>
        </w:rPr>
        <w:fldChar w:fldCharType="begin"/>
      </w:r>
      <w:r>
        <w:rPr>
          <w:sz w:val="28"/>
          <w:szCs w:val="28"/>
        </w:rPr>
        <w:instrText xml:space="preserve"> PAGEREF _Toc22312 \h </w:instrText>
      </w:r>
      <w:r>
        <w:rPr>
          <w:sz w:val="28"/>
          <w:szCs w:val="28"/>
        </w:rPr>
        <w:fldChar w:fldCharType="separate"/>
      </w:r>
      <w:r>
        <w:rPr>
          <w:sz w:val="28"/>
          <w:szCs w:val="28"/>
        </w:rPr>
        <w:t>23</w:t>
      </w:r>
      <w:r>
        <w:rPr>
          <w:sz w:val="28"/>
          <w:szCs w:val="28"/>
        </w:rPr>
        <w:fldChar w:fldCharType="end"/>
      </w:r>
      <w:r>
        <w:rPr>
          <w:rFonts w:hint="eastAsia" w:ascii="宋体" w:hAnsi="宋体" w:eastAsia="宋体" w:cs="宋体"/>
          <w:color w:val="auto"/>
          <w:sz w:val="28"/>
          <w:szCs w:val="28"/>
          <w:highlight w:val="none"/>
        </w:rPr>
        <w:fldChar w:fldCharType="end"/>
      </w:r>
    </w:p>
    <w:p w14:paraId="7F263B05">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_Toc6719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11"/>
          <w:sz w:val="28"/>
          <w:szCs w:val="28"/>
          <w:highlight w:val="none"/>
        </w:rPr>
        <w:t>14</w:t>
      </w:r>
      <w:r>
        <w:rPr>
          <w:rFonts w:hint="eastAsia" w:ascii="宋体" w:hAnsi="宋体" w:eastAsia="宋体" w:cs="宋体"/>
          <w:bCs/>
          <w:spacing w:val="-28"/>
          <w:sz w:val="28"/>
          <w:szCs w:val="28"/>
          <w:highlight w:val="none"/>
        </w:rPr>
        <w:t xml:space="preserve"> </w:t>
      </w:r>
      <w:r>
        <w:rPr>
          <w:rFonts w:hint="eastAsia" w:ascii="宋体" w:hAnsi="宋体" w:eastAsia="宋体" w:cs="宋体"/>
          <w:bCs/>
          <w:spacing w:val="-11"/>
          <w:sz w:val="28"/>
          <w:szCs w:val="28"/>
          <w:highlight w:val="none"/>
        </w:rPr>
        <w:t>．开标</w:t>
      </w:r>
      <w:r>
        <w:rPr>
          <w:sz w:val="28"/>
          <w:szCs w:val="28"/>
        </w:rPr>
        <w:tab/>
      </w:r>
      <w:r>
        <w:rPr>
          <w:sz w:val="28"/>
          <w:szCs w:val="28"/>
        </w:rPr>
        <w:fldChar w:fldCharType="begin"/>
      </w:r>
      <w:r>
        <w:rPr>
          <w:sz w:val="28"/>
          <w:szCs w:val="28"/>
        </w:rPr>
        <w:instrText xml:space="preserve"> PAGEREF _Toc6719 \h </w:instrText>
      </w:r>
      <w:r>
        <w:rPr>
          <w:sz w:val="28"/>
          <w:szCs w:val="28"/>
        </w:rPr>
        <w:fldChar w:fldCharType="separate"/>
      </w:r>
      <w:r>
        <w:rPr>
          <w:sz w:val="28"/>
          <w:szCs w:val="28"/>
        </w:rPr>
        <w:t>24</w:t>
      </w:r>
      <w:r>
        <w:rPr>
          <w:sz w:val="28"/>
          <w:szCs w:val="28"/>
        </w:rPr>
        <w:fldChar w:fldCharType="end"/>
      </w:r>
      <w:r>
        <w:rPr>
          <w:rFonts w:hint="eastAsia" w:ascii="宋体" w:hAnsi="宋体" w:eastAsia="宋体" w:cs="宋体"/>
          <w:color w:val="auto"/>
          <w:sz w:val="28"/>
          <w:szCs w:val="28"/>
          <w:highlight w:val="none"/>
        </w:rPr>
        <w:fldChar w:fldCharType="end"/>
      </w:r>
    </w:p>
    <w:p w14:paraId="627739F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_Toc6628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11"/>
          <w:sz w:val="28"/>
          <w:szCs w:val="28"/>
          <w:highlight w:val="none"/>
        </w:rPr>
        <w:t>15</w:t>
      </w:r>
      <w:r>
        <w:rPr>
          <w:rFonts w:hint="eastAsia" w:ascii="宋体" w:hAnsi="宋体" w:eastAsia="宋体" w:cs="宋体"/>
          <w:bCs/>
          <w:spacing w:val="-28"/>
          <w:sz w:val="28"/>
          <w:szCs w:val="28"/>
          <w:highlight w:val="none"/>
        </w:rPr>
        <w:t xml:space="preserve"> </w:t>
      </w:r>
      <w:r>
        <w:rPr>
          <w:rFonts w:hint="eastAsia" w:ascii="宋体" w:hAnsi="宋体" w:eastAsia="宋体" w:cs="宋体"/>
          <w:bCs/>
          <w:spacing w:val="-11"/>
          <w:sz w:val="28"/>
          <w:szCs w:val="28"/>
          <w:highlight w:val="none"/>
        </w:rPr>
        <w:t>．评标</w:t>
      </w:r>
      <w:r>
        <w:rPr>
          <w:sz w:val="28"/>
          <w:szCs w:val="28"/>
        </w:rPr>
        <w:tab/>
      </w:r>
      <w:r>
        <w:rPr>
          <w:sz w:val="28"/>
          <w:szCs w:val="28"/>
        </w:rPr>
        <w:fldChar w:fldCharType="begin"/>
      </w:r>
      <w:r>
        <w:rPr>
          <w:sz w:val="28"/>
          <w:szCs w:val="28"/>
        </w:rPr>
        <w:instrText xml:space="preserve"> PAGEREF _Toc6628 \h </w:instrText>
      </w:r>
      <w:r>
        <w:rPr>
          <w:sz w:val="28"/>
          <w:szCs w:val="28"/>
        </w:rPr>
        <w:fldChar w:fldCharType="separate"/>
      </w:r>
      <w:r>
        <w:rPr>
          <w:sz w:val="28"/>
          <w:szCs w:val="28"/>
        </w:rPr>
        <w:t>25</w:t>
      </w:r>
      <w:r>
        <w:rPr>
          <w:sz w:val="28"/>
          <w:szCs w:val="28"/>
        </w:rPr>
        <w:fldChar w:fldCharType="end"/>
      </w:r>
      <w:r>
        <w:rPr>
          <w:rFonts w:hint="eastAsia" w:ascii="宋体" w:hAnsi="宋体" w:eastAsia="宋体" w:cs="宋体"/>
          <w:color w:val="auto"/>
          <w:sz w:val="28"/>
          <w:szCs w:val="28"/>
          <w:highlight w:val="none"/>
        </w:rPr>
        <w:fldChar w:fldCharType="end"/>
      </w:r>
    </w:p>
    <w:p w14:paraId="7B84900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_Toc1899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16</w:t>
      </w:r>
      <w:r>
        <w:rPr>
          <w:rFonts w:hint="eastAsia" w:ascii="宋体" w:hAnsi="宋体" w:eastAsia="宋体" w:cs="宋体"/>
          <w:bCs/>
          <w:spacing w:val="-20"/>
          <w:sz w:val="28"/>
          <w:szCs w:val="28"/>
          <w:highlight w:val="none"/>
        </w:rPr>
        <w:t xml:space="preserve"> </w:t>
      </w:r>
      <w:r>
        <w:rPr>
          <w:rFonts w:hint="eastAsia" w:ascii="宋体" w:hAnsi="宋体" w:eastAsia="宋体" w:cs="宋体"/>
          <w:bCs/>
          <w:spacing w:val="-7"/>
          <w:sz w:val="28"/>
          <w:szCs w:val="28"/>
          <w:highlight w:val="none"/>
        </w:rPr>
        <w:t>．中标候选人公示</w:t>
      </w:r>
      <w:r>
        <w:rPr>
          <w:sz w:val="28"/>
          <w:szCs w:val="28"/>
        </w:rPr>
        <w:tab/>
      </w:r>
      <w:r>
        <w:rPr>
          <w:sz w:val="28"/>
          <w:szCs w:val="28"/>
        </w:rPr>
        <w:fldChar w:fldCharType="begin"/>
      </w:r>
      <w:r>
        <w:rPr>
          <w:sz w:val="28"/>
          <w:szCs w:val="28"/>
        </w:rPr>
        <w:instrText xml:space="preserve"> PAGEREF _Toc1899 \h </w:instrText>
      </w:r>
      <w:r>
        <w:rPr>
          <w:sz w:val="28"/>
          <w:szCs w:val="28"/>
        </w:rPr>
        <w:fldChar w:fldCharType="separate"/>
      </w:r>
      <w:r>
        <w:rPr>
          <w:sz w:val="28"/>
          <w:szCs w:val="28"/>
        </w:rPr>
        <w:t>35</w:t>
      </w:r>
      <w:r>
        <w:rPr>
          <w:sz w:val="28"/>
          <w:szCs w:val="28"/>
        </w:rPr>
        <w:fldChar w:fldCharType="end"/>
      </w:r>
      <w:r>
        <w:rPr>
          <w:rFonts w:hint="eastAsia" w:ascii="宋体" w:hAnsi="宋体" w:eastAsia="宋体" w:cs="宋体"/>
          <w:color w:val="auto"/>
          <w:sz w:val="28"/>
          <w:szCs w:val="28"/>
          <w:highlight w:val="none"/>
        </w:rPr>
        <w:fldChar w:fldCharType="end"/>
      </w:r>
    </w:p>
    <w:p w14:paraId="3D06BA2B">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_Toc25567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第四节</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否决投标条件</w:t>
      </w:r>
      <w:r>
        <w:rPr>
          <w:sz w:val="28"/>
          <w:szCs w:val="28"/>
        </w:rPr>
        <w:tab/>
      </w:r>
      <w:r>
        <w:rPr>
          <w:sz w:val="28"/>
          <w:szCs w:val="28"/>
        </w:rPr>
        <w:fldChar w:fldCharType="begin"/>
      </w:r>
      <w:r>
        <w:rPr>
          <w:sz w:val="28"/>
          <w:szCs w:val="28"/>
        </w:rPr>
        <w:instrText xml:space="preserve"> PAGEREF _Toc25567 \h </w:instrText>
      </w:r>
      <w:r>
        <w:rPr>
          <w:sz w:val="28"/>
          <w:szCs w:val="28"/>
        </w:rPr>
        <w:fldChar w:fldCharType="separate"/>
      </w:r>
      <w:r>
        <w:rPr>
          <w:sz w:val="28"/>
          <w:szCs w:val="28"/>
        </w:rPr>
        <w:t>37</w:t>
      </w:r>
      <w:r>
        <w:rPr>
          <w:sz w:val="28"/>
          <w:szCs w:val="28"/>
        </w:rPr>
        <w:fldChar w:fldCharType="end"/>
      </w:r>
      <w:r>
        <w:rPr>
          <w:rFonts w:hint="eastAsia" w:ascii="宋体" w:hAnsi="宋体" w:eastAsia="宋体" w:cs="宋体"/>
          <w:color w:val="auto"/>
          <w:sz w:val="28"/>
          <w:szCs w:val="28"/>
          <w:highlight w:val="none"/>
        </w:rPr>
        <w:fldChar w:fldCharType="end"/>
      </w:r>
    </w:p>
    <w:p w14:paraId="365B674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_Toc24603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1</w:t>
      </w:r>
      <w:r>
        <w:rPr>
          <w:rFonts w:hint="eastAsia" w:ascii="宋体" w:hAnsi="宋体" w:eastAsia="宋体" w:cs="宋体"/>
          <w:bCs/>
          <w:spacing w:val="-26"/>
          <w:sz w:val="28"/>
          <w:szCs w:val="28"/>
          <w:highlight w:val="none"/>
        </w:rPr>
        <w:t xml:space="preserve"> </w:t>
      </w:r>
      <w:r>
        <w:rPr>
          <w:rFonts w:hint="eastAsia" w:ascii="宋体" w:hAnsi="宋体" w:eastAsia="宋体" w:cs="宋体"/>
          <w:bCs/>
          <w:spacing w:val="-8"/>
          <w:sz w:val="28"/>
          <w:szCs w:val="28"/>
          <w:highlight w:val="none"/>
        </w:rPr>
        <w:t>．资格评审环节</w:t>
      </w:r>
      <w:r>
        <w:rPr>
          <w:sz w:val="28"/>
          <w:szCs w:val="28"/>
        </w:rPr>
        <w:tab/>
      </w:r>
      <w:r>
        <w:rPr>
          <w:sz w:val="28"/>
          <w:szCs w:val="28"/>
        </w:rPr>
        <w:fldChar w:fldCharType="begin"/>
      </w:r>
      <w:r>
        <w:rPr>
          <w:sz w:val="28"/>
          <w:szCs w:val="28"/>
        </w:rPr>
        <w:instrText xml:space="preserve"> PAGEREF _Toc24603 \h </w:instrText>
      </w:r>
      <w:r>
        <w:rPr>
          <w:sz w:val="28"/>
          <w:szCs w:val="28"/>
        </w:rPr>
        <w:fldChar w:fldCharType="separate"/>
      </w:r>
      <w:r>
        <w:rPr>
          <w:sz w:val="28"/>
          <w:szCs w:val="28"/>
        </w:rPr>
        <w:t>37</w:t>
      </w:r>
      <w:r>
        <w:rPr>
          <w:sz w:val="28"/>
          <w:szCs w:val="28"/>
        </w:rPr>
        <w:fldChar w:fldCharType="end"/>
      </w:r>
      <w:r>
        <w:rPr>
          <w:rFonts w:hint="eastAsia" w:ascii="宋体" w:hAnsi="宋体" w:eastAsia="宋体" w:cs="宋体"/>
          <w:color w:val="auto"/>
          <w:sz w:val="28"/>
          <w:szCs w:val="28"/>
          <w:highlight w:val="none"/>
        </w:rPr>
        <w:fldChar w:fldCharType="end"/>
      </w:r>
    </w:p>
    <w:p w14:paraId="5FC6579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_Toc29843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2</w:t>
      </w:r>
      <w:r>
        <w:rPr>
          <w:rFonts w:hint="eastAsia" w:ascii="宋体" w:hAnsi="宋体" w:eastAsia="宋体" w:cs="宋体"/>
          <w:bCs/>
          <w:spacing w:val="-24"/>
          <w:sz w:val="28"/>
          <w:szCs w:val="28"/>
          <w:highlight w:val="none"/>
        </w:rPr>
        <w:t xml:space="preserve"> </w:t>
      </w:r>
      <w:r>
        <w:rPr>
          <w:rFonts w:hint="eastAsia" w:ascii="宋体" w:hAnsi="宋体" w:eastAsia="宋体" w:cs="宋体"/>
          <w:bCs/>
          <w:spacing w:val="-7"/>
          <w:sz w:val="28"/>
          <w:szCs w:val="28"/>
          <w:highlight w:val="none"/>
        </w:rPr>
        <w:t>．形式评审环节</w:t>
      </w:r>
      <w:r>
        <w:rPr>
          <w:sz w:val="28"/>
          <w:szCs w:val="28"/>
        </w:rPr>
        <w:tab/>
      </w:r>
      <w:r>
        <w:rPr>
          <w:sz w:val="28"/>
          <w:szCs w:val="28"/>
        </w:rPr>
        <w:fldChar w:fldCharType="begin"/>
      </w:r>
      <w:r>
        <w:rPr>
          <w:sz w:val="28"/>
          <w:szCs w:val="28"/>
        </w:rPr>
        <w:instrText xml:space="preserve"> PAGEREF _Toc29843 \h </w:instrText>
      </w:r>
      <w:r>
        <w:rPr>
          <w:sz w:val="28"/>
          <w:szCs w:val="28"/>
        </w:rPr>
        <w:fldChar w:fldCharType="separate"/>
      </w:r>
      <w:r>
        <w:rPr>
          <w:sz w:val="28"/>
          <w:szCs w:val="28"/>
        </w:rPr>
        <w:t>38</w:t>
      </w:r>
      <w:r>
        <w:rPr>
          <w:sz w:val="28"/>
          <w:szCs w:val="28"/>
        </w:rPr>
        <w:fldChar w:fldCharType="end"/>
      </w:r>
      <w:r>
        <w:rPr>
          <w:rFonts w:hint="eastAsia" w:ascii="宋体" w:hAnsi="宋体" w:eastAsia="宋体" w:cs="宋体"/>
          <w:color w:val="auto"/>
          <w:sz w:val="28"/>
          <w:szCs w:val="28"/>
          <w:highlight w:val="none"/>
        </w:rPr>
        <w:fldChar w:fldCharType="end"/>
      </w:r>
    </w:p>
    <w:p w14:paraId="099E534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_Toc8663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3</w:t>
      </w:r>
      <w:r>
        <w:rPr>
          <w:rFonts w:hint="eastAsia" w:ascii="宋体" w:hAnsi="宋体" w:eastAsia="宋体" w:cs="宋体"/>
          <w:bCs/>
          <w:spacing w:val="-24"/>
          <w:sz w:val="28"/>
          <w:szCs w:val="28"/>
          <w:highlight w:val="none"/>
        </w:rPr>
        <w:t xml:space="preserve"> </w:t>
      </w:r>
      <w:r>
        <w:rPr>
          <w:rFonts w:hint="eastAsia" w:ascii="宋体" w:hAnsi="宋体" w:eastAsia="宋体" w:cs="宋体"/>
          <w:bCs/>
          <w:spacing w:val="-6"/>
          <w:sz w:val="28"/>
          <w:szCs w:val="28"/>
          <w:highlight w:val="none"/>
        </w:rPr>
        <w:t>．响应性评审环节</w:t>
      </w:r>
      <w:r>
        <w:rPr>
          <w:sz w:val="28"/>
          <w:szCs w:val="28"/>
        </w:rPr>
        <w:tab/>
      </w:r>
      <w:r>
        <w:rPr>
          <w:sz w:val="28"/>
          <w:szCs w:val="28"/>
        </w:rPr>
        <w:fldChar w:fldCharType="begin"/>
      </w:r>
      <w:r>
        <w:rPr>
          <w:sz w:val="28"/>
          <w:szCs w:val="28"/>
        </w:rPr>
        <w:instrText xml:space="preserve"> PAGEREF _Toc8663 \h </w:instrText>
      </w:r>
      <w:r>
        <w:rPr>
          <w:sz w:val="28"/>
          <w:szCs w:val="28"/>
        </w:rPr>
        <w:fldChar w:fldCharType="separate"/>
      </w:r>
      <w:r>
        <w:rPr>
          <w:sz w:val="28"/>
          <w:szCs w:val="28"/>
        </w:rPr>
        <w:t>38</w:t>
      </w:r>
      <w:r>
        <w:rPr>
          <w:sz w:val="28"/>
          <w:szCs w:val="28"/>
        </w:rPr>
        <w:fldChar w:fldCharType="end"/>
      </w:r>
      <w:r>
        <w:rPr>
          <w:rFonts w:hint="eastAsia" w:ascii="宋体" w:hAnsi="宋体" w:eastAsia="宋体" w:cs="宋体"/>
          <w:color w:val="auto"/>
          <w:sz w:val="28"/>
          <w:szCs w:val="28"/>
          <w:highlight w:val="none"/>
        </w:rPr>
        <w:fldChar w:fldCharType="end"/>
      </w:r>
    </w:p>
    <w:p w14:paraId="0207F322">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_Toc1909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11"/>
          <w:sz w:val="28"/>
          <w:szCs w:val="28"/>
          <w:highlight w:val="none"/>
        </w:rPr>
        <w:t>4</w:t>
      </w:r>
      <w:r>
        <w:rPr>
          <w:rFonts w:hint="eastAsia" w:ascii="宋体" w:hAnsi="宋体" w:eastAsia="宋体" w:cs="宋体"/>
          <w:bCs/>
          <w:spacing w:val="-29"/>
          <w:sz w:val="28"/>
          <w:szCs w:val="28"/>
          <w:highlight w:val="none"/>
        </w:rPr>
        <w:t xml:space="preserve"> </w:t>
      </w:r>
      <w:r>
        <w:rPr>
          <w:rFonts w:hint="eastAsia" w:ascii="宋体" w:hAnsi="宋体" w:eastAsia="宋体" w:cs="宋体"/>
          <w:bCs/>
          <w:spacing w:val="-11"/>
          <w:sz w:val="28"/>
          <w:szCs w:val="28"/>
          <w:highlight w:val="none"/>
        </w:rPr>
        <w:t>．其他</w:t>
      </w:r>
      <w:r>
        <w:rPr>
          <w:sz w:val="28"/>
          <w:szCs w:val="28"/>
        </w:rPr>
        <w:tab/>
      </w:r>
      <w:r>
        <w:rPr>
          <w:sz w:val="28"/>
          <w:szCs w:val="28"/>
        </w:rPr>
        <w:fldChar w:fldCharType="begin"/>
      </w:r>
      <w:r>
        <w:rPr>
          <w:sz w:val="28"/>
          <w:szCs w:val="28"/>
        </w:rPr>
        <w:instrText xml:space="preserve"> PAGEREF _Toc1909 \h </w:instrText>
      </w:r>
      <w:r>
        <w:rPr>
          <w:sz w:val="28"/>
          <w:szCs w:val="28"/>
        </w:rPr>
        <w:fldChar w:fldCharType="separate"/>
      </w:r>
      <w:r>
        <w:rPr>
          <w:sz w:val="28"/>
          <w:szCs w:val="28"/>
        </w:rPr>
        <w:t>39</w:t>
      </w:r>
      <w:r>
        <w:rPr>
          <w:sz w:val="28"/>
          <w:szCs w:val="28"/>
        </w:rPr>
        <w:fldChar w:fldCharType="end"/>
      </w:r>
      <w:r>
        <w:rPr>
          <w:rFonts w:hint="eastAsia" w:ascii="宋体" w:hAnsi="宋体" w:eastAsia="宋体" w:cs="宋体"/>
          <w:color w:val="auto"/>
          <w:sz w:val="28"/>
          <w:szCs w:val="28"/>
          <w:highlight w:val="none"/>
        </w:rPr>
        <w:fldChar w:fldCharType="end"/>
      </w:r>
    </w:p>
    <w:p w14:paraId="4BDF116C">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_Toc17933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第二章</w:t>
      </w:r>
      <w:r>
        <w:rPr>
          <w:rFonts w:hint="eastAsia" w:ascii="宋体" w:hAnsi="宋体" w:eastAsia="宋体" w:cs="宋体"/>
          <w:spacing w:val="32"/>
          <w:sz w:val="28"/>
          <w:szCs w:val="28"/>
          <w:highlight w:val="none"/>
        </w:rPr>
        <w:t xml:space="preserve"> </w:t>
      </w:r>
      <w:r>
        <w:rPr>
          <w:rFonts w:hint="eastAsia" w:ascii="宋体" w:hAnsi="宋体" w:eastAsia="宋体" w:cs="宋体"/>
          <w:bCs/>
          <w:spacing w:val="-7"/>
          <w:sz w:val="28"/>
          <w:szCs w:val="28"/>
          <w:highlight w:val="none"/>
        </w:rPr>
        <w:t>中标人须知</w:t>
      </w:r>
      <w:r>
        <w:rPr>
          <w:sz w:val="28"/>
          <w:szCs w:val="28"/>
        </w:rPr>
        <w:tab/>
      </w:r>
      <w:r>
        <w:rPr>
          <w:sz w:val="28"/>
          <w:szCs w:val="28"/>
        </w:rPr>
        <w:fldChar w:fldCharType="begin"/>
      </w:r>
      <w:r>
        <w:rPr>
          <w:sz w:val="28"/>
          <w:szCs w:val="28"/>
        </w:rPr>
        <w:instrText xml:space="preserve"> PAGEREF _Toc17933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3312071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_Toc21728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9"/>
          <w:sz w:val="28"/>
          <w:szCs w:val="28"/>
          <w:highlight w:val="none"/>
        </w:rPr>
        <w:t>1</w:t>
      </w:r>
      <w:r>
        <w:rPr>
          <w:rFonts w:hint="eastAsia" w:ascii="宋体" w:hAnsi="宋体" w:eastAsia="宋体" w:cs="宋体"/>
          <w:bCs/>
          <w:spacing w:val="-25"/>
          <w:sz w:val="28"/>
          <w:szCs w:val="28"/>
          <w:highlight w:val="none"/>
        </w:rPr>
        <w:t xml:space="preserve"> </w:t>
      </w:r>
      <w:r>
        <w:rPr>
          <w:rFonts w:hint="eastAsia" w:ascii="宋体" w:hAnsi="宋体" w:eastAsia="宋体" w:cs="宋体"/>
          <w:bCs/>
          <w:spacing w:val="-9"/>
          <w:sz w:val="28"/>
          <w:szCs w:val="28"/>
          <w:highlight w:val="none"/>
        </w:rPr>
        <w:t>．中标通知书</w:t>
      </w:r>
      <w:r>
        <w:rPr>
          <w:sz w:val="28"/>
          <w:szCs w:val="28"/>
        </w:rPr>
        <w:tab/>
      </w:r>
      <w:r>
        <w:rPr>
          <w:sz w:val="28"/>
          <w:szCs w:val="28"/>
        </w:rPr>
        <w:fldChar w:fldCharType="begin"/>
      </w:r>
      <w:r>
        <w:rPr>
          <w:sz w:val="28"/>
          <w:szCs w:val="28"/>
        </w:rPr>
        <w:instrText xml:space="preserve"> PAGEREF _Toc21728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19D689F4">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_Toc15811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2</w:t>
      </w:r>
      <w:r>
        <w:rPr>
          <w:rFonts w:hint="eastAsia" w:ascii="宋体" w:hAnsi="宋体" w:eastAsia="宋体" w:cs="宋体"/>
          <w:bCs/>
          <w:spacing w:val="-24"/>
          <w:sz w:val="28"/>
          <w:szCs w:val="28"/>
          <w:highlight w:val="none"/>
        </w:rPr>
        <w:t xml:space="preserve"> </w:t>
      </w:r>
      <w:r>
        <w:rPr>
          <w:rFonts w:hint="eastAsia" w:ascii="宋体" w:hAnsi="宋体" w:eastAsia="宋体" w:cs="宋体"/>
          <w:bCs/>
          <w:spacing w:val="-7"/>
          <w:sz w:val="28"/>
          <w:szCs w:val="28"/>
          <w:highlight w:val="none"/>
        </w:rPr>
        <w:t>．中标结果公示</w:t>
      </w:r>
      <w:r>
        <w:rPr>
          <w:sz w:val="28"/>
          <w:szCs w:val="28"/>
        </w:rPr>
        <w:tab/>
      </w:r>
      <w:r>
        <w:rPr>
          <w:sz w:val="28"/>
          <w:szCs w:val="28"/>
        </w:rPr>
        <w:fldChar w:fldCharType="begin"/>
      </w:r>
      <w:r>
        <w:rPr>
          <w:sz w:val="28"/>
          <w:szCs w:val="28"/>
        </w:rPr>
        <w:instrText xml:space="preserve"> PAGEREF _Toc15811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793BF04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_Toc9075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3</w:t>
      </w:r>
      <w:r>
        <w:rPr>
          <w:rFonts w:hint="eastAsia" w:ascii="宋体" w:hAnsi="宋体" w:eastAsia="宋体" w:cs="宋体"/>
          <w:bCs/>
          <w:spacing w:val="-25"/>
          <w:sz w:val="28"/>
          <w:szCs w:val="28"/>
          <w:highlight w:val="none"/>
        </w:rPr>
        <w:t xml:space="preserve"> </w:t>
      </w:r>
      <w:r>
        <w:rPr>
          <w:rFonts w:hint="eastAsia" w:ascii="宋体" w:hAnsi="宋体" w:eastAsia="宋体" w:cs="宋体"/>
          <w:bCs/>
          <w:spacing w:val="-8"/>
          <w:sz w:val="28"/>
          <w:szCs w:val="28"/>
          <w:highlight w:val="none"/>
        </w:rPr>
        <w:t>．履约保证</w:t>
      </w:r>
      <w:r>
        <w:rPr>
          <w:sz w:val="28"/>
          <w:szCs w:val="28"/>
        </w:rPr>
        <w:tab/>
      </w:r>
      <w:r>
        <w:rPr>
          <w:sz w:val="28"/>
          <w:szCs w:val="28"/>
        </w:rPr>
        <w:fldChar w:fldCharType="begin"/>
      </w:r>
      <w:r>
        <w:rPr>
          <w:sz w:val="28"/>
          <w:szCs w:val="28"/>
        </w:rPr>
        <w:instrText xml:space="preserve"> PAGEREF _Toc9075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6DE75A2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_Toc12298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4</w:t>
      </w:r>
      <w:r>
        <w:rPr>
          <w:rFonts w:hint="eastAsia" w:ascii="宋体" w:hAnsi="宋体" w:eastAsia="宋体" w:cs="宋体"/>
          <w:bCs/>
          <w:spacing w:val="-27"/>
          <w:sz w:val="28"/>
          <w:szCs w:val="28"/>
          <w:highlight w:val="none"/>
        </w:rPr>
        <w:t xml:space="preserve"> </w:t>
      </w:r>
      <w:r>
        <w:rPr>
          <w:rFonts w:hint="eastAsia" w:ascii="宋体" w:hAnsi="宋体" w:eastAsia="宋体" w:cs="宋体"/>
          <w:bCs/>
          <w:spacing w:val="-8"/>
          <w:sz w:val="28"/>
          <w:szCs w:val="28"/>
          <w:highlight w:val="none"/>
        </w:rPr>
        <w:t>．合同订立</w:t>
      </w:r>
      <w:r>
        <w:rPr>
          <w:sz w:val="28"/>
          <w:szCs w:val="28"/>
        </w:rPr>
        <w:tab/>
      </w:r>
      <w:r>
        <w:rPr>
          <w:sz w:val="28"/>
          <w:szCs w:val="28"/>
        </w:rPr>
        <w:fldChar w:fldCharType="begin"/>
      </w:r>
      <w:r>
        <w:rPr>
          <w:sz w:val="28"/>
          <w:szCs w:val="28"/>
        </w:rPr>
        <w:instrText xml:space="preserve"> PAGEREF _Toc12298 \h </w:instrText>
      </w:r>
      <w:r>
        <w:rPr>
          <w:sz w:val="28"/>
          <w:szCs w:val="28"/>
        </w:rPr>
        <w:fldChar w:fldCharType="separate"/>
      </w:r>
      <w:r>
        <w:rPr>
          <w:sz w:val="28"/>
          <w:szCs w:val="28"/>
        </w:rPr>
        <w:t>41</w:t>
      </w:r>
      <w:r>
        <w:rPr>
          <w:sz w:val="28"/>
          <w:szCs w:val="28"/>
        </w:rPr>
        <w:fldChar w:fldCharType="end"/>
      </w:r>
      <w:r>
        <w:rPr>
          <w:rFonts w:hint="eastAsia" w:ascii="宋体" w:hAnsi="宋体" w:eastAsia="宋体" w:cs="宋体"/>
          <w:color w:val="auto"/>
          <w:sz w:val="28"/>
          <w:szCs w:val="28"/>
          <w:highlight w:val="none"/>
        </w:rPr>
        <w:fldChar w:fldCharType="end"/>
      </w:r>
    </w:p>
    <w:p w14:paraId="649B9191">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_Toc13629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5</w:t>
      </w:r>
      <w:r>
        <w:rPr>
          <w:rFonts w:hint="eastAsia" w:ascii="宋体" w:hAnsi="宋体" w:eastAsia="宋体" w:cs="宋体"/>
          <w:bCs/>
          <w:spacing w:val="-29"/>
          <w:sz w:val="28"/>
          <w:szCs w:val="28"/>
          <w:highlight w:val="none"/>
        </w:rPr>
        <w:t xml:space="preserve"> </w:t>
      </w:r>
      <w:r>
        <w:rPr>
          <w:rFonts w:hint="eastAsia" w:ascii="宋体" w:hAnsi="宋体" w:eastAsia="宋体" w:cs="宋体"/>
          <w:bCs/>
          <w:spacing w:val="-6"/>
          <w:sz w:val="28"/>
          <w:szCs w:val="28"/>
          <w:highlight w:val="none"/>
        </w:rPr>
        <w:t>．放弃中标的处理</w:t>
      </w:r>
      <w:r>
        <w:rPr>
          <w:sz w:val="28"/>
          <w:szCs w:val="28"/>
        </w:rPr>
        <w:tab/>
      </w:r>
      <w:r>
        <w:rPr>
          <w:sz w:val="28"/>
          <w:szCs w:val="28"/>
        </w:rPr>
        <w:fldChar w:fldCharType="begin"/>
      </w:r>
      <w:r>
        <w:rPr>
          <w:sz w:val="28"/>
          <w:szCs w:val="28"/>
        </w:rPr>
        <w:instrText xml:space="preserve"> PAGEREF _Toc13629 \h </w:instrText>
      </w:r>
      <w:r>
        <w:rPr>
          <w:sz w:val="28"/>
          <w:szCs w:val="28"/>
        </w:rPr>
        <w:fldChar w:fldCharType="separate"/>
      </w:r>
      <w:r>
        <w:rPr>
          <w:sz w:val="28"/>
          <w:szCs w:val="28"/>
        </w:rPr>
        <w:t>42</w:t>
      </w:r>
      <w:r>
        <w:rPr>
          <w:sz w:val="28"/>
          <w:szCs w:val="28"/>
        </w:rPr>
        <w:fldChar w:fldCharType="end"/>
      </w:r>
      <w:r>
        <w:rPr>
          <w:rFonts w:hint="eastAsia" w:ascii="宋体" w:hAnsi="宋体" w:eastAsia="宋体" w:cs="宋体"/>
          <w:color w:val="auto"/>
          <w:sz w:val="28"/>
          <w:szCs w:val="28"/>
          <w:highlight w:val="none"/>
        </w:rPr>
        <w:fldChar w:fldCharType="end"/>
      </w:r>
    </w:p>
    <w:p w14:paraId="0BA86F27">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_Toc14575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第三章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拟签订合同的主要条款</w:t>
      </w:r>
      <w:r>
        <w:rPr>
          <w:sz w:val="28"/>
          <w:szCs w:val="28"/>
        </w:rPr>
        <w:tab/>
      </w:r>
      <w:r>
        <w:rPr>
          <w:sz w:val="28"/>
          <w:szCs w:val="28"/>
        </w:rPr>
        <w:fldChar w:fldCharType="begin"/>
      </w:r>
      <w:r>
        <w:rPr>
          <w:sz w:val="28"/>
          <w:szCs w:val="28"/>
        </w:rPr>
        <w:instrText xml:space="preserve"> PAGEREF _Toc14575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color w:val="auto"/>
          <w:sz w:val="28"/>
          <w:szCs w:val="28"/>
          <w:highlight w:val="none"/>
        </w:rPr>
        <w:fldChar w:fldCharType="end"/>
      </w:r>
    </w:p>
    <w:p w14:paraId="2FE42782">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_Toc30571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1</w:t>
      </w:r>
      <w:r>
        <w:rPr>
          <w:rFonts w:hint="eastAsia" w:ascii="宋体" w:hAnsi="宋体" w:eastAsia="宋体" w:cs="宋体"/>
          <w:bCs/>
          <w:spacing w:val="-26"/>
          <w:sz w:val="28"/>
          <w:szCs w:val="28"/>
          <w:highlight w:val="none"/>
        </w:rPr>
        <w:t xml:space="preserve"> </w:t>
      </w:r>
      <w:r>
        <w:rPr>
          <w:rFonts w:hint="eastAsia" w:ascii="宋体" w:hAnsi="宋体" w:eastAsia="宋体" w:cs="宋体"/>
          <w:bCs/>
          <w:spacing w:val="-8"/>
          <w:sz w:val="28"/>
          <w:szCs w:val="28"/>
          <w:highlight w:val="none"/>
        </w:rPr>
        <w:t>．工程承包方式</w:t>
      </w:r>
      <w:r>
        <w:rPr>
          <w:sz w:val="28"/>
          <w:szCs w:val="28"/>
        </w:rPr>
        <w:tab/>
      </w:r>
      <w:r>
        <w:rPr>
          <w:sz w:val="28"/>
          <w:szCs w:val="28"/>
        </w:rPr>
        <w:fldChar w:fldCharType="begin"/>
      </w:r>
      <w:r>
        <w:rPr>
          <w:sz w:val="28"/>
          <w:szCs w:val="28"/>
        </w:rPr>
        <w:instrText xml:space="preserve"> PAGEREF _Toc30571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color w:val="auto"/>
          <w:sz w:val="28"/>
          <w:szCs w:val="28"/>
          <w:highlight w:val="none"/>
        </w:rPr>
        <w:fldChar w:fldCharType="end"/>
      </w:r>
    </w:p>
    <w:p w14:paraId="17B46AAC">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_Toc5363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2</w:t>
      </w:r>
      <w:r>
        <w:rPr>
          <w:rFonts w:hint="eastAsia" w:ascii="宋体" w:hAnsi="宋体" w:eastAsia="宋体" w:cs="宋体"/>
          <w:bCs/>
          <w:spacing w:val="-24"/>
          <w:sz w:val="28"/>
          <w:szCs w:val="28"/>
          <w:highlight w:val="none"/>
        </w:rPr>
        <w:t xml:space="preserve"> </w:t>
      </w:r>
      <w:r>
        <w:rPr>
          <w:rFonts w:hint="eastAsia" w:ascii="宋体" w:hAnsi="宋体" w:eastAsia="宋体" w:cs="宋体"/>
          <w:bCs/>
          <w:spacing w:val="-7"/>
          <w:sz w:val="28"/>
          <w:szCs w:val="28"/>
          <w:highlight w:val="none"/>
        </w:rPr>
        <w:t>．工程结算原则</w:t>
      </w:r>
      <w:r>
        <w:rPr>
          <w:sz w:val="28"/>
          <w:szCs w:val="28"/>
        </w:rPr>
        <w:tab/>
      </w:r>
      <w:r>
        <w:rPr>
          <w:sz w:val="28"/>
          <w:szCs w:val="28"/>
        </w:rPr>
        <w:fldChar w:fldCharType="begin"/>
      </w:r>
      <w:r>
        <w:rPr>
          <w:sz w:val="28"/>
          <w:szCs w:val="28"/>
        </w:rPr>
        <w:instrText xml:space="preserve"> PAGEREF _Toc5363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color w:val="auto"/>
          <w:sz w:val="28"/>
          <w:szCs w:val="28"/>
          <w:highlight w:val="none"/>
        </w:rPr>
        <w:fldChar w:fldCharType="end"/>
      </w:r>
    </w:p>
    <w:p w14:paraId="2362A301">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_Toc20570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3. 工程付款办法</w:t>
      </w:r>
      <w:r>
        <w:rPr>
          <w:sz w:val="28"/>
          <w:szCs w:val="28"/>
        </w:rPr>
        <w:tab/>
      </w:r>
      <w:r>
        <w:rPr>
          <w:sz w:val="28"/>
          <w:szCs w:val="28"/>
        </w:rPr>
        <w:fldChar w:fldCharType="begin"/>
      </w:r>
      <w:r>
        <w:rPr>
          <w:sz w:val="28"/>
          <w:szCs w:val="28"/>
        </w:rPr>
        <w:instrText xml:space="preserve"> PAGEREF _Toc20570 \h </w:instrText>
      </w:r>
      <w:r>
        <w:rPr>
          <w:sz w:val="28"/>
          <w:szCs w:val="28"/>
        </w:rPr>
        <w:fldChar w:fldCharType="separate"/>
      </w:r>
      <w:r>
        <w:rPr>
          <w:sz w:val="28"/>
          <w:szCs w:val="28"/>
        </w:rPr>
        <w:t>49</w:t>
      </w:r>
      <w:r>
        <w:rPr>
          <w:sz w:val="28"/>
          <w:szCs w:val="28"/>
        </w:rPr>
        <w:fldChar w:fldCharType="end"/>
      </w:r>
      <w:r>
        <w:rPr>
          <w:rFonts w:hint="eastAsia" w:ascii="宋体" w:hAnsi="宋体" w:eastAsia="宋体" w:cs="宋体"/>
          <w:color w:val="auto"/>
          <w:sz w:val="28"/>
          <w:szCs w:val="28"/>
          <w:highlight w:val="none"/>
        </w:rPr>
        <w:fldChar w:fldCharType="end"/>
      </w:r>
    </w:p>
    <w:p w14:paraId="6B7B2D3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_Toc17751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7"/>
          <w:sz w:val="28"/>
          <w:szCs w:val="28"/>
          <w:highlight w:val="none"/>
        </w:rPr>
        <w:t>4</w:t>
      </w:r>
      <w:r>
        <w:rPr>
          <w:rFonts w:hint="eastAsia" w:ascii="宋体" w:hAnsi="宋体" w:eastAsia="宋体" w:cs="宋体"/>
          <w:bCs/>
          <w:spacing w:val="-25"/>
          <w:sz w:val="28"/>
          <w:szCs w:val="28"/>
          <w:highlight w:val="none"/>
        </w:rPr>
        <w:t xml:space="preserve"> </w:t>
      </w:r>
      <w:r>
        <w:rPr>
          <w:rFonts w:hint="eastAsia" w:ascii="宋体" w:hAnsi="宋体" w:eastAsia="宋体" w:cs="宋体"/>
          <w:bCs/>
          <w:spacing w:val="-7"/>
          <w:sz w:val="28"/>
          <w:szCs w:val="28"/>
          <w:highlight w:val="none"/>
        </w:rPr>
        <w:t>．其他专用合同条款</w:t>
      </w:r>
      <w:r>
        <w:rPr>
          <w:sz w:val="28"/>
          <w:szCs w:val="28"/>
        </w:rPr>
        <w:tab/>
      </w:r>
      <w:r>
        <w:rPr>
          <w:sz w:val="28"/>
          <w:szCs w:val="28"/>
        </w:rPr>
        <w:fldChar w:fldCharType="begin"/>
      </w:r>
      <w:r>
        <w:rPr>
          <w:sz w:val="28"/>
          <w:szCs w:val="28"/>
        </w:rPr>
        <w:instrText xml:space="preserve"> PAGEREF _Toc17751 \h </w:instrText>
      </w:r>
      <w:r>
        <w:rPr>
          <w:sz w:val="28"/>
          <w:szCs w:val="28"/>
        </w:rPr>
        <w:fldChar w:fldCharType="separate"/>
      </w:r>
      <w:r>
        <w:rPr>
          <w:sz w:val="28"/>
          <w:szCs w:val="28"/>
        </w:rPr>
        <w:t>50</w:t>
      </w:r>
      <w:r>
        <w:rPr>
          <w:sz w:val="28"/>
          <w:szCs w:val="28"/>
        </w:rPr>
        <w:fldChar w:fldCharType="end"/>
      </w:r>
      <w:r>
        <w:rPr>
          <w:rFonts w:hint="eastAsia" w:ascii="宋体" w:hAnsi="宋体" w:eastAsia="宋体" w:cs="宋体"/>
          <w:color w:val="auto"/>
          <w:sz w:val="28"/>
          <w:szCs w:val="28"/>
          <w:highlight w:val="none"/>
        </w:rPr>
        <w:fldChar w:fldCharType="end"/>
      </w:r>
    </w:p>
    <w:p w14:paraId="5327BB4A">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_Toc1846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第四章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技术要求</w:t>
      </w:r>
      <w:r>
        <w:rPr>
          <w:sz w:val="28"/>
          <w:szCs w:val="28"/>
        </w:rPr>
        <w:tab/>
      </w:r>
      <w:r>
        <w:rPr>
          <w:sz w:val="28"/>
          <w:szCs w:val="28"/>
        </w:rPr>
        <w:fldChar w:fldCharType="begin"/>
      </w:r>
      <w:r>
        <w:rPr>
          <w:sz w:val="28"/>
          <w:szCs w:val="28"/>
        </w:rPr>
        <w:instrText xml:space="preserve"> PAGEREF _Toc1846 \h </w:instrText>
      </w:r>
      <w:r>
        <w:rPr>
          <w:sz w:val="28"/>
          <w:szCs w:val="28"/>
        </w:rPr>
        <w:fldChar w:fldCharType="separate"/>
      </w:r>
      <w:r>
        <w:rPr>
          <w:sz w:val="28"/>
          <w:szCs w:val="28"/>
        </w:rPr>
        <w:t>58</w:t>
      </w:r>
      <w:r>
        <w:rPr>
          <w:sz w:val="28"/>
          <w:szCs w:val="28"/>
        </w:rPr>
        <w:fldChar w:fldCharType="end"/>
      </w:r>
      <w:r>
        <w:rPr>
          <w:rFonts w:hint="eastAsia" w:ascii="宋体" w:hAnsi="宋体" w:eastAsia="宋体" w:cs="宋体"/>
          <w:color w:val="auto"/>
          <w:sz w:val="28"/>
          <w:szCs w:val="28"/>
          <w:highlight w:val="none"/>
        </w:rPr>
        <w:fldChar w:fldCharType="end"/>
      </w:r>
    </w:p>
    <w:p w14:paraId="3B0A0B6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_Toc23492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1</w:t>
      </w:r>
      <w:r>
        <w:rPr>
          <w:rFonts w:hint="eastAsia" w:ascii="宋体" w:hAnsi="宋体" w:eastAsia="宋体" w:cs="宋体"/>
          <w:bCs/>
          <w:spacing w:val="-23"/>
          <w:sz w:val="28"/>
          <w:szCs w:val="28"/>
          <w:highlight w:val="none"/>
        </w:rPr>
        <w:t xml:space="preserve"> </w:t>
      </w:r>
      <w:r>
        <w:rPr>
          <w:rFonts w:hint="eastAsia" w:ascii="宋体" w:hAnsi="宋体" w:eastAsia="宋体" w:cs="宋体"/>
          <w:bCs/>
          <w:spacing w:val="-6"/>
          <w:sz w:val="28"/>
          <w:szCs w:val="28"/>
          <w:highlight w:val="none"/>
        </w:rPr>
        <w:t>．</w:t>
      </w:r>
      <w:r>
        <w:rPr>
          <w:rFonts w:hint="eastAsia" w:ascii="宋体" w:hAnsi="宋体" w:eastAsia="宋体" w:cs="宋体"/>
          <w:bCs/>
          <w:spacing w:val="-1"/>
          <w:sz w:val="28"/>
          <w:szCs w:val="28"/>
          <w:highlight w:val="none"/>
        </w:rPr>
        <w:t>房屋建筑工程建设项目</w:t>
      </w:r>
      <w:r>
        <w:rPr>
          <w:sz w:val="28"/>
          <w:szCs w:val="28"/>
        </w:rPr>
        <w:tab/>
      </w:r>
      <w:r>
        <w:rPr>
          <w:sz w:val="28"/>
          <w:szCs w:val="28"/>
        </w:rPr>
        <w:fldChar w:fldCharType="begin"/>
      </w:r>
      <w:r>
        <w:rPr>
          <w:sz w:val="28"/>
          <w:szCs w:val="28"/>
        </w:rPr>
        <w:instrText xml:space="preserve"> PAGEREF _Toc23492 \h </w:instrText>
      </w:r>
      <w:r>
        <w:rPr>
          <w:sz w:val="28"/>
          <w:szCs w:val="28"/>
        </w:rPr>
        <w:fldChar w:fldCharType="separate"/>
      </w:r>
      <w:r>
        <w:rPr>
          <w:sz w:val="28"/>
          <w:szCs w:val="28"/>
        </w:rPr>
        <w:t>58</w:t>
      </w:r>
      <w:r>
        <w:rPr>
          <w:sz w:val="28"/>
          <w:szCs w:val="28"/>
        </w:rPr>
        <w:fldChar w:fldCharType="end"/>
      </w:r>
      <w:r>
        <w:rPr>
          <w:rFonts w:hint="eastAsia" w:ascii="宋体" w:hAnsi="宋体" w:eastAsia="宋体" w:cs="宋体"/>
          <w:color w:val="auto"/>
          <w:sz w:val="28"/>
          <w:szCs w:val="28"/>
          <w:highlight w:val="none"/>
        </w:rPr>
        <w:fldChar w:fldCharType="end"/>
      </w:r>
    </w:p>
    <w:p w14:paraId="34AF36A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_Toc22925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2</w:t>
      </w:r>
      <w:r>
        <w:rPr>
          <w:rFonts w:hint="eastAsia" w:ascii="宋体" w:hAnsi="宋体" w:eastAsia="宋体" w:cs="宋体"/>
          <w:bCs/>
          <w:spacing w:val="-18"/>
          <w:sz w:val="28"/>
          <w:szCs w:val="28"/>
          <w:highlight w:val="none"/>
        </w:rPr>
        <w:t xml:space="preserve"> </w:t>
      </w:r>
      <w:r>
        <w:rPr>
          <w:rFonts w:hint="eastAsia" w:ascii="宋体" w:hAnsi="宋体" w:eastAsia="宋体" w:cs="宋体"/>
          <w:bCs/>
          <w:spacing w:val="-5"/>
          <w:sz w:val="28"/>
          <w:szCs w:val="28"/>
          <w:highlight w:val="none"/>
        </w:rPr>
        <w:t>．市政基础设施工程建设项目</w:t>
      </w:r>
      <w:r>
        <w:rPr>
          <w:sz w:val="28"/>
          <w:szCs w:val="28"/>
        </w:rPr>
        <w:tab/>
      </w:r>
      <w:r>
        <w:rPr>
          <w:sz w:val="28"/>
          <w:szCs w:val="28"/>
        </w:rPr>
        <w:fldChar w:fldCharType="begin"/>
      </w:r>
      <w:r>
        <w:rPr>
          <w:sz w:val="28"/>
          <w:szCs w:val="28"/>
        </w:rPr>
        <w:instrText xml:space="preserve"> PAGEREF _Toc22925 \h </w:instrText>
      </w:r>
      <w:r>
        <w:rPr>
          <w:sz w:val="28"/>
          <w:szCs w:val="28"/>
        </w:rPr>
        <w:fldChar w:fldCharType="separate"/>
      </w:r>
      <w:r>
        <w:rPr>
          <w:sz w:val="28"/>
          <w:szCs w:val="28"/>
        </w:rPr>
        <w:t>58</w:t>
      </w:r>
      <w:r>
        <w:rPr>
          <w:sz w:val="28"/>
          <w:szCs w:val="28"/>
        </w:rPr>
        <w:fldChar w:fldCharType="end"/>
      </w:r>
      <w:r>
        <w:rPr>
          <w:rFonts w:hint="eastAsia" w:ascii="宋体" w:hAnsi="宋体" w:eastAsia="宋体" w:cs="宋体"/>
          <w:color w:val="auto"/>
          <w:sz w:val="28"/>
          <w:szCs w:val="28"/>
          <w:highlight w:val="none"/>
        </w:rPr>
        <w:fldChar w:fldCharType="end"/>
      </w:r>
    </w:p>
    <w:p w14:paraId="1596FB63">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_Toc20488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8"/>
          <w:sz w:val="28"/>
          <w:szCs w:val="28"/>
          <w:highlight w:val="none"/>
        </w:rPr>
        <w:t>3</w:t>
      </w:r>
      <w:r>
        <w:rPr>
          <w:rFonts w:hint="eastAsia" w:ascii="宋体" w:hAnsi="宋体" w:eastAsia="宋体" w:cs="宋体"/>
          <w:bCs/>
          <w:spacing w:val="-25"/>
          <w:sz w:val="28"/>
          <w:szCs w:val="28"/>
          <w:highlight w:val="none"/>
        </w:rPr>
        <w:t xml:space="preserve"> </w:t>
      </w:r>
      <w:r>
        <w:rPr>
          <w:rFonts w:hint="eastAsia" w:ascii="宋体" w:hAnsi="宋体" w:eastAsia="宋体" w:cs="宋体"/>
          <w:bCs/>
          <w:spacing w:val="-8"/>
          <w:sz w:val="28"/>
          <w:szCs w:val="28"/>
          <w:highlight w:val="none"/>
        </w:rPr>
        <w:t>．备查要求</w:t>
      </w:r>
      <w:r>
        <w:rPr>
          <w:sz w:val="28"/>
          <w:szCs w:val="28"/>
        </w:rPr>
        <w:tab/>
      </w:r>
      <w:r>
        <w:rPr>
          <w:sz w:val="28"/>
          <w:szCs w:val="28"/>
        </w:rPr>
        <w:fldChar w:fldCharType="begin"/>
      </w:r>
      <w:r>
        <w:rPr>
          <w:sz w:val="28"/>
          <w:szCs w:val="28"/>
        </w:rPr>
        <w:instrText xml:space="preserve"> PAGEREF _Toc20488 \h </w:instrText>
      </w:r>
      <w:r>
        <w:rPr>
          <w:sz w:val="28"/>
          <w:szCs w:val="28"/>
        </w:rPr>
        <w:fldChar w:fldCharType="separate"/>
      </w:r>
      <w:r>
        <w:rPr>
          <w:sz w:val="28"/>
          <w:szCs w:val="28"/>
        </w:rPr>
        <w:t>59</w:t>
      </w:r>
      <w:r>
        <w:rPr>
          <w:sz w:val="28"/>
          <w:szCs w:val="28"/>
        </w:rPr>
        <w:fldChar w:fldCharType="end"/>
      </w:r>
      <w:r>
        <w:rPr>
          <w:rFonts w:hint="eastAsia" w:ascii="宋体" w:hAnsi="宋体" w:eastAsia="宋体" w:cs="宋体"/>
          <w:color w:val="auto"/>
          <w:sz w:val="28"/>
          <w:szCs w:val="28"/>
          <w:highlight w:val="none"/>
        </w:rPr>
        <w:fldChar w:fldCharType="end"/>
      </w:r>
    </w:p>
    <w:p w14:paraId="603976ED">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_Toc13952 </w:instrText>
      </w:r>
      <w:r>
        <w:rPr>
          <w:rFonts w:hint="eastAsia" w:ascii="宋体" w:hAnsi="宋体" w:eastAsia="宋体" w:cs="宋体"/>
          <w:sz w:val="28"/>
          <w:szCs w:val="28"/>
          <w:highlight w:val="none"/>
        </w:rPr>
        <w:fldChar w:fldCharType="separate"/>
      </w:r>
      <w:r>
        <w:rPr>
          <w:rFonts w:hint="eastAsia" w:ascii="宋体" w:hAnsi="宋体" w:eastAsia="宋体" w:cs="宋体"/>
          <w:bCs/>
          <w:spacing w:val="-5"/>
          <w:sz w:val="28"/>
          <w:szCs w:val="28"/>
          <w:highlight w:val="none"/>
        </w:rPr>
        <w:t>第五章</w:t>
      </w:r>
      <w:r>
        <w:rPr>
          <w:rFonts w:hint="eastAsia" w:ascii="宋体" w:hAnsi="宋体" w:eastAsia="宋体" w:cs="宋体"/>
          <w:spacing w:val="33"/>
          <w:sz w:val="28"/>
          <w:szCs w:val="28"/>
          <w:highlight w:val="none"/>
        </w:rPr>
        <w:t xml:space="preserve"> </w:t>
      </w:r>
      <w:r>
        <w:rPr>
          <w:rFonts w:hint="eastAsia" w:ascii="宋体" w:hAnsi="宋体" w:eastAsia="宋体" w:cs="宋体"/>
          <w:bCs/>
          <w:spacing w:val="-5"/>
          <w:sz w:val="28"/>
          <w:szCs w:val="28"/>
          <w:highlight w:val="none"/>
        </w:rPr>
        <w:t>图纸和招标工程量清单</w:t>
      </w:r>
      <w:r>
        <w:rPr>
          <w:sz w:val="28"/>
          <w:szCs w:val="28"/>
        </w:rPr>
        <w:tab/>
      </w:r>
      <w:r>
        <w:rPr>
          <w:sz w:val="28"/>
          <w:szCs w:val="28"/>
        </w:rPr>
        <w:fldChar w:fldCharType="begin"/>
      </w:r>
      <w:r>
        <w:rPr>
          <w:sz w:val="28"/>
          <w:szCs w:val="28"/>
        </w:rPr>
        <w:instrText xml:space="preserve"> PAGEREF _Toc13952 \h </w:instrText>
      </w:r>
      <w:r>
        <w:rPr>
          <w:sz w:val="28"/>
          <w:szCs w:val="28"/>
        </w:rPr>
        <w:fldChar w:fldCharType="separate"/>
      </w:r>
      <w:r>
        <w:rPr>
          <w:sz w:val="28"/>
          <w:szCs w:val="28"/>
        </w:rPr>
        <w:t>60</w:t>
      </w:r>
      <w:r>
        <w:rPr>
          <w:sz w:val="28"/>
          <w:szCs w:val="28"/>
        </w:rPr>
        <w:fldChar w:fldCharType="end"/>
      </w:r>
      <w:r>
        <w:rPr>
          <w:rFonts w:hint="eastAsia" w:ascii="宋体" w:hAnsi="宋体" w:eastAsia="宋体" w:cs="宋体"/>
          <w:color w:val="auto"/>
          <w:sz w:val="28"/>
          <w:szCs w:val="28"/>
          <w:highlight w:val="none"/>
        </w:rPr>
        <w:fldChar w:fldCharType="end"/>
      </w:r>
    </w:p>
    <w:p w14:paraId="3C1D011B">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_Toc6414 </w:instrText>
      </w:r>
      <w:r>
        <w:rPr>
          <w:rFonts w:hint="eastAsia" w:ascii="宋体" w:hAnsi="宋体" w:eastAsia="宋体" w:cs="宋体"/>
          <w:sz w:val="28"/>
          <w:szCs w:val="28"/>
          <w:highlight w:val="none"/>
        </w:rPr>
        <w:fldChar w:fldCharType="separate"/>
      </w:r>
      <w:r>
        <w:rPr>
          <w:rFonts w:hint="eastAsia" w:ascii="宋体" w:hAnsi="宋体" w:eastAsia="宋体" w:cs="宋体"/>
          <w:bCs/>
          <w:spacing w:val="-14"/>
          <w:sz w:val="28"/>
          <w:szCs w:val="28"/>
          <w:highlight w:val="none"/>
        </w:rPr>
        <w:t>1</w:t>
      </w:r>
      <w:r>
        <w:rPr>
          <w:rFonts w:hint="eastAsia" w:ascii="宋体" w:hAnsi="宋体" w:eastAsia="宋体" w:cs="宋体"/>
          <w:bCs/>
          <w:spacing w:val="-27"/>
          <w:sz w:val="28"/>
          <w:szCs w:val="28"/>
          <w:highlight w:val="none"/>
        </w:rPr>
        <w:t xml:space="preserve"> </w:t>
      </w:r>
      <w:r>
        <w:rPr>
          <w:rFonts w:hint="eastAsia" w:ascii="宋体" w:hAnsi="宋体" w:eastAsia="宋体" w:cs="宋体"/>
          <w:bCs/>
          <w:spacing w:val="-14"/>
          <w:sz w:val="28"/>
          <w:szCs w:val="28"/>
          <w:highlight w:val="none"/>
        </w:rPr>
        <w:t>．图纸</w:t>
      </w:r>
      <w:r>
        <w:rPr>
          <w:sz w:val="28"/>
          <w:szCs w:val="28"/>
        </w:rPr>
        <w:tab/>
      </w:r>
      <w:r>
        <w:rPr>
          <w:sz w:val="28"/>
          <w:szCs w:val="28"/>
        </w:rPr>
        <w:fldChar w:fldCharType="begin"/>
      </w:r>
      <w:r>
        <w:rPr>
          <w:sz w:val="28"/>
          <w:szCs w:val="28"/>
        </w:rPr>
        <w:instrText xml:space="preserve"> PAGEREF _Toc6414 \h </w:instrText>
      </w:r>
      <w:r>
        <w:rPr>
          <w:sz w:val="28"/>
          <w:szCs w:val="28"/>
        </w:rPr>
        <w:fldChar w:fldCharType="separate"/>
      </w:r>
      <w:r>
        <w:rPr>
          <w:sz w:val="28"/>
          <w:szCs w:val="28"/>
        </w:rPr>
        <w:t>60</w:t>
      </w:r>
      <w:r>
        <w:rPr>
          <w:sz w:val="28"/>
          <w:szCs w:val="28"/>
        </w:rPr>
        <w:fldChar w:fldCharType="end"/>
      </w:r>
      <w:r>
        <w:rPr>
          <w:rFonts w:hint="eastAsia" w:ascii="宋体" w:hAnsi="宋体" w:eastAsia="宋体" w:cs="宋体"/>
          <w:color w:val="auto"/>
          <w:sz w:val="28"/>
          <w:szCs w:val="28"/>
          <w:highlight w:val="none"/>
        </w:rPr>
        <w:fldChar w:fldCharType="end"/>
      </w:r>
    </w:p>
    <w:p w14:paraId="56AA059E">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_Toc5239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6"/>
          <w:sz w:val="28"/>
          <w:szCs w:val="28"/>
          <w:highlight w:val="none"/>
        </w:rPr>
        <w:t>2</w:t>
      </w:r>
      <w:r>
        <w:rPr>
          <w:rFonts w:hint="eastAsia" w:ascii="宋体" w:hAnsi="宋体" w:eastAsia="宋体" w:cs="宋体"/>
          <w:bCs/>
          <w:spacing w:val="-26"/>
          <w:sz w:val="28"/>
          <w:szCs w:val="28"/>
          <w:highlight w:val="none"/>
        </w:rPr>
        <w:t xml:space="preserve"> </w:t>
      </w:r>
      <w:r>
        <w:rPr>
          <w:rFonts w:hint="eastAsia" w:ascii="宋体" w:hAnsi="宋体" w:eastAsia="宋体" w:cs="宋体"/>
          <w:bCs/>
          <w:spacing w:val="-6"/>
          <w:sz w:val="28"/>
          <w:szCs w:val="28"/>
          <w:highlight w:val="none"/>
        </w:rPr>
        <w:t>．招标工程量清单</w:t>
      </w:r>
      <w:r>
        <w:rPr>
          <w:sz w:val="28"/>
          <w:szCs w:val="28"/>
        </w:rPr>
        <w:tab/>
      </w:r>
      <w:r>
        <w:rPr>
          <w:sz w:val="28"/>
          <w:szCs w:val="28"/>
        </w:rPr>
        <w:fldChar w:fldCharType="begin"/>
      </w:r>
      <w:r>
        <w:rPr>
          <w:sz w:val="28"/>
          <w:szCs w:val="28"/>
        </w:rPr>
        <w:instrText xml:space="preserve"> PAGEREF _Toc5239 \h </w:instrText>
      </w:r>
      <w:r>
        <w:rPr>
          <w:sz w:val="28"/>
          <w:szCs w:val="28"/>
        </w:rPr>
        <w:fldChar w:fldCharType="separate"/>
      </w:r>
      <w:r>
        <w:rPr>
          <w:sz w:val="28"/>
          <w:szCs w:val="28"/>
        </w:rPr>
        <w:t>60</w:t>
      </w:r>
      <w:r>
        <w:rPr>
          <w:sz w:val="28"/>
          <w:szCs w:val="28"/>
        </w:rPr>
        <w:fldChar w:fldCharType="end"/>
      </w:r>
      <w:r>
        <w:rPr>
          <w:rFonts w:hint="eastAsia" w:ascii="宋体" w:hAnsi="宋体" w:eastAsia="宋体" w:cs="宋体"/>
          <w:color w:val="auto"/>
          <w:sz w:val="28"/>
          <w:szCs w:val="28"/>
          <w:highlight w:val="none"/>
        </w:rPr>
        <w:fldChar w:fldCharType="end"/>
      </w:r>
    </w:p>
    <w:p w14:paraId="4EA09098">
      <w:pPr>
        <w:pStyle w:val="9"/>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_Toc18995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第六章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投标文件格式</w:t>
      </w:r>
      <w:r>
        <w:rPr>
          <w:sz w:val="28"/>
          <w:szCs w:val="28"/>
        </w:rPr>
        <w:tab/>
      </w:r>
      <w:r>
        <w:rPr>
          <w:sz w:val="28"/>
          <w:szCs w:val="28"/>
        </w:rPr>
        <w:fldChar w:fldCharType="begin"/>
      </w:r>
      <w:r>
        <w:rPr>
          <w:sz w:val="28"/>
          <w:szCs w:val="28"/>
        </w:rPr>
        <w:instrText xml:space="preserve"> PAGEREF _Toc18995 \h </w:instrText>
      </w:r>
      <w:r>
        <w:rPr>
          <w:sz w:val="28"/>
          <w:szCs w:val="28"/>
        </w:rPr>
        <w:fldChar w:fldCharType="separate"/>
      </w:r>
      <w:r>
        <w:rPr>
          <w:sz w:val="28"/>
          <w:szCs w:val="28"/>
        </w:rPr>
        <w:t>61</w:t>
      </w:r>
      <w:r>
        <w:rPr>
          <w:sz w:val="28"/>
          <w:szCs w:val="28"/>
        </w:rPr>
        <w:fldChar w:fldCharType="end"/>
      </w:r>
      <w:r>
        <w:rPr>
          <w:rFonts w:hint="eastAsia" w:ascii="宋体" w:hAnsi="宋体" w:eastAsia="宋体" w:cs="宋体"/>
          <w:color w:val="auto"/>
          <w:sz w:val="28"/>
          <w:szCs w:val="28"/>
          <w:highlight w:val="none"/>
        </w:rPr>
        <w:fldChar w:fldCharType="end"/>
      </w:r>
    </w:p>
    <w:p w14:paraId="5251B707">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_Toc15751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格式一</w:t>
      </w:r>
      <w:r>
        <w:rPr>
          <w:rFonts w:hint="eastAsia" w:ascii="宋体" w:hAnsi="宋体" w:eastAsia="宋体" w:cs="宋体"/>
          <w:spacing w:val="-4"/>
          <w:sz w:val="28"/>
          <w:szCs w:val="28"/>
          <w:highlight w:val="none"/>
        </w:rPr>
        <w:t xml:space="preserve"> </w:t>
      </w:r>
      <w:r>
        <w:rPr>
          <w:rFonts w:hint="eastAsia" w:ascii="宋体" w:hAnsi="宋体" w:eastAsia="宋体" w:cs="宋体"/>
          <w:bCs/>
          <w:spacing w:val="-4"/>
          <w:sz w:val="28"/>
          <w:szCs w:val="28"/>
          <w:highlight w:val="none"/>
        </w:rPr>
        <w:t>封面</w:t>
      </w:r>
      <w:r>
        <w:rPr>
          <w:sz w:val="28"/>
          <w:szCs w:val="28"/>
        </w:rPr>
        <w:tab/>
      </w:r>
      <w:r>
        <w:rPr>
          <w:sz w:val="28"/>
          <w:szCs w:val="28"/>
        </w:rPr>
        <w:fldChar w:fldCharType="begin"/>
      </w:r>
      <w:r>
        <w:rPr>
          <w:sz w:val="28"/>
          <w:szCs w:val="28"/>
        </w:rPr>
        <w:instrText xml:space="preserve"> PAGEREF _Toc15751 \h </w:instrText>
      </w:r>
      <w:r>
        <w:rPr>
          <w:sz w:val="28"/>
          <w:szCs w:val="28"/>
        </w:rPr>
        <w:fldChar w:fldCharType="separate"/>
      </w:r>
      <w:r>
        <w:rPr>
          <w:sz w:val="28"/>
          <w:szCs w:val="28"/>
        </w:rPr>
        <w:t>61</w:t>
      </w:r>
      <w:r>
        <w:rPr>
          <w:sz w:val="28"/>
          <w:szCs w:val="28"/>
        </w:rPr>
        <w:fldChar w:fldCharType="end"/>
      </w:r>
      <w:r>
        <w:rPr>
          <w:rFonts w:hint="eastAsia" w:ascii="宋体" w:hAnsi="宋体" w:eastAsia="宋体" w:cs="宋体"/>
          <w:color w:val="auto"/>
          <w:sz w:val="28"/>
          <w:szCs w:val="28"/>
          <w:highlight w:val="none"/>
        </w:rPr>
        <w:fldChar w:fldCharType="end"/>
      </w:r>
    </w:p>
    <w:p w14:paraId="7F5BF1B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_Toc16551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格式二 投标函</w:t>
      </w:r>
      <w:r>
        <w:rPr>
          <w:sz w:val="28"/>
          <w:szCs w:val="28"/>
        </w:rPr>
        <w:tab/>
      </w:r>
      <w:r>
        <w:rPr>
          <w:sz w:val="28"/>
          <w:szCs w:val="28"/>
        </w:rPr>
        <w:fldChar w:fldCharType="begin"/>
      </w:r>
      <w:r>
        <w:rPr>
          <w:sz w:val="28"/>
          <w:szCs w:val="28"/>
        </w:rPr>
        <w:instrText xml:space="preserve"> PAGEREF _Toc16551 \h </w:instrText>
      </w:r>
      <w:r>
        <w:rPr>
          <w:sz w:val="28"/>
          <w:szCs w:val="28"/>
        </w:rPr>
        <w:fldChar w:fldCharType="separate"/>
      </w:r>
      <w:r>
        <w:rPr>
          <w:sz w:val="28"/>
          <w:szCs w:val="28"/>
        </w:rPr>
        <w:t>62</w:t>
      </w:r>
      <w:r>
        <w:rPr>
          <w:sz w:val="28"/>
          <w:szCs w:val="28"/>
        </w:rPr>
        <w:fldChar w:fldCharType="end"/>
      </w:r>
      <w:r>
        <w:rPr>
          <w:rFonts w:hint="eastAsia" w:ascii="宋体" w:hAnsi="宋体" w:eastAsia="宋体" w:cs="宋体"/>
          <w:color w:val="auto"/>
          <w:sz w:val="28"/>
          <w:szCs w:val="28"/>
          <w:highlight w:val="none"/>
        </w:rPr>
        <w:fldChar w:fldCharType="end"/>
      </w:r>
    </w:p>
    <w:p w14:paraId="45C05BE5">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_Toc4069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格式三 各项承诺一览表</w:t>
      </w:r>
      <w:r>
        <w:rPr>
          <w:sz w:val="28"/>
          <w:szCs w:val="28"/>
        </w:rPr>
        <w:tab/>
      </w:r>
      <w:r>
        <w:rPr>
          <w:sz w:val="28"/>
          <w:szCs w:val="28"/>
        </w:rPr>
        <w:fldChar w:fldCharType="begin"/>
      </w:r>
      <w:r>
        <w:rPr>
          <w:sz w:val="28"/>
          <w:szCs w:val="28"/>
        </w:rPr>
        <w:instrText xml:space="preserve"> PAGEREF _Toc4069 \h </w:instrText>
      </w:r>
      <w:r>
        <w:rPr>
          <w:sz w:val="28"/>
          <w:szCs w:val="28"/>
        </w:rPr>
        <w:fldChar w:fldCharType="separate"/>
      </w:r>
      <w:r>
        <w:rPr>
          <w:sz w:val="28"/>
          <w:szCs w:val="28"/>
        </w:rPr>
        <w:t>63</w:t>
      </w:r>
      <w:r>
        <w:rPr>
          <w:sz w:val="28"/>
          <w:szCs w:val="28"/>
        </w:rPr>
        <w:fldChar w:fldCharType="end"/>
      </w:r>
      <w:r>
        <w:rPr>
          <w:rFonts w:hint="eastAsia" w:ascii="宋体" w:hAnsi="宋体" w:eastAsia="宋体" w:cs="宋体"/>
          <w:color w:val="auto"/>
          <w:sz w:val="28"/>
          <w:szCs w:val="28"/>
          <w:highlight w:val="none"/>
        </w:rPr>
        <w:fldChar w:fldCharType="end"/>
      </w:r>
    </w:p>
    <w:p w14:paraId="07A08F46">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_Toc2176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格式四 授权委托书</w:t>
      </w:r>
      <w:r>
        <w:rPr>
          <w:sz w:val="28"/>
          <w:szCs w:val="28"/>
        </w:rPr>
        <w:tab/>
      </w:r>
      <w:r>
        <w:rPr>
          <w:sz w:val="28"/>
          <w:szCs w:val="28"/>
        </w:rPr>
        <w:fldChar w:fldCharType="begin"/>
      </w:r>
      <w:r>
        <w:rPr>
          <w:sz w:val="28"/>
          <w:szCs w:val="28"/>
        </w:rPr>
        <w:instrText xml:space="preserve"> PAGEREF _Toc2176 \h </w:instrText>
      </w:r>
      <w:r>
        <w:rPr>
          <w:sz w:val="28"/>
          <w:szCs w:val="28"/>
        </w:rPr>
        <w:fldChar w:fldCharType="separate"/>
      </w:r>
      <w:r>
        <w:rPr>
          <w:sz w:val="28"/>
          <w:szCs w:val="28"/>
        </w:rPr>
        <w:t>65</w:t>
      </w:r>
      <w:r>
        <w:rPr>
          <w:sz w:val="28"/>
          <w:szCs w:val="28"/>
        </w:rPr>
        <w:fldChar w:fldCharType="end"/>
      </w:r>
      <w:r>
        <w:rPr>
          <w:rFonts w:hint="eastAsia" w:ascii="宋体" w:hAnsi="宋体" w:eastAsia="宋体" w:cs="宋体"/>
          <w:color w:val="auto"/>
          <w:sz w:val="28"/>
          <w:szCs w:val="28"/>
          <w:highlight w:val="none"/>
        </w:rPr>
        <w:fldChar w:fldCharType="end"/>
      </w:r>
    </w:p>
    <w:p w14:paraId="3027B64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_Toc23327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格式五 法定代表人身份证明</w:t>
      </w:r>
      <w:r>
        <w:rPr>
          <w:sz w:val="28"/>
          <w:szCs w:val="28"/>
        </w:rPr>
        <w:tab/>
      </w:r>
      <w:r>
        <w:rPr>
          <w:sz w:val="28"/>
          <w:szCs w:val="28"/>
        </w:rPr>
        <w:fldChar w:fldCharType="begin"/>
      </w:r>
      <w:r>
        <w:rPr>
          <w:sz w:val="28"/>
          <w:szCs w:val="28"/>
        </w:rPr>
        <w:instrText xml:space="preserve"> PAGEREF _Toc23327 \h </w:instrText>
      </w:r>
      <w:r>
        <w:rPr>
          <w:sz w:val="28"/>
          <w:szCs w:val="28"/>
        </w:rPr>
        <w:fldChar w:fldCharType="separate"/>
      </w:r>
      <w:r>
        <w:rPr>
          <w:sz w:val="28"/>
          <w:szCs w:val="28"/>
        </w:rPr>
        <w:t>66</w:t>
      </w:r>
      <w:r>
        <w:rPr>
          <w:sz w:val="28"/>
          <w:szCs w:val="28"/>
        </w:rPr>
        <w:fldChar w:fldCharType="end"/>
      </w:r>
      <w:r>
        <w:rPr>
          <w:rFonts w:hint="eastAsia" w:ascii="宋体" w:hAnsi="宋体" w:eastAsia="宋体" w:cs="宋体"/>
          <w:color w:val="auto"/>
          <w:sz w:val="28"/>
          <w:szCs w:val="28"/>
          <w:highlight w:val="none"/>
        </w:rPr>
        <w:fldChar w:fldCharType="end"/>
      </w:r>
    </w:p>
    <w:p w14:paraId="0FE4FC37">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_Toc8095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格式六 联合体协议书</w:t>
      </w:r>
      <w:r>
        <w:rPr>
          <w:sz w:val="28"/>
          <w:szCs w:val="28"/>
        </w:rPr>
        <w:tab/>
      </w:r>
      <w:r>
        <w:rPr>
          <w:sz w:val="28"/>
          <w:szCs w:val="28"/>
        </w:rPr>
        <w:fldChar w:fldCharType="begin"/>
      </w:r>
      <w:r>
        <w:rPr>
          <w:sz w:val="28"/>
          <w:szCs w:val="28"/>
        </w:rPr>
        <w:instrText xml:space="preserve"> PAGEREF _Toc8095 \h </w:instrText>
      </w:r>
      <w:r>
        <w:rPr>
          <w:sz w:val="28"/>
          <w:szCs w:val="28"/>
        </w:rPr>
        <w:fldChar w:fldCharType="separate"/>
      </w:r>
      <w:r>
        <w:rPr>
          <w:sz w:val="28"/>
          <w:szCs w:val="28"/>
        </w:rPr>
        <w:t>67</w:t>
      </w:r>
      <w:r>
        <w:rPr>
          <w:sz w:val="28"/>
          <w:szCs w:val="28"/>
        </w:rPr>
        <w:fldChar w:fldCharType="end"/>
      </w:r>
      <w:r>
        <w:rPr>
          <w:rFonts w:hint="eastAsia" w:ascii="宋体" w:hAnsi="宋体" w:eastAsia="宋体" w:cs="宋体"/>
          <w:color w:val="auto"/>
          <w:sz w:val="28"/>
          <w:szCs w:val="28"/>
          <w:highlight w:val="none"/>
        </w:rPr>
        <w:fldChar w:fldCharType="end"/>
      </w:r>
    </w:p>
    <w:p w14:paraId="5EE30098">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_Toc2036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格式七 投标人基本情况表</w:t>
      </w:r>
      <w:r>
        <w:rPr>
          <w:sz w:val="28"/>
          <w:szCs w:val="28"/>
        </w:rPr>
        <w:tab/>
      </w:r>
      <w:r>
        <w:rPr>
          <w:sz w:val="28"/>
          <w:szCs w:val="28"/>
        </w:rPr>
        <w:fldChar w:fldCharType="begin"/>
      </w:r>
      <w:r>
        <w:rPr>
          <w:sz w:val="28"/>
          <w:szCs w:val="28"/>
        </w:rPr>
        <w:instrText xml:space="preserve"> PAGEREF _Toc2036 \h </w:instrText>
      </w:r>
      <w:r>
        <w:rPr>
          <w:sz w:val="28"/>
          <w:szCs w:val="28"/>
        </w:rPr>
        <w:fldChar w:fldCharType="separate"/>
      </w:r>
      <w:r>
        <w:rPr>
          <w:sz w:val="28"/>
          <w:szCs w:val="28"/>
        </w:rPr>
        <w:t>68</w:t>
      </w:r>
      <w:r>
        <w:rPr>
          <w:sz w:val="28"/>
          <w:szCs w:val="28"/>
        </w:rPr>
        <w:fldChar w:fldCharType="end"/>
      </w:r>
      <w:r>
        <w:rPr>
          <w:rFonts w:hint="eastAsia" w:ascii="宋体" w:hAnsi="宋体" w:eastAsia="宋体" w:cs="宋体"/>
          <w:color w:val="auto"/>
          <w:sz w:val="28"/>
          <w:szCs w:val="28"/>
          <w:highlight w:val="none"/>
        </w:rPr>
        <w:fldChar w:fldCharType="end"/>
      </w:r>
    </w:p>
    <w:p w14:paraId="3437CC46">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_Toc11428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格式八 项目经理简历表</w:t>
      </w:r>
      <w:r>
        <w:rPr>
          <w:sz w:val="28"/>
          <w:szCs w:val="28"/>
        </w:rPr>
        <w:tab/>
      </w:r>
      <w:r>
        <w:rPr>
          <w:sz w:val="28"/>
          <w:szCs w:val="28"/>
        </w:rPr>
        <w:fldChar w:fldCharType="begin"/>
      </w:r>
      <w:r>
        <w:rPr>
          <w:sz w:val="28"/>
          <w:szCs w:val="28"/>
        </w:rPr>
        <w:instrText xml:space="preserve"> PAGEREF _Toc11428 \h </w:instrText>
      </w:r>
      <w:r>
        <w:rPr>
          <w:sz w:val="28"/>
          <w:szCs w:val="28"/>
        </w:rPr>
        <w:fldChar w:fldCharType="separate"/>
      </w:r>
      <w:r>
        <w:rPr>
          <w:sz w:val="28"/>
          <w:szCs w:val="28"/>
        </w:rPr>
        <w:t>69</w:t>
      </w:r>
      <w:r>
        <w:rPr>
          <w:sz w:val="28"/>
          <w:szCs w:val="28"/>
        </w:rPr>
        <w:fldChar w:fldCharType="end"/>
      </w:r>
      <w:r>
        <w:rPr>
          <w:rFonts w:hint="eastAsia" w:ascii="宋体" w:hAnsi="宋体" w:eastAsia="宋体" w:cs="宋体"/>
          <w:color w:val="auto"/>
          <w:sz w:val="28"/>
          <w:szCs w:val="28"/>
          <w:highlight w:val="none"/>
        </w:rPr>
        <w:fldChar w:fldCharType="end"/>
      </w:r>
    </w:p>
    <w:p w14:paraId="65EAD220">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_Toc26618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格式九 项目经理任职声明</w:t>
      </w:r>
      <w:r>
        <w:rPr>
          <w:sz w:val="28"/>
          <w:szCs w:val="28"/>
        </w:rPr>
        <w:tab/>
      </w:r>
      <w:r>
        <w:rPr>
          <w:sz w:val="28"/>
          <w:szCs w:val="28"/>
        </w:rPr>
        <w:fldChar w:fldCharType="begin"/>
      </w:r>
      <w:r>
        <w:rPr>
          <w:sz w:val="28"/>
          <w:szCs w:val="28"/>
        </w:rPr>
        <w:instrText xml:space="preserve"> PAGEREF _Toc26618 \h </w:instrText>
      </w:r>
      <w:r>
        <w:rPr>
          <w:sz w:val="28"/>
          <w:szCs w:val="28"/>
        </w:rPr>
        <w:fldChar w:fldCharType="separate"/>
      </w:r>
      <w:r>
        <w:rPr>
          <w:sz w:val="28"/>
          <w:szCs w:val="28"/>
        </w:rPr>
        <w:t>70</w:t>
      </w:r>
      <w:r>
        <w:rPr>
          <w:sz w:val="28"/>
          <w:szCs w:val="28"/>
        </w:rPr>
        <w:fldChar w:fldCharType="end"/>
      </w:r>
      <w:r>
        <w:rPr>
          <w:rFonts w:hint="eastAsia" w:ascii="宋体" w:hAnsi="宋体" w:eastAsia="宋体" w:cs="宋体"/>
          <w:color w:val="auto"/>
          <w:sz w:val="28"/>
          <w:szCs w:val="28"/>
          <w:highlight w:val="none"/>
        </w:rPr>
        <w:fldChar w:fldCharType="end"/>
      </w:r>
    </w:p>
    <w:p w14:paraId="0A2FC54F">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_Toc12919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 项目技术负责人简历表</w:t>
      </w:r>
      <w:r>
        <w:rPr>
          <w:sz w:val="28"/>
          <w:szCs w:val="28"/>
        </w:rPr>
        <w:tab/>
      </w:r>
      <w:r>
        <w:rPr>
          <w:sz w:val="28"/>
          <w:szCs w:val="28"/>
        </w:rPr>
        <w:fldChar w:fldCharType="begin"/>
      </w:r>
      <w:r>
        <w:rPr>
          <w:sz w:val="28"/>
          <w:szCs w:val="28"/>
        </w:rPr>
        <w:instrText xml:space="preserve"> PAGEREF _Toc12919 \h </w:instrText>
      </w:r>
      <w:r>
        <w:rPr>
          <w:sz w:val="28"/>
          <w:szCs w:val="28"/>
        </w:rPr>
        <w:fldChar w:fldCharType="separate"/>
      </w:r>
      <w:r>
        <w:rPr>
          <w:sz w:val="28"/>
          <w:szCs w:val="28"/>
        </w:rPr>
        <w:t>71</w:t>
      </w:r>
      <w:r>
        <w:rPr>
          <w:sz w:val="28"/>
          <w:szCs w:val="28"/>
        </w:rPr>
        <w:fldChar w:fldCharType="end"/>
      </w:r>
      <w:r>
        <w:rPr>
          <w:rFonts w:hint="eastAsia" w:ascii="宋体" w:hAnsi="宋体" w:eastAsia="宋体" w:cs="宋体"/>
          <w:color w:val="auto"/>
          <w:sz w:val="28"/>
          <w:szCs w:val="28"/>
          <w:highlight w:val="none"/>
        </w:rPr>
        <w:fldChar w:fldCharType="end"/>
      </w:r>
    </w:p>
    <w:p w14:paraId="0596233D">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_Toc13177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格式十一 项目管理机构组成表</w:t>
      </w:r>
      <w:r>
        <w:rPr>
          <w:sz w:val="28"/>
          <w:szCs w:val="28"/>
        </w:rPr>
        <w:tab/>
      </w:r>
      <w:r>
        <w:rPr>
          <w:sz w:val="28"/>
          <w:szCs w:val="28"/>
        </w:rPr>
        <w:fldChar w:fldCharType="begin"/>
      </w:r>
      <w:r>
        <w:rPr>
          <w:sz w:val="28"/>
          <w:szCs w:val="28"/>
        </w:rPr>
        <w:instrText xml:space="preserve"> PAGEREF _Toc13177 \h </w:instrText>
      </w:r>
      <w:r>
        <w:rPr>
          <w:sz w:val="28"/>
          <w:szCs w:val="28"/>
        </w:rPr>
        <w:fldChar w:fldCharType="separate"/>
      </w:r>
      <w:r>
        <w:rPr>
          <w:sz w:val="28"/>
          <w:szCs w:val="28"/>
        </w:rPr>
        <w:t>72</w:t>
      </w:r>
      <w:r>
        <w:rPr>
          <w:sz w:val="28"/>
          <w:szCs w:val="28"/>
        </w:rPr>
        <w:fldChar w:fldCharType="end"/>
      </w:r>
      <w:r>
        <w:rPr>
          <w:rFonts w:hint="eastAsia" w:ascii="宋体" w:hAnsi="宋体" w:eastAsia="宋体" w:cs="宋体"/>
          <w:color w:val="auto"/>
          <w:sz w:val="28"/>
          <w:szCs w:val="28"/>
          <w:highlight w:val="none"/>
        </w:rPr>
        <w:fldChar w:fldCharType="end"/>
      </w:r>
    </w:p>
    <w:p w14:paraId="4E7393C3">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_Toc19766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格式十二 建造师查询页（有效期+建造师签字）</w:t>
      </w:r>
      <w:r>
        <w:rPr>
          <w:sz w:val="28"/>
          <w:szCs w:val="28"/>
        </w:rPr>
        <w:tab/>
      </w:r>
      <w:r>
        <w:rPr>
          <w:sz w:val="28"/>
          <w:szCs w:val="28"/>
        </w:rPr>
        <w:fldChar w:fldCharType="begin"/>
      </w:r>
      <w:r>
        <w:rPr>
          <w:sz w:val="28"/>
          <w:szCs w:val="28"/>
        </w:rPr>
        <w:instrText xml:space="preserve"> PAGEREF _Toc19766 \h </w:instrText>
      </w:r>
      <w:r>
        <w:rPr>
          <w:sz w:val="28"/>
          <w:szCs w:val="28"/>
        </w:rPr>
        <w:fldChar w:fldCharType="separate"/>
      </w:r>
      <w:r>
        <w:rPr>
          <w:sz w:val="28"/>
          <w:szCs w:val="28"/>
        </w:rPr>
        <w:t>73</w:t>
      </w:r>
      <w:r>
        <w:rPr>
          <w:sz w:val="28"/>
          <w:szCs w:val="28"/>
        </w:rPr>
        <w:fldChar w:fldCharType="end"/>
      </w:r>
      <w:r>
        <w:rPr>
          <w:rFonts w:hint="eastAsia" w:ascii="宋体" w:hAnsi="宋体" w:eastAsia="宋体" w:cs="宋体"/>
          <w:color w:val="auto"/>
          <w:sz w:val="28"/>
          <w:szCs w:val="28"/>
          <w:highlight w:val="none"/>
        </w:rPr>
        <w:fldChar w:fldCharType="end"/>
      </w:r>
    </w:p>
    <w:p w14:paraId="49521D6C">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_Toc12070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格式十三：</w:t>
      </w:r>
      <w:r>
        <w:rPr>
          <w:rFonts w:hint="eastAsia" w:ascii="宋体" w:hAnsi="宋体" w:eastAsia="宋体" w:cs="宋体"/>
          <w:bCs/>
          <w:spacing w:val="7"/>
          <w:sz w:val="28"/>
          <w:szCs w:val="28"/>
          <w:highlight w:val="none"/>
        </w:rPr>
        <w:t>危险性较大的分部分项工程清单及超过一定规模的危险性较大的</w:t>
      </w:r>
      <w:r>
        <w:rPr>
          <w:rFonts w:hint="eastAsia" w:ascii="宋体" w:hAnsi="宋体" w:eastAsia="宋体" w:cs="宋体"/>
          <w:bCs/>
          <w:spacing w:val="5"/>
          <w:sz w:val="28"/>
          <w:szCs w:val="28"/>
          <w:highlight w:val="none"/>
        </w:rPr>
        <w:t>分部分项工程清单</w:t>
      </w:r>
      <w:r>
        <w:rPr>
          <w:sz w:val="28"/>
          <w:szCs w:val="28"/>
        </w:rPr>
        <w:tab/>
      </w:r>
      <w:r>
        <w:rPr>
          <w:sz w:val="28"/>
          <w:szCs w:val="28"/>
        </w:rPr>
        <w:fldChar w:fldCharType="begin"/>
      </w:r>
      <w:r>
        <w:rPr>
          <w:sz w:val="28"/>
          <w:szCs w:val="28"/>
        </w:rPr>
        <w:instrText xml:space="preserve"> PAGEREF _Toc12070 \h </w:instrText>
      </w:r>
      <w:r>
        <w:rPr>
          <w:sz w:val="28"/>
          <w:szCs w:val="28"/>
        </w:rPr>
        <w:fldChar w:fldCharType="separate"/>
      </w:r>
      <w:r>
        <w:rPr>
          <w:sz w:val="28"/>
          <w:szCs w:val="28"/>
        </w:rPr>
        <w:t>75</w:t>
      </w:r>
      <w:r>
        <w:rPr>
          <w:sz w:val="28"/>
          <w:szCs w:val="28"/>
        </w:rPr>
        <w:fldChar w:fldCharType="end"/>
      </w:r>
      <w:r>
        <w:rPr>
          <w:rFonts w:hint="eastAsia" w:ascii="宋体" w:hAnsi="宋体" w:eastAsia="宋体" w:cs="宋体"/>
          <w:color w:val="auto"/>
          <w:sz w:val="28"/>
          <w:szCs w:val="28"/>
          <w:highlight w:val="none"/>
        </w:rPr>
        <w:fldChar w:fldCharType="end"/>
      </w:r>
    </w:p>
    <w:p w14:paraId="558A010A">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_Toc11150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格式十四</w:t>
      </w:r>
      <w:r>
        <w:rPr>
          <w:rFonts w:hint="eastAsia" w:ascii="宋体" w:hAnsi="宋体" w:eastAsia="宋体" w:cs="宋体"/>
          <w:bCs/>
          <w:spacing w:val="-4"/>
          <w:sz w:val="28"/>
          <w:szCs w:val="28"/>
          <w:highlight w:val="none"/>
          <w:lang w:val="en-US" w:eastAsia="zh-CN"/>
        </w:rPr>
        <w:t xml:space="preserve">  </w:t>
      </w:r>
      <w:r>
        <w:rPr>
          <w:rFonts w:hint="eastAsia" w:ascii="宋体" w:hAnsi="宋体" w:eastAsia="宋体" w:cs="宋体"/>
          <w:bCs/>
          <w:spacing w:val="4"/>
          <w:position w:val="3"/>
          <w:sz w:val="28"/>
          <w:szCs w:val="28"/>
          <w:highlight w:val="none"/>
        </w:rPr>
        <w:t>投标保证金信用承诺函</w:t>
      </w:r>
      <w:r>
        <w:rPr>
          <w:sz w:val="28"/>
          <w:szCs w:val="28"/>
        </w:rPr>
        <w:tab/>
      </w:r>
      <w:r>
        <w:rPr>
          <w:sz w:val="28"/>
          <w:szCs w:val="28"/>
        </w:rPr>
        <w:fldChar w:fldCharType="begin"/>
      </w:r>
      <w:r>
        <w:rPr>
          <w:sz w:val="28"/>
          <w:szCs w:val="28"/>
        </w:rPr>
        <w:instrText xml:space="preserve"> PAGEREF _Toc11150 \h </w:instrText>
      </w:r>
      <w:r>
        <w:rPr>
          <w:sz w:val="28"/>
          <w:szCs w:val="28"/>
        </w:rPr>
        <w:fldChar w:fldCharType="separate"/>
      </w:r>
      <w:r>
        <w:rPr>
          <w:sz w:val="28"/>
          <w:szCs w:val="28"/>
        </w:rPr>
        <w:t>80</w:t>
      </w:r>
      <w:r>
        <w:rPr>
          <w:sz w:val="28"/>
          <w:szCs w:val="28"/>
        </w:rPr>
        <w:fldChar w:fldCharType="end"/>
      </w:r>
      <w:r>
        <w:rPr>
          <w:rFonts w:hint="eastAsia" w:ascii="宋体" w:hAnsi="宋体" w:eastAsia="宋体" w:cs="宋体"/>
          <w:color w:val="auto"/>
          <w:sz w:val="28"/>
          <w:szCs w:val="28"/>
          <w:highlight w:val="none"/>
        </w:rPr>
        <w:fldChar w:fldCharType="end"/>
      </w:r>
    </w:p>
    <w:p w14:paraId="623AE079">
      <w:pPr>
        <w:pStyle w:val="6"/>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_Toc159 </w:instrText>
      </w:r>
      <w:r>
        <w:rPr>
          <w:rFonts w:hint="eastAsia" w:ascii="宋体" w:hAnsi="宋体" w:eastAsia="宋体" w:cs="宋体"/>
          <w:sz w:val="28"/>
          <w:szCs w:val="28"/>
          <w:highlight w:val="none"/>
        </w:rPr>
        <w:fldChar w:fldCharType="separate"/>
      </w:r>
      <w:r>
        <w:rPr>
          <w:rFonts w:hint="eastAsia" w:ascii="宋体" w:hAnsi="宋体" w:eastAsia="宋体" w:cs="宋体"/>
          <w:bCs/>
          <w:spacing w:val="-4"/>
          <w:sz w:val="28"/>
          <w:szCs w:val="28"/>
          <w:highlight w:val="none"/>
        </w:rPr>
        <w:t>格式十</w:t>
      </w:r>
      <w:r>
        <w:rPr>
          <w:rFonts w:hint="eastAsia" w:ascii="宋体" w:hAnsi="宋体" w:eastAsia="宋体" w:cs="宋体"/>
          <w:bCs/>
          <w:spacing w:val="-4"/>
          <w:sz w:val="28"/>
          <w:szCs w:val="28"/>
          <w:highlight w:val="none"/>
          <w:lang w:eastAsia="zh-CN"/>
        </w:rPr>
        <w:t>五</w:t>
      </w:r>
      <w:r>
        <w:rPr>
          <w:rFonts w:hint="eastAsia" w:ascii="宋体" w:hAnsi="宋体" w:eastAsia="宋体" w:cs="宋体"/>
          <w:bCs/>
          <w:spacing w:val="-4"/>
          <w:sz w:val="28"/>
          <w:szCs w:val="28"/>
          <w:highlight w:val="none"/>
        </w:rPr>
        <w:t xml:space="preserve">  原件一览表</w:t>
      </w:r>
      <w:r>
        <w:rPr>
          <w:sz w:val="28"/>
          <w:szCs w:val="28"/>
        </w:rPr>
        <w:tab/>
      </w:r>
      <w:r>
        <w:rPr>
          <w:sz w:val="28"/>
          <w:szCs w:val="28"/>
        </w:rPr>
        <w:fldChar w:fldCharType="begin"/>
      </w:r>
      <w:r>
        <w:rPr>
          <w:sz w:val="28"/>
          <w:szCs w:val="28"/>
        </w:rPr>
        <w:instrText xml:space="preserve"> PAGEREF _Toc159 \h </w:instrText>
      </w:r>
      <w:r>
        <w:rPr>
          <w:sz w:val="28"/>
          <w:szCs w:val="28"/>
        </w:rPr>
        <w:fldChar w:fldCharType="separate"/>
      </w:r>
      <w:r>
        <w:rPr>
          <w:sz w:val="28"/>
          <w:szCs w:val="28"/>
        </w:rPr>
        <w:t>81</w:t>
      </w:r>
      <w:r>
        <w:rPr>
          <w:sz w:val="28"/>
          <w:szCs w:val="28"/>
        </w:rPr>
        <w:fldChar w:fldCharType="end"/>
      </w:r>
      <w:r>
        <w:rPr>
          <w:rFonts w:hint="eastAsia" w:ascii="宋体" w:hAnsi="宋体" w:eastAsia="宋体" w:cs="宋体"/>
          <w:color w:val="auto"/>
          <w:sz w:val="28"/>
          <w:szCs w:val="28"/>
          <w:highlight w:val="none"/>
        </w:rPr>
        <w:fldChar w:fldCharType="end"/>
      </w:r>
    </w:p>
    <w:p w14:paraId="715523F1">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40" w:lineRule="exact"/>
        <w:textAlignment w:val="baseline"/>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_Toc20414 </w:instrText>
      </w:r>
      <w:r>
        <w:rPr>
          <w:rFonts w:hint="eastAsia" w:ascii="宋体" w:hAnsi="宋体" w:eastAsia="宋体" w:cs="宋体"/>
          <w:sz w:val="28"/>
          <w:szCs w:val="28"/>
          <w:highlight w:val="none"/>
        </w:rPr>
        <w:fldChar w:fldCharType="separate"/>
      </w:r>
      <w:r>
        <w:rPr>
          <w:rFonts w:hint="eastAsia" w:ascii="宋体" w:hAnsi="宋体" w:eastAsia="宋体" w:cs="宋体"/>
          <w:bCs/>
          <w:spacing w:val="-3"/>
          <w:sz w:val="28"/>
          <w:szCs w:val="28"/>
          <w:highlight w:val="none"/>
        </w:rPr>
        <w:t>第七章</w:t>
      </w:r>
      <w:r>
        <w:rPr>
          <w:rFonts w:hint="eastAsia" w:ascii="宋体" w:hAnsi="宋体" w:eastAsia="宋体" w:cs="宋体"/>
          <w:spacing w:val="-3"/>
          <w:sz w:val="28"/>
          <w:szCs w:val="28"/>
          <w:highlight w:val="none"/>
        </w:rPr>
        <w:t xml:space="preserve"> </w:t>
      </w:r>
      <w:r>
        <w:rPr>
          <w:rFonts w:hint="eastAsia" w:ascii="宋体" w:hAnsi="宋体" w:eastAsia="宋体" w:cs="宋体"/>
          <w:bCs/>
          <w:spacing w:val="-3"/>
          <w:sz w:val="28"/>
          <w:szCs w:val="28"/>
          <w:highlight w:val="none"/>
        </w:rPr>
        <w:t>建设工程施工合同</w:t>
      </w:r>
      <w:r>
        <w:rPr>
          <w:sz w:val="28"/>
          <w:szCs w:val="28"/>
        </w:rPr>
        <w:tab/>
      </w:r>
      <w:r>
        <w:rPr>
          <w:sz w:val="28"/>
          <w:szCs w:val="28"/>
        </w:rPr>
        <w:fldChar w:fldCharType="begin"/>
      </w:r>
      <w:r>
        <w:rPr>
          <w:sz w:val="28"/>
          <w:szCs w:val="28"/>
        </w:rPr>
        <w:instrText xml:space="preserve"> PAGEREF _Toc20414 \h </w:instrText>
      </w:r>
      <w:r>
        <w:rPr>
          <w:sz w:val="28"/>
          <w:szCs w:val="28"/>
        </w:rPr>
        <w:fldChar w:fldCharType="separate"/>
      </w:r>
      <w:r>
        <w:rPr>
          <w:sz w:val="28"/>
          <w:szCs w:val="28"/>
        </w:rPr>
        <w:t>82</w:t>
      </w:r>
      <w:r>
        <w:rPr>
          <w:sz w:val="28"/>
          <w:szCs w:val="28"/>
        </w:rPr>
        <w:fldChar w:fldCharType="end"/>
      </w:r>
      <w:r>
        <w:rPr>
          <w:rFonts w:hint="eastAsia" w:ascii="宋体" w:hAnsi="宋体" w:eastAsia="宋体" w:cs="宋体"/>
          <w:color w:val="auto"/>
          <w:sz w:val="28"/>
          <w:szCs w:val="28"/>
          <w:highlight w:val="none"/>
        </w:rPr>
        <w:fldChar w:fldCharType="end"/>
      </w:r>
    </w:p>
    <w:p w14:paraId="07B91383">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宋体" w:hAnsi="宋体" w:eastAsia="宋体" w:cs="宋体"/>
          <w:color w:val="auto"/>
          <w:sz w:val="28"/>
          <w:szCs w:val="28"/>
          <w:highlight w:val="none"/>
        </w:rPr>
        <w:sectPr>
          <w:headerReference r:id="rId5" w:type="default"/>
          <w:footerReference r:id="rId6"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z w:val="28"/>
          <w:szCs w:val="28"/>
          <w:highlight w:val="none"/>
        </w:rPr>
        <w:fldChar w:fldCharType="end"/>
      </w:r>
    </w:p>
    <w:p w14:paraId="6FAD710A">
      <w:pPr>
        <w:pStyle w:val="5"/>
        <w:spacing w:line="272" w:lineRule="auto"/>
        <w:rPr>
          <w:rFonts w:hint="eastAsia" w:ascii="宋体" w:hAnsi="宋体" w:eastAsia="宋体" w:cs="宋体"/>
          <w:color w:val="auto"/>
          <w:highlight w:val="none"/>
        </w:rPr>
      </w:pPr>
    </w:p>
    <w:p w14:paraId="41787C92">
      <w:pPr>
        <w:spacing w:before="78" w:line="219" w:lineRule="auto"/>
        <w:ind w:left="3416"/>
        <w:outlineLvl w:val="0"/>
        <w:rPr>
          <w:rFonts w:hint="eastAsia" w:ascii="宋体" w:hAnsi="宋体" w:eastAsia="宋体" w:cs="宋体"/>
          <w:color w:val="auto"/>
          <w:sz w:val="24"/>
          <w:szCs w:val="24"/>
          <w:highlight w:val="none"/>
        </w:rPr>
      </w:pPr>
      <w:bookmarkStart w:id="0" w:name="bookmark1"/>
      <w:bookmarkEnd w:id="0"/>
      <w:bookmarkStart w:id="1" w:name="_Toc7207"/>
      <w:r>
        <w:rPr>
          <w:rFonts w:hint="eastAsia" w:ascii="宋体" w:hAnsi="宋体" w:eastAsia="宋体" w:cs="宋体"/>
          <w:b/>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w:t>
      </w:r>
      <w:bookmarkEnd w:id="1"/>
    </w:p>
    <w:p w14:paraId="225EA8A0">
      <w:pPr>
        <w:spacing w:before="156" w:line="219" w:lineRule="auto"/>
        <w:ind w:left="17"/>
        <w:outlineLvl w:val="1"/>
        <w:rPr>
          <w:rFonts w:hint="eastAsia" w:ascii="宋体" w:hAnsi="宋体" w:eastAsia="宋体" w:cs="宋体"/>
          <w:color w:val="auto"/>
          <w:sz w:val="24"/>
          <w:szCs w:val="24"/>
          <w:highlight w:val="none"/>
        </w:rPr>
      </w:pPr>
      <w:bookmarkStart w:id="2" w:name="bookmark3"/>
      <w:bookmarkEnd w:id="2"/>
      <w:bookmarkStart w:id="3" w:name="_Toc27307"/>
      <w:r>
        <w:rPr>
          <w:rFonts w:hint="eastAsia" w:ascii="宋体" w:hAnsi="宋体" w:eastAsia="宋体" w:cs="宋体"/>
          <w:b/>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投标人须知前附表</w:t>
      </w:r>
      <w:bookmarkEnd w:id="3"/>
    </w:p>
    <w:p w14:paraId="7D4C9041">
      <w:pPr>
        <w:spacing w:before="25"/>
        <w:rPr>
          <w:rFonts w:hint="eastAsia" w:ascii="宋体" w:hAnsi="宋体" w:eastAsia="宋体" w:cs="宋体"/>
          <w:color w:val="auto"/>
          <w:highlight w:val="none"/>
        </w:rPr>
      </w:pPr>
    </w:p>
    <w:tbl>
      <w:tblPr>
        <w:tblStyle w:val="14"/>
        <w:tblW w:w="998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544"/>
      </w:tblGrid>
      <w:tr w14:paraId="4538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top"/>
          </w:tcPr>
          <w:p w14:paraId="6E71DC35">
            <w:pPr>
              <w:spacing w:before="203" w:line="209" w:lineRule="auto"/>
              <w:ind w:left="0" w:leftChars="0" w:firstLine="0" w:firstLineChars="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序号</w:t>
            </w:r>
          </w:p>
        </w:tc>
        <w:tc>
          <w:tcPr>
            <w:tcW w:w="1860" w:type="dxa"/>
            <w:vAlign w:val="center"/>
          </w:tcPr>
          <w:p w14:paraId="4C2E1B8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内容</w:t>
            </w:r>
          </w:p>
        </w:tc>
        <w:tc>
          <w:tcPr>
            <w:tcW w:w="7544" w:type="dxa"/>
            <w:vAlign w:val="center"/>
          </w:tcPr>
          <w:p w14:paraId="5AEE082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说明与要求</w:t>
            </w:r>
          </w:p>
        </w:tc>
      </w:tr>
      <w:tr w14:paraId="33E3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743D7C8">
            <w:pPr>
              <w:spacing w:before="223" w:line="195" w:lineRule="auto"/>
              <w:jc w:val="center"/>
              <w:rPr>
                <w:rFonts w:hint="eastAsia" w:asciiTheme="minorEastAsia" w:hAnsiTheme="minorEastAsia" w:eastAsiaTheme="minorEastAsia" w:cstheme="minorEastAsia"/>
                <w:color w:val="auto"/>
                <w:sz w:val="21"/>
                <w:szCs w:val="21"/>
                <w:highlight w:val="none"/>
              </w:rPr>
            </w:pPr>
            <w:bookmarkStart w:id="4" w:name="OLE_LINK2" w:colFirst="2" w:colLast="2"/>
            <w:r>
              <w:rPr>
                <w:rFonts w:hint="eastAsia" w:asciiTheme="minorEastAsia" w:hAnsiTheme="minorEastAsia" w:eastAsiaTheme="minorEastAsia" w:cstheme="minorEastAsia"/>
                <w:color w:val="auto"/>
                <w:sz w:val="21"/>
                <w:szCs w:val="21"/>
                <w:highlight w:val="none"/>
              </w:rPr>
              <w:t>1</w:t>
            </w:r>
          </w:p>
        </w:tc>
        <w:tc>
          <w:tcPr>
            <w:tcW w:w="1860" w:type="dxa"/>
            <w:vAlign w:val="center"/>
          </w:tcPr>
          <w:p w14:paraId="2DAD04F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项目名称</w:t>
            </w:r>
          </w:p>
        </w:tc>
        <w:tc>
          <w:tcPr>
            <w:tcW w:w="7544" w:type="dxa"/>
            <w:vAlign w:val="center"/>
          </w:tcPr>
          <w:p w14:paraId="495090BD">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仁化产业转移工业园区基础建设(二期)-韶关仁化产业园区XZP地块隐患整治建设项目施工（第二次）</w:t>
            </w:r>
          </w:p>
        </w:tc>
      </w:tr>
      <w:tr w14:paraId="443D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582" w:type="dxa"/>
            <w:vAlign w:val="center"/>
          </w:tcPr>
          <w:p w14:paraId="6B02EA2B">
            <w:pPr>
              <w:spacing w:before="222"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860" w:type="dxa"/>
            <w:vAlign w:val="center"/>
          </w:tcPr>
          <w:p w14:paraId="4498F62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项目业主</w:t>
            </w:r>
          </w:p>
        </w:tc>
        <w:tc>
          <w:tcPr>
            <w:tcW w:w="7544" w:type="dxa"/>
            <w:vAlign w:val="center"/>
          </w:tcPr>
          <w:p w14:paraId="0533DE1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仁化县丹霞旅游经济开发试验区管理委员会</w:t>
            </w:r>
          </w:p>
        </w:tc>
      </w:tr>
      <w:tr w14:paraId="5E88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trPr>
        <w:tc>
          <w:tcPr>
            <w:tcW w:w="582" w:type="dxa"/>
            <w:vAlign w:val="center"/>
          </w:tcPr>
          <w:p w14:paraId="3A5F6D9F">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1860" w:type="dxa"/>
            <w:vAlign w:val="center"/>
          </w:tcPr>
          <w:p w14:paraId="157B504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项目批准部门及项目批准文号</w:t>
            </w:r>
          </w:p>
        </w:tc>
        <w:tc>
          <w:tcPr>
            <w:tcW w:w="7544" w:type="dxa"/>
            <w:vAlign w:val="center"/>
          </w:tcPr>
          <w:p w14:paraId="2C0F6B5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仁化县发展和改革局、仁化县发展改革和政务数据局</w:t>
            </w:r>
          </w:p>
          <w:p w14:paraId="667F29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仁发改投审〔2022〕84号、仁发改和政数投审〔2026〕25号</w:t>
            </w:r>
          </w:p>
        </w:tc>
      </w:tr>
      <w:tr w14:paraId="2C58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7E34B725">
            <w:pPr>
              <w:spacing w:before="22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4</w:t>
            </w:r>
          </w:p>
        </w:tc>
        <w:tc>
          <w:tcPr>
            <w:tcW w:w="1860" w:type="dxa"/>
            <w:vAlign w:val="center"/>
          </w:tcPr>
          <w:p w14:paraId="1DD2D51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建设地点</w:t>
            </w:r>
          </w:p>
        </w:tc>
        <w:tc>
          <w:tcPr>
            <w:tcW w:w="7544" w:type="dxa"/>
            <w:tcMar>
              <w:top w:w="0" w:type="dxa"/>
              <w:left w:w="0" w:type="dxa"/>
              <w:bottom w:w="0" w:type="dxa"/>
              <w:right w:w="0" w:type="dxa"/>
            </w:tcMar>
            <w:vAlign w:val="center"/>
          </w:tcPr>
          <w:p w14:paraId="3520413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hAnsi="宋体" w:eastAsia="宋体" w:cs="Calibri"/>
                <w:bCs/>
                <w:color w:val="auto"/>
                <w:sz w:val="21"/>
                <w:szCs w:val="21"/>
                <w:highlight w:val="none"/>
                <w:lang w:val="en-US" w:eastAsia="zh-CN"/>
              </w:rPr>
              <w:t>韶关仁化产业园区</w:t>
            </w:r>
          </w:p>
        </w:tc>
      </w:tr>
      <w:tr w14:paraId="565E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3" w:hRule="atLeast"/>
        </w:trPr>
        <w:tc>
          <w:tcPr>
            <w:tcW w:w="582" w:type="dxa"/>
            <w:vAlign w:val="center"/>
          </w:tcPr>
          <w:p w14:paraId="318E89F5">
            <w:pPr>
              <w:spacing w:before="226" w:line="19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1860" w:type="dxa"/>
            <w:vAlign w:val="center"/>
          </w:tcPr>
          <w:p w14:paraId="66CCEB4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项目代码</w:t>
            </w:r>
          </w:p>
        </w:tc>
        <w:tc>
          <w:tcPr>
            <w:tcW w:w="7544" w:type="dxa"/>
            <w:vAlign w:val="center"/>
          </w:tcPr>
          <w:p w14:paraId="4449217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Calibri"/>
                <w:bCs/>
                <w:color w:val="auto"/>
                <w:sz w:val="21"/>
                <w:szCs w:val="21"/>
                <w:highlight w:val="none"/>
                <w:lang w:eastAsia="zh-CN"/>
              </w:rPr>
              <w:t>2208-440224-04-01-823973</w:t>
            </w:r>
          </w:p>
        </w:tc>
      </w:tr>
      <w:tr w14:paraId="1E52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6D804121">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1860" w:type="dxa"/>
            <w:vAlign w:val="center"/>
          </w:tcPr>
          <w:p w14:paraId="5A6B568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资金来源及落实情况</w:t>
            </w:r>
          </w:p>
        </w:tc>
        <w:tc>
          <w:tcPr>
            <w:tcW w:w="7544" w:type="dxa"/>
            <w:vAlign w:val="center"/>
          </w:tcPr>
          <w:p w14:paraId="440E9E3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上级资金和县级财政资金安排解决，100%</w:t>
            </w:r>
          </w:p>
        </w:tc>
      </w:tr>
      <w:tr w14:paraId="5766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582" w:type="dxa"/>
            <w:vAlign w:val="center"/>
          </w:tcPr>
          <w:p w14:paraId="400528AE">
            <w:pPr>
              <w:spacing w:before="228" w:line="19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p>
        </w:tc>
        <w:tc>
          <w:tcPr>
            <w:tcW w:w="1860" w:type="dxa"/>
            <w:vAlign w:val="center"/>
          </w:tcPr>
          <w:p w14:paraId="3CAF0EE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招标人</w:t>
            </w:r>
          </w:p>
        </w:tc>
        <w:tc>
          <w:tcPr>
            <w:tcW w:w="7544" w:type="dxa"/>
            <w:vAlign w:val="center"/>
          </w:tcPr>
          <w:p w14:paraId="5B71CC7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仁化县丹霞旅游经济开发试验区管理委员会</w:t>
            </w:r>
          </w:p>
        </w:tc>
      </w:tr>
      <w:tr w14:paraId="6088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trPr>
        <w:tc>
          <w:tcPr>
            <w:tcW w:w="582" w:type="dxa"/>
            <w:vAlign w:val="center"/>
          </w:tcPr>
          <w:p w14:paraId="44304D14">
            <w:pPr>
              <w:spacing w:before="224"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p>
        </w:tc>
        <w:tc>
          <w:tcPr>
            <w:tcW w:w="1860" w:type="dxa"/>
            <w:vAlign w:val="center"/>
          </w:tcPr>
          <w:p w14:paraId="31C26FC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招标代理机构</w:t>
            </w:r>
          </w:p>
        </w:tc>
        <w:tc>
          <w:tcPr>
            <w:tcW w:w="7544" w:type="dxa"/>
            <w:vAlign w:val="center"/>
          </w:tcPr>
          <w:p w14:paraId="4E3C0A9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广东爱科工程咨询管理有限公司</w:t>
            </w:r>
          </w:p>
        </w:tc>
      </w:tr>
      <w:tr w14:paraId="0749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582" w:type="dxa"/>
            <w:vAlign w:val="center"/>
          </w:tcPr>
          <w:p w14:paraId="5A5AC857">
            <w:pPr>
              <w:spacing w:before="22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w:t>
            </w:r>
          </w:p>
        </w:tc>
        <w:tc>
          <w:tcPr>
            <w:tcW w:w="1860" w:type="dxa"/>
            <w:vAlign w:val="center"/>
          </w:tcPr>
          <w:p w14:paraId="11B17F7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设计单位</w:t>
            </w:r>
          </w:p>
        </w:tc>
        <w:tc>
          <w:tcPr>
            <w:tcW w:w="7544" w:type="dxa"/>
            <w:vAlign w:val="center"/>
          </w:tcPr>
          <w:p w14:paraId="2E0AD38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广州博厦建筑设计研究院有限公司</w:t>
            </w:r>
          </w:p>
        </w:tc>
      </w:tr>
      <w:bookmarkEnd w:id="4"/>
      <w:tr w14:paraId="231F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6" w:hRule="atLeast"/>
        </w:trPr>
        <w:tc>
          <w:tcPr>
            <w:tcW w:w="582" w:type="dxa"/>
            <w:vAlign w:val="center"/>
          </w:tcPr>
          <w:p w14:paraId="1D58DA3A">
            <w:pPr>
              <w:spacing w:before="245"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10</w:t>
            </w:r>
          </w:p>
        </w:tc>
        <w:tc>
          <w:tcPr>
            <w:tcW w:w="1860" w:type="dxa"/>
            <w:vAlign w:val="center"/>
          </w:tcPr>
          <w:p w14:paraId="1DD07B7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造价咨询单位</w:t>
            </w:r>
          </w:p>
        </w:tc>
        <w:tc>
          <w:tcPr>
            <w:tcW w:w="7544" w:type="dxa"/>
            <w:vAlign w:val="center"/>
          </w:tcPr>
          <w:p w14:paraId="7A3C8A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□非全过程造价咨询</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☑全过程造价咨询</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p>
        </w:tc>
      </w:tr>
      <w:tr w14:paraId="1B42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trPr>
        <w:tc>
          <w:tcPr>
            <w:tcW w:w="582" w:type="dxa"/>
            <w:vAlign w:val="center"/>
          </w:tcPr>
          <w:p w14:paraId="5392F3A2">
            <w:pPr>
              <w:spacing w:before="242"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11</w:t>
            </w:r>
          </w:p>
        </w:tc>
        <w:tc>
          <w:tcPr>
            <w:tcW w:w="1860" w:type="dxa"/>
            <w:vAlign w:val="center"/>
          </w:tcPr>
          <w:p w14:paraId="12C094C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监理单位</w:t>
            </w:r>
          </w:p>
        </w:tc>
        <w:tc>
          <w:tcPr>
            <w:tcW w:w="7544" w:type="dxa"/>
            <w:vAlign w:val="center"/>
          </w:tcPr>
          <w:p w14:paraId="03F5A6D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☑已确定监理单位</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□未确定监理单位</w:t>
            </w:r>
          </w:p>
        </w:tc>
      </w:tr>
      <w:tr w14:paraId="2402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515EDE6">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lang w:eastAsia="zh-CN"/>
              </w:rPr>
              <w:t>1</w:t>
            </w:r>
            <w:r>
              <w:rPr>
                <w:rFonts w:hint="eastAsia" w:asciiTheme="minorEastAsia" w:hAnsiTheme="minorEastAsia" w:eastAsiaTheme="minorEastAsia" w:cstheme="minorEastAsia"/>
                <w:color w:val="auto"/>
                <w:spacing w:val="-8"/>
                <w:sz w:val="21"/>
                <w:szCs w:val="21"/>
                <w:highlight w:val="none"/>
              </w:rPr>
              <w:t>2</w:t>
            </w:r>
          </w:p>
        </w:tc>
        <w:tc>
          <w:tcPr>
            <w:tcW w:w="1860" w:type="dxa"/>
            <w:vAlign w:val="center"/>
          </w:tcPr>
          <w:p w14:paraId="3DF6750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建设内容和规模</w:t>
            </w:r>
          </w:p>
        </w:tc>
        <w:tc>
          <w:tcPr>
            <w:tcW w:w="7544" w:type="dxa"/>
            <w:vAlign w:val="center"/>
          </w:tcPr>
          <w:p w14:paraId="52FBCEA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□建设规模：</w:t>
            </w:r>
            <w:r>
              <w:rPr>
                <w:rFonts w:hint="eastAsia" w:asciiTheme="minorEastAsia" w:hAnsiTheme="minorEastAsia" w:eastAsiaTheme="minorEastAsia" w:cstheme="minorEastAsia"/>
                <w:snapToGrid w:val="0"/>
                <w:color w:val="auto"/>
                <w:kern w:val="0"/>
                <w:sz w:val="21"/>
                <w:szCs w:val="21"/>
                <w:highlight w:val="none"/>
                <w:lang w:val="en-US" w:eastAsia="zh-CN"/>
              </w:rPr>
              <w:t>/</w:t>
            </w:r>
          </w:p>
          <w:p w14:paraId="33FB465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☑建设内容：新建挡土墙约25米，新建约挡水坝一座，新建排水沟约2000米，沿河道布置仿木混凝土栏杆约900米，铺种绿植约27500平方米，种植灌木约550株等，</w:t>
            </w:r>
            <w:r>
              <w:rPr>
                <w:rFonts w:hint="eastAsia" w:asciiTheme="minorEastAsia" w:hAnsiTheme="minorEastAsia" w:eastAsiaTheme="minorEastAsia" w:cstheme="minorEastAsia"/>
                <w:snapToGrid w:val="0"/>
                <w:color w:val="auto"/>
                <w:kern w:val="0"/>
                <w:sz w:val="21"/>
                <w:szCs w:val="21"/>
                <w:highlight w:val="none"/>
                <w:lang w:val="en-US" w:eastAsia="zh-CN"/>
              </w:rPr>
              <w:t>具体实施以施工图纸为准。</w:t>
            </w:r>
          </w:p>
        </w:tc>
      </w:tr>
      <w:tr w14:paraId="304F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0" w:hRule="atLeast"/>
        </w:trPr>
        <w:tc>
          <w:tcPr>
            <w:tcW w:w="582" w:type="dxa"/>
            <w:vAlign w:val="center"/>
          </w:tcPr>
          <w:p w14:paraId="5D9D5ABA">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13</w:t>
            </w:r>
          </w:p>
        </w:tc>
        <w:tc>
          <w:tcPr>
            <w:tcW w:w="1860" w:type="dxa"/>
            <w:vAlign w:val="center"/>
          </w:tcPr>
          <w:p w14:paraId="280E556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项目总投资</w:t>
            </w:r>
          </w:p>
        </w:tc>
        <w:tc>
          <w:tcPr>
            <w:tcW w:w="7544" w:type="dxa"/>
            <w:vAlign w:val="center"/>
          </w:tcPr>
          <w:p w14:paraId="0C56FDE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项目概算总投资502.92万元，其中工程费用399.60万元，工程建设其他费用79.37万元，预备费用23.95万元。</w:t>
            </w:r>
          </w:p>
        </w:tc>
      </w:tr>
      <w:tr w14:paraId="6B2C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582" w:type="dxa"/>
            <w:vAlign w:val="center"/>
          </w:tcPr>
          <w:p w14:paraId="798375C9">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14</w:t>
            </w:r>
          </w:p>
        </w:tc>
        <w:tc>
          <w:tcPr>
            <w:tcW w:w="1860" w:type="dxa"/>
            <w:vAlign w:val="center"/>
          </w:tcPr>
          <w:p w14:paraId="2A6F498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招标范围</w:t>
            </w:r>
          </w:p>
        </w:tc>
        <w:tc>
          <w:tcPr>
            <w:tcW w:w="7544" w:type="dxa"/>
            <w:vAlign w:val="center"/>
          </w:tcPr>
          <w:p w14:paraId="3DE01C1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按审查合格的施工图纸及工程量清单内容施工。</w:t>
            </w:r>
          </w:p>
        </w:tc>
      </w:tr>
      <w:tr w14:paraId="13F3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trPr>
        <w:tc>
          <w:tcPr>
            <w:tcW w:w="582" w:type="dxa"/>
            <w:vAlign w:val="center"/>
          </w:tcPr>
          <w:p w14:paraId="6EED9D8B">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15</w:t>
            </w:r>
          </w:p>
        </w:tc>
        <w:tc>
          <w:tcPr>
            <w:tcW w:w="1860" w:type="dxa"/>
            <w:vAlign w:val="center"/>
          </w:tcPr>
          <w:p w14:paraId="5CD69A5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标段划分</w:t>
            </w:r>
          </w:p>
        </w:tc>
        <w:tc>
          <w:tcPr>
            <w:tcW w:w="7544" w:type="dxa"/>
            <w:vAlign w:val="center"/>
          </w:tcPr>
          <w:p w14:paraId="71E5B42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本招标项目不划分标段。 </w:t>
            </w:r>
          </w:p>
        </w:tc>
      </w:tr>
      <w:tr w14:paraId="2503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5" w:hRule="atLeast"/>
        </w:trPr>
        <w:tc>
          <w:tcPr>
            <w:tcW w:w="582" w:type="dxa"/>
            <w:vAlign w:val="center"/>
          </w:tcPr>
          <w:p w14:paraId="650937A5">
            <w:pPr>
              <w:spacing w:before="57" w:line="195"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8"/>
                <w:sz w:val="21"/>
                <w:szCs w:val="21"/>
                <w:highlight w:val="none"/>
              </w:rPr>
              <w:t>16</w:t>
            </w:r>
          </w:p>
        </w:tc>
        <w:tc>
          <w:tcPr>
            <w:tcW w:w="1860" w:type="dxa"/>
            <w:vAlign w:val="center"/>
          </w:tcPr>
          <w:p w14:paraId="00B1E99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工期</w:t>
            </w:r>
          </w:p>
        </w:tc>
        <w:tc>
          <w:tcPr>
            <w:tcW w:w="7544" w:type="dxa"/>
            <w:vAlign w:val="top"/>
          </w:tcPr>
          <w:p w14:paraId="7C99F2E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本招标项目招标工期为</w:t>
            </w:r>
            <w:r>
              <w:rPr>
                <w:rFonts w:hint="eastAsia" w:asciiTheme="minorEastAsia" w:hAnsiTheme="minorEastAsia" w:eastAsiaTheme="minorEastAsia" w:cstheme="minorEastAsia"/>
                <w:snapToGrid w:val="0"/>
                <w:color w:val="auto"/>
                <w:kern w:val="0"/>
                <w:sz w:val="21"/>
                <w:szCs w:val="21"/>
                <w:highlight w:val="none"/>
                <w:lang w:val="en-US" w:eastAsia="zh-CN"/>
              </w:rPr>
              <w:t>90个日历天</w:t>
            </w:r>
            <w:r>
              <w:rPr>
                <w:rFonts w:hint="eastAsia" w:asciiTheme="minorEastAsia" w:hAnsiTheme="minorEastAsia" w:eastAsiaTheme="minorEastAsia" w:cstheme="minorEastAsia"/>
                <w:snapToGrid w:val="0"/>
                <w:color w:val="auto"/>
                <w:kern w:val="0"/>
                <w:sz w:val="21"/>
                <w:szCs w:val="21"/>
                <w:highlight w:val="none"/>
                <w:lang w:eastAsia="zh-CN"/>
              </w:rPr>
              <w:t>。具体如下：</w:t>
            </w:r>
          </w:p>
          <w:p w14:paraId="72F8637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☑总工期：</w:t>
            </w:r>
            <w:r>
              <w:rPr>
                <w:rFonts w:hint="eastAsia" w:asciiTheme="minorEastAsia" w:hAnsiTheme="minorEastAsia" w:eastAsiaTheme="minorEastAsia" w:cstheme="minorEastAsia"/>
                <w:snapToGrid w:val="0"/>
                <w:color w:val="auto"/>
                <w:kern w:val="0"/>
                <w:sz w:val="21"/>
                <w:szCs w:val="21"/>
                <w:highlight w:val="none"/>
                <w:lang w:val="en-US" w:eastAsia="zh-CN"/>
              </w:rPr>
              <w:t>90</w:t>
            </w:r>
            <w:r>
              <w:rPr>
                <w:rFonts w:hint="eastAsia" w:asciiTheme="minorEastAsia" w:hAnsiTheme="minorEastAsia" w:eastAsiaTheme="minorEastAsia" w:cstheme="minorEastAsia"/>
                <w:snapToGrid w:val="0"/>
                <w:color w:val="auto"/>
                <w:kern w:val="0"/>
                <w:sz w:val="21"/>
                <w:szCs w:val="21"/>
                <w:highlight w:val="none"/>
                <w:lang w:eastAsia="zh-CN"/>
              </w:rPr>
              <w:t>天 （日历天）。</w:t>
            </w:r>
          </w:p>
          <w:p w14:paraId="4845D3F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□计划开工日期：</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年</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月</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日（具体开工日期以合同为准）</w:t>
            </w:r>
          </w:p>
          <w:p w14:paraId="3EF82EA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□计划竣工日期：</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年</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月</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日</w:t>
            </w:r>
          </w:p>
          <w:p w14:paraId="00A01DB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□除上述总工期外，发包人还要求以下阶段工期：        </w:t>
            </w:r>
          </w:p>
        </w:tc>
      </w:tr>
      <w:tr w14:paraId="7F94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90" w:hRule="atLeast"/>
        </w:trPr>
        <w:tc>
          <w:tcPr>
            <w:tcW w:w="582" w:type="dxa"/>
            <w:vAlign w:val="center"/>
          </w:tcPr>
          <w:p w14:paraId="47B272B4">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17</w:t>
            </w:r>
          </w:p>
        </w:tc>
        <w:tc>
          <w:tcPr>
            <w:tcW w:w="1860" w:type="dxa"/>
            <w:vAlign w:val="center"/>
          </w:tcPr>
          <w:p w14:paraId="29B95E6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质量标准</w:t>
            </w:r>
          </w:p>
        </w:tc>
        <w:tc>
          <w:tcPr>
            <w:tcW w:w="7544" w:type="dxa"/>
            <w:vAlign w:val="top"/>
          </w:tcPr>
          <w:p w14:paraId="586BE7A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☑质量目标：</w:t>
            </w:r>
            <w:r>
              <w:rPr>
                <w:rFonts w:hint="eastAsia" w:asciiTheme="minorEastAsia" w:hAnsiTheme="minorEastAsia" w:eastAsiaTheme="minorEastAsia" w:cstheme="minorEastAsia"/>
                <w:snapToGrid w:val="0"/>
                <w:color w:val="auto"/>
                <w:kern w:val="0"/>
                <w:sz w:val="21"/>
                <w:szCs w:val="21"/>
                <w:highlight w:val="none"/>
                <w:u w:val="single"/>
                <w:lang w:eastAsia="zh-CN"/>
              </w:rPr>
              <w:t>合格</w:t>
            </w:r>
          </w:p>
          <w:p w14:paraId="5B397B7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☑质量标准：</w:t>
            </w:r>
            <w:r>
              <w:rPr>
                <w:rFonts w:hint="eastAsia" w:ascii="宋体" w:hAnsi="宋体" w:eastAsia="宋体" w:cs="宋体"/>
                <w:snapToGrid w:val="0"/>
                <w:color w:val="auto"/>
                <w:kern w:val="0"/>
                <w:sz w:val="22"/>
                <w:szCs w:val="22"/>
                <w:highlight w:val="none"/>
                <w:lang w:val="en-US" w:eastAsia="zh-CN"/>
              </w:rPr>
              <w:t xml:space="preserve"> 达到《建筑工程施工质量验收统一标准》(GB50300-2013)并且合格。</w:t>
            </w:r>
          </w:p>
          <w:p w14:paraId="054D070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□优质工程要求：</w:t>
            </w:r>
            <w:r>
              <w:rPr>
                <w:rFonts w:hint="eastAsia" w:asciiTheme="minorEastAsia" w:hAnsiTheme="minorEastAsia" w:eastAsiaTheme="minorEastAsia" w:cstheme="minorEastAsia"/>
                <w:snapToGrid w:val="0"/>
                <w:color w:val="auto"/>
                <w:kern w:val="0"/>
                <w:sz w:val="21"/>
                <w:szCs w:val="21"/>
                <w:highlight w:val="none"/>
                <w:u w:val="single"/>
                <w:lang w:eastAsia="zh-CN"/>
              </w:rPr>
              <w:t>无</w:t>
            </w:r>
            <w:r>
              <w:rPr>
                <w:rFonts w:hint="eastAsia" w:asciiTheme="minorEastAsia" w:hAnsiTheme="minorEastAsia" w:eastAsiaTheme="minorEastAsia" w:cstheme="minorEastAsia"/>
                <w:snapToGrid w:val="0"/>
                <w:color w:val="auto"/>
                <w:kern w:val="0"/>
                <w:sz w:val="21"/>
                <w:szCs w:val="21"/>
                <w:highlight w:val="none"/>
                <w:lang w:eastAsia="zh-CN"/>
              </w:rPr>
              <w:t>....</w:t>
            </w:r>
          </w:p>
          <w:p w14:paraId="6B00BF1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eastAsia="zh-CN"/>
              </w:rPr>
              <w:t>工程优质费：☑无</w:t>
            </w:r>
            <w:r>
              <w:rPr>
                <w:rFonts w:hint="eastAsia" w:asciiTheme="minorEastAsia" w:hAnsiTheme="minorEastAsia" w:eastAsiaTheme="minorEastAsia" w:cstheme="minorEastAsia"/>
                <w:snapToGrid w:val="0"/>
                <w:color w:val="auto"/>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kern w:val="0"/>
                <w:sz w:val="21"/>
                <w:szCs w:val="21"/>
                <w:highlight w:val="none"/>
                <w:lang w:eastAsia="zh-CN"/>
              </w:rPr>
              <w:t>□有：</w:t>
            </w:r>
            <w:r>
              <w:rPr>
                <w:rFonts w:hint="eastAsia" w:asciiTheme="minorEastAsia" w:hAnsiTheme="minorEastAsia" w:eastAsiaTheme="minorEastAsia" w:cstheme="minorEastAsia"/>
                <w:snapToGrid w:val="0"/>
                <w:color w:val="auto"/>
                <w:kern w:val="0"/>
                <w:sz w:val="21"/>
                <w:szCs w:val="21"/>
                <w:highlight w:val="none"/>
                <w:lang w:val="en-US" w:eastAsia="zh-CN"/>
              </w:rPr>
              <w:t>/</w:t>
            </w:r>
          </w:p>
        </w:tc>
      </w:tr>
      <w:tr w14:paraId="2768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4BC67C17">
            <w:pPr>
              <w:spacing w:before="57"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18</w:t>
            </w:r>
          </w:p>
        </w:tc>
        <w:tc>
          <w:tcPr>
            <w:tcW w:w="1860" w:type="dxa"/>
            <w:vMerge w:val="restart"/>
            <w:vAlign w:val="center"/>
          </w:tcPr>
          <w:p w14:paraId="7C8582B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合同类型</w:t>
            </w:r>
          </w:p>
        </w:tc>
        <w:tc>
          <w:tcPr>
            <w:tcW w:w="7544" w:type="dxa"/>
            <w:vAlign w:val="top"/>
          </w:tcPr>
          <w:p w14:paraId="32295EB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☑单价合同：发承包双方约定以工程量清单及其综合单价进行合同价款计算、调整和确认的建设工程施工合同。</w:t>
            </w:r>
          </w:p>
          <w:p w14:paraId="2158BF3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219F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2941AE80">
            <w:pPr>
              <w:spacing w:before="57" w:line="195" w:lineRule="auto"/>
              <w:jc w:val="center"/>
              <w:rPr>
                <w:rFonts w:hint="eastAsia" w:asciiTheme="minorEastAsia" w:hAnsiTheme="minorEastAsia" w:eastAsiaTheme="minorEastAsia" w:cstheme="minorEastAsia"/>
                <w:color w:val="auto"/>
                <w:spacing w:val="-8"/>
                <w:sz w:val="21"/>
                <w:szCs w:val="21"/>
                <w:highlight w:val="none"/>
              </w:rPr>
            </w:pPr>
          </w:p>
        </w:tc>
        <w:tc>
          <w:tcPr>
            <w:tcW w:w="1860" w:type="dxa"/>
            <w:vMerge w:val="continue"/>
            <w:vAlign w:val="center"/>
          </w:tcPr>
          <w:p w14:paraId="035DBDE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p>
        </w:tc>
        <w:tc>
          <w:tcPr>
            <w:tcW w:w="7544" w:type="dxa"/>
            <w:vAlign w:val="top"/>
          </w:tcPr>
          <w:p w14:paraId="7E667DD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 xml:space="preserve">□总价合同：发承包双方约定以施工图及其预算和有关条件进行合同价款计算、调整和确认的建设工程施工合同。 </w:t>
            </w:r>
          </w:p>
          <w:p w14:paraId="29EEDD8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规范原则。</w:t>
            </w:r>
          </w:p>
        </w:tc>
      </w:tr>
      <w:tr w14:paraId="0E6B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5972A2CD">
            <w:pPr>
              <w:spacing w:before="19"/>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19</w:t>
            </w:r>
          </w:p>
        </w:tc>
        <w:tc>
          <w:tcPr>
            <w:tcW w:w="1860" w:type="dxa"/>
            <w:vAlign w:val="center"/>
          </w:tcPr>
          <w:p w14:paraId="2898AA7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房屋建筑工程绿色建筑标准</w:t>
            </w:r>
          </w:p>
        </w:tc>
        <w:tc>
          <w:tcPr>
            <w:tcW w:w="7544" w:type="dxa"/>
            <w:vAlign w:val="center"/>
          </w:tcPr>
          <w:p w14:paraId="43CBE360">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w:t>
            </w:r>
            <w:r>
              <w:rPr>
                <w:rFonts w:hint="eastAsia" w:asciiTheme="minorEastAsia" w:hAnsiTheme="minorEastAsia" w:eastAsiaTheme="minorEastAsia" w:cstheme="minorEastAsia"/>
                <w:snapToGrid w:val="0"/>
                <w:color w:val="auto"/>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kern w:val="0"/>
                <w:sz w:val="21"/>
                <w:szCs w:val="21"/>
                <w:highlight w:val="none"/>
                <w:lang w:eastAsia="zh-CN"/>
              </w:rPr>
              <w:t>纳入绿色建设实施范围。</w:t>
            </w:r>
          </w:p>
        </w:tc>
      </w:tr>
      <w:tr w14:paraId="7635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73257DF0">
            <w:pPr>
              <w:spacing w:before="58" w:line="195"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19.</w:t>
            </w:r>
            <w:r>
              <w:rPr>
                <w:rFonts w:hint="eastAsia" w:asciiTheme="minorEastAsia" w:hAnsiTheme="minorEastAsia" w:eastAsiaTheme="minorEastAsia" w:cstheme="minorEastAsia"/>
                <w:color w:val="auto"/>
                <w:spacing w:val="-26"/>
                <w:sz w:val="21"/>
                <w:szCs w:val="21"/>
                <w:highlight w:val="none"/>
              </w:rPr>
              <w:t xml:space="preserve"> </w:t>
            </w:r>
            <w:r>
              <w:rPr>
                <w:rFonts w:hint="eastAsia" w:asciiTheme="minorEastAsia" w:hAnsiTheme="minorEastAsia" w:eastAsiaTheme="minorEastAsia" w:cstheme="minorEastAsia"/>
                <w:color w:val="auto"/>
                <w:spacing w:val="-3"/>
                <w:sz w:val="21"/>
                <w:szCs w:val="21"/>
                <w:highlight w:val="none"/>
              </w:rPr>
              <w:t>1</w:t>
            </w:r>
          </w:p>
        </w:tc>
        <w:tc>
          <w:tcPr>
            <w:tcW w:w="1860" w:type="dxa"/>
            <w:vAlign w:val="center"/>
          </w:tcPr>
          <w:p w14:paraId="2598019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装配式建筑标准</w:t>
            </w:r>
          </w:p>
        </w:tc>
        <w:tc>
          <w:tcPr>
            <w:tcW w:w="7544" w:type="dxa"/>
            <w:vAlign w:val="center"/>
          </w:tcPr>
          <w:p w14:paraId="654C85A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本招标项目</w:t>
            </w:r>
            <w:r>
              <w:rPr>
                <w:rFonts w:hint="eastAsia" w:asciiTheme="minorEastAsia" w:hAnsiTheme="minorEastAsia" w:eastAsiaTheme="minorEastAsia" w:cstheme="minorEastAsia"/>
                <w:snapToGrid w:val="0"/>
                <w:color w:val="auto"/>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kern w:val="0"/>
                <w:sz w:val="21"/>
                <w:szCs w:val="21"/>
                <w:highlight w:val="none"/>
                <w:lang w:eastAsia="zh-CN"/>
              </w:rPr>
              <w:t>纳入装配式建造建设实施范围。</w:t>
            </w:r>
          </w:p>
        </w:tc>
      </w:tr>
      <w:tr w14:paraId="5ABB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F56262D">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20</w:t>
            </w:r>
          </w:p>
        </w:tc>
        <w:tc>
          <w:tcPr>
            <w:tcW w:w="1860" w:type="dxa"/>
            <w:vAlign w:val="center"/>
          </w:tcPr>
          <w:p w14:paraId="7A9699B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发包人提供材料和工程设备</w:t>
            </w:r>
          </w:p>
        </w:tc>
        <w:tc>
          <w:tcPr>
            <w:tcW w:w="7544" w:type="dxa"/>
            <w:vAlign w:val="center"/>
          </w:tcPr>
          <w:p w14:paraId="041C9A4A">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发包人提供材料和工程设备： ☑无     □有：</w:t>
            </w:r>
          </w:p>
        </w:tc>
      </w:tr>
      <w:tr w14:paraId="09BD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5" w:hRule="atLeast"/>
        </w:trPr>
        <w:tc>
          <w:tcPr>
            <w:tcW w:w="582" w:type="dxa"/>
            <w:vAlign w:val="center"/>
          </w:tcPr>
          <w:p w14:paraId="2A7C3934">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21</w:t>
            </w:r>
          </w:p>
        </w:tc>
        <w:tc>
          <w:tcPr>
            <w:tcW w:w="1860" w:type="dxa"/>
            <w:vAlign w:val="center"/>
          </w:tcPr>
          <w:p w14:paraId="2B19F4D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承包人提供材料和工程设备</w:t>
            </w:r>
          </w:p>
        </w:tc>
        <w:tc>
          <w:tcPr>
            <w:tcW w:w="7544" w:type="dxa"/>
            <w:vAlign w:val="top"/>
          </w:tcPr>
          <w:p w14:paraId="25B336F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 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11881E8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□其它说明：鼓励承包人积极采购环保产品进行施工。</w:t>
            </w:r>
          </w:p>
        </w:tc>
      </w:tr>
      <w:tr w14:paraId="4B49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0" w:hRule="atLeast"/>
        </w:trPr>
        <w:tc>
          <w:tcPr>
            <w:tcW w:w="582" w:type="dxa"/>
            <w:vAlign w:val="center"/>
          </w:tcPr>
          <w:p w14:paraId="5BDE6007">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22</w:t>
            </w:r>
          </w:p>
        </w:tc>
        <w:tc>
          <w:tcPr>
            <w:tcW w:w="1860" w:type="dxa"/>
            <w:vAlign w:val="center"/>
          </w:tcPr>
          <w:p w14:paraId="079BF0E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最高投标限价</w:t>
            </w:r>
          </w:p>
        </w:tc>
        <w:tc>
          <w:tcPr>
            <w:tcW w:w="7544" w:type="dxa"/>
            <w:vAlign w:val="center"/>
          </w:tcPr>
          <w:p w14:paraId="00DC73E7">
            <w:pPr>
              <w:pageBreakBefore w:val="0"/>
              <w:widowControl w:val="0"/>
              <w:kinsoku/>
              <w:wordWrap w:val="0"/>
              <w:overflowPunct/>
              <w:topLinePunct w:val="0"/>
              <w:autoSpaceDE/>
              <w:autoSpaceDN/>
              <w:bidi w:val="0"/>
              <w:adjustRightInd w:val="0"/>
              <w:snapToGrid w:val="0"/>
              <w:spacing w:line="400" w:lineRule="exact"/>
              <w:ind w:left="0" w:leftChars="0" w:firstLine="401" w:firstLineChars="1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本招标项目最高投标限价为人民币（大写）：</w:t>
            </w:r>
            <w:r>
              <w:rPr>
                <w:rFonts w:hint="eastAsia" w:asciiTheme="minorEastAsia" w:hAnsiTheme="minorEastAsia" w:eastAsiaTheme="minorEastAsia" w:cstheme="minorEastAsia"/>
                <w:snapToGrid w:val="0"/>
                <w:color w:val="auto"/>
                <w:kern w:val="0"/>
                <w:sz w:val="21"/>
                <w:szCs w:val="21"/>
                <w:highlight w:val="none"/>
                <w:u w:val="single"/>
                <w:lang w:val="en-US" w:eastAsia="zh-CN"/>
              </w:rPr>
              <w:t>叁佰捌拾伍万壹仟伍佰壹拾陆元零柒分（¥3851516.07元），其中安全生产措施费为：¥86920.57 元，暂列金额（统一报价）为：¥302872.68元</w:t>
            </w:r>
            <w:r>
              <w:rPr>
                <w:rFonts w:hint="eastAsia" w:asciiTheme="minorEastAsia" w:hAnsiTheme="minorEastAsia" w:eastAsiaTheme="minorEastAsia" w:cstheme="minorEastAsia"/>
                <w:snapToGrid w:val="0"/>
                <w:color w:val="auto"/>
                <w:kern w:val="0"/>
                <w:sz w:val="21"/>
                <w:szCs w:val="21"/>
                <w:highlight w:val="none"/>
                <w:lang w:val="en-US" w:eastAsia="zh-CN"/>
              </w:rPr>
              <w:t>。</w:t>
            </w:r>
          </w:p>
        </w:tc>
      </w:tr>
      <w:tr w14:paraId="4E4F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2" w:hRule="atLeast"/>
        </w:trPr>
        <w:tc>
          <w:tcPr>
            <w:tcW w:w="582" w:type="dxa"/>
            <w:vAlign w:val="center"/>
          </w:tcPr>
          <w:p w14:paraId="3E0E6845">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23</w:t>
            </w:r>
          </w:p>
        </w:tc>
        <w:tc>
          <w:tcPr>
            <w:tcW w:w="1860" w:type="dxa"/>
            <w:vAlign w:val="center"/>
          </w:tcPr>
          <w:p w14:paraId="0D0D0A1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投标人的投标报价</w:t>
            </w:r>
          </w:p>
        </w:tc>
        <w:tc>
          <w:tcPr>
            <w:tcW w:w="7544" w:type="dxa"/>
            <w:vAlign w:val="center"/>
          </w:tcPr>
          <w:p w14:paraId="7133753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01DD1AE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投标报价方式： ☑工程量清单报</w:t>
            </w:r>
          </w:p>
        </w:tc>
      </w:tr>
      <w:tr w14:paraId="664F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2B41BF8F">
            <w:pPr>
              <w:spacing w:before="69"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24</w:t>
            </w:r>
          </w:p>
        </w:tc>
        <w:tc>
          <w:tcPr>
            <w:tcW w:w="1860" w:type="dxa"/>
            <w:vAlign w:val="center"/>
          </w:tcPr>
          <w:p w14:paraId="1820F47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投标报价风险</w:t>
            </w:r>
          </w:p>
        </w:tc>
        <w:tc>
          <w:tcPr>
            <w:tcW w:w="7544" w:type="dxa"/>
            <w:vAlign w:val="center"/>
          </w:tcPr>
          <w:p w14:paraId="2E356AE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☑投标人依据招标文件约定自行考虑风险因素，一旦中标，投标报价（合同价）除合同另有约定外将不因市场变化而调整。</w:t>
            </w:r>
          </w:p>
          <w:p w14:paraId="0602711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☑投标报价中应包括工程量清单项目所发生的人工费、材料费、机具费、管理费、利润、措施项目费、其它项目费、税金、暂列金额、暂估价以及所有风险、责任等各项费用。</w:t>
            </w:r>
          </w:p>
          <w:p w14:paraId="6588B20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☑人工费、材料费、机具费、管理费、利润、措施项目费（不含</w:t>
            </w:r>
            <w:r>
              <w:rPr>
                <w:rFonts w:hint="eastAsia" w:asciiTheme="minorEastAsia" w:hAnsiTheme="minorEastAsia" w:eastAsiaTheme="minorEastAsia" w:cstheme="minorEastAsia"/>
                <w:snapToGrid w:val="0"/>
                <w:color w:val="auto"/>
                <w:kern w:val="0"/>
                <w:sz w:val="21"/>
                <w:szCs w:val="21"/>
                <w:highlight w:val="none"/>
                <w:lang w:val="en-US" w:eastAsia="zh-CN"/>
              </w:rPr>
              <w:t>安全生产措施费</w:t>
            </w:r>
            <w:r>
              <w:rPr>
                <w:rFonts w:hint="eastAsia" w:asciiTheme="minorEastAsia" w:hAnsiTheme="minorEastAsia" w:eastAsiaTheme="minorEastAsia" w:cstheme="minorEastAsia"/>
                <w:snapToGrid w:val="0"/>
                <w:color w:val="auto"/>
                <w:kern w:val="0"/>
                <w:sz w:val="21"/>
                <w:szCs w:val="21"/>
                <w:highlight w:val="none"/>
                <w:lang w:eastAsia="zh-CN"/>
              </w:rPr>
              <w:t>）投标人漏报或不报，招标人视为有关费用已包括在工程量清单项目的其它单价及合价中不予另外增加。</w:t>
            </w:r>
          </w:p>
          <w:p w14:paraId="648E63A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lang w:eastAsia="zh-CN"/>
              </w:rPr>
              <w:t>措施项目中的安全生产措施应单独列项，费用不可竞争，且应符合《企业安全生产费用提取和使用管理办法》（财资〔2022〕136号）及我省有关文件规定。</w:t>
            </w:r>
          </w:p>
          <w:p w14:paraId="7D8A46B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58860A4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☑投标人应按《建设工程工程量清单计价标准》（GB/T 50500-2024）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1EFA524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☑招标人向投标人提供的有关施工现场资料及数据，是招标人现有的能使投标人利用的资料，招标人对投标人据此作出的推论及理解概不负责。</w:t>
            </w:r>
          </w:p>
          <w:p w14:paraId="4E438C3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3893664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66E5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6414FDC8">
            <w:pPr>
              <w:spacing w:before="284" w:line="188"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25</w:t>
            </w:r>
          </w:p>
        </w:tc>
        <w:tc>
          <w:tcPr>
            <w:tcW w:w="1860" w:type="dxa"/>
            <w:vAlign w:val="center"/>
          </w:tcPr>
          <w:p w14:paraId="4C71A8E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投标费用</w:t>
            </w:r>
          </w:p>
        </w:tc>
        <w:tc>
          <w:tcPr>
            <w:tcW w:w="7544" w:type="dxa"/>
            <w:vAlign w:val="center"/>
          </w:tcPr>
          <w:p w14:paraId="225B857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投标人自行承担编制与递交投标文件的一切费用。</w:t>
            </w:r>
          </w:p>
        </w:tc>
      </w:tr>
      <w:tr w14:paraId="6873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3F9BB325">
            <w:pPr>
              <w:spacing w:before="284" w:line="188" w:lineRule="auto"/>
              <w:jc w:val="center"/>
              <w:rPr>
                <w:rFonts w:hint="default" w:asciiTheme="minorEastAsia" w:hAnsiTheme="minorEastAsia" w:eastAsiaTheme="minorEastAsia" w:cstheme="minorEastAsia"/>
                <w:color w:val="auto"/>
                <w:spacing w:val="-3"/>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26</w:t>
            </w:r>
          </w:p>
        </w:tc>
        <w:tc>
          <w:tcPr>
            <w:tcW w:w="1860" w:type="dxa"/>
            <w:vAlign w:val="center"/>
          </w:tcPr>
          <w:p w14:paraId="2F647BD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成本警示价</w:t>
            </w:r>
          </w:p>
        </w:tc>
        <w:tc>
          <w:tcPr>
            <w:tcW w:w="7544" w:type="dxa"/>
            <w:vAlign w:val="center"/>
          </w:tcPr>
          <w:p w14:paraId="2CB7F0A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投标报价要求：</w:t>
            </w:r>
          </w:p>
          <w:p w14:paraId="444583B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⑴投标人的投标报价不得高于招标人设置的最高投标限价，否则作无效投标处理；</w:t>
            </w:r>
          </w:p>
          <w:p w14:paraId="2B757D3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⑵投标人的投标报价如低于招标项目的成本警示价的，需提供成本分析资料等报价依据。（成本警示价＝最高投标限价×85%）</w:t>
            </w:r>
          </w:p>
        </w:tc>
      </w:tr>
      <w:tr w14:paraId="5FFF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trPr>
        <w:tc>
          <w:tcPr>
            <w:tcW w:w="582" w:type="dxa"/>
            <w:vAlign w:val="center"/>
          </w:tcPr>
          <w:p w14:paraId="7A4811E9">
            <w:pPr>
              <w:spacing w:before="69" w:line="188"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3"/>
                <w:sz w:val="21"/>
                <w:szCs w:val="21"/>
                <w:highlight w:val="none"/>
              </w:rPr>
              <w:t>2</w:t>
            </w:r>
            <w:r>
              <w:rPr>
                <w:rFonts w:hint="eastAsia" w:asciiTheme="minorEastAsia" w:hAnsiTheme="minorEastAsia" w:eastAsiaTheme="minorEastAsia" w:cstheme="minorEastAsia"/>
                <w:color w:val="auto"/>
                <w:spacing w:val="-3"/>
                <w:sz w:val="21"/>
                <w:szCs w:val="21"/>
                <w:highlight w:val="none"/>
                <w:lang w:val="en-US" w:eastAsia="zh-CN"/>
              </w:rPr>
              <w:t>7</w:t>
            </w:r>
          </w:p>
        </w:tc>
        <w:tc>
          <w:tcPr>
            <w:tcW w:w="1860" w:type="dxa"/>
            <w:vAlign w:val="center"/>
          </w:tcPr>
          <w:p w14:paraId="0786E8B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投标人资格要求</w:t>
            </w:r>
          </w:p>
        </w:tc>
        <w:tc>
          <w:tcPr>
            <w:tcW w:w="7544" w:type="dxa"/>
            <w:vAlign w:val="center"/>
          </w:tcPr>
          <w:p w14:paraId="1F0406C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1.本次招标不接受联合体投标。</w:t>
            </w:r>
          </w:p>
          <w:p w14:paraId="249C9AE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2．资质要求</w:t>
            </w:r>
          </w:p>
          <w:p w14:paraId="64899B7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 投标人须具备独立法人资格，按国家法律经营。</w:t>
            </w:r>
          </w:p>
          <w:p w14:paraId="710042A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2.2 投标人须持有建设行政主管部门颁发的企业资质证书及安全生产许可证。</w:t>
            </w:r>
          </w:p>
          <w:p w14:paraId="42052BA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2.3 投标人须具备以下资质：</w:t>
            </w:r>
            <w:r>
              <w:rPr>
                <w:rFonts w:hint="eastAsia" w:asciiTheme="minorEastAsia" w:hAnsiTheme="minorEastAsia" w:eastAsiaTheme="minorEastAsia" w:cstheme="minorEastAsia"/>
                <w:snapToGrid w:val="0"/>
                <w:color w:val="auto"/>
                <w:kern w:val="0"/>
                <w:sz w:val="21"/>
                <w:szCs w:val="21"/>
                <w:highlight w:val="none"/>
                <w:u w:val="single"/>
                <w:lang w:eastAsia="zh-CN"/>
              </w:rPr>
              <w:t>具有建设行政主管部门颁发的</w:t>
            </w:r>
            <w:r>
              <w:rPr>
                <w:rFonts w:hint="eastAsia" w:asciiTheme="minorEastAsia" w:hAnsiTheme="minorEastAsia" w:eastAsiaTheme="minorEastAsia" w:cstheme="minorEastAsia"/>
                <w:snapToGrid w:val="0"/>
                <w:color w:val="auto"/>
                <w:kern w:val="0"/>
                <w:sz w:val="21"/>
                <w:szCs w:val="21"/>
                <w:highlight w:val="none"/>
                <w:u w:val="single"/>
                <w:lang w:val="en-US" w:eastAsia="zh-CN"/>
              </w:rPr>
              <w:t>市政公用</w:t>
            </w:r>
            <w:r>
              <w:rPr>
                <w:rFonts w:hint="eastAsia" w:asciiTheme="minorEastAsia" w:hAnsiTheme="minorEastAsia" w:eastAsiaTheme="minorEastAsia" w:cstheme="minorEastAsia"/>
                <w:snapToGrid w:val="0"/>
                <w:color w:val="auto"/>
                <w:kern w:val="0"/>
                <w:sz w:val="21"/>
                <w:szCs w:val="21"/>
                <w:highlight w:val="none"/>
                <w:u w:val="single"/>
                <w:lang w:eastAsia="zh-CN"/>
              </w:rPr>
              <w:t>工程施工总承包叁级(含叁级)以上资质</w:t>
            </w:r>
            <w:r>
              <w:rPr>
                <w:rFonts w:hint="eastAsia" w:asciiTheme="minorEastAsia" w:hAnsiTheme="minorEastAsia" w:eastAsiaTheme="minorEastAsia" w:cstheme="minorEastAsia"/>
                <w:snapToGrid w:val="0"/>
                <w:color w:val="auto"/>
                <w:kern w:val="0"/>
                <w:sz w:val="21"/>
                <w:szCs w:val="21"/>
                <w:highlight w:val="none"/>
                <w:lang w:eastAsia="zh-CN"/>
              </w:rPr>
              <w:t>。</w:t>
            </w:r>
          </w:p>
          <w:p w14:paraId="60E86E35">
            <w:pPr>
              <w:pageBreakBefore w:val="0"/>
              <w:widowControl w:val="0"/>
              <w:kinsoku/>
              <w:wordWrap w:val="0"/>
              <w:overflowPunct/>
              <w:topLinePunct w:val="0"/>
              <w:autoSpaceDE/>
              <w:autoSpaceDN/>
              <w:bidi w:val="0"/>
              <w:adjustRightInd w:val="0"/>
              <w:snapToGrid w:val="0"/>
              <w:spacing w:line="400" w:lineRule="exact"/>
              <w:ind w:left="0" w:leftChars="0" w:right="5" w:righ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2.4 </w:t>
            </w:r>
            <w:r>
              <w:rPr>
                <w:rFonts w:hint="eastAsia" w:asciiTheme="minorEastAsia" w:hAnsiTheme="minorEastAsia" w:eastAsiaTheme="minorEastAsia" w:cstheme="minorEastAsia"/>
                <w:snapToGrid w:val="0"/>
                <w:color w:val="auto"/>
                <w:kern w:val="0"/>
                <w:sz w:val="21"/>
                <w:szCs w:val="21"/>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0C01C18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3．相关人员要求</w:t>
            </w:r>
          </w:p>
          <w:p w14:paraId="6FC8303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3.1  </w:t>
            </w:r>
            <w:r>
              <w:rPr>
                <w:rFonts w:hint="eastAsia" w:asciiTheme="minorEastAsia" w:hAnsiTheme="minorEastAsia" w:eastAsiaTheme="minorEastAsia" w:cstheme="minorEastAsia"/>
                <w:snapToGrid w:val="0"/>
                <w:color w:val="auto"/>
                <w:kern w:val="0"/>
                <w:sz w:val="21"/>
                <w:szCs w:val="21"/>
                <w:highlight w:val="none"/>
                <w:lang w:val="en-US" w:eastAsia="zh-CN"/>
              </w:rPr>
              <w:t>拟派项目经理为</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市政工程 </w:t>
            </w:r>
            <w:r>
              <w:rPr>
                <w:rFonts w:hint="eastAsia" w:asciiTheme="minorEastAsia" w:hAnsiTheme="minorEastAsia" w:eastAsiaTheme="minorEastAsia" w:cstheme="minorEastAsia"/>
                <w:snapToGrid w:val="0"/>
                <w:color w:val="auto"/>
                <w:kern w:val="0"/>
                <w:sz w:val="21"/>
                <w:szCs w:val="21"/>
                <w:highlight w:val="none"/>
                <w:lang w:val="en-US" w:eastAsia="zh-CN"/>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w:t>
            </w:r>
            <w:r>
              <w:rPr>
                <w:rFonts w:hint="eastAsia" w:asciiTheme="minorEastAsia" w:hAnsiTheme="minorEastAsia" w:eastAsiaTheme="minorEastAsia" w:cstheme="minorEastAsia"/>
                <w:snapToGrid w:val="0"/>
                <w:color w:val="auto"/>
                <w:kern w:val="0"/>
                <w:sz w:val="21"/>
                <w:szCs w:val="21"/>
                <w:highlight w:val="none"/>
                <w:lang w:eastAsia="zh-CN"/>
              </w:rPr>
              <w:t>。</w:t>
            </w:r>
          </w:p>
          <w:p w14:paraId="60D9B5C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3.2 拟派项目技术负责人须具备</w:t>
            </w:r>
            <w:r>
              <w:rPr>
                <w:rFonts w:hint="eastAsia" w:asciiTheme="minorEastAsia" w:hAnsiTheme="minorEastAsia" w:eastAsiaTheme="minorEastAsia" w:cstheme="minorEastAsia"/>
                <w:snapToGrid w:val="0"/>
                <w:color w:val="auto"/>
                <w:kern w:val="0"/>
                <w:sz w:val="21"/>
                <w:szCs w:val="21"/>
                <w:highlight w:val="none"/>
                <w:u w:val="single"/>
                <w:lang w:val="en-US" w:eastAsia="zh-CN"/>
              </w:rPr>
              <w:t>市政</w:t>
            </w:r>
            <w:r>
              <w:rPr>
                <w:rFonts w:hint="eastAsia" w:asciiTheme="minorEastAsia" w:hAnsiTheme="minorEastAsia" w:eastAsiaTheme="minorEastAsia" w:cstheme="minorEastAsia"/>
                <w:snapToGrid w:val="0"/>
                <w:color w:val="auto"/>
                <w:kern w:val="0"/>
                <w:sz w:val="21"/>
                <w:szCs w:val="21"/>
                <w:highlight w:val="none"/>
                <w:u w:val="single"/>
                <w:lang w:eastAsia="zh-CN"/>
              </w:rPr>
              <w:t>工程</w:t>
            </w:r>
            <w:r>
              <w:rPr>
                <w:rFonts w:hint="eastAsia" w:asciiTheme="minorEastAsia" w:hAnsiTheme="minorEastAsia" w:eastAsiaTheme="minorEastAsia" w:cstheme="minorEastAsia"/>
                <w:snapToGrid w:val="0"/>
                <w:color w:val="auto"/>
                <w:kern w:val="0"/>
                <w:sz w:val="21"/>
                <w:szCs w:val="21"/>
                <w:highlight w:val="none"/>
                <w:u w:val="none"/>
                <w:lang w:val="en-US" w:eastAsia="zh-CN"/>
              </w:rPr>
              <w:t>类</w:t>
            </w:r>
            <w:r>
              <w:rPr>
                <w:rFonts w:hint="eastAsia" w:asciiTheme="minorEastAsia" w:hAnsiTheme="minorEastAsia" w:eastAsiaTheme="minorEastAsia" w:cstheme="minorEastAsia"/>
                <w:snapToGrid w:val="0"/>
                <w:color w:val="auto"/>
                <w:kern w:val="0"/>
                <w:sz w:val="21"/>
                <w:szCs w:val="21"/>
                <w:highlight w:val="none"/>
                <w:lang w:eastAsia="zh-CN"/>
              </w:rPr>
              <w:t>相关专业</w:t>
            </w:r>
            <w:r>
              <w:rPr>
                <w:rFonts w:hint="eastAsia" w:asciiTheme="minorEastAsia" w:hAnsiTheme="minorEastAsia" w:eastAsiaTheme="minorEastAsia" w:cstheme="minorEastAsia"/>
                <w:snapToGrid w:val="0"/>
                <w:color w:val="auto"/>
                <w:kern w:val="0"/>
                <w:sz w:val="21"/>
                <w:szCs w:val="21"/>
                <w:highlight w:val="none"/>
                <w:lang w:val="en-US" w:eastAsia="zh-CN"/>
              </w:rPr>
              <w:t>中</w:t>
            </w:r>
            <w:r>
              <w:rPr>
                <w:rFonts w:hint="eastAsia" w:asciiTheme="minorEastAsia" w:hAnsiTheme="minorEastAsia" w:eastAsiaTheme="minorEastAsia" w:cstheme="minorEastAsia"/>
                <w:snapToGrid w:val="0"/>
                <w:color w:val="auto"/>
                <w:kern w:val="0"/>
                <w:sz w:val="21"/>
                <w:szCs w:val="21"/>
                <w:highlight w:val="none"/>
                <w:lang w:eastAsia="zh-CN"/>
              </w:rPr>
              <w:t>级以上（含</w:t>
            </w:r>
            <w:r>
              <w:rPr>
                <w:rFonts w:hint="eastAsia" w:asciiTheme="minorEastAsia" w:hAnsiTheme="minorEastAsia" w:eastAsiaTheme="minorEastAsia" w:cstheme="minorEastAsia"/>
                <w:snapToGrid w:val="0"/>
                <w:color w:val="auto"/>
                <w:kern w:val="0"/>
                <w:sz w:val="21"/>
                <w:szCs w:val="21"/>
                <w:highlight w:val="none"/>
                <w:lang w:val="en-US" w:eastAsia="zh-CN"/>
              </w:rPr>
              <w:t>中</w:t>
            </w:r>
            <w:r>
              <w:rPr>
                <w:rFonts w:hint="eastAsia" w:asciiTheme="minorEastAsia" w:hAnsiTheme="minorEastAsia" w:eastAsiaTheme="minorEastAsia" w:cstheme="minorEastAsia"/>
                <w:snapToGrid w:val="0"/>
                <w:color w:val="auto"/>
                <w:kern w:val="0"/>
                <w:sz w:val="21"/>
                <w:szCs w:val="21"/>
                <w:highlight w:val="none"/>
                <w:lang w:eastAsia="zh-CN"/>
              </w:rPr>
              <w:t>级）技术职称。</w:t>
            </w:r>
          </w:p>
          <w:p w14:paraId="2030FE5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3.3 投标人拟派专职安全生产管理人员须具备有效安全生产考核合格证明（C证，安全生产考核合格证书或“广东省建筑施工企业管理人员安全生产考核系统”考核合格信息打印页），且不少于 </w:t>
            </w:r>
            <w:r>
              <w:rPr>
                <w:rFonts w:hint="eastAsia" w:asciiTheme="minorEastAsia" w:hAnsiTheme="minorEastAsia" w:eastAsiaTheme="minorEastAsia" w:cstheme="minorEastAsia"/>
                <w:snapToGrid w:val="0"/>
                <w:color w:val="auto"/>
                <w:kern w:val="0"/>
                <w:sz w:val="21"/>
                <w:szCs w:val="21"/>
                <w:highlight w:val="none"/>
                <w:lang w:val="en-US" w:eastAsia="zh-CN"/>
              </w:rPr>
              <w:t>1</w:t>
            </w:r>
            <w:r>
              <w:rPr>
                <w:rFonts w:hint="eastAsia" w:asciiTheme="minorEastAsia" w:hAnsiTheme="minorEastAsia" w:eastAsiaTheme="minorEastAsia" w:cstheme="minorEastAsia"/>
                <w:snapToGrid w:val="0"/>
                <w:color w:val="auto"/>
                <w:kern w:val="0"/>
                <w:sz w:val="21"/>
                <w:szCs w:val="21"/>
                <w:highlight w:val="none"/>
                <w:lang w:eastAsia="zh-CN"/>
              </w:rPr>
              <w:t xml:space="preserve"> 人。</w:t>
            </w:r>
          </w:p>
          <w:p w14:paraId="21CFF58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3.4 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4626643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 ．禁止投标条款：</w:t>
            </w:r>
          </w:p>
          <w:p w14:paraId="74FC150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4.1  投标人不得存在下列情形之一：</w:t>
            </w:r>
          </w:p>
          <w:p w14:paraId="6B9ABBE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（1）为招标人不具有独立法人资格的附属机构（单位）；</w:t>
            </w:r>
          </w:p>
          <w:p w14:paraId="633C9F8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（2）为本招标项目前期准备提供设计或咨询服务的；</w:t>
            </w:r>
          </w:p>
          <w:p w14:paraId="7070AC1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（3）与本招标项目的其他投标人为同一个单位负责人；</w:t>
            </w:r>
          </w:p>
          <w:p w14:paraId="49F4C83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（4）与本招标项目的其他投标人存在控股、管理关系；</w:t>
            </w:r>
          </w:p>
          <w:p w14:paraId="29D809C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（5）为本招标项目的监理人；</w:t>
            </w:r>
          </w:p>
          <w:p w14:paraId="040C32B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（6）为本招标项目的代建人；</w:t>
            </w:r>
          </w:p>
          <w:p w14:paraId="249688B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（7）为本招标项目的招标代理机构；</w:t>
            </w:r>
          </w:p>
          <w:p w14:paraId="0D904BC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（8）与本招标项目的监理人或代建人或招标代理机构同为一个法定代表人；</w:t>
            </w:r>
          </w:p>
          <w:p w14:paraId="2A03126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（9）与本招标项目的监理人或代建人或招标代理机构存在控股或参股关系；</w:t>
            </w:r>
          </w:p>
          <w:p w14:paraId="4426A53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（10）与本招标项目的监理人或代建人或招标代理机构存在相互任职或工作关系；</w:t>
            </w:r>
          </w:p>
          <w:p w14:paraId="033E4C8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（11）被依法暂停或者取消投标资格；</w:t>
            </w:r>
          </w:p>
          <w:p w14:paraId="56D9D60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（12）被责令停产停业、暂扣或者吊销许可证、暂扣或者吊销执照；</w:t>
            </w:r>
          </w:p>
          <w:p w14:paraId="1992EDF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（13）进入清算程序，或被宣告破产，或其他丧失履约能力的情形；</w:t>
            </w:r>
          </w:p>
          <w:p w14:paraId="56C6214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（14）在最近三年内发生重大工程质量或安全问题（以相关行业 主管部门的行政处罚决定或司法机关出具的有关法律文书为准）；</w:t>
            </w:r>
          </w:p>
          <w:p w14:paraId="5C943DD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（15）被“信用中国 ”网站（https://www.creditchina.gov.cn）发布的《法人和非法人组织公共信用信息报告》列为严重失信主体名单的。</w:t>
            </w:r>
          </w:p>
          <w:p w14:paraId="51742BA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4.2  招标人拒绝以下名单中的单位参加本次投标：</w:t>
            </w:r>
          </w:p>
          <w:tbl>
            <w:tblPr>
              <w:tblStyle w:val="14"/>
              <w:tblW w:w="7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3429"/>
              <w:gridCol w:w="2964"/>
            </w:tblGrid>
            <w:tr w14:paraId="118E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674" w:type="dxa"/>
                  <w:vAlign w:val="center"/>
                </w:tcPr>
                <w:p w14:paraId="6CBCE8F7">
                  <w:pPr>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序号</w:t>
                  </w:r>
                </w:p>
              </w:tc>
              <w:tc>
                <w:tcPr>
                  <w:tcW w:w="3429" w:type="dxa"/>
                  <w:vAlign w:val="center"/>
                </w:tcPr>
                <w:p w14:paraId="68D924E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单位名称</w:t>
                  </w:r>
                </w:p>
              </w:tc>
              <w:tc>
                <w:tcPr>
                  <w:tcW w:w="2964" w:type="dxa"/>
                  <w:vAlign w:val="center"/>
                </w:tcPr>
                <w:p w14:paraId="1ED3D5D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拒绝原因</w:t>
                  </w:r>
                </w:p>
              </w:tc>
            </w:tr>
            <w:tr w14:paraId="0248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74" w:type="dxa"/>
                  <w:vAlign w:val="center"/>
                </w:tcPr>
                <w:p w14:paraId="222835B7">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p>
              </w:tc>
              <w:tc>
                <w:tcPr>
                  <w:tcW w:w="3429" w:type="dxa"/>
                  <w:vAlign w:val="center"/>
                </w:tcPr>
                <w:p w14:paraId="3C439119">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仁化县丹霞旅游经济开发试验区管理委员会</w:t>
                  </w:r>
                </w:p>
              </w:tc>
              <w:tc>
                <w:tcPr>
                  <w:tcW w:w="2964" w:type="dxa"/>
                  <w:vAlign w:val="center"/>
                </w:tcPr>
                <w:p w14:paraId="49CCDC7E">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为本招标项目的招标人</w:t>
                  </w:r>
                </w:p>
              </w:tc>
            </w:tr>
            <w:tr w14:paraId="538A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2BC09F4D">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2</w:t>
                  </w:r>
                </w:p>
              </w:tc>
              <w:tc>
                <w:tcPr>
                  <w:tcW w:w="3429" w:type="dxa"/>
                  <w:vAlign w:val="center"/>
                </w:tcPr>
                <w:p w14:paraId="2B44927A">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广东爱科工程咨询管理有限公司</w:t>
                  </w:r>
                </w:p>
              </w:tc>
              <w:tc>
                <w:tcPr>
                  <w:tcW w:w="2964" w:type="dxa"/>
                  <w:vAlign w:val="center"/>
                </w:tcPr>
                <w:p w14:paraId="2A87CD39">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为本招标项目的招标代理机构</w:t>
                  </w:r>
                </w:p>
              </w:tc>
            </w:tr>
            <w:tr w14:paraId="79F3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053DDA25">
                  <w:pPr>
                    <w:pStyle w:val="22"/>
                    <w:wordWrap w:val="0"/>
                    <w:adjustRightInd w:val="0"/>
                    <w:snapToGrid w:val="0"/>
                    <w:spacing w:line="34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3</w:t>
                  </w:r>
                </w:p>
              </w:tc>
              <w:tc>
                <w:tcPr>
                  <w:tcW w:w="3429" w:type="dxa"/>
                  <w:vAlign w:val="center"/>
                </w:tcPr>
                <w:p w14:paraId="39E4800A">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广州博厦建筑设计研究院有限公司</w:t>
                  </w:r>
                </w:p>
              </w:tc>
              <w:tc>
                <w:tcPr>
                  <w:tcW w:w="2964" w:type="dxa"/>
                  <w:vAlign w:val="center"/>
                </w:tcPr>
                <w:p w14:paraId="74FCA806">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cs="宋体"/>
                      <w:snapToGrid w:val="0"/>
                      <w:color w:val="auto"/>
                      <w:kern w:val="0"/>
                      <w:sz w:val="21"/>
                      <w:szCs w:val="21"/>
                      <w:highlight w:val="none"/>
                      <w:lang w:val="en-US" w:eastAsia="zh-CN"/>
                    </w:rPr>
                    <w:t>设计单位</w:t>
                  </w:r>
                </w:p>
              </w:tc>
            </w:tr>
            <w:tr w14:paraId="32A2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7CFF47E7">
                  <w:pPr>
                    <w:pStyle w:val="22"/>
                    <w:wordWrap w:val="0"/>
                    <w:adjustRightInd w:val="0"/>
                    <w:snapToGrid w:val="0"/>
                    <w:spacing w:line="34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3429" w:type="dxa"/>
                  <w:vAlign w:val="center"/>
                </w:tcPr>
                <w:p w14:paraId="5FA8F57D">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中核大地生态科技有限公司</w:t>
                  </w:r>
                </w:p>
              </w:tc>
              <w:tc>
                <w:tcPr>
                  <w:tcW w:w="2964" w:type="dxa"/>
                  <w:vAlign w:val="center"/>
                </w:tcPr>
                <w:p w14:paraId="161974BB">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eastAsia="宋体" w:cs="宋体"/>
                      <w:snapToGrid w:val="0"/>
                      <w:color w:val="auto"/>
                      <w:kern w:val="0"/>
                      <w:sz w:val="21"/>
                      <w:szCs w:val="21"/>
                      <w:highlight w:val="none"/>
                      <w:lang w:val="en-US" w:eastAsia="zh-CN"/>
                    </w:rPr>
                    <w:t>勘察单位</w:t>
                  </w:r>
                </w:p>
              </w:tc>
            </w:tr>
            <w:tr w14:paraId="6A83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74" w:type="dxa"/>
                  <w:vAlign w:val="center"/>
                </w:tcPr>
                <w:p w14:paraId="466A3BD2">
                  <w:pPr>
                    <w:pStyle w:val="22"/>
                    <w:wordWrap w:val="0"/>
                    <w:adjustRightInd w:val="0"/>
                    <w:snapToGrid w:val="0"/>
                    <w:spacing w:line="34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3429" w:type="dxa"/>
                  <w:vAlign w:val="center"/>
                </w:tcPr>
                <w:p w14:paraId="2968592A">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首盛国际工程咨询集团有限公司</w:t>
                  </w:r>
                </w:p>
              </w:tc>
              <w:tc>
                <w:tcPr>
                  <w:tcW w:w="2964" w:type="dxa"/>
                  <w:vAlign w:val="center"/>
                </w:tcPr>
                <w:p w14:paraId="6A434B70">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为本招标项目的监理单位</w:t>
                  </w:r>
                </w:p>
              </w:tc>
            </w:tr>
            <w:tr w14:paraId="571C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4B24B6F7">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6</w:t>
                  </w:r>
                </w:p>
              </w:tc>
              <w:tc>
                <w:tcPr>
                  <w:tcW w:w="3429" w:type="dxa"/>
                  <w:vAlign w:val="center"/>
                </w:tcPr>
                <w:p w14:paraId="27BF11F0">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广东加达工程咨询有限公司</w:t>
                  </w:r>
                </w:p>
              </w:tc>
              <w:tc>
                <w:tcPr>
                  <w:tcW w:w="2964" w:type="dxa"/>
                  <w:vAlign w:val="center"/>
                </w:tcPr>
                <w:p w14:paraId="4A836E5E">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eastAsia="zh-CN"/>
                    </w:rPr>
                    <w:t>为本招标项目的全过程造价咨询单位</w:t>
                  </w:r>
                </w:p>
              </w:tc>
            </w:tr>
            <w:tr w14:paraId="4C6A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674" w:type="dxa"/>
                  <w:vAlign w:val="center"/>
                </w:tcPr>
                <w:p w14:paraId="146DB4DA">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7</w:t>
                  </w:r>
                </w:p>
              </w:tc>
              <w:tc>
                <w:tcPr>
                  <w:tcW w:w="3429" w:type="dxa"/>
                  <w:vAlign w:val="center"/>
                </w:tcPr>
                <w:p w14:paraId="46B59ACC">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仁化县住房和城乡建设管理局</w:t>
                  </w:r>
                </w:p>
              </w:tc>
              <w:tc>
                <w:tcPr>
                  <w:tcW w:w="2964" w:type="dxa"/>
                  <w:vAlign w:val="center"/>
                </w:tcPr>
                <w:p w14:paraId="02023FA8">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为本招标项目的监督单位</w:t>
                  </w:r>
                </w:p>
              </w:tc>
            </w:tr>
          </w:tbl>
          <w:p w14:paraId="4842427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 ．其他要求</w:t>
            </w:r>
          </w:p>
          <w:p w14:paraId="1C70EAF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省外企业及其拟派往本项目管理机构的所有人员均须按照《广东省住房和城乡建设厅关于取消省外建筑企业和人员进粤信息备案有关工作的通知》（粤建市﹝2015 ﹞52 号）规定在“进粤企业和人员诚信信息登记平台”录入相关信息并通过数据规范检查。</w:t>
            </w:r>
          </w:p>
        </w:tc>
      </w:tr>
      <w:tr w14:paraId="4DA7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582" w:type="dxa"/>
            <w:vAlign w:val="center"/>
          </w:tcPr>
          <w:p w14:paraId="6C795553">
            <w:pPr>
              <w:spacing w:before="19"/>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3"/>
                <w:sz w:val="21"/>
                <w:szCs w:val="21"/>
                <w:highlight w:val="none"/>
              </w:rPr>
              <w:t>2</w:t>
            </w:r>
            <w:r>
              <w:rPr>
                <w:rFonts w:hint="eastAsia" w:asciiTheme="minorEastAsia" w:hAnsiTheme="minorEastAsia" w:eastAsiaTheme="minorEastAsia" w:cstheme="minorEastAsia"/>
                <w:color w:val="auto"/>
                <w:spacing w:val="-3"/>
                <w:sz w:val="21"/>
                <w:szCs w:val="21"/>
                <w:highlight w:val="none"/>
                <w:lang w:val="en-US" w:eastAsia="zh-CN"/>
              </w:rPr>
              <w:t>8</w:t>
            </w:r>
          </w:p>
        </w:tc>
        <w:tc>
          <w:tcPr>
            <w:tcW w:w="1860" w:type="dxa"/>
            <w:vAlign w:val="center"/>
          </w:tcPr>
          <w:p w14:paraId="315C6AC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投标有效期</w:t>
            </w:r>
          </w:p>
        </w:tc>
        <w:tc>
          <w:tcPr>
            <w:tcW w:w="7544" w:type="dxa"/>
            <w:vAlign w:val="center"/>
          </w:tcPr>
          <w:p w14:paraId="10AD749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本次招标的投标有效期为</w:t>
            </w:r>
            <w:r>
              <w:rPr>
                <w:rFonts w:hint="eastAsia" w:asciiTheme="minorEastAsia" w:hAnsiTheme="minorEastAsia" w:eastAsiaTheme="minorEastAsia" w:cstheme="minorEastAsia"/>
                <w:snapToGrid w:val="0"/>
                <w:color w:val="auto"/>
                <w:kern w:val="0"/>
                <w:sz w:val="21"/>
                <w:szCs w:val="21"/>
                <w:highlight w:val="none"/>
                <w:u w:val="single"/>
                <w:lang w:eastAsia="zh-CN"/>
              </w:rPr>
              <w:t>90</w:t>
            </w:r>
            <w:r>
              <w:rPr>
                <w:rFonts w:hint="eastAsia" w:asciiTheme="minorEastAsia" w:hAnsiTheme="minorEastAsia" w:eastAsiaTheme="minorEastAsia" w:cstheme="minorEastAsia"/>
                <w:snapToGrid w:val="0"/>
                <w:color w:val="auto"/>
                <w:kern w:val="0"/>
                <w:sz w:val="21"/>
                <w:szCs w:val="21"/>
                <w:highlight w:val="none"/>
                <w:lang w:eastAsia="zh-CN"/>
              </w:rPr>
              <w:t xml:space="preserve"> 个日历天。</w:t>
            </w:r>
          </w:p>
        </w:tc>
      </w:tr>
      <w:tr w14:paraId="0581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582" w:type="dxa"/>
            <w:vAlign w:val="center"/>
          </w:tcPr>
          <w:p w14:paraId="7E0149C9">
            <w:pPr>
              <w:spacing w:before="69" w:line="188" w:lineRule="auto"/>
              <w:ind w:left="205"/>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29</w:t>
            </w:r>
          </w:p>
        </w:tc>
        <w:tc>
          <w:tcPr>
            <w:tcW w:w="1860" w:type="dxa"/>
            <w:vAlign w:val="center"/>
          </w:tcPr>
          <w:p w14:paraId="21626DA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投标文件组成</w:t>
            </w:r>
          </w:p>
        </w:tc>
        <w:tc>
          <w:tcPr>
            <w:tcW w:w="7544" w:type="dxa"/>
            <w:vAlign w:val="center"/>
          </w:tcPr>
          <w:p w14:paraId="0891F66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投标文件包括商务标书、经济标书、施工组织设计</w:t>
            </w:r>
            <w:r>
              <w:rPr>
                <w:rFonts w:hint="eastAsia" w:asciiTheme="minorEastAsia" w:hAnsiTheme="minorEastAsia" w:eastAsiaTheme="minorEastAsia" w:cstheme="minorEastAsia"/>
                <w:snapToGrid w:val="0"/>
                <w:color w:val="auto"/>
                <w:kern w:val="0"/>
                <w:sz w:val="21"/>
                <w:szCs w:val="21"/>
                <w:highlight w:val="none"/>
                <w:lang w:val="en-US" w:eastAsia="zh-CN"/>
              </w:rPr>
              <w:t>三</w:t>
            </w:r>
            <w:r>
              <w:rPr>
                <w:rFonts w:hint="eastAsia" w:asciiTheme="minorEastAsia" w:hAnsiTheme="minorEastAsia" w:eastAsiaTheme="minorEastAsia" w:cstheme="minorEastAsia"/>
                <w:snapToGrid w:val="0"/>
                <w:color w:val="auto"/>
                <w:kern w:val="0"/>
                <w:sz w:val="21"/>
                <w:szCs w:val="21"/>
                <w:highlight w:val="none"/>
                <w:lang w:eastAsia="zh-CN"/>
              </w:rPr>
              <w:t>个分册。</w:t>
            </w:r>
          </w:p>
        </w:tc>
      </w:tr>
      <w:tr w14:paraId="69F1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080D10B9">
            <w:pPr>
              <w:spacing w:before="69" w:line="188" w:lineRule="auto"/>
              <w:ind w:left="205"/>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3"/>
                <w:sz w:val="21"/>
                <w:szCs w:val="21"/>
                <w:highlight w:val="none"/>
                <w:lang w:val="en-US" w:eastAsia="zh-CN"/>
              </w:rPr>
              <w:t>30</w:t>
            </w:r>
          </w:p>
        </w:tc>
        <w:tc>
          <w:tcPr>
            <w:tcW w:w="1860" w:type="dxa"/>
            <w:vAlign w:val="center"/>
          </w:tcPr>
          <w:p w14:paraId="60E2025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施工组织设计评审方式</w:t>
            </w:r>
          </w:p>
        </w:tc>
        <w:tc>
          <w:tcPr>
            <w:tcW w:w="7544" w:type="dxa"/>
            <w:vAlign w:val="center"/>
          </w:tcPr>
          <w:p w14:paraId="044BE8C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本次招标施工组织设计 不采用 “暗标 ”方式进行评审。</w:t>
            </w:r>
          </w:p>
        </w:tc>
      </w:tr>
      <w:tr w14:paraId="1418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2A7F5E06">
            <w:pPr>
              <w:spacing w:before="69" w:line="188" w:lineRule="auto"/>
              <w:ind w:left="209"/>
              <w:jc w:val="both"/>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3</w:t>
            </w:r>
            <w:r>
              <w:rPr>
                <w:rFonts w:hint="eastAsia" w:asciiTheme="minorEastAsia" w:hAnsiTheme="minorEastAsia" w:eastAsiaTheme="minorEastAsia" w:cstheme="minorEastAsia"/>
                <w:color w:val="auto"/>
                <w:spacing w:val="-5"/>
                <w:sz w:val="21"/>
                <w:szCs w:val="21"/>
                <w:highlight w:val="none"/>
                <w:lang w:val="en-US" w:eastAsia="zh-CN"/>
              </w:rPr>
              <w:t>1</w:t>
            </w:r>
          </w:p>
        </w:tc>
        <w:tc>
          <w:tcPr>
            <w:tcW w:w="1860" w:type="dxa"/>
            <w:vAlign w:val="center"/>
          </w:tcPr>
          <w:p w14:paraId="0106153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评标委员会</w:t>
            </w:r>
          </w:p>
        </w:tc>
        <w:tc>
          <w:tcPr>
            <w:tcW w:w="7544" w:type="dxa"/>
            <w:vAlign w:val="top"/>
          </w:tcPr>
          <w:p w14:paraId="1DF9186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评标委员会由 5 人组成，其中招标人代表 0 人，专家 5 人。专家从广东省综合评标评审专家库（韶关区域）中随机抽取，其中技术类专家 3 人，经济类专家 2 人。</w:t>
            </w:r>
          </w:p>
        </w:tc>
      </w:tr>
      <w:tr w14:paraId="1DA8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58D68E09">
            <w:pPr>
              <w:spacing w:before="258" w:line="188" w:lineRule="auto"/>
              <w:ind w:left="209"/>
              <w:jc w:val="both"/>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32</w:t>
            </w:r>
          </w:p>
        </w:tc>
        <w:tc>
          <w:tcPr>
            <w:tcW w:w="1860" w:type="dxa"/>
            <w:vAlign w:val="center"/>
          </w:tcPr>
          <w:p w14:paraId="1729A2D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评标方法</w:t>
            </w:r>
          </w:p>
        </w:tc>
        <w:tc>
          <w:tcPr>
            <w:tcW w:w="7544" w:type="dxa"/>
            <w:vAlign w:val="center"/>
          </w:tcPr>
          <w:p w14:paraId="14FB030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A＋B 值评标法  □经评审的最低投标价法   ☑综合评估法</w:t>
            </w:r>
          </w:p>
        </w:tc>
      </w:tr>
      <w:tr w14:paraId="3A74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06AF2062">
            <w:pPr>
              <w:spacing w:before="258" w:line="188" w:lineRule="auto"/>
              <w:ind w:left="209"/>
              <w:jc w:val="both"/>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33</w:t>
            </w:r>
          </w:p>
        </w:tc>
        <w:tc>
          <w:tcPr>
            <w:tcW w:w="1860" w:type="dxa"/>
            <w:vAlign w:val="center"/>
          </w:tcPr>
          <w:p w14:paraId="065EB7B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投标文件编制</w:t>
            </w:r>
            <w:r>
              <w:rPr>
                <w:rFonts w:hint="eastAsia" w:ascii="宋体" w:hAnsi="宋体" w:eastAsia="宋体" w:cs="宋体"/>
                <w:snapToGrid w:val="0"/>
                <w:color w:val="auto"/>
                <w:kern w:val="0"/>
                <w:sz w:val="21"/>
                <w:szCs w:val="21"/>
                <w:highlight w:val="none"/>
                <w:lang w:eastAsia="zh-CN"/>
              </w:rPr>
              <w:t>及</w:t>
            </w:r>
            <w:r>
              <w:rPr>
                <w:rFonts w:hint="eastAsia" w:ascii="宋体" w:hAnsi="宋体" w:eastAsia="宋体" w:cs="宋体"/>
                <w:snapToGrid w:val="0"/>
                <w:color w:val="auto"/>
                <w:kern w:val="0"/>
                <w:sz w:val="21"/>
                <w:szCs w:val="21"/>
                <w:highlight w:val="none"/>
              </w:rPr>
              <w:t>份数要求</w:t>
            </w:r>
          </w:p>
        </w:tc>
        <w:tc>
          <w:tcPr>
            <w:tcW w:w="7544" w:type="dxa"/>
            <w:vAlign w:val="center"/>
          </w:tcPr>
          <w:p w14:paraId="66F22651">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投标人须上传（递交）投标文件：</w:t>
            </w:r>
          </w:p>
          <w:p w14:paraId="563C340A">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1、电子投标文件一套：</w:t>
            </w:r>
          </w:p>
          <w:p w14:paraId="25FB02E9">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（1）商务标书1份；</w:t>
            </w:r>
          </w:p>
          <w:p w14:paraId="440EA8CF">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（2）经济标书1份；</w:t>
            </w:r>
          </w:p>
          <w:p w14:paraId="4387DA43">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 xml:space="preserve">（3）施工组织设计1份； </w:t>
            </w:r>
          </w:p>
          <w:p w14:paraId="168A6273">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2、对应评审要求的分项响应文件（如有）。</w:t>
            </w:r>
          </w:p>
          <w:p w14:paraId="7FA3B351">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2F569048">
            <w:pPr>
              <w:keepNext w:val="0"/>
              <w:keepLines w:val="0"/>
              <w:pageBreakBefore w:val="0"/>
              <w:widowControl w:val="0"/>
              <w:suppressLineNumbers w:val="0"/>
              <w:kinsoku/>
              <w:wordWrap/>
              <w:overflowPunct/>
              <w:topLinePunct w:val="0"/>
              <w:autoSpaceDE/>
              <w:autoSpaceDN/>
              <w:bidi w:val="0"/>
              <w:adjustRightInd/>
              <w:snapToGrid/>
              <w:spacing w:line="360" w:lineRule="auto"/>
              <w:ind w:left="105" w:leftChars="50" w:right="105" w:rightChars="50" w:firstLine="420" w:firstLineChars="200"/>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val="en-US" w:eastAsia="zh-CN"/>
              </w:rPr>
              <w:t>注：投标人被确定为中标人后，应从交易系统打印二套纸质投标文件（含签名盖章页），内容同电子投标文件，在签订本招标项目承包合同前分别提交给招标人和招标管理部门。（除招标文件约定外，纸质标书须与电子标书一致，不一致的以电子标书为准）。</w:t>
            </w:r>
          </w:p>
        </w:tc>
      </w:tr>
      <w:tr w14:paraId="0A10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3" w:hRule="atLeast"/>
        </w:trPr>
        <w:tc>
          <w:tcPr>
            <w:tcW w:w="582" w:type="dxa"/>
            <w:vAlign w:val="center"/>
          </w:tcPr>
          <w:p w14:paraId="5A8F9F23">
            <w:pPr>
              <w:spacing w:before="57" w:line="195"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34</w:t>
            </w:r>
          </w:p>
        </w:tc>
        <w:tc>
          <w:tcPr>
            <w:tcW w:w="1860" w:type="dxa"/>
            <w:vAlign w:val="center"/>
          </w:tcPr>
          <w:p w14:paraId="5E4B993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招标文件要求提交的用于评审的证书、证件、证明原件</w:t>
            </w:r>
          </w:p>
        </w:tc>
        <w:tc>
          <w:tcPr>
            <w:tcW w:w="7544" w:type="dxa"/>
            <w:vAlign w:val="top"/>
          </w:tcPr>
          <w:p w14:paraId="11169AF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6688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7" w:hRule="atLeast"/>
        </w:trPr>
        <w:tc>
          <w:tcPr>
            <w:tcW w:w="582" w:type="dxa"/>
            <w:vAlign w:val="center"/>
          </w:tcPr>
          <w:p w14:paraId="6E15237F">
            <w:pPr>
              <w:spacing w:before="69" w:line="188" w:lineRule="auto"/>
              <w:ind w:left="209"/>
              <w:rPr>
                <w:rFonts w:hint="eastAsia" w:asciiTheme="minorEastAsia" w:hAnsiTheme="minorEastAsia" w:eastAsiaTheme="minorEastAsia" w:cstheme="minorEastAsia"/>
                <w:color w:val="auto"/>
                <w:spacing w:val="-5"/>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lang w:eastAsia="zh-CN"/>
              </w:rPr>
              <w:t>3</w:t>
            </w:r>
            <w:r>
              <w:rPr>
                <w:rFonts w:hint="eastAsia" w:asciiTheme="minorEastAsia" w:hAnsiTheme="minorEastAsia" w:eastAsiaTheme="minorEastAsia" w:cstheme="minorEastAsia"/>
                <w:color w:val="auto"/>
                <w:spacing w:val="-5"/>
                <w:sz w:val="21"/>
                <w:szCs w:val="21"/>
                <w:highlight w:val="none"/>
                <w:lang w:val="en-US" w:eastAsia="zh-CN"/>
              </w:rPr>
              <w:t>5</w:t>
            </w:r>
          </w:p>
        </w:tc>
        <w:tc>
          <w:tcPr>
            <w:tcW w:w="1860" w:type="dxa"/>
            <w:vAlign w:val="center"/>
          </w:tcPr>
          <w:p w14:paraId="6186C35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招标代理费</w:t>
            </w:r>
          </w:p>
        </w:tc>
        <w:tc>
          <w:tcPr>
            <w:tcW w:w="7544" w:type="dxa"/>
            <w:vAlign w:val="center"/>
          </w:tcPr>
          <w:p w14:paraId="7ABDDE2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本工程的招标代理费由中标人支付，该费用不再另行报价，由投标人在投标报价时综合考虑在内。中标人须向招标代理机构一次性支付（招标代理服务费：根据《招标代理服务收费管理暂行办法》（计价格[2002]1980号）计算服务费用金额，并以工程中标价来计算服务费用，落实40%下浮率，服务费用包含所有费用，具体以签订的合同为准。</w:t>
            </w:r>
          </w:p>
        </w:tc>
      </w:tr>
      <w:tr w14:paraId="7FD7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9" w:hRule="atLeast"/>
        </w:trPr>
        <w:tc>
          <w:tcPr>
            <w:tcW w:w="582" w:type="dxa"/>
            <w:vAlign w:val="center"/>
          </w:tcPr>
          <w:p w14:paraId="37D7D386">
            <w:pPr>
              <w:spacing w:before="69" w:line="188"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3</w:t>
            </w:r>
            <w:r>
              <w:rPr>
                <w:rFonts w:hint="eastAsia" w:asciiTheme="minorEastAsia" w:hAnsiTheme="minorEastAsia" w:eastAsiaTheme="minorEastAsia" w:cstheme="minorEastAsia"/>
                <w:color w:val="auto"/>
                <w:spacing w:val="-5"/>
                <w:sz w:val="21"/>
                <w:szCs w:val="21"/>
                <w:highlight w:val="none"/>
                <w:lang w:val="en-US" w:eastAsia="zh-CN"/>
              </w:rPr>
              <w:t>6</w:t>
            </w:r>
          </w:p>
        </w:tc>
        <w:tc>
          <w:tcPr>
            <w:tcW w:w="1860" w:type="dxa"/>
            <w:vAlign w:val="center"/>
          </w:tcPr>
          <w:p w14:paraId="5DBBB6F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招标人</w:t>
            </w:r>
          </w:p>
          <w:p w14:paraId="36239D2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联系方式</w:t>
            </w:r>
          </w:p>
        </w:tc>
        <w:tc>
          <w:tcPr>
            <w:tcW w:w="7544" w:type="dxa"/>
            <w:vAlign w:val="center"/>
          </w:tcPr>
          <w:p w14:paraId="294DCE90">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单位名称：</w:t>
            </w:r>
            <w:r>
              <w:rPr>
                <w:rFonts w:hint="eastAsia" w:ascii="宋体" w:hAnsi="宋体" w:eastAsia="宋体" w:cs="宋体"/>
                <w:snapToGrid w:val="0"/>
                <w:color w:val="auto"/>
                <w:kern w:val="0"/>
                <w:sz w:val="22"/>
                <w:szCs w:val="22"/>
                <w:highlight w:val="none"/>
                <w:lang w:eastAsia="zh-CN"/>
              </w:rPr>
              <w:t>仁化县丹霞旅游经济开发试验区管理委员会</w:t>
            </w:r>
          </w:p>
          <w:p w14:paraId="45B2C2F5">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办公地址：</w:t>
            </w:r>
            <w:r>
              <w:rPr>
                <w:rFonts w:hint="eastAsia" w:ascii="宋体" w:hAnsi="宋体" w:eastAsia="宋体" w:cs="宋体"/>
                <w:snapToGrid w:val="0"/>
                <w:color w:val="auto"/>
                <w:kern w:val="0"/>
                <w:sz w:val="22"/>
                <w:szCs w:val="22"/>
                <w:highlight w:val="none"/>
                <w:lang w:eastAsia="zh-CN"/>
              </w:rPr>
              <w:t>仁化县周田镇新庄工业园</w:t>
            </w:r>
          </w:p>
          <w:p w14:paraId="5B16EB9D">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rPr>
              <w:t>联系人（部门）：</w:t>
            </w:r>
            <w:r>
              <w:rPr>
                <w:rFonts w:hint="eastAsia" w:ascii="宋体" w:hAnsi="宋体" w:eastAsia="宋体" w:cs="宋体"/>
                <w:snapToGrid w:val="0"/>
                <w:color w:val="auto"/>
                <w:kern w:val="0"/>
                <w:sz w:val="22"/>
                <w:szCs w:val="22"/>
                <w:highlight w:val="none"/>
                <w:lang w:val="en-US" w:eastAsia="zh-CN"/>
              </w:rPr>
              <w:t>黄工</w:t>
            </w:r>
          </w:p>
          <w:p w14:paraId="01E5EFA9">
            <w:pPr>
              <w:wordWrap w:val="0"/>
              <w:adjustRightInd w:val="0"/>
              <w:snapToGrid w:val="0"/>
              <w:spacing w:line="360" w:lineRule="exact"/>
              <w:ind w:firstLine="220" w:firstLineChars="100"/>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 xml:space="preserve">联系电话： </w:t>
            </w:r>
            <w:r>
              <w:rPr>
                <w:rFonts w:hint="eastAsia" w:ascii="宋体" w:hAnsi="宋体" w:eastAsia="宋体" w:cs="宋体"/>
                <w:snapToGrid w:val="0"/>
                <w:color w:val="auto"/>
                <w:kern w:val="0"/>
                <w:sz w:val="22"/>
                <w:szCs w:val="22"/>
                <w:highlight w:val="none"/>
                <w:lang w:eastAsia="zh-CN"/>
              </w:rPr>
              <w:t>0751-6422238</w:t>
            </w:r>
          </w:p>
        </w:tc>
      </w:tr>
      <w:tr w14:paraId="101C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9" w:hRule="atLeast"/>
        </w:trPr>
        <w:tc>
          <w:tcPr>
            <w:tcW w:w="582" w:type="dxa"/>
            <w:vAlign w:val="center"/>
          </w:tcPr>
          <w:p w14:paraId="7AB56B55">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37</w:t>
            </w:r>
          </w:p>
        </w:tc>
        <w:tc>
          <w:tcPr>
            <w:tcW w:w="1860" w:type="dxa"/>
            <w:vAlign w:val="center"/>
          </w:tcPr>
          <w:p w14:paraId="57A132E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招标代理机构</w:t>
            </w:r>
          </w:p>
          <w:p w14:paraId="3F031D7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联系方式</w:t>
            </w:r>
          </w:p>
        </w:tc>
        <w:tc>
          <w:tcPr>
            <w:tcW w:w="7544" w:type="dxa"/>
            <w:vAlign w:val="center"/>
          </w:tcPr>
          <w:p w14:paraId="49523478">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单位名称：广东爱科工程咨询管理有限公司</w:t>
            </w:r>
          </w:p>
          <w:p w14:paraId="0747FA2E">
            <w:pPr>
              <w:wordWrap w:val="0"/>
              <w:adjustRightInd w:val="0"/>
              <w:snapToGrid w:val="0"/>
              <w:spacing w:line="360" w:lineRule="exact"/>
              <w:ind w:firstLine="220" w:firstLineChars="1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办公地址：仁化县建设路52号第三层</w:t>
            </w:r>
          </w:p>
          <w:p w14:paraId="302859BB">
            <w:pPr>
              <w:wordWrap w:val="0"/>
              <w:adjustRightInd w:val="0"/>
              <w:snapToGrid w:val="0"/>
              <w:spacing w:line="360" w:lineRule="exact"/>
              <w:ind w:firstLine="220" w:firstLineChars="100"/>
              <w:jc w:val="left"/>
              <w:rPr>
                <w:rFonts w:hint="default"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rPr>
              <w:t>联 系 人：温工</w:t>
            </w:r>
          </w:p>
          <w:p w14:paraId="245C4B76">
            <w:pPr>
              <w:wordWrap w:val="0"/>
              <w:adjustRightInd w:val="0"/>
              <w:snapToGrid w:val="0"/>
              <w:spacing w:line="360" w:lineRule="exact"/>
              <w:ind w:firstLine="22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2"/>
                <w:szCs w:val="22"/>
                <w:highlight w:val="none"/>
              </w:rPr>
              <w:t>电    话：13500208871</w:t>
            </w:r>
          </w:p>
        </w:tc>
      </w:tr>
      <w:tr w14:paraId="5459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18F6589E">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38</w:t>
            </w:r>
          </w:p>
        </w:tc>
        <w:tc>
          <w:tcPr>
            <w:tcW w:w="1860" w:type="dxa"/>
            <w:vAlign w:val="center"/>
          </w:tcPr>
          <w:p w14:paraId="1AD5452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交易场所联系方式</w:t>
            </w:r>
          </w:p>
        </w:tc>
        <w:tc>
          <w:tcPr>
            <w:tcW w:w="7544" w:type="dxa"/>
            <w:vAlign w:val="center"/>
          </w:tcPr>
          <w:p w14:paraId="48075B41">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单位名称：韶关市公共资源交易中心</w:t>
            </w:r>
          </w:p>
          <w:p w14:paraId="533E5EA8">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办公地址：仁化县丹霞大道228号1</w:t>
            </w:r>
            <w:r>
              <w:rPr>
                <w:rFonts w:hint="eastAsia" w:ascii="宋体" w:hAnsi="宋体" w:eastAsia="宋体" w:cs="宋体"/>
                <w:snapToGrid w:val="0"/>
                <w:color w:val="auto"/>
                <w:kern w:val="0"/>
                <w:sz w:val="22"/>
                <w:szCs w:val="22"/>
                <w:highlight w:val="none"/>
                <w:lang w:val="en-US" w:eastAsia="zh-CN"/>
              </w:rPr>
              <w:t>2</w:t>
            </w:r>
            <w:r>
              <w:rPr>
                <w:rFonts w:hint="eastAsia" w:ascii="宋体" w:hAnsi="宋体" w:eastAsia="宋体" w:cs="宋体"/>
                <w:snapToGrid w:val="0"/>
                <w:color w:val="auto"/>
                <w:kern w:val="0"/>
                <w:sz w:val="22"/>
                <w:szCs w:val="22"/>
                <w:highlight w:val="none"/>
              </w:rPr>
              <w:t>楼韶关市公共资源交易中心仁化分中心</w:t>
            </w:r>
          </w:p>
          <w:p w14:paraId="1EFAF941">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联系人（部门）：工程交易部</w:t>
            </w:r>
          </w:p>
          <w:p w14:paraId="3F289E33">
            <w:pPr>
              <w:wordWrap w:val="0"/>
              <w:adjustRightInd w:val="0"/>
              <w:snapToGrid w:val="0"/>
              <w:spacing w:line="360" w:lineRule="exact"/>
              <w:ind w:firstLine="250" w:firstLineChars="114"/>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联系电话：0751-6354032</w:t>
            </w:r>
          </w:p>
        </w:tc>
      </w:tr>
      <w:tr w14:paraId="03DC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6CED66FD">
            <w:pPr>
              <w:spacing w:before="69" w:line="188" w:lineRule="auto"/>
              <w:jc w:val="center"/>
              <w:rPr>
                <w:rFonts w:hint="default" w:asciiTheme="minorEastAsia" w:hAnsiTheme="minorEastAsia" w:eastAsiaTheme="minorEastAsia" w:cstheme="minorEastAsia"/>
                <w:color w:val="auto"/>
                <w:spacing w:val="-5"/>
                <w:sz w:val="21"/>
                <w:szCs w:val="21"/>
                <w:highlight w:val="none"/>
                <w:lang w:val="en-US" w:eastAsia="zh-CN"/>
              </w:rPr>
            </w:pPr>
            <w:r>
              <w:rPr>
                <w:rFonts w:hint="eastAsia" w:asciiTheme="minorEastAsia" w:hAnsiTheme="minorEastAsia" w:eastAsiaTheme="minorEastAsia" w:cstheme="minorEastAsia"/>
                <w:color w:val="auto"/>
                <w:spacing w:val="-5"/>
                <w:sz w:val="21"/>
                <w:szCs w:val="21"/>
                <w:highlight w:val="none"/>
                <w:lang w:val="en-US" w:eastAsia="zh-CN"/>
              </w:rPr>
              <w:t>39</w:t>
            </w:r>
          </w:p>
        </w:tc>
        <w:tc>
          <w:tcPr>
            <w:tcW w:w="1860" w:type="dxa"/>
            <w:vAlign w:val="center"/>
          </w:tcPr>
          <w:p w14:paraId="2B5659C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行政监督部</w:t>
            </w:r>
          </w:p>
          <w:p w14:paraId="205A3A6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门联系方式</w:t>
            </w:r>
          </w:p>
        </w:tc>
        <w:tc>
          <w:tcPr>
            <w:tcW w:w="7544" w:type="dxa"/>
            <w:vAlign w:val="center"/>
          </w:tcPr>
          <w:p w14:paraId="05FA39AB">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单位名称：仁化县住房和城乡建设管理局</w:t>
            </w:r>
          </w:p>
          <w:p w14:paraId="3BF6F686">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办公地址：仁化县丹霞大道228号仁化县行政服务中心6楼</w:t>
            </w:r>
          </w:p>
          <w:p w14:paraId="2D2F14F4">
            <w:pPr>
              <w:wordWrap w:val="0"/>
              <w:adjustRightInd w:val="0"/>
              <w:snapToGrid w:val="0"/>
              <w:spacing w:line="360" w:lineRule="exact"/>
              <w:ind w:firstLine="250" w:firstLineChars="114"/>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联系人（部门）：建筑业监督管理股</w:t>
            </w:r>
          </w:p>
          <w:p w14:paraId="3C714782">
            <w:pPr>
              <w:wordWrap w:val="0"/>
              <w:adjustRightInd w:val="0"/>
              <w:snapToGrid w:val="0"/>
              <w:spacing w:line="360" w:lineRule="exact"/>
              <w:ind w:firstLine="250" w:firstLineChars="114"/>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2"/>
                <w:szCs w:val="22"/>
                <w:highlight w:val="none"/>
              </w:rPr>
              <w:t xml:space="preserve">联系电话：0751-6354573 </w:t>
            </w:r>
          </w:p>
        </w:tc>
      </w:tr>
    </w:tbl>
    <w:p w14:paraId="2196EE89">
      <w:pPr>
        <w:rPr>
          <w:rFonts w:hint="eastAsia" w:ascii="宋体" w:hAnsi="宋体" w:eastAsia="宋体" w:cs="宋体"/>
          <w:b/>
          <w:bCs/>
          <w:color w:val="auto"/>
          <w:spacing w:val="-3"/>
          <w:sz w:val="24"/>
          <w:szCs w:val="24"/>
          <w:highlight w:val="none"/>
        </w:rPr>
      </w:pPr>
      <w:bookmarkStart w:id="5" w:name="bookmark115"/>
      <w:bookmarkEnd w:id="5"/>
      <w:r>
        <w:rPr>
          <w:rFonts w:hint="eastAsia" w:ascii="宋体" w:hAnsi="宋体" w:eastAsia="宋体" w:cs="宋体"/>
          <w:b/>
          <w:bCs/>
          <w:color w:val="auto"/>
          <w:spacing w:val="-3"/>
          <w:sz w:val="24"/>
          <w:szCs w:val="24"/>
          <w:highlight w:val="none"/>
        </w:rPr>
        <w:br w:type="page"/>
      </w:r>
    </w:p>
    <w:p w14:paraId="2A3BA98B">
      <w:pPr>
        <w:spacing w:before="156" w:line="219" w:lineRule="auto"/>
        <w:ind w:left="17"/>
        <w:jc w:val="left"/>
        <w:outlineLvl w:val="1"/>
        <w:rPr>
          <w:rFonts w:hint="eastAsia" w:ascii="宋体" w:hAnsi="宋体" w:eastAsia="宋体" w:cs="宋体"/>
          <w:color w:val="auto"/>
          <w:highlight w:val="none"/>
        </w:rPr>
      </w:pPr>
      <w:bookmarkStart w:id="6" w:name="_Toc31899"/>
      <w:r>
        <w:rPr>
          <w:rFonts w:hint="eastAsia" w:ascii="宋体" w:hAnsi="宋体" w:eastAsia="宋体" w:cs="宋体"/>
          <w:b/>
          <w:bCs/>
          <w:color w:val="auto"/>
          <w:spacing w:val="-3"/>
          <w:sz w:val="24"/>
          <w:szCs w:val="24"/>
          <w:highlight w:val="none"/>
        </w:rPr>
        <w:t>第二节 重要事项时间地点一览表</w:t>
      </w:r>
      <w:bookmarkEnd w:id="6"/>
    </w:p>
    <w:p w14:paraId="69A179A8">
      <w:pPr>
        <w:pStyle w:val="5"/>
        <w:rPr>
          <w:rFonts w:hint="eastAsia" w:ascii="宋体" w:hAnsi="宋体" w:eastAsia="宋体" w:cs="宋体"/>
          <w:color w:val="auto"/>
          <w:highlight w:val="none"/>
        </w:rPr>
      </w:pPr>
    </w:p>
    <w:tbl>
      <w:tblPr>
        <w:tblStyle w:val="14"/>
        <w:tblW w:w="5003"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451"/>
        <w:gridCol w:w="1402"/>
        <w:gridCol w:w="7909"/>
      </w:tblGrid>
      <w:tr w14:paraId="1FCC57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927"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415154A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1</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7FC0689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招标公告</w:t>
            </w:r>
          </w:p>
          <w:p w14:paraId="6CF9F9BC">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发布时间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1A14D70">
            <w:pPr>
              <w:pStyle w:val="22"/>
              <w:widowControl/>
              <w:snapToGrid w:val="0"/>
              <w:jc w:val="left"/>
              <w:rPr>
                <w:rFonts w:hint="eastAsia" w:ascii="宋体" w:hAnsi="宋体" w:eastAsia="宋体" w:cs="宋体"/>
                <w:snapToGrid w:val="0"/>
                <w:color w:val="000000"/>
                <w:kern w:val="0"/>
                <w:sz w:val="22"/>
                <w:szCs w:val="22"/>
                <w:highlight w:val="none"/>
                <w:lang w:eastAsia="zh-CN"/>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12</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18</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00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19E577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42"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5A45AD0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2</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251929FC">
            <w:pPr>
              <w:pStyle w:val="22"/>
              <w:wordWrap w:val="0"/>
              <w:adjustRightInd w:val="0"/>
              <w:snapToGrid w:val="0"/>
              <w:spacing w:line="360" w:lineRule="exact"/>
              <w:jc w:val="center"/>
              <w:rPr>
                <w:rFonts w:hint="default" w:ascii="宋体" w:hAnsi="宋体" w:eastAsia="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获取招标文件</w:t>
            </w:r>
          </w:p>
          <w:p w14:paraId="13B17BC0">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56576377">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 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193087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2"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4D32DC5D">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3</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0AF3A7C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网上提问</w:t>
            </w:r>
          </w:p>
          <w:p w14:paraId="2BE90DC1">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516B27F">
            <w:pPr>
              <w:pStyle w:val="22"/>
              <w:wordWrap w:val="0"/>
              <w:adjustRightInd w:val="0"/>
              <w:snapToGrid w:val="0"/>
              <w:spacing w:line="400" w:lineRule="exact"/>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27</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00 </w:t>
            </w:r>
            <w:r>
              <w:rPr>
                <w:rFonts w:hint="eastAsia" w:ascii="宋体" w:hAnsi="宋体" w:cs="宋体"/>
                <w:color w:val="auto"/>
                <w:kern w:val="0"/>
                <w:sz w:val="22"/>
                <w:szCs w:val="22"/>
                <w:highlight w:val="none"/>
              </w:rPr>
              <w:t>分</w:t>
            </w:r>
          </w:p>
        </w:tc>
      </w:tr>
      <w:tr w14:paraId="01F57E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7"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498C076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4</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34139913">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网上答疑</w:t>
            </w:r>
          </w:p>
          <w:p w14:paraId="70A9C70E">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39EFA0E5">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27</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30 </w:t>
            </w:r>
            <w:r>
              <w:rPr>
                <w:rFonts w:hint="eastAsia" w:ascii="宋体" w:hAnsi="宋体" w:cs="宋体"/>
                <w:color w:val="auto"/>
                <w:kern w:val="0"/>
                <w:sz w:val="22"/>
                <w:szCs w:val="22"/>
                <w:highlight w:val="none"/>
              </w:rPr>
              <w:t>分至</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rPr>
              <w:t xml:space="preserve"> 16 </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rPr>
              <w:t xml:space="preserve"> 00</w:t>
            </w:r>
            <w:r>
              <w:rPr>
                <w:rFonts w:hint="eastAsia" w:ascii="宋体" w:hAnsi="宋体" w:cs="宋体"/>
                <w:color w:val="auto"/>
                <w:kern w:val="0"/>
                <w:sz w:val="22"/>
                <w:szCs w:val="22"/>
                <w:highlight w:val="none"/>
              </w:rPr>
              <w:t>分</w:t>
            </w:r>
          </w:p>
        </w:tc>
      </w:tr>
      <w:tr w14:paraId="1F4DA0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1050AA6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5</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50B31F86">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投标保证缴</w:t>
            </w:r>
          </w:p>
          <w:p w14:paraId="249647CA">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纳截止时间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00544092">
            <w:pPr>
              <w:pStyle w:val="22"/>
              <w:widowControl/>
              <w:snapToGrid w:val="0"/>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投标保证金到账截止时间：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 xml:space="preserve"> 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p w14:paraId="534D20EF">
            <w:pPr>
              <w:pStyle w:val="22"/>
              <w:widowControl/>
              <w:snapToGrid w:val="0"/>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投标保证担保上传截止时间：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 xml:space="preserve"> 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p w14:paraId="086C2F12">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rPr>
              <w:t>投标保证保险投保截止时间：</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 xml:space="preserve"> 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w:t>
            </w:r>
          </w:p>
        </w:tc>
      </w:tr>
      <w:tr w14:paraId="5CEC71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2"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213E411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6</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67DAD104">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电子投标</w:t>
            </w:r>
          </w:p>
          <w:p w14:paraId="3E473E72">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EF7FFA6">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 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255B6A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0CC6312E">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7</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2ED64A0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投标评审原件（如有）</w:t>
            </w:r>
          </w:p>
          <w:p w14:paraId="7F77CCDF">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递交时间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32F71BF2">
            <w:pPr>
              <w:pStyle w:val="22"/>
              <w:widowControl/>
              <w:snapToGrid w:val="0"/>
              <w:jc w:val="left"/>
              <w:rPr>
                <w:rFonts w:hint="eastAsia" w:ascii="宋体" w:hAnsi="宋体" w:cs="宋体"/>
                <w:snapToGrid w:val="0"/>
                <w:color w:val="000000"/>
                <w:kern w:val="0"/>
                <w:sz w:val="22"/>
                <w:szCs w:val="22"/>
                <w:highlight w:val="none"/>
              </w:rPr>
            </w:pP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00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r>
              <w:rPr>
                <w:rFonts w:hint="eastAsia" w:ascii="宋体" w:hAnsi="宋体" w:cs="宋体"/>
                <w:color w:val="auto"/>
                <w:kern w:val="0"/>
                <w:sz w:val="22"/>
                <w:szCs w:val="22"/>
                <w:highlight w:val="none"/>
              </w:rPr>
              <w:t>至</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7281FC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7EB5C072">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8</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39E24EC4">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lang w:val="en-US" w:eastAsia="zh-CN"/>
              </w:rPr>
            </w:pPr>
            <w:r>
              <w:rPr>
                <w:rFonts w:hint="eastAsia" w:ascii="宋体" w:hAnsi="宋体" w:cs="宋体"/>
                <w:snapToGrid w:val="0"/>
                <w:color w:val="000000"/>
                <w:kern w:val="0"/>
                <w:sz w:val="22"/>
                <w:szCs w:val="22"/>
                <w:highlight w:val="none"/>
                <w:lang w:val="en-US" w:eastAsia="zh-CN"/>
              </w:rPr>
              <w:t>投标评审原件（如有）</w:t>
            </w:r>
          </w:p>
          <w:p w14:paraId="3261A94D">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递交地点</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19EFF54">
            <w:pPr>
              <w:pStyle w:val="22"/>
              <w:wordWrap w:val="0"/>
              <w:adjustRightInd w:val="0"/>
              <w:snapToGrid w:val="0"/>
              <w:spacing w:line="400" w:lineRule="exact"/>
              <w:ind w:firstLine="220" w:firstLineChars="100"/>
              <w:jc w:val="left"/>
              <w:rPr>
                <w:rFonts w:hint="eastAsia" w:ascii="宋体" w:hAnsi="宋体" w:eastAsia="宋体" w:cs="宋体"/>
                <w:snapToGrid w:val="0"/>
                <w:color w:val="auto"/>
                <w:kern w:val="0"/>
                <w:sz w:val="22"/>
                <w:szCs w:val="22"/>
                <w:highlight w:val="none"/>
                <w:lang w:eastAsia="zh-CN"/>
              </w:rPr>
            </w:pPr>
            <w:r>
              <w:rPr>
                <w:rFonts w:hint="eastAsia" w:ascii="宋体" w:hAnsi="宋体" w:cs="宋体"/>
                <w:snapToGrid w:val="0"/>
                <w:color w:val="auto"/>
                <w:kern w:val="0"/>
                <w:sz w:val="22"/>
                <w:szCs w:val="22"/>
                <w:highlight w:val="none"/>
              </w:rPr>
              <w:t>递交场所：韶关市公共资源交易中心仁化分中心</w:t>
            </w:r>
          </w:p>
          <w:p w14:paraId="54D0F656">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地址：仁化县丹霞大道228号11楼韶关市公共资源交易中心仁化分中心，具体房间号以当日现场通知为准。</w:t>
            </w:r>
          </w:p>
        </w:tc>
      </w:tr>
      <w:tr w14:paraId="6DA9E2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0"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56908499">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9</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542877DA">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开标时间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A9DFEE6">
            <w:pPr>
              <w:pStyle w:val="22"/>
              <w:wordWrap w:val="0"/>
              <w:adjustRightInd w:val="0"/>
              <w:snapToGrid w:val="0"/>
              <w:spacing w:line="400" w:lineRule="exact"/>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 xml:space="preserve"> </w:t>
            </w:r>
            <w:r>
              <w:rPr>
                <w:rFonts w:hint="eastAsia" w:ascii="宋体" w:hAnsi="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lang w:val="en-US" w:eastAsia="zh-CN"/>
              </w:rPr>
              <w:t>7</w:t>
            </w:r>
            <w:r>
              <w:rPr>
                <w:rFonts w:hint="eastAsia" w:ascii="宋体" w:hAnsi="宋体" w:cs="宋体"/>
                <w:color w:val="auto"/>
                <w:kern w:val="0"/>
                <w:sz w:val="22"/>
                <w:szCs w:val="22"/>
                <w:highlight w:val="none"/>
              </w:rPr>
              <w:t>日</w:t>
            </w:r>
            <w:r>
              <w:rPr>
                <w:rFonts w:hint="eastAsia" w:ascii="宋体" w:hAnsi="宋体" w:cs="宋体"/>
                <w:color w:val="auto"/>
                <w:kern w:val="0"/>
                <w:sz w:val="22"/>
                <w:szCs w:val="22"/>
                <w:highlight w:val="none"/>
                <w:u w:val="single"/>
                <w:lang w:val="en-US" w:eastAsia="zh-CN"/>
              </w:rPr>
              <w:t xml:space="preserve"> 9</w:t>
            </w:r>
            <w:r>
              <w:rPr>
                <w:rFonts w:hint="eastAsia" w:ascii="宋体" w:hAnsi="宋体" w:cs="宋体"/>
                <w:color w:val="auto"/>
                <w:kern w:val="0"/>
                <w:sz w:val="22"/>
                <w:szCs w:val="22"/>
                <w:highlight w:val="none"/>
              </w:rPr>
              <w:t>时</w:t>
            </w:r>
            <w:r>
              <w:rPr>
                <w:rFonts w:hint="eastAsia" w:ascii="宋体" w:hAnsi="宋体" w:cs="宋体"/>
                <w:color w:val="auto"/>
                <w:kern w:val="0"/>
                <w:sz w:val="22"/>
                <w:szCs w:val="22"/>
                <w:highlight w:val="none"/>
                <w:u w:val="single"/>
                <w:lang w:val="en-US" w:eastAsia="zh-CN"/>
              </w:rPr>
              <w:t>30</w:t>
            </w:r>
            <w:r>
              <w:rPr>
                <w:rFonts w:hint="eastAsia" w:ascii="宋体" w:hAnsi="宋体" w:cs="宋体"/>
                <w:color w:val="auto"/>
                <w:kern w:val="0"/>
                <w:sz w:val="22"/>
                <w:szCs w:val="22"/>
                <w:highlight w:val="none"/>
              </w:rPr>
              <w:t>分</w:t>
            </w:r>
            <w:r>
              <w:rPr>
                <w:rFonts w:hint="eastAsia" w:ascii="宋体" w:hAnsi="宋体" w:cs="宋体"/>
                <w:color w:val="auto"/>
                <w:kern w:val="0"/>
                <w:sz w:val="22"/>
                <w:szCs w:val="22"/>
                <w:highlight w:val="none"/>
                <w:lang w:val="en-US" w:eastAsia="zh-CN"/>
              </w:rPr>
              <w:t xml:space="preserve">  </w:t>
            </w:r>
          </w:p>
        </w:tc>
      </w:tr>
      <w:tr w14:paraId="600A21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78" w:hRule="exact"/>
        </w:trPr>
        <w:tc>
          <w:tcPr>
            <w:tcW w:w="231" w:type="pct"/>
            <w:tcBorders>
              <w:top w:val="single" w:color="080000" w:sz="4" w:space="0"/>
              <w:left w:val="single" w:color="080000" w:sz="4" w:space="0"/>
              <w:bottom w:val="single" w:color="080000" w:sz="4" w:space="0"/>
              <w:right w:val="single" w:color="080000" w:sz="4" w:space="0"/>
            </w:tcBorders>
            <w:noWrap w:val="0"/>
            <w:vAlign w:val="center"/>
          </w:tcPr>
          <w:p w14:paraId="13530CF7">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10</w:t>
            </w:r>
          </w:p>
        </w:tc>
        <w:tc>
          <w:tcPr>
            <w:tcW w:w="717" w:type="pct"/>
            <w:tcBorders>
              <w:top w:val="single" w:color="080000" w:sz="4" w:space="0"/>
              <w:left w:val="single" w:color="080000" w:sz="4" w:space="0"/>
              <w:bottom w:val="single" w:color="080000" w:sz="4" w:space="0"/>
              <w:right w:val="single" w:color="080000" w:sz="4" w:space="0"/>
            </w:tcBorders>
            <w:noWrap w:val="0"/>
            <w:vAlign w:val="center"/>
          </w:tcPr>
          <w:p w14:paraId="37D61018">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rPr>
              <w:t xml:space="preserve">开标地点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C3C51B8">
            <w:pPr>
              <w:pStyle w:val="22"/>
              <w:wordWrap w:val="0"/>
              <w:adjustRightInd w:val="0"/>
              <w:snapToGrid w:val="0"/>
              <w:spacing w:line="400" w:lineRule="exact"/>
              <w:ind w:firstLine="220" w:firstLineChars="100"/>
              <w:jc w:val="left"/>
              <w:rPr>
                <w:rFonts w:hint="eastAsia" w:ascii="宋体" w:hAnsi="宋体" w:cs="宋体"/>
                <w:snapToGrid w:val="0"/>
                <w:color w:val="auto"/>
                <w:kern w:val="0"/>
                <w:sz w:val="22"/>
                <w:szCs w:val="22"/>
                <w:highlight w:val="none"/>
              </w:rPr>
            </w:pPr>
            <w:r>
              <w:rPr>
                <w:rFonts w:hint="eastAsia" w:ascii="宋体" w:hAnsi="宋体" w:cs="宋体"/>
                <w:snapToGrid w:val="0"/>
                <w:color w:val="auto"/>
                <w:kern w:val="0"/>
                <w:sz w:val="22"/>
                <w:szCs w:val="22"/>
                <w:highlight w:val="none"/>
              </w:rPr>
              <w:t>开标场所：韶关市公共资源交易中心仁化分中心</w:t>
            </w:r>
          </w:p>
          <w:p w14:paraId="0A73ED51">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地址：仁化县丹霞大道228号11楼韶关市公共资源交易中心仁化分中心，具体房间号以当日现场通知为准。</w:t>
            </w:r>
          </w:p>
        </w:tc>
      </w:tr>
      <w:tr w14:paraId="4FC692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98" w:hRule="exact"/>
        </w:trPr>
        <w:tc>
          <w:tcPr>
            <w:tcW w:w="949" w:type="pct"/>
            <w:gridSpan w:val="2"/>
            <w:tcBorders>
              <w:top w:val="single" w:color="080000" w:sz="4" w:space="0"/>
              <w:left w:val="single" w:color="080000" w:sz="4" w:space="0"/>
              <w:bottom w:val="single" w:color="080000" w:sz="4" w:space="0"/>
              <w:right w:val="single" w:color="080000" w:sz="4" w:space="0"/>
            </w:tcBorders>
            <w:noWrap w:val="0"/>
            <w:vAlign w:val="center"/>
          </w:tcPr>
          <w:p w14:paraId="2F0B7FAB">
            <w:pPr>
              <w:pStyle w:val="22"/>
              <w:wordWrap w:val="0"/>
              <w:adjustRightInd w:val="0"/>
              <w:snapToGrid w:val="0"/>
              <w:spacing w:line="360" w:lineRule="exact"/>
              <w:jc w:val="center"/>
              <w:rPr>
                <w:rFonts w:hint="eastAsia" w:ascii="宋体" w:hAnsi="宋体" w:cs="宋体"/>
                <w:snapToGrid w:val="0"/>
                <w:color w:val="000000"/>
                <w:kern w:val="0"/>
                <w:sz w:val="22"/>
                <w:szCs w:val="22"/>
                <w:highlight w:val="none"/>
              </w:rPr>
            </w:pPr>
            <w:r>
              <w:rPr>
                <w:rFonts w:hint="eastAsia" w:ascii="宋体" w:hAnsi="宋体" w:cs="宋体"/>
                <w:snapToGrid w:val="0"/>
                <w:color w:val="000000"/>
                <w:kern w:val="0"/>
                <w:sz w:val="22"/>
                <w:szCs w:val="22"/>
                <w:highlight w:val="none"/>
                <w:lang w:val="en-US" w:eastAsia="zh-CN"/>
              </w:rPr>
              <w:t>备注</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344A197">
            <w:pPr>
              <w:pStyle w:val="22"/>
              <w:wordWrap w:val="0"/>
              <w:adjustRightInd w:val="0"/>
              <w:snapToGrid w:val="0"/>
              <w:spacing w:line="400" w:lineRule="exact"/>
              <w:ind w:firstLine="220" w:firstLineChars="100"/>
              <w:jc w:val="left"/>
              <w:rPr>
                <w:rFonts w:hint="eastAsia" w:ascii="宋体" w:hAnsi="宋体" w:cs="宋体"/>
                <w:snapToGrid w:val="0"/>
                <w:color w:val="000000"/>
                <w:kern w:val="0"/>
                <w:sz w:val="22"/>
                <w:szCs w:val="22"/>
                <w:highlight w:val="none"/>
              </w:rPr>
            </w:pPr>
            <w:r>
              <w:rPr>
                <w:rFonts w:hint="eastAsia" w:ascii="宋体" w:hAnsi="宋体" w:cs="宋体"/>
                <w:snapToGrid w:val="0"/>
                <w:color w:val="auto"/>
                <w:kern w:val="0"/>
                <w:sz w:val="22"/>
                <w:szCs w:val="22"/>
                <w:highlight w:val="none"/>
              </w:rPr>
              <w:t>自行下载招标文件、资料文件及招标答疑书等。若由于投标人自身原因未能及时取得上述资料的，由此发生的任何责任由投标人自负。</w:t>
            </w:r>
          </w:p>
        </w:tc>
      </w:tr>
    </w:tbl>
    <w:p w14:paraId="05CEB252">
      <w:pPr>
        <w:tabs>
          <w:tab w:val="left" w:pos="8820"/>
        </w:tabs>
        <w:rPr>
          <w:rFonts w:hint="eastAsia" w:ascii="宋体" w:hAnsi="宋体" w:eastAsia="宋体" w:cs="宋体"/>
          <w:b w:val="0"/>
          <w:bCs w:val="0"/>
          <w:color w:val="auto"/>
          <w:sz w:val="24"/>
          <w:szCs w:val="24"/>
          <w:highlight w:val="none"/>
        </w:rPr>
        <w:sectPr>
          <w:headerReference r:id="rId7" w:type="default"/>
          <w:footerReference r:id="rId8" w:type="default"/>
          <w:pgSz w:w="11906" w:h="16839"/>
          <w:pgMar w:top="1440" w:right="1080" w:bottom="1440" w:left="1080" w:header="0" w:footer="1085" w:gutter="0"/>
          <w:pgBorders>
            <w:top w:val="none" w:sz="0" w:space="0"/>
            <w:left w:val="none" w:sz="0" w:space="0"/>
            <w:bottom w:val="none" w:sz="0" w:space="0"/>
            <w:right w:val="none" w:sz="0" w:space="0"/>
          </w:pgBorders>
          <w:cols w:space="720" w:num="1"/>
        </w:sectPr>
      </w:pPr>
    </w:p>
    <w:p w14:paraId="433C4EC2">
      <w:pPr>
        <w:jc w:val="center"/>
        <w:outlineLvl w:val="1"/>
        <w:rPr>
          <w:rFonts w:hint="eastAsia" w:ascii="宋体" w:hAnsi="宋体" w:eastAsia="宋体" w:cs="宋体"/>
          <w:color w:val="auto"/>
          <w:sz w:val="24"/>
          <w:szCs w:val="24"/>
          <w:highlight w:val="none"/>
        </w:rPr>
      </w:pPr>
      <w:bookmarkStart w:id="7" w:name="_Toc3267"/>
      <w:r>
        <w:rPr>
          <w:rFonts w:hint="eastAsia" w:ascii="宋体" w:hAnsi="宋体" w:eastAsia="宋体" w:cs="宋体"/>
          <w:b/>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投标人须知正文</w:t>
      </w:r>
      <w:bookmarkEnd w:id="7"/>
    </w:p>
    <w:p w14:paraId="73B8EDD5">
      <w:pPr>
        <w:pStyle w:val="5"/>
        <w:spacing w:line="256" w:lineRule="auto"/>
        <w:rPr>
          <w:rFonts w:hint="eastAsia" w:ascii="宋体" w:hAnsi="宋体" w:eastAsia="宋体" w:cs="宋体"/>
          <w:color w:val="auto"/>
          <w:highlight w:val="none"/>
        </w:rPr>
      </w:pPr>
    </w:p>
    <w:p w14:paraId="6017DF82">
      <w:pPr>
        <w:pStyle w:val="5"/>
        <w:spacing w:line="257" w:lineRule="auto"/>
        <w:rPr>
          <w:rFonts w:hint="eastAsia" w:ascii="宋体" w:hAnsi="宋体" w:eastAsia="宋体" w:cs="宋体"/>
          <w:color w:val="auto"/>
          <w:highlight w:val="none"/>
        </w:rPr>
      </w:pPr>
    </w:p>
    <w:p w14:paraId="2BD22834">
      <w:pPr>
        <w:keepNext w:val="0"/>
        <w:keepLines w:val="0"/>
        <w:widowControl/>
        <w:suppressLineNumbers w:val="0"/>
        <w:spacing w:line="360" w:lineRule="auto"/>
        <w:ind w:right="-258" w:rightChars="-123" w:firstLine="480" w:firstLineChars="200"/>
        <w:jc w:val="left"/>
        <w:rPr>
          <w:rFonts w:hint="eastAsia" w:ascii="宋体" w:hAnsi="宋体" w:eastAsia="宋体" w:cs="宋体"/>
          <w:color w:val="auto"/>
          <w:sz w:val="36"/>
          <w:szCs w:val="36"/>
          <w:highlight w:val="none"/>
        </w:rPr>
      </w:pPr>
      <w:r>
        <w:rPr>
          <w:rFonts w:hint="eastAsia" w:ascii="宋体" w:hAnsi="宋体" w:eastAsia="宋体" w:cs="宋体"/>
          <w:snapToGrid w:val="0"/>
          <w:color w:val="auto"/>
          <w:kern w:val="0"/>
          <w:sz w:val="24"/>
          <w:szCs w:val="32"/>
          <w:highlight w:val="none"/>
          <w:u w:val="single"/>
          <w:lang w:eastAsia="zh-CN"/>
        </w:rPr>
        <w:t>仁化产业转移工业园区基础建设(二期)-韶关仁化产业园区XZP地块隐患整治建设项目施工（第二次）</w:t>
      </w:r>
      <w:r>
        <w:rPr>
          <w:rFonts w:hint="eastAsia" w:ascii="宋体" w:hAnsi="宋体" w:eastAsia="宋体" w:cs="宋体"/>
          <w:snapToGrid w:val="0"/>
          <w:color w:val="auto"/>
          <w:kern w:val="0"/>
          <w:sz w:val="24"/>
          <w:szCs w:val="32"/>
          <w:highlight w:val="none"/>
          <w:u w:val="none"/>
          <w:lang w:eastAsia="zh-CN"/>
        </w:rPr>
        <w:t>经</w:t>
      </w:r>
      <w:r>
        <w:rPr>
          <w:rFonts w:hint="eastAsia" w:ascii="宋体" w:hAnsi="宋体" w:eastAsia="宋体" w:cs="宋体"/>
          <w:snapToGrid w:val="0"/>
          <w:color w:val="auto"/>
          <w:kern w:val="0"/>
          <w:sz w:val="24"/>
          <w:szCs w:val="32"/>
          <w:highlight w:val="none"/>
          <w:u w:val="single"/>
          <w:lang w:eastAsia="zh-CN"/>
        </w:rPr>
        <w:t>仁化县发展和改革局、仁化县发展改革和政务数据局以《仁化县发展和改革局关于仁化产业转移工业园区基础建设(二期)项目建议书的批复》（仁发改投审〔2022〕84号）、《仁化县发展改革和政务数据局关于仁化产业转移工业园区基础建设(二期)-韶关仁化产业园区XZP地块隐患整治建设项目初步设计概算的批复》（仁发改和政数投审〔202</w:t>
      </w:r>
      <w:r>
        <w:rPr>
          <w:rFonts w:hint="eastAsia" w:ascii="宋体" w:hAnsi="宋体" w:eastAsia="宋体" w:cs="宋体"/>
          <w:snapToGrid w:val="0"/>
          <w:color w:val="auto"/>
          <w:kern w:val="0"/>
          <w:sz w:val="24"/>
          <w:szCs w:val="32"/>
          <w:highlight w:val="none"/>
          <w:u w:val="single"/>
          <w:lang w:val="en-US" w:eastAsia="zh-CN"/>
        </w:rPr>
        <w:t>6</w:t>
      </w:r>
      <w:r>
        <w:rPr>
          <w:rFonts w:hint="eastAsia" w:ascii="宋体" w:hAnsi="宋体" w:eastAsia="宋体" w:cs="宋体"/>
          <w:snapToGrid w:val="0"/>
          <w:color w:val="auto"/>
          <w:kern w:val="0"/>
          <w:sz w:val="24"/>
          <w:szCs w:val="32"/>
          <w:highlight w:val="none"/>
          <w:u w:val="single"/>
          <w:lang w:eastAsia="zh-CN"/>
        </w:rPr>
        <w:t>〕</w:t>
      </w:r>
      <w:r>
        <w:rPr>
          <w:rFonts w:hint="eastAsia" w:ascii="宋体" w:hAnsi="宋体" w:eastAsia="宋体" w:cs="宋体"/>
          <w:snapToGrid w:val="0"/>
          <w:color w:val="auto"/>
          <w:kern w:val="0"/>
          <w:sz w:val="24"/>
          <w:szCs w:val="32"/>
          <w:highlight w:val="none"/>
          <w:u w:val="single"/>
          <w:lang w:val="en-US" w:eastAsia="zh-CN"/>
        </w:rPr>
        <w:t>25</w:t>
      </w:r>
      <w:r>
        <w:rPr>
          <w:rFonts w:hint="eastAsia" w:ascii="宋体" w:hAnsi="宋体" w:eastAsia="宋体" w:cs="宋体"/>
          <w:snapToGrid w:val="0"/>
          <w:color w:val="auto"/>
          <w:kern w:val="0"/>
          <w:sz w:val="24"/>
          <w:szCs w:val="32"/>
          <w:highlight w:val="none"/>
          <w:u w:val="single"/>
          <w:lang w:eastAsia="zh-CN"/>
        </w:rPr>
        <w:t>号）</w:t>
      </w:r>
      <w:r>
        <w:rPr>
          <w:rFonts w:hint="eastAsia" w:ascii="宋体" w:hAnsi="宋体" w:eastAsia="宋体" w:cs="宋体"/>
          <w:snapToGrid w:val="0"/>
          <w:color w:val="auto"/>
          <w:kern w:val="0"/>
          <w:sz w:val="24"/>
          <w:szCs w:val="32"/>
          <w:highlight w:val="none"/>
        </w:rPr>
        <w:t>批准建设，项目代码为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lang w:eastAsia="zh-CN"/>
        </w:rPr>
        <w:t>2208-440224-04-01-823973</w:t>
      </w:r>
      <w:r>
        <w:rPr>
          <w:rFonts w:hint="eastAsia" w:ascii="宋体" w:hAnsi="宋体" w:eastAsia="宋体" w:cs="宋体"/>
          <w:snapToGrid w:val="0"/>
          <w:color w:val="auto"/>
          <w:kern w:val="0"/>
          <w:sz w:val="24"/>
          <w:szCs w:val="32"/>
          <w:highlight w:val="none"/>
        </w:rPr>
        <w:t>。项目业主为</w:t>
      </w:r>
      <w:r>
        <w:rPr>
          <w:rFonts w:hint="eastAsia" w:ascii="宋体" w:hAnsi="宋体" w:eastAsia="宋体" w:cs="宋体"/>
          <w:snapToGrid w:val="0"/>
          <w:color w:val="auto"/>
          <w:kern w:val="0"/>
          <w:sz w:val="24"/>
          <w:szCs w:val="32"/>
          <w:highlight w:val="none"/>
          <w:u w:val="single"/>
          <w:lang w:eastAsia="zh-CN"/>
        </w:rPr>
        <w:t>仁化县丹霞旅游经济开发试验区管理委员会</w:t>
      </w:r>
      <w:r>
        <w:rPr>
          <w:rFonts w:hint="eastAsia" w:ascii="宋体" w:hAnsi="宋体" w:eastAsia="宋体" w:cs="宋体"/>
          <w:snapToGrid w:val="0"/>
          <w:color w:val="auto"/>
          <w:kern w:val="0"/>
          <w:sz w:val="24"/>
          <w:szCs w:val="32"/>
          <w:highlight w:val="none"/>
        </w:rPr>
        <w:t>，建设资金来自</w:t>
      </w:r>
      <w:r>
        <w:rPr>
          <w:rFonts w:hint="eastAsia" w:ascii="宋体" w:hAnsi="宋体" w:eastAsia="宋体" w:cs="宋体"/>
          <w:snapToGrid w:val="0"/>
          <w:color w:val="auto"/>
          <w:kern w:val="0"/>
          <w:sz w:val="24"/>
          <w:szCs w:val="32"/>
          <w:highlight w:val="none"/>
          <w:u w:val="single"/>
          <w:lang w:eastAsia="zh-CN"/>
        </w:rPr>
        <w:t>上级资金和县级财政资金安排解决</w:t>
      </w:r>
      <w:r>
        <w:rPr>
          <w:rFonts w:hint="eastAsia" w:ascii="宋体" w:hAnsi="宋体" w:eastAsia="宋体" w:cs="宋体"/>
          <w:snapToGrid w:val="0"/>
          <w:color w:val="auto"/>
          <w:kern w:val="0"/>
          <w:sz w:val="24"/>
          <w:szCs w:val="32"/>
          <w:highlight w:val="none"/>
          <w:u w:val="single"/>
        </w:rPr>
        <w:t xml:space="preserve"> </w:t>
      </w:r>
      <w:r>
        <w:rPr>
          <w:rFonts w:hint="eastAsia" w:ascii="宋体" w:hAnsi="宋体" w:eastAsia="宋体" w:cs="宋体"/>
          <w:snapToGrid w:val="0"/>
          <w:color w:val="auto"/>
          <w:kern w:val="0"/>
          <w:sz w:val="24"/>
          <w:szCs w:val="32"/>
          <w:highlight w:val="none"/>
        </w:rPr>
        <w:t>，出资比例</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rPr>
        <w:t>100%</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，招标人为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lang w:eastAsia="zh-CN"/>
        </w:rPr>
        <w:t>仁化县丹霞旅游经济开发试验区管理委员会</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，招标代理机构为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color w:val="auto"/>
          <w:kern w:val="0"/>
          <w:sz w:val="24"/>
          <w:szCs w:val="24"/>
          <w:highlight w:val="none"/>
          <w:u w:val="single"/>
          <w:lang w:eastAsia="zh-CN"/>
        </w:rPr>
        <w:t>广东爱科工程咨询管理有限公司</w:t>
      </w:r>
      <w:r>
        <w:rPr>
          <w:rFonts w:hint="eastAsia" w:ascii="宋体" w:hAnsi="宋体" w:eastAsia="宋体" w:cs="宋体"/>
          <w:snapToGrid w:val="0"/>
          <w:color w:val="auto"/>
          <w:kern w:val="0"/>
          <w:sz w:val="24"/>
          <w:szCs w:val="32"/>
          <w:highlight w:val="none"/>
        </w:rPr>
        <w:t>。</w:t>
      </w:r>
      <w:r>
        <w:rPr>
          <w:rFonts w:hint="eastAsia" w:ascii="宋体" w:hAnsi="宋体" w:eastAsia="宋体" w:cs="宋体"/>
          <w:snapToGrid w:val="0"/>
          <w:color w:val="auto"/>
          <w:kern w:val="0"/>
          <w:sz w:val="24"/>
          <w:szCs w:val="24"/>
          <w:highlight w:val="none"/>
        </w:rPr>
        <w:t>项目已具备招标条件，现对该项目的</w:t>
      </w:r>
      <w:r>
        <w:rPr>
          <w:rFonts w:hint="eastAsia" w:ascii="宋体" w:hAnsi="宋体" w:eastAsia="宋体" w:cs="宋体"/>
          <w:snapToGrid w:val="0"/>
          <w:color w:val="auto"/>
          <w:kern w:val="0"/>
          <w:sz w:val="24"/>
          <w:szCs w:val="24"/>
          <w:highlight w:val="none"/>
          <w:u w:val="single"/>
          <w:lang w:val="en-US" w:eastAsia="zh-CN"/>
        </w:rPr>
        <w:t xml:space="preserve"> 施工 </w:t>
      </w:r>
      <w:r>
        <w:rPr>
          <w:rFonts w:hint="eastAsia" w:ascii="宋体" w:hAnsi="宋体" w:eastAsia="宋体" w:cs="宋体"/>
          <w:snapToGrid w:val="0"/>
          <w:color w:val="auto"/>
          <w:kern w:val="0"/>
          <w:sz w:val="24"/>
          <w:szCs w:val="24"/>
          <w:highlight w:val="none"/>
        </w:rPr>
        <w:t>进行公开招标。</w:t>
      </w:r>
    </w:p>
    <w:p w14:paraId="58CD94D9">
      <w:pPr>
        <w:spacing w:before="78" w:line="220" w:lineRule="auto"/>
        <w:ind w:left="496"/>
        <w:outlineLvl w:val="2"/>
        <w:rPr>
          <w:rFonts w:hint="eastAsia" w:ascii="宋体" w:hAnsi="宋体" w:eastAsia="宋体" w:cs="宋体"/>
          <w:color w:val="auto"/>
          <w:sz w:val="24"/>
          <w:szCs w:val="24"/>
          <w:highlight w:val="none"/>
        </w:rPr>
      </w:pPr>
      <w:bookmarkStart w:id="8" w:name="bookmark52"/>
      <w:bookmarkEnd w:id="8"/>
      <w:bookmarkStart w:id="9" w:name="bookmark59"/>
      <w:bookmarkEnd w:id="9"/>
      <w:bookmarkStart w:id="10" w:name="bookmark73"/>
      <w:bookmarkEnd w:id="10"/>
      <w:bookmarkStart w:id="11" w:name="_Toc3855"/>
      <w:bookmarkStart w:id="12" w:name="_Toc15993"/>
      <w:r>
        <w:rPr>
          <w:rFonts w:hint="eastAsia" w:ascii="宋体" w:hAnsi="宋体" w:eastAsia="宋体" w:cs="宋体"/>
          <w:b/>
          <w:bCs/>
          <w:color w:val="auto"/>
          <w:spacing w:val="-4"/>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4"/>
          <w:sz w:val="24"/>
          <w:szCs w:val="24"/>
          <w:highlight w:val="none"/>
        </w:rPr>
        <w:t>．项目概况、招标范围和标段划分、投标费用等</w:t>
      </w:r>
      <w:bookmarkEnd w:id="11"/>
      <w:bookmarkEnd w:id="12"/>
    </w:p>
    <w:p w14:paraId="37B86162">
      <w:pPr>
        <w:spacing w:before="153" w:line="36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1.1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5"/>
          <w:sz w:val="24"/>
          <w:szCs w:val="24"/>
          <w:highlight w:val="none"/>
        </w:rPr>
        <w:t>项目概况</w:t>
      </w:r>
    </w:p>
    <w:p w14:paraId="0DC5D727">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1.1.1  </w:t>
      </w:r>
      <w:r>
        <w:rPr>
          <w:rFonts w:hint="eastAsia" w:ascii="宋体" w:hAnsi="宋体" w:eastAsia="宋体" w:cs="宋体"/>
          <w:color w:val="auto"/>
          <w:spacing w:val="-2"/>
          <w:sz w:val="24"/>
          <w:szCs w:val="24"/>
          <w:highlight w:val="none"/>
        </w:rPr>
        <w:t>建设地点：</w:t>
      </w:r>
      <w:r>
        <w:rPr>
          <w:rFonts w:hint="eastAsia" w:ascii="宋体" w:hAnsi="宋体" w:eastAsia="宋体" w:cs="宋体"/>
          <w:color w:val="auto"/>
          <w:sz w:val="24"/>
          <w:szCs w:val="24"/>
          <w:highlight w:val="none"/>
          <w:u w:val="single"/>
          <w:lang w:val="en-US" w:eastAsia="zh-CN"/>
        </w:rPr>
        <w:t>韶关仁化产业园区。</w:t>
      </w:r>
    </w:p>
    <w:p w14:paraId="77407604">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1.1.2  </w:t>
      </w:r>
      <w:r>
        <w:rPr>
          <w:rFonts w:hint="eastAsia" w:ascii="宋体" w:hAnsi="宋体" w:eastAsia="宋体" w:cs="宋体"/>
          <w:color w:val="auto"/>
          <w:spacing w:val="-2"/>
          <w:sz w:val="24"/>
          <w:szCs w:val="24"/>
          <w:highlight w:val="none"/>
        </w:rPr>
        <w:t>建设内容和规模：</w:t>
      </w:r>
      <w:r>
        <w:rPr>
          <w:rFonts w:hint="eastAsia" w:ascii="宋体" w:hAnsi="宋体" w:eastAsia="宋体" w:cs="宋体"/>
          <w:color w:val="auto"/>
          <w:sz w:val="24"/>
          <w:szCs w:val="24"/>
          <w:highlight w:val="none"/>
          <w:u w:val="single"/>
          <w:lang w:val="en-US" w:eastAsia="zh-CN"/>
        </w:rPr>
        <w:t>新建挡土墙约25米，新建约挡水坝一座，新建排水沟约2000米，沿河道布置仿木混凝土栏杆约900米，铺种绿植约27500平方米，种植灌木约550株等，具体实施以施工图纸为准。</w:t>
      </w:r>
    </w:p>
    <w:p w14:paraId="45B0CA02">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1.1.3  </w:t>
      </w:r>
      <w:r>
        <w:rPr>
          <w:rFonts w:hint="eastAsia" w:ascii="宋体" w:hAnsi="宋体" w:eastAsia="宋体" w:cs="宋体"/>
          <w:color w:val="auto"/>
          <w:spacing w:val="-2"/>
          <w:sz w:val="24"/>
          <w:szCs w:val="24"/>
          <w:highlight w:val="none"/>
        </w:rPr>
        <w:t>项目总投资</w:t>
      </w:r>
      <w:r>
        <w:rPr>
          <w:rStyle w:val="20"/>
          <w:rFonts w:hint="eastAsia" w:ascii="宋体" w:hAnsi="宋体" w:eastAsia="宋体" w:cs="宋体"/>
          <w:color w:val="auto"/>
          <w:kern w:val="0"/>
          <w:sz w:val="24"/>
          <w:szCs w:val="24"/>
          <w:highlight w:val="none"/>
        </w:rPr>
        <w:t>：</w:t>
      </w:r>
      <w:r>
        <w:rPr>
          <w:rStyle w:val="20"/>
          <w:rFonts w:hint="eastAsia" w:ascii="宋体" w:hAnsi="宋体" w:eastAsia="宋体" w:cs="宋体"/>
          <w:color w:val="auto"/>
          <w:kern w:val="0"/>
          <w:sz w:val="24"/>
          <w:szCs w:val="24"/>
          <w:highlight w:val="none"/>
          <w:u w:val="single"/>
          <w:lang w:val="en-US" w:eastAsia="zh-CN"/>
        </w:rPr>
        <w:t>项目概算总投资502.92万元，其中工程费用399.60万元，工程建设其他费用79.37万元，预备费用23.95万元。</w:t>
      </w:r>
    </w:p>
    <w:p w14:paraId="76EA2F0B">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u w:val="none"/>
          <w:lang w:val="en-US" w:eastAsia="zh-CN"/>
        </w:rPr>
        <w:t>1</w:t>
      </w:r>
      <w:r>
        <w:rPr>
          <w:rFonts w:hint="eastAsia" w:ascii="宋体" w:hAnsi="宋体" w:eastAsia="宋体" w:cs="宋体"/>
          <w:b/>
          <w:bCs/>
          <w:color w:val="auto"/>
          <w:spacing w:val="-2"/>
          <w:sz w:val="24"/>
          <w:szCs w:val="24"/>
          <w:highlight w:val="none"/>
          <w:u w:val="none"/>
          <w:lang w:val="en-US" w:eastAsia="zh-CN"/>
        </w:rPr>
        <w:t xml:space="preserve">.2 </w:t>
      </w:r>
      <w:r>
        <w:rPr>
          <w:rFonts w:hint="eastAsia" w:ascii="宋体" w:hAnsi="宋体" w:eastAsia="宋体" w:cs="宋体"/>
          <w:color w:val="auto"/>
          <w:sz w:val="24"/>
          <w:szCs w:val="24"/>
          <w:highlight w:val="none"/>
          <w:u w:val="single"/>
          <w:lang w:val="en-US" w:eastAsia="zh-CN"/>
        </w:rPr>
        <w:t xml:space="preserve"> 招标范围和标段划分</w:t>
      </w:r>
    </w:p>
    <w:p w14:paraId="2307A456">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2"/>
          <w:sz w:val="24"/>
          <w:szCs w:val="24"/>
          <w:highlight w:val="none"/>
        </w:rPr>
        <w:t xml:space="preserve">1.2.1  </w:t>
      </w:r>
      <w:r>
        <w:rPr>
          <w:rFonts w:hint="eastAsia" w:ascii="宋体" w:hAnsi="宋体" w:eastAsia="宋体" w:cs="宋体"/>
          <w:color w:val="auto"/>
          <w:spacing w:val="-2"/>
          <w:sz w:val="24"/>
          <w:szCs w:val="24"/>
          <w:highlight w:val="none"/>
        </w:rPr>
        <w:t>招标范围：</w:t>
      </w:r>
      <w:r>
        <w:rPr>
          <w:rFonts w:hint="eastAsia" w:ascii="宋体" w:hAnsi="宋体" w:eastAsia="宋体" w:cs="宋体"/>
          <w:color w:val="auto"/>
          <w:spacing w:val="-1"/>
          <w:sz w:val="24"/>
          <w:szCs w:val="24"/>
          <w:highlight w:val="none"/>
        </w:rPr>
        <w:t>按审查合格的施工图纸及工程量清单内容施工</w:t>
      </w:r>
      <w:r>
        <w:rPr>
          <w:rFonts w:hint="eastAsia" w:ascii="宋体" w:hAnsi="宋体" w:eastAsia="宋体" w:cs="宋体"/>
          <w:color w:val="auto"/>
          <w:spacing w:val="-1"/>
          <w:sz w:val="24"/>
          <w:szCs w:val="24"/>
          <w:highlight w:val="none"/>
          <w:lang w:eastAsia="zh-CN"/>
        </w:rPr>
        <w:t>。</w:t>
      </w:r>
    </w:p>
    <w:p w14:paraId="1F279E88">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outlineLvl w:val="9"/>
        <w:rPr>
          <w:rFonts w:hint="eastAsia" w:ascii="宋体" w:hAnsi="宋体" w:eastAsia="宋体" w:cs="宋体"/>
          <w:color w:val="auto"/>
          <w:sz w:val="24"/>
          <w:szCs w:val="24"/>
          <w:highlight w:val="none"/>
        </w:rPr>
      </w:pPr>
      <w:bookmarkStart w:id="13" w:name="_Toc14190"/>
      <w:bookmarkStart w:id="14" w:name="_Toc28202"/>
      <w:bookmarkStart w:id="15" w:name="_Toc24593"/>
      <w:bookmarkStart w:id="16" w:name="_Toc20855"/>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标段划分：本招标项目不划分标段。</w:t>
      </w:r>
      <w:bookmarkEnd w:id="13"/>
      <w:bookmarkEnd w:id="14"/>
      <w:bookmarkEnd w:id="15"/>
      <w:bookmarkEnd w:id="16"/>
    </w:p>
    <w:p w14:paraId="6D2283DD">
      <w:pPr>
        <w:keepNext w:val="0"/>
        <w:keepLines w:val="0"/>
        <w:pageBreakBefore w:val="0"/>
        <w:widowControl/>
        <w:kinsoku w:val="0"/>
        <w:overflowPunct/>
        <w:topLinePunct w:val="0"/>
        <w:autoSpaceDE w:val="0"/>
        <w:autoSpaceDN w:val="0"/>
        <w:bidi w:val="0"/>
        <w:adjustRightInd w:val="0"/>
        <w:snapToGrid w:val="0"/>
        <w:spacing w:line="360" w:lineRule="auto"/>
        <w:ind w:left="13" w:right="65" w:firstLine="53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  </w:t>
      </w:r>
      <w:r>
        <w:rPr>
          <w:rFonts w:hint="eastAsia" w:ascii="宋体" w:hAnsi="宋体" w:eastAsia="宋体" w:cs="宋体"/>
          <w:color w:val="auto"/>
          <w:spacing w:val="-1"/>
          <w:sz w:val="24"/>
          <w:szCs w:val="24"/>
          <w:highlight w:val="none"/>
        </w:rPr>
        <w:t>投标费用：投标人应承担所有准备和参加投标的相关费用，不</w:t>
      </w:r>
      <w:r>
        <w:rPr>
          <w:rFonts w:hint="eastAsia" w:ascii="宋体" w:hAnsi="宋体" w:eastAsia="宋体" w:cs="宋体"/>
          <w:color w:val="auto"/>
          <w:spacing w:val="-2"/>
          <w:sz w:val="24"/>
          <w:szCs w:val="24"/>
          <w:highlight w:val="none"/>
        </w:rPr>
        <w:t>论投标结果如</w:t>
      </w:r>
      <w:r>
        <w:rPr>
          <w:rFonts w:hint="eastAsia" w:ascii="宋体" w:hAnsi="宋体" w:eastAsia="宋体" w:cs="宋体"/>
          <w:color w:val="auto"/>
          <w:spacing w:val="-1"/>
          <w:sz w:val="24"/>
          <w:szCs w:val="24"/>
          <w:highlight w:val="none"/>
        </w:rPr>
        <w:t>何，招标人均无义务和责任承担这些费用。</w:t>
      </w:r>
    </w:p>
    <w:p w14:paraId="51512139">
      <w:pPr>
        <w:keepNext w:val="0"/>
        <w:keepLines w:val="0"/>
        <w:pageBreakBefore w:val="0"/>
        <w:widowControl/>
        <w:kinsoku w:val="0"/>
        <w:overflowPunct/>
        <w:topLinePunct w:val="0"/>
        <w:autoSpaceDE w:val="0"/>
        <w:autoSpaceDN w:val="0"/>
        <w:bidi w:val="0"/>
        <w:adjustRightInd w:val="0"/>
        <w:snapToGrid w:val="0"/>
        <w:spacing w:line="360" w:lineRule="auto"/>
        <w:ind w:left="49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 xml:space="preserve">1.4  </w:t>
      </w:r>
      <w:r>
        <w:rPr>
          <w:rFonts w:hint="eastAsia" w:ascii="宋体" w:hAnsi="宋体" w:eastAsia="宋体" w:cs="宋体"/>
          <w:color w:val="auto"/>
          <w:spacing w:val="-6"/>
          <w:sz w:val="24"/>
          <w:szCs w:val="24"/>
          <w:highlight w:val="none"/>
        </w:rPr>
        <w:t>招标代理费用：</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82"/>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w:t>
      </w:r>
      <w:r>
        <w:rPr>
          <w:rFonts w:hint="eastAsia" w:ascii="宋体" w:hAnsi="宋体" w:eastAsia="宋体" w:cs="宋体"/>
          <w:color w:val="auto"/>
          <w:spacing w:val="6"/>
          <w:sz w:val="24"/>
          <w:szCs w:val="24"/>
          <w:highlight w:val="none"/>
        </w:rPr>
        <w:t>项目业主</w:t>
      </w:r>
      <w:r>
        <w:rPr>
          <w:rFonts w:hint="eastAsia" w:ascii="宋体" w:hAnsi="宋体" w:eastAsia="宋体" w:cs="宋体"/>
          <w:color w:val="auto"/>
          <w:spacing w:val="-6"/>
          <w:sz w:val="24"/>
          <w:szCs w:val="24"/>
          <w:highlight w:val="none"/>
          <w:shd w:val="clear" w:color="auto" w:fill="FFFFFF"/>
        </w:rPr>
        <w:t>支</w:t>
      </w:r>
      <w:r>
        <w:rPr>
          <w:rFonts w:hint="eastAsia" w:ascii="宋体" w:hAnsi="宋体" w:eastAsia="宋体" w:cs="宋体"/>
          <w:color w:val="auto"/>
          <w:spacing w:val="-6"/>
          <w:sz w:val="24"/>
          <w:szCs w:val="24"/>
          <w:highlight w:val="none"/>
        </w:rPr>
        <w:t>付</w:t>
      </w:r>
      <w:r>
        <w:rPr>
          <w:rFonts w:hint="eastAsia" w:ascii="宋体" w:hAnsi="宋体" w:eastAsia="宋体" w:cs="宋体"/>
          <w:color w:val="auto"/>
          <w:position w:val="-6"/>
          <w:sz w:val="24"/>
          <w:szCs w:val="24"/>
          <w:highlight w:val="none"/>
          <w:shd w:val="clear" w:color="auto" w:fill="FFFFFF"/>
          <w:lang w:eastAsia="zh-CN"/>
        </w:rPr>
        <w:t xml:space="preserve"> </w:t>
      </w:r>
      <w:r>
        <w:rPr>
          <w:rFonts w:hint="eastAsia" w:ascii="宋体" w:hAnsi="宋体" w:eastAsia="宋体" w:cs="宋体"/>
          <w:color w:val="auto"/>
          <w:spacing w:val="-6"/>
          <w:sz w:val="24"/>
          <w:szCs w:val="24"/>
          <w:highlight w:val="none"/>
          <w:shd w:val="clear" w:color="auto" w:fill="FFFFFF"/>
          <w:lang w:eastAsia="zh-CN"/>
        </w:rPr>
        <w:t>☑</w:t>
      </w:r>
      <w:r>
        <w:rPr>
          <w:rFonts w:hint="eastAsia" w:ascii="宋体" w:hAnsi="宋体" w:eastAsia="宋体" w:cs="宋体"/>
          <w:color w:val="auto"/>
          <w:spacing w:val="-81"/>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由中标人支付。</w:t>
      </w:r>
    </w:p>
    <w:p w14:paraId="03E76911">
      <w:pPr>
        <w:keepNext w:val="0"/>
        <w:keepLines w:val="0"/>
        <w:pageBreakBefore w:val="0"/>
        <w:widowControl/>
        <w:kinsoku w:val="0"/>
        <w:wordWrap w:val="0"/>
        <w:overflowPunct/>
        <w:topLinePunct w:val="0"/>
        <w:autoSpaceDE w:val="0"/>
        <w:autoSpaceDN w:val="0"/>
        <w:bidi w:val="0"/>
        <w:adjustRightInd w:val="0"/>
        <w:snapToGrid w:val="0"/>
        <w:spacing w:line="360" w:lineRule="auto"/>
        <w:ind w:firstLine="482" w:firstLineChars="200"/>
        <w:jc w:val="left"/>
        <w:textAlignment w:val="baseline"/>
        <w:outlineLvl w:val="2"/>
        <w:rPr>
          <w:rFonts w:hint="eastAsia" w:ascii="宋体" w:hAnsi="宋体" w:eastAsia="宋体" w:cs="宋体"/>
          <w:b w:val="0"/>
          <w:bCs w:val="0"/>
          <w:color w:val="auto"/>
          <w:sz w:val="24"/>
          <w:szCs w:val="24"/>
          <w:highlight w:val="none"/>
        </w:rPr>
      </w:pPr>
      <w:bookmarkStart w:id="17" w:name="_Toc8657"/>
      <w:r>
        <w:rPr>
          <w:rFonts w:hint="eastAsia" w:ascii="宋体" w:hAnsi="宋体" w:eastAsia="宋体" w:cs="宋体"/>
          <w:b/>
          <w:bCs/>
          <w:color w:val="auto"/>
          <w:sz w:val="24"/>
          <w:szCs w:val="24"/>
          <w:highlight w:val="none"/>
        </w:rPr>
        <w:t>2．</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资质要求</w:t>
      </w:r>
      <w:bookmarkEnd w:id="17"/>
    </w:p>
    <w:p w14:paraId="23060124">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2.1</w:t>
      </w:r>
      <w:r>
        <w:rPr>
          <w:rStyle w:val="20"/>
          <w:rFonts w:hint="eastAsia" w:ascii="宋体" w:hAnsi="宋体" w:eastAsia="宋体" w:cs="宋体"/>
          <w:b w:val="0"/>
          <w:bCs w:val="0"/>
          <w:color w:val="auto"/>
          <w:kern w:val="0"/>
          <w:sz w:val="24"/>
          <w:szCs w:val="24"/>
          <w:highlight w:val="none"/>
          <w:lang w:val="en-US" w:eastAsia="zh-CN"/>
        </w:rPr>
        <w:t xml:space="preserve"> 本次招标不接受联合体投标。</w:t>
      </w:r>
    </w:p>
    <w:p w14:paraId="35E5AE8D">
      <w:pPr>
        <w:wordWrap w:val="0"/>
        <w:adjustRightInd w:val="0"/>
        <w:snapToGrid w:val="0"/>
        <w:spacing w:line="360" w:lineRule="auto"/>
        <w:ind w:firstLine="482" w:firstLineChars="200"/>
        <w:rPr>
          <w:rStyle w:val="20"/>
          <w:rFonts w:hint="eastAsia" w:ascii="宋体" w:hAnsi="宋体" w:eastAsia="宋体" w:cs="宋体"/>
          <w:b w:val="0"/>
          <w:bCs w:val="0"/>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 </w:t>
      </w:r>
      <w:r>
        <w:rPr>
          <w:rStyle w:val="20"/>
          <w:rFonts w:hint="eastAsia" w:ascii="宋体" w:hAnsi="宋体" w:eastAsia="宋体" w:cs="宋体"/>
          <w:b w:val="0"/>
          <w:bCs w:val="0"/>
          <w:color w:val="auto"/>
          <w:kern w:val="0"/>
          <w:sz w:val="24"/>
          <w:szCs w:val="24"/>
          <w:highlight w:val="none"/>
          <w:lang w:val="en-US" w:eastAsia="zh-CN"/>
        </w:rPr>
        <w:t>资格资质要求</w:t>
      </w:r>
    </w:p>
    <w:p w14:paraId="62376B4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2.2.1 </w:t>
      </w:r>
      <w:r>
        <w:rPr>
          <w:rFonts w:hint="eastAsia" w:ascii="宋体" w:hAnsi="宋体" w:eastAsia="宋体" w:cs="宋体"/>
          <w:b w:val="0"/>
          <w:bCs w:val="0"/>
          <w:color w:val="auto"/>
          <w:sz w:val="24"/>
          <w:szCs w:val="24"/>
          <w:highlight w:val="none"/>
          <w:lang w:val="en-US" w:eastAsia="zh-CN"/>
        </w:rPr>
        <w:t>投标人须具备独立法人资格，按国家法律经营。</w:t>
      </w:r>
    </w:p>
    <w:p w14:paraId="6CD5160B">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2.2.2 </w:t>
      </w:r>
      <w:r>
        <w:rPr>
          <w:rFonts w:hint="eastAsia" w:ascii="宋体" w:hAnsi="宋体" w:eastAsia="宋体" w:cs="宋体"/>
          <w:b w:val="0"/>
          <w:bCs w:val="0"/>
          <w:color w:val="auto"/>
          <w:sz w:val="24"/>
          <w:szCs w:val="24"/>
          <w:highlight w:val="none"/>
          <w:lang w:val="en-US" w:eastAsia="zh-CN"/>
        </w:rPr>
        <w:t>投标人须持有建设行政主管部门颁发的企业资质证书及安全生产许可证。</w:t>
      </w:r>
    </w:p>
    <w:p w14:paraId="043527F0">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2.2.3 </w:t>
      </w:r>
      <w:r>
        <w:rPr>
          <w:rFonts w:hint="eastAsia" w:ascii="宋体" w:hAnsi="宋体" w:eastAsia="宋体" w:cs="宋体"/>
          <w:b w:val="0"/>
          <w:bCs w:val="0"/>
          <w:color w:val="auto"/>
          <w:sz w:val="24"/>
          <w:szCs w:val="24"/>
          <w:highlight w:val="none"/>
          <w:lang w:val="en-US" w:eastAsia="zh-CN"/>
        </w:rPr>
        <w:t>投标人须具备以下资质：</w:t>
      </w:r>
      <w:r>
        <w:rPr>
          <w:rFonts w:hint="eastAsia" w:ascii="宋体" w:hAnsi="宋体" w:eastAsia="宋体" w:cs="宋体"/>
          <w:b w:val="0"/>
          <w:bCs w:val="0"/>
          <w:color w:val="auto"/>
          <w:sz w:val="24"/>
          <w:szCs w:val="24"/>
          <w:highlight w:val="none"/>
          <w:u w:val="single"/>
          <w:lang w:val="en-US" w:eastAsia="zh-CN"/>
        </w:rPr>
        <w:t>具有建设行政主管部门颁发的市政公用工程施工总承包叁级(含叁级)以上资质。</w:t>
      </w:r>
    </w:p>
    <w:p w14:paraId="1396A9AD">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2.2.4 </w:t>
      </w:r>
      <w:r>
        <w:rPr>
          <w:rFonts w:hint="eastAsia" w:ascii="宋体" w:hAnsi="宋体" w:eastAsia="宋体" w:cs="宋体"/>
          <w:b w:val="0"/>
          <w:bCs w:val="0"/>
          <w:color w:val="auto"/>
          <w:sz w:val="24"/>
          <w:szCs w:val="24"/>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1B37663C">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 </w:t>
      </w:r>
      <w:r>
        <w:rPr>
          <w:rFonts w:hint="eastAsia" w:ascii="宋体" w:hAnsi="宋体" w:eastAsia="宋体" w:cs="宋体"/>
          <w:b w:val="0"/>
          <w:bCs w:val="0"/>
          <w:color w:val="auto"/>
          <w:sz w:val="24"/>
          <w:szCs w:val="24"/>
          <w:highlight w:val="none"/>
          <w:lang w:val="en-US" w:eastAsia="zh-CN"/>
        </w:rPr>
        <w:t>相关人员要求</w:t>
      </w:r>
    </w:p>
    <w:p w14:paraId="6C531DE2">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2.3.1 </w:t>
      </w:r>
      <w:r>
        <w:rPr>
          <w:rFonts w:hint="eastAsia" w:ascii="宋体" w:hAnsi="宋体" w:eastAsia="宋体" w:cs="宋体"/>
          <w:b w:val="0"/>
          <w:bCs w:val="0"/>
          <w:color w:val="auto"/>
          <w:sz w:val="24"/>
          <w:szCs w:val="24"/>
          <w:highlight w:val="none"/>
          <w:lang w:val="en-US" w:eastAsia="zh-CN"/>
        </w:rPr>
        <w:t>拟派项目经理为</w:t>
      </w:r>
      <w:r>
        <w:rPr>
          <w:rFonts w:hint="eastAsia" w:ascii="宋体" w:hAnsi="宋体" w:eastAsia="宋体" w:cs="宋体"/>
          <w:b w:val="0"/>
          <w:bCs w:val="0"/>
          <w:color w:val="auto"/>
          <w:sz w:val="24"/>
          <w:szCs w:val="24"/>
          <w:highlight w:val="none"/>
          <w:u w:val="single"/>
          <w:lang w:val="en-US" w:eastAsia="zh-CN"/>
        </w:rPr>
        <w:t xml:space="preserve"> 市政工程 </w:t>
      </w:r>
      <w:r>
        <w:rPr>
          <w:rFonts w:hint="eastAsia" w:ascii="宋体" w:hAnsi="宋体" w:eastAsia="宋体" w:cs="宋体"/>
          <w:b w:val="0"/>
          <w:bCs w:val="0"/>
          <w:color w:val="auto"/>
          <w:sz w:val="24"/>
          <w:szCs w:val="24"/>
          <w:highlight w:val="none"/>
          <w:lang w:val="en-US" w:eastAsia="zh-CN"/>
        </w:rPr>
        <w:t xml:space="preserve">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  </w:t>
      </w:r>
    </w:p>
    <w:p w14:paraId="736A262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2.3.2 </w:t>
      </w:r>
      <w:r>
        <w:rPr>
          <w:rFonts w:hint="eastAsia" w:ascii="宋体" w:hAnsi="宋体" w:eastAsia="宋体" w:cs="宋体"/>
          <w:b w:val="0"/>
          <w:bCs w:val="0"/>
          <w:color w:val="auto"/>
          <w:sz w:val="24"/>
          <w:szCs w:val="24"/>
          <w:highlight w:val="none"/>
          <w:lang w:val="en-US" w:eastAsia="zh-CN"/>
        </w:rPr>
        <w:t>拟派项目技术负责人须具备</w:t>
      </w:r>
      <w:r>
        <w:rPr>
          <w:rFonts w:hint="eastAsia" w:ascii="宋体" w:hAnsi="宋体" w:eastAsia="宋体" w:cs="宋体"/>
          <w:b w:val="0"/>
          <w:bCs w:val="0"/>
          <w:color w:val="auto"/>
          <w:sz w:val="24"/>
          <w:szCs w:val="24"/>
          <w:highlight w:val="none"/>
          <w:u w:val="single"/>
          <w:lang w:val="en-US" w:eastAsia="zh-CN"/>
        </w:rPr>
        <w:t xml:space="preserve"> 市政工程</w:t>
      </w:r>
      <w:r>
        <w:rPr>
          <w:rFonts w:hint="eastAsia" w:ascii="宋体" w:hAnsi="宋体" w:eastAsia="宋体" w:cs="宋体"/>
          <w:b w:val="0"/>
          <w:bCs w:val="0"/>
          <w:color w:val="auto"/>
          <w:sz w:val="24"/>
          <w:szCs w:val="24"/>
          <w:highlight w:val="none"/>
          <w:lang w:val="en-US" w:eastAsia="zh-CN"/>
        </w:rPr>
        <w:t>类相关专业中级或以上技术职称。</w:t>
      </w:r>
    </w:p>
    <w:p w14:paraId="3C9096CE">
      <w:pPr>
        <w:wordWrap w:val="0"/>
        <w:adjustRightInd w:val="0"/>
        <w:snapToGrid w:val="0"/>
        <w:spacing w:line="360" w:lineRule="auto"/>
        <w:ind w:firstLine="482" w:firstLineChars="200"/>
        <w:rPr>
          <w:rStyle w:val="20"/>
          <w:rFonts w:hint="eastAsia" w:ascii="宋体" w:hAnsi="宋体" w:eastAsia="宋体" w:cs="宋体"/>
          <w:b/>
          <w:bCs/>
          <w:color w:val="auto"/>
          <w:kern w:val="0"/>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2.3.3 </w:t>
      </w:r>
      <w:r>
        <w:rPr>
          <w:rFonts w:hint="eastAsia" w:ascii="宋体" w:hAnsi="宋体" w:eastAsia="宋体" w:cs="宋体"/>
          <w:b w:val="0"/>
          <w:bCs w:val="0"/>
          <w:color w:val="auto"/>
          <w:sz w:val="24"/>
          <w:szCs w:val="24"/>
          <w:highlight w:val="none"/>
          <w:lang w:val="en-US" w:eastAsia="zh-CN"/>
        </w:rPr>
        <w:t xml:space="preserve">拟派专职安全生产管理人员须具备有效安全生产考核合格证明（C证，安全生产考核合格证书或“广东省建筑施工企业管理人员安全生产考核信息系统”考核合格信息打印页），且不少于1人。 </w:t>
      </w:r>
    </w:p>
    <w:p w14:paraId="711B4950">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0"/>
          <w:rFonts w:hint="eastAsia" w:ascii="宋体" w:hAnsi="宋体" w:eastAsia="宋体" w:cs="宋体"/>
          <w:b/>
          <w:bCs/>
          <w:color w:val="auto"/>
          <w:kern w:val="0"/>
          <w:sz w:val="24"/>
          <w:szCs w:val="24"/>
          <w:highlight w:val="none"/>
          <w:lang w:val="en-US" w:eastAsia="zh-CN"/>
        </w:rPr>
        <w:t xml:space="preserve">2.3.4 </w:t>
      </w:r>
      <w:r>
        <w:rPr>
          <w:rFonts w:hint="eastAsia" w:ascii="宋体" w:hAnsi="宋体" w:eastAsia="宋体" w:cs="宋体"/>
          <w:b w:val="0"/>
          <w:bCs w:val="0"/>
          <w:color w:val="auto"/>
          <w:sz w:val="24"/>
          <w:szCs w:val="24"/>
          <w:highlight w:val="none"/>
          <w:lang w:val="en-US" w:eastAsia="zh-CN"/>
        </w:rPr>
        <w:t>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6B0DD0FC">
      <w:pPr>
        <w:spacing w:before="78"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  </w:t>
      </w:r>
      <w:r>
        <w:rPr>
          <w:rFonts w:hint="eastAsia" w:ascii="宋体" w:hAnsi="宋体" w:eastAsia="宋体" w:cs="宋体"/>
          <w:color w:val="auto"/>
          <w:spacing w:val="-1"/>
          <w:sz w:val="24"/>
          <w:szCs w:val="24"/>
          <w:highlight w:val="none"/>
        </w:rPr>
        <w:t>禁止投标条款</w:t>
      </w:r>
    </w:p>
    <w:p w14:paraId="198E7E83">
      <w:pPr>
        <w:spacing w:before="153"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2.4.1  </w:t>
      </w:r>
      <w:r>
        <w:rPr>
          <w:rFonts w:hint="eastAsia" w:ascii="宋体" w:hAnsi="宋体" w:eastAsia="宋体" w:cs="宋体"/>
          <w:color w:val="auto"/>
          <w:spacing w:val="-1"/>
          <w:sz w:val="24"/>
          <w:szCs w:val="24"/>
          <w:highlight w:val="none"/>
        </w:rPr>
        <w:t>投标人不得存在下列情形之一：</w:t>
      </w:r>
    </w:p>
    <w:p w14:paraId="6C5CBCD6">
      <w:pPr>
        <w:spacing w:before="153"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（1）为招标人不具有独立法人资格的附属机构（单位</w:t>
      </w:r>
      <w:r>
        <w:rPr>
          <w:rFonts w:hint="eastAsia" w:ascii="宋体" w:hAnsi="宋体" w:eastAsia="宋体" w:cs="宋体"/>
          <w:color w:val="auto"/>
          <w:spacing w:val="1"/>
          <w:sz w:val="24"/>
          <w:szCs w:val="24"/>
          <w:highlight w:val="none"/>
        </w:rPr>
        <w:t>）；</w:t>
      </w:r>
    </w:p>
    <w:p w14:paraId="00645A12">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（2）为本招标项目前期准备提供设计或咨询服务的；</w:t>
      </w:r>
    </w:p>
    <w:p w14:paraId="466E2120">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（3）与本招标项目的其他投标人为同一个单位负责人；</w:t>
      </w:r>
    </w:p>
    <w:p w14:paraId="358EB851">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（4）与本招标项目的其他投标人存在控股、管理关系；</w:t>
      </w:r>
    </w:p>
    <w:p w14:paraId="6D365ADF">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（5）为本招标项目的监理人；</w:t>
      </w:r>
    </w:p>
    <w:p w14:paraId="661267E9">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（6）为本招标项目的代建人；</w:t>
      </w:r>
    </w:p>
    <w:p w14:paraId="6248B25F">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（7）为本招标项目的招标代理机构；</w:t>
      </w:r>
    </w:p>
    <w:p w14:paraId="199345F5">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（8）与本招标项目的监理人或代建人或招标代理机构同为一个法定代表人；</w:t>
      </w:r>
    </w:p>
    <w:p w14:paraId="42A9F078">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（9）与本招标项目的监理人或代建人或招标代理机构存在控股或参股关系；</w:t>
      </w:r>
    </w:p>
    <w:p w14:paraId="3ED798D0">
      <w:pPr>
        <w:spacing w:before="155" w:line="219" w:lineRule="auto"/>
        <w:ind w:firstLine="468"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（10）与本招标项目的监理人或代建人或招标代理机构存在相互</w:t>
      </w:r>
      <w:r>
        <w:rPr>
          <w:rFonts w:hint="eastAsia" w:ascii="宋体" w:hAnsi="宋体" w:eastAsia="宋体" w:cs="宋体"/>
          <w:color w:val="auto"/>
          <w:spacing w:val="-4"/>
          <w:sz w:val="24"/>
          <w:szCs w:val="24"/>
          <w:highlight w:val="none"/>
        </w:rPr>
        <w:t>任职或工作关系；</w:t>
      </w:r>
    </w:p>
    <w:p w14:paraId="3D5B3F7C">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（11）被依法暂停或者取消投标资格；</w:t>
      </w:r>
    </w:p>
    <w:p w14:paraId="649343BB">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（12）被责令停产停业、暂扣或者吊销许可证、暂扣或者吊销执照；</w:t>
      </w:r>
    </w:p>
    <w:p w14:paraId="1E4B846B">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（13）进入清算程序，或被宣告破产，或其他丧失履约能力的情形；</w:t>
      </w:r>
    </w:p>
    <w:p w14:paraId="73DFCEAC">
      <w:pPr>
        <w:pStyle w:val="22"/>
        <w:wordWrap w:val="0"/>
        <w:adjustRightInd w:val="0"/>
        <w:snapToGrid w:val="0"/>
        <w:spacing w:line="440" w:lineRule="exact"/>
        <w:ind w:firstLine="480"/>
        <w:jc w:val="left"/>
        <w:rPr>
          <w:rFonts w:hint="eastAsia" w:ascii="宋体" w:hAnsi="宋体" w:eastAsia="宋体" w:cs="宋体"/>
          <w:color w:val="auto"/>
          <w:spacing w:val="2"/>
          <w:sz w:val="24"/>
          <w:szCs w:val="24"/>
          <w:highlight w:val="none"/>
        </w:rPr>
      </w:pPr>
      <w:bookmarkStart w:id="18" w:name="bookmark116"/>
      <w:bookmarkEnd w:id="18"/>
      <w:r>
        <w:rPr>
          <w:rFonts w:hint="eastAsia" w:ascii="宋体" w:hAnsi="宋体" w:eastAsia="宋体" w:cs="宋体"/>
          <w:color w:val="auto"/>
          <w:spacing w:val="-1"/>
          <w:sz w:val="24"/>
          <w:szCs w:val="24"/>
          <w:highlight w:val="none"/>
        </w:rPr>
        <w:t>处罚决定或司法机关出具的有关法律文书为准</w:t>
      </w:r>
      <w:r>
        <w:rPr>
          <w:rFonts w:hint="eastAsia" w:ascii="宋体" w:hAnsi="宋体" w:eastAsia="宋体" w:cs="宋体"/>
          <w:color w:val="auto"/>
          <w:spacing w:val="2"/>
          <w:sz w:val="24"/>
          <w:szCs w:val="24"/>
          <w:highlight w:val="none"/>
        </w:rPr>
        <w:t>）；</w:t>
      </w:r>
    </w:p>
    <w:p w14:paraId="39E50891">
      <w:pPr>
        <w:pStyle w:val="22"/>
        <w:wordWrap w:val="0"/>
        <w:adjustRightInd w:val="0"/>
        <w:snapToGrid w:val="0"/>
        <w:spacing w:line="44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rPr>
        <w:t>（14）在最近三年内发生重大工程质量或安全问题（以相关行业主管部门的行政处罚决定或司法机关出具的有关法律文书为准）；</w:t>
      </w:r>
    </w:p>
    <w:p w14:paraId="40B021B1">
      <w:pPr>
        <w:spacing w:before="118" w:line="293" w:lineRule="auto"/>
        <w:ind w:left="232" w:right="99" w:firstLine="36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（15）被“信用中国</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”网站（https://www.creditchina.gov.cn）发布的《法人和</w:t>
      </w:r>
      <w:r>
        <w:rPr>
          <w:rFonts w:hint="eastAsia" w:ascii="宋体" w:hAnsi="宋体" w:eastAsia="宋体" w:cs="宋体"/>
          <w:color w:val="auto"/>
          <w:spacing w:val="-3"/>
          <w:sz w:val="24"/>
          <w:szCs w:val="24"/>
          <w:highlight w:val="none"/>
        </w:rPr>
        <w:t>非法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人组织公共信用信息报告</w:t>
      </w:r>
      <w:r>
        <w:rPr>
          <w:rFonts w:hint="eastAsia" w:ascii="宋体" w:hAnsi="宋体" w:eastAsia="宋体" w:cs="宋体"/>
          <w:snapToGrid w:val="0"/>
          <w:color w:val="auto"/>
          <w:kern w:val="0"/>
          <w:sz w:val="24"/>
          <w:szCs w:val="24"/>
          <w:highlight w:val="none"/>
          <w:lang w:val="en-US" w:eastAsia="zh-CN" w:bidi="ar-SA"/>
        </w:rPr>
        <w:t>》列为严重失信主体名单的</w:t>
      </w:r>
      <w:r>
        <w:rPr>
          <w:rFonts w:hint="eastAsia" w:ascii="宋体" w:hAnsi="宋体" w:eastAsia="宋体" w:cs="宋体"/>
          <w:color w:val="auto"/>
          <w:spacing w:val="2"/>
          <w:sz w:val="24"/>
          <w:szCs w:val="24"/>
          <w:highlight w:val="none"/>
        </w:rPr>
        <w:t>。</w:t>
      </w:r>
    </w:p>
    <w:p w14:paraId="26B8C09D">
      <w:pPr>
        <w:spacing w:before="155" w:line="219" w:lineRule="auto"/>
        <w:ind w:left="706"/>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 xml:space="preserve">2.4.2  </w:t>
      </w:r>
      <w:r>
        <w:rPr>
          <w:rFonts w:hint="eastAsia" w:ascii="宋体" w:hAnsi="宋体" w:eastAsia="宋体" w:cs="宋体"/>
          <w:color w:val="auto"/>
          <w:sz w:val="24"/>
          <w:szCs w:val="24"/>
          <w:highlight w:val="none"/>
        </w:rPr>
        <w:t>招标人拒绝以下名单中的单位</w:t>
      </w:r>
      <w:r>
        <w:rPr>
          <w:rFonts w:hint="eastAsia" w:ascii="宋体" w:hAnsi="宋体" w:eastAsia="宋体" w:cs="宋体"/>
          <w:color w:val="auto"/>
          <w:spacing w:val="-1"/>
          <w:sz w:val="24"/>
          <w:szCs w:val="24"/>
          <w:highlight w:val="none"/>
        </w:rPr>
        <w:t>参加本次投标：</w:t>
      </w:r>
    </w:p>
    <w:tbl>
      <w:tblPr>
        <w:tblStyle w:val="14"/>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4342"/>
        <w:gridCol w:w="3781"/>
      </w:tblGrid>
      <w:tr w14:paraId="2AD2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674" w:type="dxa"/>
            <w:vAlign w:val="center"/>
          </w:tcPr>
          <w:p w14:paraId="3527625A">
            <w:pPr>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序号</w:t>
            </w:r>
          </w:p>
        </w:tc>
        <w:tc>
          <w:tcPr>
            <w:tcW w:w="4342" w:type="dxa"/>
            <w:vAlign w:val="center"/>
          </w:tcPr>
          <w:p w14:paraId="06DDADB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单位名称</w:t>
            </w:r>
          </w:p>
        </w:tc>
        <w:tc>
          <w:tcPr>
            <w:tcW w:w="3781" w:type="dxa"/>
            <w:vAlign w:val="center"/>
          </w:tcPr>
          <w:p w14:paraId="0603D0F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拒绝原因</w:t>
            </w:r>
          </w:p>
        </w:tc>
      </w:tr>
      <w:tr w14:paraId="5A8C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74" w:type="dxa"/>
            <w:vAlign w:val="center"/>
          </w:tcPr>
          <w:p w14:paraId="5A5275F1">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p>
        </w:tc>
        <w:tc>
          <w:tcPr>
            <w:tcW w:w="4342" w:type="dxa"/>
            <w:vAlign w:val="center"/>
          </w:tcPr>
          <w:p w14:paraId="17060886">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仁化县丹霞旅游经济开发试验区管理委员会</w:t>
            </w:r>
          </w:p>
        </w:tc>
        <w:tc>
          <w:tcPr>
            <w:tcW w:w="3781" w:type="dxa"/>
            <w:vAlign w:val="center"/>
          </w:tcPr>
          <w:p w14:paraId="0B8078DF">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为本招标项目的招标人</w:t>
            </w:r>
          </w:p>
        </w:tc>
      </w:tr>
      <w:tr w14:paraId="2EAC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74" w:type="dxa"/>
            <w:vAlign w:val="center"/>
          </w:tcPr>
          <w:p w14:paraId="7E6BFF08">
            <w:pPr>
              <w:pStyle w:val="22"/>
              <w:wordWrap w:val="0"/>
              <w:adjustRightInd w:val="0"/>
              <w:snapToGrid w:val="0"/>
              <w:spacing w:line="3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2</w:t>
            </w:r>
          </w:p>
        </w:tc>
        <w:tc>
          <w:tcPr>
            <w:tcW w:w="4342" w:type="dxa"/>
            <w:vAlign w:val="center"/>
          </w:tcPr>
          <w:p w14:paraId="320355F4">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广东爱科工程咨询管理有限公司</w:t>
            </w:r>
          </w:p>
        </w:tc>
        <w:tc>
          <w:tcPr>
            <w:tcW w:w="3781" w:type="dxa"/>
            <w:vAlign w:val="center"/>
          </w:tcPr>
          <w:p w14:paraId="02229CA8">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为本招标项目的招标代理机构</w:t>
            </w:r>
          </w:p>
        </w:tc>
      </w:tr>
      <w:tr w14:paraId="4011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74" w:type="dxa"/>
            <w:vAlign w:val="center"/>
          </w:tcPr>
          <w:p w14:paraId="0E8B6A0B">
            <w:pPr>
              <w:pStyle w:val="22"/>
              <w:wordWrap w:val="0"/>
              <w:adjustRightInd w:val="0"/>
              <w:snapToGrid w:val="0"/>
              <w:spacing w:line="34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3</w:t>
            </w:r>
          </w:p>
        </w:tc>
        <w:tc>
          <w:tcPr>
            <w:tcW w:w="4342" w:type="dxa"/>
            <w:vAlign w:val="center"/>
          </w:tcPr>
          <w:p w14:paraId="4F1530B4">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广州博厦建筑设计研究院有限公司</w:t>
            </w:r>
          </w:p>
        </w:tc>
        <w:tc>
          <w:tcPr>
            <w:tcW w:w="3781" w:type="dxa"/>
            <w:vAlign w:val="center"/>
          </w:tcPr>
          <w:p w14:paraId="14674249">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cs="宋体"/>
                <w:snapToGrid w:val="0"/>
                <w:color w:val="auto"/>
                <w:kern w:val="0"/>
                <w:sz w:val="21"/>
                <w:szCs w:val="21"/>
                <w:highlight w:val="none"/>
                <w:lang w:val="en-US" w:eastAsia="zh-CN"/>
              </w:rPr>
              <w:t>设计单位</w:t>
            </w:r>
          </w:p>
        </w:tc>
      </w:tr>
      <w:tr w14:paraId="125D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74" w:type="dxa"/>
            <w:vAlign w:val="center"/>
          </w:tcPr>
          <w:p w14:paraId="390F504E">
            <w:pPr>
              <w:pStyle w:val="22"/>
              <w:wordWrap w:val="0"/>
              <w:adjustRightInd w:val="0"/>
              <w:snapToGrid w:val="0"/>
              <w:spacing w:line="34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4342" w:type="dxa"/>
            <w:vAlign w:val="center"/>
          </w:tcPr>
          <w:p w14:paraId="143764F9">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中核大地生态科技有限公司</w:t>
            </w:r>
          </w:p>
        </w:tc>
        <w:tc>
          <w:tcPr>
            <w:tcW w:w="3781" w:type="dxa"/>
            <w:vAlign w:val="center"/>
          </w:tcPr>
          <w:p w14:paraId="3F5FDAEA">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eastAsia="宋体" w:cs="宋体"/>
                <w:snapToGrid w:val="0"/>
                <w:color w:val="auto"/>
                <w:kern w:val="0"/>
                <w:sz w:val="21"/>
                <w:szCs w:val="21"/>
                <w:highlight w:val="none"/>
                <w:lang w:val="en-US" w:eastAsia="zh-CN"/>
              </w:rPr>
              <w:t>勘察单位</w:t>
            </w:r>
          </w:p>
        </w:tc>
      </w:tr>
      <w:tr w14:paraId="7CA4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74" w:type="dxa"/>
            <w:vAlign w:val="center"/>
          </w:tcPr>
          <w:p w14:paraId="353A693D">
            <w:pPr>
              <w:pStyle w:val="22"/>
              <w:wordWrap w:val="0"/>
              <w:adjustRightInd w:val="0"/>
              <w:snapToGrid w:val="0"/>
              <w:spacing w:line="34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4342" w:type="dxa"/>
            <w:vAlign w:val="center"/>
          </w:tcPr>
          <w:p w14:paraId="2A0F69A7">
            <w:pPr>
              <w:pStyle w:val="22"/>
              <w:wordWrap w:val="0"/>
              <w:adjustRightInd w:val="0"/>
              <w:snapToGrid w:val="0"/>
              <w:spacing w:line="340" w:lineRule="exact"/>
              <w:jc w:val="left"/>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首盛国际工程咨询集团有限公司</w:t>
            </w:r>
          </w:p>
        </w:tc>
        <w:tc>
          <w:tcPr>
            <w:tcW w:w="3781" w:type="dxa"/>
            <w:vAlign w:val="center"/>
          </w:tcPr>
          <w:p w14:paraId="046ADFFB">
            <w:pPr>
              <w:pStyle w:val="22"/>
              <w:wordWrap w:val="0"/>
              <w:adjustRightInd w:val="0"/>
              <w:snapToGrid w:val="0"/>
              <w:spacing w:line="340" w:lineRule="exact"/>
              <w:jc w:val="left"/>
              <w:rPr>
                <w:rFonts w:hint="default" w:ascii="宋体" w:hAnsi="宋体" w:eastAsia="宋体" w:cs="宋体"/>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val="en-US" w:eastAsia="zh-CN"/>
              </w:rPr>
              <w:t>为本招标项目的监理单位</w:t>
            </w:r>
          </w:p>
        </w:tc>
      </w:tr>
      <w:tr w14:paraId="6DB8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4" w:type="dxa"/>
            <w:vAlign w:val="center"/>
          </w:tcPr>
          <w:p w14:paraId="414B7BC3">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6</w:t>
            </w:r>
          </w:p>
        </w:tc>
        <w:tc>
          <w:tcPr>
            <w:tcW w:w="4342" w:type="dxa"/>
            <w:vAlign w:val="center"/>
          </w:tcPr>
          <w:p w14:paraId="70F3CFB1">
            <w:pPr>
              <w:pStyle w:val="22"/>
              <w:wordWrap w:val="0"/>
              <w:adjustRightInd w:val="0"/>
              <w:snapToGrid w:val="0"/>
              <w:spacing w:line="34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广东加达工程咨询有限公司</w:t>
            </w:r>
          </w:p>
        </w:tc>
        <w:tc>
          <w:tcPr>
            <w:tcW w:w="3781" w:type="dxa"/>
            <w:vAlign w:val="center"/>
          </w:tcPr>
          <w:p w14:paraId="26ED63D1">
            <w:pPr>
              <w:pStyle w:val="22"/>
              <w:wordWrap w:val="0"/>
              <w:adjustRightInd w:val="0"/>
              <w:snapToGrid w:val="0"/>
              <w:spacing w:line="34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cs="宋体"/>
                <w:snapToGrid w:val="0"/>
                <w:color w:val="auto"/>
                <w:kern w:val="0"/>
                <w:sz w:val="21"/>
                <w:szCs w:val="21"/>
                <w:highlight w:val="none"/>
                <w:lang w:eastAsia="zh-CN"/>
              </w:rPr>
              <w:t>为本招标项目的全过程造价咨询单位</w:t>
            </w:r>
          </w:p>
        </w:tc>
      </w:tr>
      <w:tr w14:paraId="0665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674" w:type="dxa"/>
            <w:vAlign w:val="center"/>
          </w:tcPr>
          <w:p w14:paraId="4F745C96">
            <w:pPr>
              <w:pStyle w:val="22"/>
              <w:wordWrap w:val="0"/>
              <w:adjustRightInd w:val="0"/>
              <w:snapToGrid w:val="0"/>
              <w:spacing w:line="340" w:lineRule="exact"/>
              <w:jc w:val="center"/>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7</w:t>
            </w:r>
          </w:p>
        </w:tc>
        <w:tc>
          <w:tcPr>
            <w:tcW w:w="4342" w:type="dxa"/>
            <w:vAlign w:val="center"/>
          </w:tcPr>
          <w:p w14:paraId="2E27B5B3">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仁化县住房和城乡建设管理局</w:t>
            </w:r>
          </w:p>
        </w:tc>
        <w:tc>
          <w:tcPr>
            <w:tcW w:w="3781" w:type="dxa"/>
            <w:vAlign w:val="center"/>
          </w:tcPr>
          <w:p w14:paraId="664D91FB">
            <w:pPr>
              <w:wordWrap w:val="0"/>
              <w:adjustRightInd w:val="0"/>
              <w:snapToGrid w:val="0"/>
              <w:spacing w:line="24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为本招标项目的监督单位</w:t>
            </w:r>
          </w:p>
        </w:tc>
      </w:tr>
    </w:tbl>
    <w:p w14:paraId="7FDEB427">
      <w:pPr>
        <w:spacing w:line="93" w:lineRule="auto"/>
        <w:rPr>
          <w:rFonts w:hint="eastAsia" w:ascii="宋体" w:hAnsi="宋体" w:eastAsia="宋体" w:cs="宋体"/>
          <w:color w:val="auto"/>
          <w:sz w:val="2"/>
          <w:highlight w:val="none"/>
        </w:rPr>
      </w:pPr>
    </w:p>
    <w:p w14:paraId="44FD298A">
      <w:pPr>
        <w:spacing w:before="153" w:line="221" w:lineRule="auto"/>
        <w:ind w:left="70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其他要求</w:t>
      </w:r>
    </w:p>
    <w:p w14:paraId="329532D5">
      <w:pPr>
        <w:spacing w:before="150" w:line="334" w:lineRule="auto"/>
        <w:ind w:left="232" w:right="99" w:firstLine="481"/>
        <w:rPr>
          <w:rFonts w:hint="eastAsia" w:ascii="宋体" w:hAnsi="宋体" w:eastAsia="宋体" w:cs="宋体"/>
          <w:color w:val="auto"/>
          <w:highlight w:val="none"/>
        </w:rPr>
      </w:pPr>
      <w:r>
        <w:rPr>
          <w:rFonts w:hint="eastAsia" w:ascii="宋体" w:hAnsi="宋体" w:eastAsia="宋体" w:cs="宋体"/>
          <w:color w:val="auto"/>
          <w:spacing w:val="-1"/>
          <w:sz w:val="24"/>
          <w:szCs w:val="24"/>
          <w:highlight w:val="none"/>
        </w:rPr>
        <w:t>省外企业及其拟派往本项目管理机构的所有</w:t>
      </w:r>
      <w:r>
        <w:rPr>
          <w:rFonts w:hint="eastAsia" w:ascii="宋体" w:hAnsi="宋体" w:eastAsia="宋体" w:cs="宋体"/>
          <w:color w:val="auto"/>
          <w:spacing w:val="-2"/>
          <w:sz w:val="24"/>
          <w:szCs w:val="24"/>
          <w:highlight w:val="none"/>
        </w:rPr>
        <w:t>人员均须按照《广东省住房和城乡建</w:t>
      </w:r>
      <w:r>
        <w:rPr>
          <w:rFonts w:hint="eastAsia" w:ascii="宋体" w:hAnsi="宋体" w:eastAsia="宋体" w:cs="宋体"/>
          <w:color w:val="auto"/>
          <w:spacing w:val="-1"/>
          <w:sz w:val="24"/>
          <w:szCs w:val="24"/>
          <w:highlight w:val="none"/>
        </w:rPr>
        <w:t>设厅关于取消省外建筑企业和人员进粤信息备案有关工作的通知》</w:t>
      </w:r>
      <w:r>
        <w:rPr>
          <w:rFonts w:hint="eastAsia" w:ascii="宋体" w:hAnsi="宋体" w:eastAsia="宋体" w:cs="宋体"/>
          <w:color w:val="auto"/>
          <w:spacing w:val="-2"/>
          <w:sz w:val="24"/>
          <w:szCs w:val="24"/>
          <w:highlight w:val="none"/>
        </w:rPr>
        <w:t>（粤建市﹝2015﹞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52</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4"/>
          <w:sz w:val="24"/>
          <w:szCs w:val="24"/>
          <w:highlight w:val="none"/>
        </w:rPr>
        <w:t>号）规定在“进粤企业和人员诚信信息登记平台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”录入相关信息并通过数</w:t>
      </w:r>
      <w:r>
        <w:rPr>
          <w:rFonts w:hint="eastAsia" w:ascii="宋体" w:hAnsi="宋体" w:eastAsia="宋体" w:cs="宋体"/>
          <w:color w:val="auto"/>
          <w:spacing w:val="-5"/>
          <w:sz w:val="24"/>
          <w:szCs w:val="24"/>
          <w:highlight w:val="none"/>
        </w:rPr>
        <w:t>据规范检</w:t>
      </w:r>
      <w:r>
        <w:rPr>
          <w:rFonts w:hint="eastAsia" w:ascii="宋体" w:hAnsi="宋体" w:eastAsia="宋体" w:cs="宋体"/>
          <w:color w:val="auto"/>
          <w:spacing w:val="-6"/>
          <w:sz w:val="24"/>
          <w:szCs w:val="24"/>
          <w:highlight w:val="none"/>
        </w:rPr>
        <w:t>查。</w:t>
      </w:r>
    </w:p>
    <w:p w14:paraId="0063DCBD">
      <w:pPr>
        <w:spacing w:before="79" w:line="220" w:lineRule="auto"/>
        <w:ind w:left="715"/>
        <w:outlineLvl w:val="2"/>
        <w:rPr>
          <w:rFonts w:hint="eastAsia" w:ascii="宋体" w:hAnsi="宋体" w:eastAsia="宋体" w:cs="宋体"/>
          <w:color w:val="auto"/>
          <w:sz w:val="24"/>
          <w:szCs w:val="24"/>
          <w:highlight w:val="none"/>
        </w:rPr>
      </w:pPr>
      <w:bookmarkStart w:id="19" w:name="_Toc23243"/>
      <w:bookmarkStart w:id="20" w:name="_Toc18125"/>
      <w:r>
        <w:rPr>
          <w:rFonts w:hint="eastAsia" w:ascii="宋体" w:hAnsi="宋体" w:eastAsia="宋体" w:cs="宋体"/>
          <w:b/>
          <w:bCs/>
          <w:color w:val="auto"/>
          <w:spacing w:val="-4"/>
          <w:sz w:val="24"/>
          <w:szCs w:val="24"/>
          <w:highlight w:val="none"/>
        </w:rPr>
        <w:t>3．招标文件的获取</w:t>
      </w:r>
      <w:bookmarkEnd w:id="19"/>
      <w:bookmarkEnd w:id="20"/>
    </w:p>
    <w:p w14:paraId="6F47DB12">
      <w:pPr>
        <w:spacing w:before="182" w:line="219" w:lineRule="auto"/>
        <w:ind w:left="70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3.1  </w:t>
      </w:r>
      <w:r>
        <w:rPr>
          <w:rFonts w:hint="eastAsia" w:ascii="宋体" w:hAnsi="宋体" w:eastAsia="宋体" w:cs="宋体"/>
          <w:color w:val="auto"/>
          <w:spacing w:val="-1"/>
          <w:sz w:val="24"/>
          <w:szCs w:val="24"/>
          <w:highlight w:val="none"/>
        </w:rPr>
        <w:t>本次招标实行电子投标。</w:t>
      </w:r>
    </w:p>
    <w:p w14:paraId="53B49621">
      <w:pPr>
        <w:spacing w:before="178" w:line="355" w:lineRule="auto"/>
        <w:ind w:left="229" w:firstLine="48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本次招标实行电子投标。本项目招标文件随招标公</w:t>
      </w:r>
      <w:r>
        <w:rPr>
          <w:rFonts w:hint="eastAsia" w:ascii="宋体" w:hAnsi="宋体" w:eastAsia="宋体" w:cs="宋体"/>
          <w:color w:val="auto"/>
          <w:spacing w:val="-2"/>
          <w:sz w:val="24"/>
          <w:szCs w:val="24"/>
          <w:highlight w:val="none"/>
        </w:rPr>
        <w:t>告一并在全国公共资源交易平台（广东省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56"/>
          <w:sz w:val="24"/>
          <w:szCs w:val="24"/>
          <w:highlight w:val="none"/>
        </w:rPr>
        <w:t>）（</w:t>
      </w:r>
      <w:r>
        <w:rPr>
          <w:rFonts w:hint="eastAsia" w:ascii="宋体" w:hAnsi="宋体" w:eastAsia="宋体" w:cs="宋体"/>
          <w:color w:val="auto"/>
          <w:spacing w:val="-56"/>
          <w:sz w:val="24"/>
          <w:szCs w:val="24"/>
          <w:highlight w:val="none"/>
          <w:lang w:val="en-US" w:eastAsia="zh-CN"/>
        </w:rPr>
        <w:t xml:space="preserve">              </w:t>
      </w:r>
      <w:r>
        <w:rPr>
          <w:rFonts w:hint="eastAsia" w:ascii="宋体" w:hAnsi="宋体" w:eastAsia="宋体" w:cs="宋体"/>
          <w:color w:val="auto"/>
          <w:spacing w:val="-2"/>
          <w:sz w:val="24"/>
          <w:szCs w:val="24"/>
          <w:highlight w:val="none"/>
        </w:rPr>
        <w:t>https://yg</w:t>
      </w:r>
      <w:r>
        <w:rPr>
          <w:rFonts w:hint="eastAsia" w:ascii="宋体" w:hAnsi="宋体" w:eastAsia="宋体" w:cs="宋体"/>
          <w:color w:val="auto"/>
          <w:spacing w:val="-3"/>
          <w:sz w:val="24"/>
          <w:szCs w:val="24"/>
          <w:highlight w:val="none"/>
        </w:rPr>
        <w:t>p.gdzwfw.gov.cn/ggzy-portal/#/440200/index）</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网站发布。招标文件一经发布，视为发送投标人，招标文件及相</w:t>
      </w:r>
      <w:r>
        <w:rPr>
          <w:rFonts w:hint="eastAsia" w:ascii="宋体" w:hAnsi="宋体" w:eastAsia="宋体" w:cs="宋体"/>
          <w:color w:val="auto"/>
          <w:spacing w:val="-2"/>
          <w:sz w:val="24"/>
          <w:szCs w:val="24"/>
          <w:highlight w:val="none"/>
        </w:rPr>
        <w:t>关附件由投标人自行</w:t>
      </w:r>
      <w:r>
        <w:rPr>
          <w:rFonts w:hint="eastAsia" w:ascii="宋体" w:hAnsi="宋体" w:eastAsia="宋体" w:cs="宋体"/>
          <w:color w:val="auto"/>
          <w:spacing w:val="-7"/>
          <w:sz w:val="24"/>
          <w:szCs w:val="24"/>
          <w:highlight w:val="none"/>
        </w:rPr>
        <w:t>在全国公共资源交易平台（广东省</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7"/>
          <w:sz w:val="24"/>
          <w:szCs w:val="24"/>
          <w:highlight w:val="none"/>
        </w:rPr>
        <w:t>·韶关市）网站下载。请于招标文件获取期间,（见</w:t>
      </w:r>
      <w:r>
        <w:rPr>
          <w:rFonts w:hint="eastAsia" w:ascii="宋体" w:hAnsi="宋体" w:eastAsia="宋体" w:cs="宋体"/>
          <w:color w:val="auto"/>
          <w:spacing w:val="-2"/>
          <w:sz w:val="24"/>
          <w:szCs w:val="24"/>
          <w:highlight w:val="none"/>
        </w:rPr>
        <w:t>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”）招标文件获取期间与招标公告发</w:t>
      </w:r>
      <w:r>
        <w:rPr>
          <w:rFonts w:hint="eastAsia" w:ascii="宋体" w:hAnsi="宋体" w:eastAsia="宋体" w:cs="宋体"/>
          <w:color w:val="auto"/>
          <w:spacing w:val="-3"/>
          <w:sz w:val="24"/>
          <w:szCs w:val="24"/>
          <w:highlight w:val="none"/>
        </w:rPr>
        <w:t>布时间一</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致，投标人须登录全国公共资源交易平台（广东省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pacing w:val="-40"/>
          <w:sz w:val="24"/>
          <w:szCs w:val="24"/>
          <w:highlight w:val="none"/>
        </w:rPr>
        <w:t>）（</w:t>
      </w:r>
      <w:r>
        <w:rPr>
          <w:rFonts w:hint="eastAsia" w:ascii="宋体" w:hAnsi="宋体" w:eastAsia="宋体" w:cs="宋体"/>
          <w:color w:val="auto"/>
          <w:spacing w:val="-40"/>
          <w:sz w:val="24"/>
          <w:szCs w:val="24"/>
          <w:highlight w:val="none"/>
          <w:lang w:val="en-US" w:eastAsia="zh-CN"/>
        </w:rPr>
        <w:t xml:space="preserve">   </w:t>
      </w:r>
      <w:r>
        <w:rPr>
          <w:rFonts w:hint="eastAsia" w:ascii="宋体" w:hAnsi="宋体" w:eastAsia="宋体" w:cs="宋体"/>
          <w:color w:val="auto"/>
          <w:spacing w:val="-4"/>
          <w:sz w:val="24"/>
          <w:szCs w:val="24"/>
          <w:highlight w:val="none"/>
        </w:rPr>
        <w:t>https://ygp.gdzwfw.</w:t>
      </w:r>
      <w:r>
        <w:rPr>
          <w:rFonts w:hint="eastAsia" w:ascii="宋体" w:hAnsi="宋体" w:eastAsia="宋体" w:cs="宋体"/>
          <w:color w:val="auto"/>
          <w:sz w:val="24"/>
          <w:szCs w:val="24"/>
          <w:highlight w:val="none"/>
        </w:rPr>
        <w:t xml:space="preserve">  gov</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cn</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ggzy</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portal</w:t>
      </w:r>
      <w:r>
        <w:rPr>
          <w:rFonts w:hint="eastAsia" w:ascii="宋体" w:hAnsi="宋体" w:eastAsia="宋体" w:cs="宋体"/>
          <w:color w:val="auto"/>
          <w:spacing w:val="2"/>
          <w:sz w:val="24"/>
          <w:szCs w:val="24"/>
          <w:highlight w:val="none"/>
        </w:rPr>
        <w:t>/#/440200/</w:t>
      </w:r>
      <w:r>
        <w:rPr>
          <w:rFonts w:hint="eastAsia" w:ascii="宋体" w:hAnsi="宋体" w:eastAsia="宋体" w:cs="宋体"/>
          <w:color w:val="auto"/>
          <w:sz w:val="24"/>
          <w:szCs w:val="24"/>
          <w:highlight w:val="none"/>
        </w:rPr>
        <w:t>index</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2"/>
          <w:sz w:val="24"/>
          <w:szCs w:val="24"/>
          <w:highlight w:val="none"/>
        </w:rPr>
        <w:t>使用新建设工程交易系统进行下载</w:t>
      </w:r>
      <w:r>
        <w:rPr>
          <w:rFonts w:hint="eastAsia" w:ascii="宋体" w:hAnsi="宋体" w:eastAsia="宋体" w:cs="宋体"/>
          <w:color w:val="auto"/>
          <w:spacing w:val="1"/>
          <w:sz w:val="24"/>
          <w:szCs w:val="24"/>
          <w:highlight w:val="none"/>
        </w:rPr>
        <w:t>招标文</w:t>
      </w:r>
      <w:r>
        <w:rPr>
          <w:rFonts w:hint="eastAsia" w:ascii="宋体" w:hAnsi="宋体" w:eastAsia="宋体" w:cs="宋体"/>
          <w:color w:val="auto"/>
          <w:spacing w:val="-6"/>
          <w:sz w:val="24"/>
          <w:szCs w:val="24"/>
          <w:highlight w:val="none"/>
        </w:rPr>
        <w:t>件及相关附件，并于电子投标截止时间（见本章第二节“重要事项时间地点一览表</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前完成电子投标。投标人可登录全国公共资源交易平</w:t>
      </w:r>
      <w:r>
        <w:rPr>
          <w:rFonts w:hint="eastAsia" w:ascii="宋体" w:hAnsi="宋体" w:eastAsia="宋体" w:cs="宋体"/>
          <w:color w:val="auto"/>
          <w:spacing w:val="-3"/>
          <w:sz w:val="24"/>
          <w:szCs w:val="24"/>
          <w:highlight w:val="none"/>
        </w:rPr>
        <w:t>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·韶关市</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5"/>
          <w:sz w:val="24"/>
          <w:szCs w:val="24"/>
          <w:highlight w:val="none"/>
          <w:lang w:val="en-US" w:eastAsia="zh-CN"/>
        </w:rPr>
        <w:t xml:space="preserve">   </w:t>
      </w:r>
      <w:r>
        <w:rPr>
          <w:rFonts w:hint="eastAsia" w:ascii="宋体" w:hAnsi="宋体" w:eastAsia="宋体" w:cs="宋体"/>
          <w:color w:val="auto"/>
          <w:spacing w:val="-3"/>
          <w:sz w:val="24"/>
          <w:szCs w:val="24"/>
          <w:highlight w:val="none"/>
        </w:rPr>
        <w:t>https:</w:t>
      </w:r>
      <w:r>
        <w:rPr>
          <w:rFonts w:hint="eastAsia" w:ascii="宋体" w:hAnsi="宋体" w:eastAsia="宋体" w:cs="宋体"/>
          <w:color w:val="auto"/>
          <w:sz w:val="24"/>
          <w:szCs w:val="24"/>
          <w:highlight w:val="none"/>
        </w:rPr>
        <w:t>//ygp.gdzwfw.gov.cn/ggz</w:t>
      </w:r>
      <w:r>
        <w:rPr>
          <w:rFonts w:hint="eastAsia" w:ascii="宋体" w:hAnsi="宋体" w:eastAsia="宋体" w:cs="宋体"/>
          <w:color w:val="auto"/>
          <w:spacing w:val="-1"/>
          <w:sz w:val="24"/>
          <w:szCs w:val="24"/>
          <w:highlight w:val="none"/>
        </w:rPr>
        <w:t>y-portal/#/440200/index</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1"/>
          <w:sz w:val="24"/>
          <w:szCs w:val="24"/>
          <w:highlight w:val="none"/>
        </w:rPr>
        <w:t>在【服务指南】栏目中建设</w:t>
      </w:r>
      <w:r>
        <w:rPr>
          <w:rFonts w:hint="eastAsia" w:ascii="宋体" w:hAnsi="宋体" w:eastAsia="宋体" w:cs="宋体"/>
          <w:color w:val="auto"/>
          <w:spacing w:val="-2"/>
          <w:sz w:val="24"/>
          <w:szCs w:val="24"/>
          <w:highlight w:val="none"/>
        </w:rPr>
        <w:t>工程交易中下载《韶关市公共资源建设工程交易系统-投</w:t>
      </w:r>
      <w:r>
        <w:rPr>
          <w:rFonts w:hint="eastAsia" w:ascii="宋体" w:hAnsi="宋体" w:eastAsia="宋体" w:cs="宋体"/>
          <w:color w:val="auto"/>
          <w:spacing w:val="-1"/>
          <w:sz w:val="24"/>
          <w:szCs w:val="24"/>
          <w:highlight w:val="none"/>
        </w:rPr>
        <w:t>标人操作指南（电子评标）》 （附件 2），了解网上获取招标文件操作流程。技术咨询电话：0751-837</w:t>
      </w:r>
      <w:r>
        <w:rPr>
          <w:rFonts w:hint="eastAsia" w:ascii="宋体" w:hAnsi="宋体" w:eastAsia="宋体" w:cs="宋体"/>
          <w:color w:val="auto"/>
          <w:spacing w:val="-4"/>
          <w:sz w:val="24"/>
          <w:szCs w:val="24"/>
          <w:highlight w:val="none"/>
        </w:rPr>
        <w:t>9671 伍</w:t>
      </w:r>
      <w:r>
        <w:rPr>
          <w:rFonts w:hint="eastAsia" w:ascii="宋体" w:hAnsi="宋体" w:eastAsia="宋体" w:cs="宋体"/>
          <w:color w:val="auto"/>
          <w:spacing w:val="-5"/>
          <w:sz w:val="24"/>
          <w:szCs w:val="24"/>
          <w:highlight w:val="none"/>
        </w:rPr>
        <w:t>先生，</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业务咨询电话：0751-8633211、8633071。</w:t>
      </w:r>
    </w:p>
    <w:p w14:paraId="68899B1C">
      <w:pPr>
        <w:spacing w:before="142" w:line="330" w:lineRule="auto"/>
        <w:ind w:left="11" w:right="105" w:firstLine="473"/>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3.2  </w:t>
      </w:r>
      <w:r>
        <w:rPr>
          <w:rFonts w:hint="eastAsia" w:ascii="宋体" w:hAnsi="宋体" w:eastAsia="宋体" w:cs="宋体"/>
          <w:color w:val="auto"/>
          <w:spacing w:val="-1"/>
          <w:sz w:val="24"/>
          <w:szCs w:val="24"/>
          <w:highlight w:val="none"/>
        </w:rPr>
        <w:t>只有申领了数字证书（CA）、“粤企签</w:t>
      </w:r>
      <w:r>
        <w:rPr>
          <w:rFonts w:hint="eastAsia" w:ascii="宋体" w:hAnsi="宋体" w:eastAsia="宋体" w:cs="宋体"/>
          <w:color w:val="auto"/>
          <w:spacing w:val="-76"/>
          <w:sz w:val="24"/>
          <w:szCs w:val="24"/>
          <w:highlight w:val="none"/>
        </w:rPr>
        <w:t xml:space="preserve"> </w:t>
      </w:r>
      <w:r>
        <w:rPr>
          <w:rFonts w:hint="eastAsia" w:ascii="宋体" w:hAnsi="宋体" w:eastAsia="宋体" w:cs="宋体"/>
          <w:color w:val="auto"/>
          <w:spacing w:val="-1"/>
          <w:sz w:val="24"/>
          <w:szCs w:val="24"/>
          <w:highlight w:val="none"/>
        </w:rPr>
        <w:t>”或</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GDCA/SZCA/NETCA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1"/>
          <w:sz w:val="24"/>
          <w:szCs w:val="24"/>
          <w:highlight w:val="none"/>
        </w:rPr>
        <w:t>等符合法律法规规定的电子印章，并在交易系统中完成企业信息数据入库</w:t>
      </w:r>
      <w:r>
        <w:rPr>
          <w:rFonts w:hint="eastAsia" w:ascii="宋体" w:hAnsi="宋体" w:eastAsia="宋体" w:cs="宋体"/>
          <w:color w:val="auto"/>
          <w:spacing w:val="-2"/>
          <w:sz w:val="24"/>
          <w:szCs w:val="24"/>
          <w:highlight w:val="none"/>
        </w:rPr>
        <w:t>的投标人，方可使用建设</w:t>
      </w:r>
      <w:r>
        <w:rPr>
          <w:rFonts w:hint="eastAsia" w:ascii="宋体" w:hAnsi="宋体" w:eastAsia="宋体" w:cs="宋体"/>
          <w:color w:val="auto"/>
          <w:spacing w:val="-1"/>
          <w:sz w:val="24"/>
          <w:szCs w:val="24"/>
          <w:highlight w:val="none"/>
        </w:rPr>
        <w:t>工程交易系统进行招标文件及附件获取和电子投标。</w:t>
      </w:r>
    </w:p>
    <w:p w14:paraId="66BF8C88">
      <w:pPr>
        <w:spacing w:before="32" w:line="332" w:lineRule="auto"/>
        <w:ind w:left="10" w:right="90"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首次在韶关市参与建设工程招标投标活动的</w:t>
      </w:r>
      <w:r>
        <w:rPr>
          <w:rFonts w:hint="eastAsia" w:ascii="宋体" w:hAnsi="宋体" w:eastAsia="宋体" w:cs="宋体"/>
          <w:color w:val="auto"/>
          <w:spacing w:val="-2"/>
          <w:sz w:val="24"/>
          <w:szCs w:val="24"/>
          <w:highlight w:val="none"/>
        </w:rPr>
        <w:t>投标人，必须在平台系统上传企业相</w:t>
      </w:r>
      <w:r>
        <w:rPr>
          <w:rFonts w:hint="eastAsia" w:ascii="宋体" w:hAnsi="宋体" w:eastAsia="宋体" w:cs="宋体"/>
          <w:color w:val="auto"/>
          <w:spacing w:val="-3"/>
          <w:sz w:val="24"/>
          <w:szCs w:val="24"/>
          <w:highlight w:val="none"/>
        </w:rPr>
        <w:t>关资料办理企业入库事宜。投标人可登录全国公共资源</w:t>
      </w:r>
      <w:r>
        <w:rPr>
          <w:rFonts w:hint="eastAsia" w:ascii="宋体" w:hAnsi="宋体" w:eastAsia="宋体" w:cs="宋体"/>
          <w:color w:val="auto"/>
          <w:spacing w:val="-4"/>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"https://ygp.gdzwfw.gov.cn/ggzy-portal/#/440200/index"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1"/>
          <w:sz w:val="24"/>
          <w:szCs w:val="24"/>
          <w:highlight w:val="none"/>
        </w:rPr>
        <w:t>https://ygp.gdzwfw.gov.cn/ggzy-portal/#/440200/index</w:t>
      </w:r>
      <w:r>
        <w:rPr>
          <w:rFonts w:hint="eastAsia" w:ascii="宋体" w:hAnsi="宋体" w:eastAsia="宋体" w:cs="宋体"/>
          <w:color w:val="auto"/>
          <w:spacing w:val="-1"/>
          <w:sz w:val="24"/>
          <w:szCs w:val="24"/>
          <w:highlight w:val="none"/>
        </w:rPr>
        <w:fldChar w:fldCharType="end"/>
      </w:r>
      <w:r>
        <w:rPr>
          <w:rFonts w:hint="eastAsia" w:ascii="宋体" w:hAnsi="宋体" w:eastAsia="宋体" w:cs="宋体"/>
          <w:color w:val="auto"/>
          <w:spacing w:val="-1"/>
          <w:sz w:val="24"/>
          <w:szCs w:val="24"/>
          <w:highlight w:val="none"/>
        </w:rPr>
        <w:t>）办理企业入库、数字证书及电子印章事宜，具体请在平台查阅相应的交易指引。</w:t>
      </w:r>
    </w:p>
    <w:p w14:paraId="2BFC4BF1">
      <w:pPr>
        <w:spacing w:before="37" w:line="329" w:lineRule="auto"/>
        <w:ind w:left="9" w:right="105"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已入库企业有关信息（如单位名称、基本账号、资质、人员等）发生变化</w:t>
      </w:r>
      <w:r>
        <w:rPr>
          <w:rFonts w:hint="eastAsia" w:ascii="宋体" w:hAnsi="宋体" w:eastAsia="宋体" w:cs="宋体"/>
          <w:color w:val="auto"/>
          <w:spacing w:val="-3"/>
          <w:sz w:val="24"/>
          <w:szCs w:val="24"/>
          <w:highlight w:val="none"/>
        </w:rPr>
        <w:t>的，须</w:t>
      </w:r>
      <w:r>
        <w:rPr>
          <w:rFonts w:hint="eastAsia" w:ascii="宋体" w:hAnsi="宋体" w:eastAsia="宋体" w:cs="宋体"/>
          <w:color w:val="auto"/>
          <w:spacing w:val="-1"/>
          <w:sz w:val="24"/>
          <w:szCs w:val="24"/>
          <w:highlight w:val="none"/>
        </w:rPr>
        <w:t>及时在交易系统进行相应变更。投标人未及时变更信息而造成的</w:t>
      </w:r>
      <w:r>
        <w:rPr>
          <w:rFonts w:hint="eastAsia" w:ascii="宋体" w:hAnsi="宋体" w:eastAsia="宋体" w:cs="宋体"/>
          <w:color w:val="auto"/>
          <w:spacing w:val="-2"/>
          <w:sz w:val="24"/>
          <w:szCs w:val="24"/>
          <w:highlight w:val="none"/>
        </w:rPr>
        <w:t>损失和后果，由投标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人自行承担。</w:t>
      </w:r>
    </w:p>
    <w:p w14:paraId="3B9F37C6">
      <w:pPr>
        <w:spacing w:before="33" w:line="335" w:lineRule="auto"/>
        <w:ind w:left="10" w:right="105" w:firstLine="508"/>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电子印章：是指获得国家工业和信息化部颁发的《电子认证服务许可</w:t>
      </w:r>
      <w:r>
        <w:rPr>
          <w:rFonts w:hint="eastAsia" w:ascii="宋体" w:hAnsi="宋体" w:eastAsia="宋体" w:cs="宋体"/>
          <w:color w:val="auto"/>
          <w:spacing w:val="-3"/>
          <w:sz w:val="24"/>
          <w:szCs w:val="24"/>
          <w:highlight w:val="none"/>
        </w:rPr>
        <w:t>证》、国家</w:t>
      </w:r>
      <w:r>
        <w:rPr>
          <w:rFonts w:hint="eastAsia" w:ascii="宋体" w:hAnsi="宋体" w:eastAsia="宋体" w:cs="宋体"/>
          <w:color w:val="auto"/>
          <w:spacing w:val="-1"/>
          <w:sz w:val="24"/>
          <w:szCs w:val="24"/>
          <w:highlight w:val="none"/>
        </w:rPr>
        <w:t>密码管理局颁发的《电子认证服务使用密码许可证》等资质，</w:t>
      </w:r>
      <w:r>
        <w:rPr>
          <w:rFonts w:hint="eastAsia" w:ascii="宋体" w:hAnsi="宋体" w:eastAsia="宋体" w:cs="宋体"/>
          <w:color w:val="auto"/>
          <w:spacing w:val="-2"/>
          <w:sz w:val="24"/>
          <w:szCs w:val="24"/>
          <w:highlight w:val="none"/>
        </w:rPr>
        <w:t>具备承担因数字证书原</w:t>
      </w:r>
      <w:r>
        <w:rPr>
          <w:rFonts w:hint="eastAsia" w:ascii="宋体" w:hAnsi="宋体" w:eastAsia="宋体" w:cs="宋体"/>
          <w:color w:val="auto"/>
          <w:spacing w:val="-1"/>
          <w:sz w:val="24"/>
          <w:szCs w:val="24"/>
          <w:highlight w:val="none"/>
        </w:rPr>
        <w:t>因产生纠纷的相关责任的能力，且在广东省内具有数量基础和</w:t>
      </w:r>
      <w:r>
        <w:rPr>
          <w:rFonts w:hint="eastAsia" w:ascii="宋体" w:hAnsi="宋体" w:eastAsia="宋体" w:cs="宋体"/>
          <w:color w:val="auto"/>
          <w:spacing w:val="-2"/>
          <w:sz w:val="24"/>
          <w:szCs w:val="24"/>
          <w:highlight w:val="none"/>
        </w:rPr>
        <w:t>服务能力的依法设立的</w:t>
      </w:r>
      <w:r>
        <w:rPr>
          <w:rFonts w:hint="eastAsia" w:ascii="宋体" w:hAnsi="宋体" w:eastAsia="宋体" w:cs="宋体"/>
          <w:color w:val="auto"/>
          <w:spacing w:val="3"/>
          <w:sz w:val="24"/>
          <w:szCs w:val="24"/>
          <w:highlight w:val="none"/>
        </w:rPr>
        <w:t>电子认证服务机构签发的电子签章认证证书（即</w:t>
      </w:r>
      <w:r>
        <w:rPr>
          <w:rFonts w:hint="eastAsia" w:ascii="宋体" w:hAnsi="宋体" w:eastAsia="宋体" w:cs="宋体"/>
          <w:color w:val="auto"/>
          <w:sz w:val="24"/>
          <w:szCs w:val="24"/>
          <w:highlight w:val="none"/>
        </w:rPr>
        <w:t>CA</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数字证书）。投标人应当到相关</w:t>
      </w:r>
      <w:r>
        <w:rPr>
          <w:rFonts w:hint="eastAsia" w:ascii="宋体" w:hAnsi="宋体" w:eastAsia="宋体" w:cs="宋体"/>
          <w:color w:val="auto"/>
          <w:spacing w:val="-1"/>
          <w:sz w:val="24"/>
          <w:szCs w:val="24"/>
          <w:highlight w:val="none"/>
        </w:rPr>
        <w:t>服务机构办理并取得数字证书介质和应用。电子印章包括机构</w:t>
      </w:r>
      <w:r>
        <w:rPr>
          <w:rFonts w:hint="eastAsia" w:ascii="宋体" w:hAnsi="宋体" w:eastAsia="宋体" w:cs="宋体"/>
          <w:color w:val="auto"/>
          <w:spacing w:val="-2"/>
          <w:sz w:val="24"/>
          <w:szCs w:val="24"/>
          <w:highlight w:val="none"/>
        </w:rPr>
        <w:t>法人电子形式印章，单</w:t>
      </w:r>
      <w:r>
        <w:rPr>
          <w:rFonts w:hint="eastAsia" w:ascii="宋体" w:hAnsi="宋体" w:eastAsia="宋体" w:cs="宋体"/>
          <w:color w:val="auto"/>
          <w:spacing w:val="-1"/>
          <w:sz w:val="24"/>
          <w:szCs w:val="24"/>
          <w:highlight w:val="none"/>
        </w:rPr>
        <w:t>位法定代表人、被委托人及其他个人的电子形式印章。电子印</w:t>
      </w:r>
      <w:r>
        <w:rPr>
          <w:rFonts w:hint="eastAsia" w:ascii="宋体" w:hAnsi="宋体" w:eastAsia="宋体" w:cs="宋体"/>
          <w:color w:val="auto"/>
          <w:spacing w:val="-2"/>
          <w:sz w:val="24"/>
          <w:szCs w:val="24"/>
          <w:highlight w:val="none"/>
        </w:rPr>
        <w:t>章与手写签名或者盖章</w:t>
      </w:r>
      <w:r>
        <w:rPr>
          <w:rFonts w:hint="eastAsia" w:ascii="宋体" w:hAnsi="宋体" w:eastAsia="宋体" w:cs="宋体"/>
          <w:color w:val="auto"/>
          <w:spacing w:val="-1"/>
          <w:sz w:val="24"/>
          <w:szCs w:val="24"/>
          <w:highlight w:val="none"/>
        </w:rPr>
        <w:t>具有同等的法律效力。</w:t>
      </w:r>
    </w:p>
    <w:p w14:paraId="05AB0BB7">
      <w:pPr>
        <w:spacing w:before="33" w:line="221"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3.3</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3"/>
          <w:sz w:val="24"/>
          <w:szCs w:val="24"/>
          <w:highlight w:val="none"/>
        </w:rPr>
        <w:t>投标保证</w:t>
      </w:r>
    </w:p>
    <w:p w14:paraId="050F418D">
      <w:pPr>
        <w:spacing w:before="152" w:line="280" w:lineRule="auto"/>
        <w:ind w:left="8" w:right="105"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3.3.1  </w:t>
      </w:r>
      <w:r>
        <w:rPr>
          <w:rFonts w:hint="eastAsia" w:ascii="宋体" w:hAnsi="宋体" w:eastAsia="宋体" w:cs="宋体"/>
          <w:color w:val="auto"/>
          <w:spacing w:val="-1"/>
          <w:sz w:val="24"/>
          <w:szCs w:val="24"/>
          <w:highlight w:val="none"/>
        </w:rPr>
        <w:t>投标人须缴纳金额为</w:t>
      </w:r>
      <w:r>
        <w:rPr>
          <w:rFonts w:hint="eastAsia" w:ascii="宋体" w:hAnsi="宋体" w:eastAsia="宋体" w:cs="宋体"/>
          <w:color w:val="auto"/>
          <w:spacing w:val="-1"/>
          <w:sz w:val="24"/>
          <w:szCs w:val="24"/>
          <w:highlight w:val="none"/>
          <w:u w:val="single"/>
          <w:lang w:val="en-US" w:eastAsia="zh-CN"/>
        </w:rPr>
        <w:t>3万元</w:t>
      </w:r>
      <w:r>
        <w:rPr>
          <w:rFonts w:hint="eastAsia" w:ascii="宋体" w:hAnsi="宋体" w:eastAsia="宋体" w:cs="宋体"/>
          <w:color w:val="auto"/>
          <w:spacing w:val="-1"/>
          <w:sz w:val="24"/>
          <w:szCs w:val="24"/>
          <w:highlight w:val="none"/>
        </w:rPr>
        <w:t xml:space="preserve">人民币的投标保证。 </w:t>
      </w:r>
    </w:p>
    <w:p w14:paraId="28067BD7">
      <w:pPr>
        <w:spacing w:before="35" w:line="325" w:lineRule="auto"/>
        <w:ind w:left="12" w:right="108" w:firstLine="471"/>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3.3.2  </w:t>
      </w:r>
      <w:r>
        <w:rPr>
          <w:rFonts w:hint="eastAsia" w:ascii="宋体" w:hAnsi="宋体" w:eastAsia="宋体" w:cs="宋体"/>
          <w:color w:val="auto"/>
          <w:spacing w:val="2"/>
          <w:sz w:val="24"/>
          <w:szCs w:val="24"/>
          <w:highlight w:val="none"/>
        </w:rPr>
        <w:t>投标保证的形式包括投标保证金、投标保证担保、投标保证保险三种</w:t>
      </w:r>
      <w:r>
        <w:rPr>
          <w:rFonts w:hint="eastAsia" w:ascii="宋体" w:hAnsi="宋体" w:eastAsia="宋体" w:cs="宋体"/>
          <w:color w:val="auto"/>
          <w:spacing w:val="1"/>
          <w:sz w:val="24"/>
          <w:szCs w:val="24"/>
          <w:highlight w:val="none"/>
        </w:rPr>
        <w:t>，由</w:t>
      </w:r>
      <w:r>
        <w:rPr>
          <w:rFonts w:hint="eastAsia" w:ascii="宋体" w:hAnsi="宋体" w:eastAsia="宋体" w:cs="宋体"/>
          <w:color w:val="auto"/>
          <w:spacing w:val="-2"/>
          <w:sz w:val="24"/>
          <w:szCs w:val="24"/>
          <w:highlight w:val="none"/>
        </w:rPr>
        <w:t>投标人自主选择。</w:t>
      </w:r>
    </w:p>
    <w:p w14:paraId="353E08E8">
      <w:pPr>
        <w:spacing w:before="78" w:line="334" w:lineRule="auto"/>
        <w:ind w:left="12" w:right="2" w:firstLine="490"/>
        <w:jc w:val="both"/>
        <w:rPr>
          <w:rFonts w:hint="eastAsia" w:ascii="宋体" w:hAnsi="宋体" w:eastAsia="宋体" w:cs="宋体"/>
          <w:color w:val="auto"/>
          <w:spacing w:val="-1"/>
          <w:sz w:val="24"/>
          <w:szCs w:val="24"/>
          <w:highlight w:val="none"/>
        </w:rPr>
      </w:pPr>
      <w:bookmarkStart w:id="21" w:name="bookmark117"/>
      <w:bookmarkEnd w:id="21"/>
      <w:r>
        <w:rPr>
          <w:rFonts w:hint="eastAsia" w:ascii="宋体" w:hAnsi="宋体" w:eastAsia="宋体" w:cs="宋体"/>
          <w:color w:val="auto"/>
          <w:spacing w:val="2"/>
          <w:sz w:val="24"/>
          <w:szCs w:val="24"/>
          <w:highlight w:val="none"/>
        </w:rPr>
        <w:t>（1）采用投标保证金的，投标人在建设工程交易系统获取招</w:t>
      </w:r>
      <w:r>
        <w:rPr>
          <w:rFonts w:hint="eastAsia" w:ascii="宋体" w:hAnsi="宋体" w:eastAsia="宋体" w:cs="宋体"/>
          <w:color w:val="auto"/>
          <w:spacing w:val="1"/>
          <w:sz w:val="24"/>
          <w:szCs w:val="24"/>
          <w:highlight w:val="none"/>
        </w:rPr>
        <w:t>标文件完毕后，即</w:t>
      </w:r>
      <w:r>
        <w:rPr>
          <w:rFonts w:hint="eastAsia" w:ascii="宋体" w:hAnsi="宋体" w:eastAsia="宋体" w:cs="宋体"/>
          <w:color w:val="auto"/>
          <w:spacing w:val="-1"/>
          <w:sz w:val="24"/>
          <w:szCs w:val="24"/>
          <w:highlight w:val="none"/>
        </w:rPr>
        <w:t>可在系统申请缴纳投标保证金，获取本次招标投标保证金缴</w:t>
      </w:r>
      <w:r>
        <w:rPr>
          <w:rFonts w:hint="eastAsia" w:ascii="宋体" w:hAnsi="宋体" w:eastAsia="宋体" w:cs="宋体"/>
          <w:color w:val="auto"/>
          <w:spacing w:val="-2"/>
          <w:sz w:val="24"/>
          <w:szCs w:val="24"/>
          <w:highlight w:val="none"/>
        </w:rPr>
        <w:t>纳账号。投标人必须于投标保证金到账截</w:t>
      </w:r>
      <w:r>
        <w:rPr>
          <w:rFonts w:hint="eastAsia" w:ascii="宋体" w:hAnsi="宋体" w:eastAsia="宋体" w:cs="宋体"/>
          <w:color w:val="auto"/>
          <w:spacing w:val="-1"/>
          <w:sz w:val="24"/>
          <w:szCs w:val="24"/>
          <w:highlight w:val="none"/>
        </w:rPr>
        <w:t>止时间（见本招标文件“重要事项时间地点一览表 ”）前，从其基本账户将投标保证金转账到指定的缴纳账号。逾期到账的、从非投标人基本账户转出的，其投标无效。</w:t>
      </w:r>
    </w:p>
    <w:p w14:paraId="2D0F206B">
      <w:pPr>
        <w:spacing w:before="78" w:line="334" w:lineRule="auto"/>
        <w:ind w:left="12" w:right="2" w:firstLine="490"/>
        <w:jc w:val="both"/>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66F9AA94">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w:t>
      </w:r>
      <w:r>
        <w:rPr>
          <w:rFonts w:hint="eastAsia" w:ascii="宋体" w:hAnsi="宋体" w:eastAsia="宋体" w:cs="宋体"/>
          <w:color w:val="auto"/>
          <w:spacing w:val="-2"/>
          <w:sz w:val="24"/>
          <w:szCs w:val="24"/>
          <w:highlight w:val="none"/>
        </w:rPr>
        <w:t>电子保单，电子保单的有</w:t>
      </w:r>
      <w:r>
        <w:rPr>
          <w:rFonts w:hint="eastAsia" w:ascii="宋体" w:hAnsi="宋体" w:eastAsia="宋体" w:cs="宋体"/>
          <w:color w:val="auto"/>
          <w:spacing w:val="-3"/>
          <w:sz w:val="24"/>
          <w:szCs w:val="24"/>
          <w:highlight w:val="none"/>
        </w:rPr>
        <w:t>效期不得短于投标有效期。投标人可登录全国公共资源交易平台（广东省 ·韶关市） （</w:t>
      </w:r>
      <w:r>
        <w:rPr>
          <w:rFonts w:hint="eastAsia" w:ascii="宋体" w:hAnsi="宋体" w:eastAsia="宋体" w:cs="宋体"/>
          <w:color w:val="auto"/>
          <w:spacing w:val="-3"/>
          <w:sz w:val="24"/>
          <w:szCs w:val="24"/>
          <w:highlight w:val="none"/>
        </w:rPr>
        <w:fldChar w:fldCharType="begin"/>
      </w:r>
      <w:r>
        <w:rPr>
          <w:rFonts w:hint="eastAsia" w:ascii="宋体" w:hAnsi="宋体" w:eastAsia="宋体" w:cs="宋体"/>
          <w:color w:val="auto"/>
          <w:spacing w:val="-3"/>
          <w:sz w:val="24"/>
          <w:szCs w:val="24"/>
          <w:highlight w:val="none"/>
        </w:rPr>
        <w:instrText xml:space="preserve"> HYPERLINK "https://ygp.gdzwfw.gov.cn/ggzy-portal/#/440200/index" </w:instrText>
      </w:r>
      <w:r>
        <w:rPr>
          <w:rFonts w:hint="eastAsia" w:ascii="宋体" w:hAnsi="宋体" w:eastAsia="宋体" w:cs="宋体"/>
          <w:color w:val="auto"/>
          <w:spacing w:val="-3"/>
          <w:sz w:val="24"/>
          <w:szCs w:val="24"/>
          <w:highlight w:val="none"/>
        </w:rPr>
        <w:fldChar w:fldCharType="separate"/>
      </w:r>
      <w:r>
        <w:rPr>
          <w:rFonts w:hint="eastAsia" w:ascii="宋体" w:hAnsi="宋体" w:eastAsia="宋体" w:cs="宋体"/>
          <w:color w:val="auto"/>
          <w:spacing w:val="-3"/>
          <w:sz w:val="24"/>
          <w:szCs w:val="24"/>
          <w:highlight w:val="none"/>
        </w:rPr>
        <w:t>https://ygp.gdzwfw.gov.cn/ggzy-portal/#/440200/index</w:t>
      </w:r>
      <w:r>
        <w:rPr>
          <w:rFonts w:hint="eastAsia" w:ascii="宋体" w:hAnsi="宋体" w:eastAsia="宋体" w:cs="宋体"/>
          <w:color w:val="auto"/>
          <w:spacing w:val="-3"/>
          <w:sz w:val="24"/>
          <w:szCs w:val="24"/>
          <w:highlight w:val="none"/>
        </w:rPr>
        <w:fldChar w:fldCharType="end"/>
      </w:r>
      <w:r>
        <w:rPr>
          <w:rFonts w:hint="eastAsia" w:ascii="宋体" w:hAnsi="宋体" w:eastAsia="宋体" w:cs="宋体"/>
          <w:color w:val="auto"/>
          <w:spacing w:val="-3"/>
          <w:sz w:val="24"/>
          <w:szCs w:val="24"/>
          <w:highlight w:val="none"/>
        </w:rPr>
        <w:t>），在【服务指南】栏 目中下载《建设工程网上交易系统保险保证金缴纳操作指南》，了解网上投保具体操 作流程。逾期投保的，其投标无效。</w:t>
      </w:r>
    </w:p>
    <w:p w14:paraId="6CFA3F60">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06BEDC68">
      <w:pPr>
        <w:spacing w:before="78" w:line="334" w:lineRule="auto"/>
        <w:ind w:left="12" w:right="2" w:firstLine="490"/>
        <w:jc w:val="both"/>
        <w:rPr>
          <w:rFonts w:hint="eastAsia" w:ascii="宋体" w:hAnsi="宋体" w:eastAsia="宋体" w:cs="宋体"/>
          <w:color w:val="auto"/>
          <w:highlight w:val="none"/>
        </w:rPr>
      </w:pPr>
      <w:r>
        <w:rPr>
          <w:rFonts w:hint="eastAsia" w:ascii="宋体" w:hAnsi="宋体" w:eastAsia="宋体" w:cs="宋体"/>
          <w:b/>
          <w:bCs/>
          <w:color w:val="auto"/>
          <w:spacing w:val="-3"/>
          <w:sz w:val="24"/>
          <w:szCs w:val="24"/>
          <w:highlight w:val="none"/>
        </w:rPr>
        <w:t xml:space="preserve">3.4 </w:t>
      </w:r>
      <w:r>
        <w:rPr>
          <w:rFonts w:hint="eastAsia" w:ascii="宋体" w:hAnsi="宋体" w:eastAsia="宋体" w:cs="宋体"/>
          <w:color w:val="auto"/>
          <w:spacing w:val="-3"/>
          <w:sz w:val="24"/>
          <w:szCs w:val="24"/>
          <w:highlight w:val="none"/>
        </w:rPr>
        <w:t xml:space="preserve"> 若投标人因自身原因未能正确完成获取招标文件</w:t>
      </w:r>
      <w:r>
        <w:rPr>
          <w:rFonts w:hint="eastAsia" w:ascii="宋体" w:hAnsi="宋体" w:eastAsia="宋体" w:cs="宋体"/>
          <w:color w:val="auto"/>
          <w:sz w:val="24"/>
          <w:szCs w:val="24"/>
          <w:highlight w:val="none"/>
        </w:rPr>
        <w:t>、电子投标、缴纳投标保证</w:t>
      </w:r>
      <w:r>
        <w:rPr>
          <w:rFonts w:hint="eastAsia" w:ascii="宋体" w:hAnsi="宋体" w:eastAsia="宋体" w:cs="宋体"/>
          <w:color w:val="auto"/>
          <w:spacing w:val="-4"/>
          <w:sz w:val="24"/>
          <w:szCs w:val="24"/>
          <w:highlight w:val="none"/>
        </w:rPr>
        <w:t>的，其投标无效。</w:t>
      </w:r>
    </w:p>
    <w:p w14:paraId="31109792">
      <w:pPr>
        <w:spacing w:before="79" w:line="221" w:lineRule="auto"/>
        <w:ind w:left="487"/>
        <w:outlineLvl w:val="2"/>
        <w:rPr>
          <w:rFonts w:hint="eastAsia" w:ascii="宋体" w:hAnsi="宋体" w:eastAsia="宋体" w:cs="宋体"/>
          <w:color w:val="auto"/>
          <w:sz w:val="24"/>
          <w:szCs w:val="24"/>
          <w:highlight w:val="none"/>
        </w:rPr>
      </w:pPr>
      <w:bookmarkStart w:id="22" w:name="bookmark64"/>
      <w:bookmarkEnd w:id="22"/>
      <w:bookmarkStart w:id="23" w:name="bookmark78"/>
      <w:bookmarkEnd w:id="23"/>
      <w:bookmarkStart w:id="24" w:name="_Toc15498"/>
      <w:bookmarkStart w:id="25" w:name="_Toc387"/>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8"/>
          <w:sz w:val="24"/>
          <w:szCs w:val="24"/>
          <w:highlight w:val="none"/>
          <w:lang w:val="en-US" w:eastAsia="zh-CN"/>
        </w:rPr>
        <w:t xml:space="preserve"> </w:t>
      </w:r>
      <w:r>
        <w:rPr>
          <w:rFonts w:hint="eastAsia" w:ascii="宋体" w:hAnsi="宋体" w:eastAsia="宋体" w:cs="宋体"/>
          <w:b/>
          <w:bCs/>
          <w:color w:val="auto"/>
          <w:spacing w:val="-8"/>
          <w:sz w:val="24"/>
          <w:szCs w:val="24"/>
          <w:highlight w:val="none"/>
        </w:rPr>
        <w:t>．工期要求</w:t>
      </w:r>
      <w:bookmarkEnd w:id="24"/>
      <w:bookmarkEnd w:id="25"/>
    </w:p>
    <w:p w14:paraId="492DB599">
      <w:pPr>
        <w:spacing w:before="153" w:line="324" w:lineRule="auto"/>
        <w:ind w:right="65" w:firstLine="236" w:firstLineChars="1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本招标项目招标工期为</w:t>
      </w:r>
      <w:r>
        <w:rPr>
          <w:rFonts w:hint="eastAsia" w:ascii="宋体" w:hAnsi="宋体" w:eastAsia="宋体" w:cs="宋体"/>
          <w:color w:val="auto"/>
          <w:spacing w:val="-2"/>
          <w:sz w:val="24"/>
          <w:szCs w:val="24"/>
          <w:highlight w:val="none"/>
          <w:u w:val="single"/>
          <w:lang w:val="en-US" w:eastAsia="zh-CN"/>
        </w:rPr>
        <w:t>90个日历天</w:t>
      </w:r>
      <w:r>
        <w:rPr>
          <w:rFonts w:hint="eastAsia" w:ascii="宋体" w:hAnsi="宋体" w:eastAsia="宋体" w:cs="宋体"/>
          <w:color w:val="auto"/>
          <w:spacing w:val="-2"/>
          <w:sz w:val="24"/>
          <w:szCs w:val="24"/>
          <w:highlight w:val="none"/>
        </w:rPr>
        <w:t>，中标人必须在招标工期内完成招标范围内</w:t>
      </w:r>
      <w:r>
        <w:rPr>
          <w:rFonts w:hint="eastAsia" w:ascii="宋体" w:hAnsi="宋体" w:eastAsia="宋体" w:cs="宋体"/>
          <w:color w:val="auto"/>
          <w:spacing w:val="-5"/>
          <w:sz w:val="24"/>
          <w:szCs w:val="24"/>
          <w:highlight w:val="none"/>
        </w:rPr>
        <w:t>的全部内容。</w:t>
      </w:r>
    </w:p>
    <w:p w14:paraId="6CEF653C">
      <w:pPr>
        <w:spacing w:before="78" w:line="219" w:lineRule="auto"/>
        <w:ind w:left="488"/>
        <w:outlineLvl w:val="2"/>
        <w:rPr>
          <w:rFonts w:hint="eastAsia" w:ascii="宋体" w:hAnsi="宋体" w:eastAsia="宋体" w:cs="宋体"/>
          <w:color w:val="auto"/>
          <w:sz w:val="24"/>
          <w:szCs w:val="24"/>
          <w:highlight w:val="none"/>
        </w:rPr>
      </w:pPr>
      <w:bookmarkStart w:id="26" w:name="_Toc4154"/>
      <w:bookmarkStart w:id="27" w:name="_Toc20494"/>
      <w:r>
        <w:rPr>
          <w:rFonts w:hint="eastAsia" w:ascii="宋体" w:hAnsi="宋体" w:eastAsia="宋体" w:cs="宋体"/>
          <w:b/>
          <w:bCs/>
          <w:color w:val="auto"/>
          <w:spacing w:val="-5"/>
          <w:sz w:val="24"/>
          <w:szCs w:val="24"/>
          <w:highlight w:val="none"/>
        </w:rPr>
        <w:t>5</w:t>
      </w:r>
      <w:r>
        <w:rPr>
          <w:rFonts w:hint="eastAsia" w:ascii="宋体" w:hAnsi="宋体" w:eastAsia="宋体" w:cs="宋体"/>
          <w:b/>
          <w:bCs/>
          <w:color w:val="auto"/>
          <w:spacing w:val="-5"/>
          <w:sz w:val="24"/>
          <w:szCs w:val="24"/>
          <w:highlight w:val="none"/>
          <w:lang w:val="en-US" w:eastAsia="zh-CN"/>
        </w:rPr>
        <w:t xml:space="preserve"> </w:t>
      </w:r>
      <w:r>
        <w:rPr>
          <w:rFonts w:hint="eastAsia" w:ascii="宋体" w:hAnsi="宋体" w:eastAsia="宋体" w:cs="宋体"/>
          <w:b/>
          <w:bCs/>
          <w:color w:val="auto"/>
          <w:spacing w:val="-5"/>
          <w:sz w:val="24"/>
          <w:szCs w:val="24"/>
          <w:highlight w:val="none"/>
        </w:rPr>
        <w:t>．质量标准和材料、机械要求</w:t>
      </w:r>
      <w:bookmarkEnd w:id="26"/>
      <w:bookmarkEnd w:id="27"/>
    </w:p>
    <w:p w14:paraId="6580E484">
      <w:pPr>
        <w:spacing w:before="154" w:line="279" w:lineRule="auto"/>
        <w:ind w:left="11" w:right="99"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5.1  </w:t>
      </w:r>
      <w:r>
        <w:rPr>
          <w:rFonts w:hint="eastAsia" w:ascii="宋体" w:hAnsi="宋体" w:eastAsia="宋体" w:cs="宋体"/>
          <w:color w:val="auto"/>
          <w:sz w:val="24"/>
          <w:szCs w:val="24"/>
          <w:highlight w:val="none"/>
        </w:rPr>
        <w:t>施工工艺严格按照国家和广东省的有关现行施工技术规范及标准执行，工程</w:t>
      </w:r>
      <w:r>
        <w:rPr>
          <w:rFonts w:hint="eastAsia" w:ascii="宋体" w:hAnsi="宋体" w:eastAsia="宋体" w:cs="宋体"/>
          <w:color w:val="auto"/>
          <w:spacing w:val="-1"/>
          <w:sz w:val="24"/>
          <w:szCs w:val="24"/>
          <w:highlight w:val="none"/>
        </w:rPr>
        <w:t>质量标准须达到</w:t>
      </w:r>
      <w:r>
        <w:rPr>
          <w:rFonts w:hint="eastAsia" w:ascii="宋体" w:hAnsi="宋体" w:eastAsia="宋体" w:cs="宋体"/>
          <w:color w:val="auto"/>
          <w:spacing w:val="-1"/>
          <w:sz w:val="24"/>
          <w:szCs w:val="24"/>
          <w:highlight w:val="none"/>
          <w:u w:val="single"/>
          <w:lang w:val="en-US" w:eastAsia="zh-CN"/>
        </w:rPr>
        <w:t>《建筑工程施工质量验收统一标准》(GB50300-2013)并且合格</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w:t>
      </w:r>
    </w:p>
    <w:p w14:paraId="549FF2FB">
      <w:pPr>
        <w:spacing w:before="154" w:line="279" w:lineRule="auto"/>
        <w:ind w:left="10" w:right="99"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5.2</w:t>
      </w:r>
      <w:r>
        <w:rPr>
          <w:rFonts w:hint="eastAsia" w:ascii="宋体" w:hAnsi="宋体" w:eastAsia="宋体" w:cs="宋体"/>
          <w:b/>
          <w:bCs/>
          <w:color w:val="auto"/>
          <w:spacing w:val="21"/>
          <w:w w:val="101"/>
          <w:sz w:val="24"/>
          <w:szCs w:val="24"/>
          <w:highlight w:val="none"/>
        </w:rPr>
        <w:t xml:space="preserve">  </w:t>
      </w:r>
      <w:r>
        <w:rPr>
          <w:rFonts w:hint="eastAsia" w:ascii="宋体" w:hAnsi="宋体" w:eastAsia="宋体" w:cs="宋体"/>
          <w:color w:val="auto"/>
          <w:spacing w:val="-3"/>
          <w:sz w:val="24"/>
          <w:szCs w:val="24"/>
          <w:highlight w:val="none"/>
        </w:rPr>
        <w:t>中标人在施工中如果工程质量不符合设计要求和有关规定，招标人或监理单</w:t>
      </w:r>
      <w:r>
        <w:rPr>
          <w:rFonts w:hint="eastAsia" w:ascii="宋体" w:hAnsi="宋体" w:eastAsia="宋体" w:cs="宋体"/>
          <w:color w:val="auto"/>
          <w:sz w:val="24"/>
          <w:szCs w:val="24"/>
          <w:highlight w:val="none"/>
        </w:rPr>
        <w:t>位要求停工和返工的必须立即执行，并承担由此产生的各</w:t>
      </w:r>
      <w:r>
        <w:rPr>
          <w:rFonts w:hint="eastAsia" w:ascii="宋体" w:hAnsi="宋体" w:eastAsia="宋体" w:cs="宋体"/>
          <w:color w:val="auto"/>
          <w:spacing w:val="-1"/>
          <w:sz w:val="24"/>
          <w:szCs w:val="24"/>
          <w:highlight w:val="none"/>
        </w:rPr>
        <w:t>种费用，工期不予顺延。</w:t>
      </w:r>
    </w:p>
    <w:p w14:paraId="1B48C340">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6"/>
          <w:sz w:val="24"/>
          <w:szCs w:val="24"/>
          <w:highlight w:val="none"/>
        </w:rPr>
        <w:t xml:space="preserve">5.3  </w:t>
      </w:r>
      <w:r>
        <w:rPr>
          <w:rFonts w:hint="eastAsia" w:ascii="宋体" w:hAnsi="宋体" w:eastAsia="宋体" w:cs="宋体"/>
          <w:color w:val="auto"/>
          <w:spacing w:val="-6"/>
          <w:sz w:val="24"/>
          <w:szCs w:val="24"/>
          <w:highlight w:val="none"/>
        </w:rPr>
        <w:t>保修期限按《建设工程质量管理条例》（中华人民共和国国务院令第</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6"/>
          <w:sz w:val="24"/>
          <w:szCs w:val="24"/>
          <w:highlight w:val="none"/>
        </w:rPr>
        <w:t>279</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6"/>
          <w:sz w:val="24"/>
          <w:szCs w:val="24"/>
          <w:highlight w:val="none"/>
        </w:rPr>
        <w:t>号）</w:t>
      </w:r>
      <w:r>
        <w:rPr>
          <w:rFonts w:hint="eastAsia" w:ascii="宋体" w:hAnsi="宋体" w:eastAsia="宋体" w:cs="宋体"/>
          <w:color w:val="auto"/>
          <w:spacing w:val="-1"/>
          <w:sz w:val="24"/>
          <w:szCs w:val="24"/>
          <w:highlight w:val="none"/>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6F4EC01E">
      <w:pPr>
        <w:spacing w:before="152" w:line="309" w:lineRule="auto"/>
        <w:ind w:left="9" w:firstLine="568"/>
        <w:rPr>
          <w:rFonts w:hint="eastAsia" w:ascii="宋体" w:hAnsi="宋体" w:eastAsia="宋体" w:cs="宋体"/>
          <w:color w:val="auto"/>
          <w:spacing w:val="-6"/>
          <w:sz w:val="24"/>
          <w:szCs w:val="24"/>
          <w:highlight w:val="none"/>
        </w:rPr>
      </w:pPr>
      <w:r>
        <w:rPr>
          <w:rFonts w:hint="eastAsia" w:ascii="宋体" w:hAnsi="宋体" w:eastAsia="宋体" w:cs="宋体"/>
          <w:b/>
          <w:bCs/>
          <w:color w:val="auto"/>
          <w:spacing w:val="-1"/>
          <w:sz w:val="24"/>
          <w:szCs w:val="24"/>
          <w:highlight w:val="none"/>
        </w:rPr>
        <w:t>5.4</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6"/>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6"/>
          <w:sz w:val="24"/>
          <w:szCs w:val="24"/>
          <w:highlight w:val="none"/>
        </w:rPr>
        <w:t>本招标项目</w:t>
      </w:r>
      <w:r>
        <w:rPr>
          <w:rFonts w:hint="eastAsia" w:ascii="宋体" w:hAnsi="宋体" w:eastAsia="宋体" w:cs="宋体"/>
          <w:color w:val="auto"/>
          <w:spacing w:val="-6"/>
          <w:sz w:val="24"/>
          <w:szCs w:val="24"/>
          <w:highlight w:val="none"/>
          <w:lang w:val="en-US" w:eastAsia="zh-CN"/>
        </w:rPr>
        <w:t>不</w:t>
      </w:r>
      <w:r>
        <w:rPr>
          <w:rFonts w:hint="eastAsia" w:ascii="宋体" w:hAnsi="宋体" w:eastAsia="宋体" w:cs="宋体"/>
          <w:color w:val="auto"/>
          <w:spacing w:val="-6"/>
          <w:sz w:val="24"/>
          <w:szCs w:val="24"/>
          <w:highlight w:val="none"/>
        </w:rPr>
        <w:t>纳入绿色建设实施范围</w:t>
      </w:r>
      <w:r>
        <w:rPr>
          <w:rFonts w:hint="eastAsia" w:ascii="宋体" w:hAnsi="宋体" w:eastAsia="宋体" w:cs="宋体"/>
          <w:color w:val="auto"/>
          <w:spacing w:val="-6"/>
          <w:sz w:val="24"/>
          <w:szCs w:val="24"/>
          <w:highlight w:val="none"/>
          <w:lang w:eastAsia="zh-CN"/>
        </w:rPr>
        <w:t>。</w:t>
      </w:r>
    </w:p>
    <w:p w14:paraId="3EA8CECA">
      <w:pPr>
        <w:spacing w:before="152" w:line="309" w:lineRule="auto"/>
        <w:ind w:left="9" w:firstLine="568"/>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rPr>
        <w:t>5.5</w:t>
      </w:r>
      <w:r>
        <w:rPr>
          <w:rFonts w:hint="eastAsia" w:ascii="宋体" w:hAnsi="宋体" w:eastAsia="宋体" w:cs="宋体"/>
          <w:color w:val="auto"/>
          <w:spacing w:val="-1"/>
          <w:sz w:val="24"/>
          <w:szCs w:val="24"/>
          <w:highlight w:val="none"/>
        </w:rPr>
        <w:t xml:space="preserve">  其它：</w:t>
      </w:r>
      <w:r>
        <w:rPr>
          <w:rFonts w:hint="eastAsia" w:ascii="宋体" w:hAnsi="宋体" w:eastAsia="宋体" w:cs="宋体"/>
          <w:color w:val="auto"/>
          <w:spacing w:val="-1"/>
          <w:sz w:val="24"/>
          <w:szCs w:val="24"/>
          <w:highlight w:val="none"/>
          <w:lang w:eastAsia="zh-CN"/>
        </w:rPr>
        <w:t>本招标项目</w:t>
      </w:r>
      <w:r>
        <w:rPr>
          <w:rFonts w:hint="eastAsia" w:ascii="宋体" w:hAnsi="宋体" w:eastAsia="宋体" w:cs="宋体"/>
          <w:color w:val="auto"/>
          <w:spacing w:val="-1"/>
          <w:sz w:val="24"/>
          <w:szCs w:val="24"/>
          <w:highlight w:val="none"/>
          <w:lang w:val="en-US" w:eastAsia="zh-CN"/>
        </w:rPr>
        <w:t>不</w:t>
      </w:r>
      <w:r>
        <w:rPr>
          <w:rFonts w:hint="eastAsia" w:ascii="宋体" w:hAnsi="宋体" w:eastAsia="宋体" w:cs="宋体"/>
          <w:color w:val="auto"/>
          <w:spacing w:val="-1"/>
          <w:sz w:val="24"/>
          <w:szCs w:val="24"/>
          <w:highlight w:val="none"/>
          <w:lang w:eastAsia="zh-CN"/>
        </w:rPr>
        <w:t>纳入装配式建造建设实施范围。</w:t>
      </w:r>
    </w:p>
    <w:p w14:paraId="529B9570">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5.6</w:t>
      </w:r>
      <w:r>
        <w:rPr>
          <w:rFonts w:hint="eastAsia" w:ascii="宋体" w:hAnsi="宋体" w:eastAsia="宋体" w:cs="宋体"/>
          <w:color w:val="auto"/>
          <w:spacing w:val="-1"/>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则中标人必须使用合格材料或设备。</w:t>
      </w:r>
    </w:p>
    <w:p w14:paraId="7DD80F84">
      <w:pPr>
        <w:spacing w:before="152" w:line="309" w:lineRule="auto"/>
        <w:ind w:left="9" w:firstLine="568"/>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w:t>
      </w:r>
      <w:r>
        <w:rPr>
          <w:rFonts w:hint="eastAsia" w:ascii="宋体" w:hAnsi="宋体" w:eastAsia="宋体" w:cs="宋体"/>
          <w:b/>
          <w:bCs/>
          <w:color w:val="auto"/>
          <w:spacing w:val="-1"/>
          <w:sz w:val="24"/>
          <w:szCs w:val="24"/>
          <w:highlight w:val="none"/>
          <w:lang w:eastAsia="zh-CN"/>
        </w:rPr>
        <w:t>7</w:t>
      </w:r>
      <w:r>
        <w:rPr>
          <w:rFonts w:hint="eastAsia" w:ascii="宋体" w:hAnsi="宋体" w:eastAsia="宋体" w:cs="宋体"/>
          <w:color w:val="auto"/>
          <w:spacing w:val="-1"/>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4A8A6FE1">
      <w:pPr>
        <w:spacing w:before="78" w:line="220" w:lineRule="auto"/>
        <w:ind w:left="489"/>
        <w:outlineLvl w:val="2"/>
        <w:rPr>
          <w:rFonts w:hint="eastAsia" w:ascii="宋体" w:hAnsi="宋体" w:eastAsia="宋体" w:cs="宋体"/>
          <w:color w:val="auto"/>
          <w:sz w:val="24"/>
          <w:szCs w:val="24"/>
          <w:highlight w:val="none"/>
        </w:rPr>
      </w:pPr>
      <w:bookmarkStart w:id="28" w:name="_Toc13650"/>
      <w:bookmarkStart w:id="29" w:name="_Toc7763"/>
      <w:r>
        <w:rPr>
          <w:rFonts w:hint="eastAsia" w:ascii="宋体" w:hAnsi="宋体" w:eastAsia="宋体" w:cs="宋体"/>
          <w:b/>
          <w:bCs/>
          <w:color w:val="auto"/>
          <w:spacing w:val="-6"/>
          <w:sz w:val="24"/>
          <w:szCs w:val="24"/>
          <w:highlight w:val="none"/>
        </w:rPr>
        <w:t>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6"/>
          <w:sz w:val="24"/>
          <w:szCs w:val="24"/>
          <w:highlight w:val="none"/>
        </w:rPr>
        <w:t>．施工条件及现场踏勘</w:t>
      </w:r>
      <w:bookmarkEnd w:id="28"/>
      <w:bookmarkEnd w:id="29"/>
    </w:p>
    <w:p w14:paraId="4C828FEF">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6.1  </w:t>
      </w:r>
      <w:r>
        <w:rPr>
          <w:rFonts w:hint="eastAsia" w:ascii="宋体" w:hAnsi="宋体" w:eastAsia="宋体" w:cs="宋体"/>
          <w:color w:val="auto"/>
          <w:spacing w:val="-2"/>
          <w:sz w:val="24"/>
          <w:szCs w:val="24"/>
          <w:highlight w:val="none"/>
        </w:rPr>
        <w:t>招标人仅在本招标项目征地红线范围内提供场地，其他一切场地费用由中标人自行负责（含临时道路）。</w:t>
      </w:r>
    </w:p>
    <w:p w14:paraId="2BD082AA">
      <w:pPr>
        <w:spacing w:before="155" w:line="324" w:lineRule="auto"/>
        <w:ind w:left="12" w:right="99" w:firstLine="556"/>
        <w:rPr>
          <w:rFonts w:hint="eastAsia" w:ascii="宋体" w:hAnsi="宋体" w:eastAsia="宋体" w:cs="宋体"/>
          <w:color w:val="auto"/>
          <w:spacing w:val="-2"/>
          <w:sz w:val="24"/>
          <w:szCs w:val="24"/>
          <w:highlight w:val="none"/>
        </w:rPr>
      </w:pPr>
      <w:bookmarkStart w:id="30" w:name="bookmark118"/>
      <w:bookmarkEnd w:id="30"/>
      <w:r>
        <w:rPr>
          <w:rFonts w:hint="eastAsia" w:ascii="宋体" w:hAnsi="宋体" w:eastAsia="宋体" w:cs="宋体"/>
          <w:b/>
          <w:bCs/>
          <w:color w:val="auto"/>
          <w:spacing w:val="-2"/>
          <w:sz w:val="24"/>
          <w:szCs w:val="24"/>
          <w:highlight w:val="none"/>
        </w:rPr>
        <w:t>6.2</w:t>
      </w:r>
      <w:r>
        <w:rPr>
          <w:rFonts w:hint="eastAsia" w:ascii="宋体" w:hAnsi="宋体" w:eastAsia="宋体" w:cs="宋体"/>
          <w:color w:val="auto"/>
          <w:spacing w:val="-2"/>
          <w:sz w:val="24"/>
          <w:szCs w:val="24"/>
          <w:highlight w:val="none"/>
        </w:rPr>
        <w:t xml:space="preserve">  施工用水：</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C5809E9">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6.3</w:t>
      </w:r>
      <w:r>
        <w:rPr>
          <w:rFonts w:hint="eastAsia" w:ascii="宋体" w:hAnsi="宋体" w:eastAsia="宋体" w:cs="宋体"/>
          <w:color w:val="auto"/>
          <w:spacing w:val="-2"/>
          <w:sz w:val="24"/>
          <w:szCs w:val="24"/>
          <w:highlight w:val="none"/>
        </w:rPr>
        <w:t xml:space="preserve">  施工用电：</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89BF34C">
      <w:pPr>
        <w:spacing w:before="154" w:line="29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4</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招标人不组织现场踏勘，</w:t>
      </w:r>
      <w:r>
        <w:rPr>
          <w:rFonts w:hint="eastAsia" w:ascii="宋体" w:hAnsi="宋体" w:eastAsia="宋体" w:cs="宋体"/>
          <w:color w:val="auto"/>
          <w:sz w:val="24"/>
          <w:szCs w:val="24"/>
          <w:highlight w:val="none"/>
        </w:rPr>
        <w:t>投标人需要了解现场情况的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1"/>
          <w:sz w:val="24"/>
          <w:szCs w:val="24"/>
          <w:highlight w:val="none"/>
        </w:rPr>
        <w:t>可自行进行现场踏勘。</w:t>
      </w:r>
    </w:p>
    <w:p w14:paraId="29077E9E">
      <w:pPr>
        <w:spacing w:before="153" w:line="280"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在现场踏勘过程中，投标人应确保自身安全，投标人如果发生人身伤亡、财</w:t>
      </w:r>
      <w:r>
        <w:rPr>
          <w:rFonts w:hint="eastAsia" w:ascii="宋体" w:hAnsi="宋体" w:eastAsia="宋体" w:cs="宋体"/>
          <w:color w:val="auto"/>
          <w:spacing w:val="-1"/>
          <w:sz w:val="24"/>
          <w:szCs w:val="24"/>
          <w:highlight w:val="none"/>
        </w:rPr>
        <w:t>物或其他损失，法律法规有规定的按有关规定处理，没有规定</w:t>
      </w:r>
      <w:r>
        <w:rPr>
          <w:rFonts w:hint="eastAsia" w:ascii="宋体" w:hAnsi="宋体" w:eastAsia="宋体" w:cs="宋体"/>
          <w:color w:val="auto"/>
          <w:spacing w:val="-2"/>
          <w:sz w:val="24"/>
          <w:szCs w:val="24"/>
          <w:highlight w:val="none"/>
        </w:rPr>
        <w:t>的由投标人自行负责。</w:t>
      </w:r>
    </w:p>
    <w:p w14:paraId="1B002D65">
      <w:pPr>
        <w:spacing w:before="153" w:line="220" w:lineRule="auto"/>
        <w:ind w:left="568"/>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现场踏勘期间的交通、食宿由投标人</w:t>
      </w:r>
      <w:r>
        <w:rPr>
          <w:rFonts w:hint="eastAsia" w:ascii="宋体" w:hAnsi="宋体" w:eastAsia="宋体" w:cs="宋体"/>
          <w:color w:val="auto"/>
          <w:spacing w:val="-1"/>
          <w:sz w:val="24"/>
          <w:szCs w:val="24"/>
          <w:highlight w:val="none"/>
        </w:rPr>
        <w:t>自行安排，费用自理。</w:t>
      </w:r>
    </w:p>
    <w:p w14:paraId="35DD5CF7">
      <w:pPr>
        <w:spacing w:before="78" w:line="220" w:lineRule="auto"/>
        <w:ind w:left="488"/>
        <w:outlineLvl w:val="2"/>
        <w:rPr>
          <w:rFonts w:hint="eastAsia" w:ascii="宋体" w:hAnsi="宋体" w:eastAsia="宋体" w:cs="宋体"/>
          <w:color w:val="auto"/>
          <w:sz w:val="24"/>
          <w:szCs w:val="24"/>
          <w:highlight w:val="none"/>
        </w:rPr>
      </w:pPr>
      <w:bookmarkStart w:id="31" w:name="bookmark67"/>
      <w:bookmarkEnd w:id="31"/>
      <w:bookmarkStart w:id="32" w:name="bookmark69"/>
      <w:bookmarkEnd w:id="32"/>
      <w:bookmarkStart w:id="33" w:name="bookmark81"/>
      <w:bookmarkEnd w:id="33"/>
      <w:bookmarkStart w:id="34" w:name="_Toc15543"/>
      <w:bookmarkStart w:id="35" w:name="_Toc27657"/>
      <w:r>
        <w:rPr>
          <w:rFonts w:hint="eastAsia" w:ascii="宋体" w:hAnsi="宋体" w:eastAsia="宋体" w:cs="宋体"/>
          <w:b/>
          <w:bCs/>
          <w:color w:val="auto"/>
          <w:spacing w:val="-5"/>
          <w:sz w:val="24"/>
          <w:szCs w:val="24"/>
          <w:highlight w:val="none"/>
        </w:rPr>
        <w:t>7</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5"/>
          <w:sz w:val="24"/>
          <w:szCs w:val="24"/>
          <w:highlight w:val="none"/>
        </w:rPr>
        <w:t>．招标文件的提问和答疑</w:t>
      </w:r>
      <w:bookmarkEnd w:id="34"/>
      <w:bookmarkEnd w:id="35"/>
    </w:p>
    <w:p w14:paraId="318A4AA7">
      <w:pPr>
        <w:spacing w:before="153" w:line="299" w:lineRule="auto"/>
        <w:ind w:left="9" w:right="16" w:firstLine="47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7.1  </w:t>
      </w:r>
      <w:r>
        <w:rPr>
          <w:rFonts w:hint="eastAsia" w:ascii="宋体" w:hAnsi="宋体" w:eastAsia="宋体" w:cs="宋体"/>
          <w:color w:val="auto"/>
          <w:sz w:val="24"/>
          <w:szCs w:val="24"/>
          <w:highlight w:val="none"/>
        </w:rPr>
        <w:t>投标人若对招标文件（含施工图、招标工程量清单）有疑问，应在提问截止</w:t>
      </w:r>
      <w:r>
        <w:rPr>
          <w:rFonts w:hint="eastAsia" w:ascii="宋体" w:hAnsi="宋体" w:eastAsia="宋体" w:cs="宋体"/>
          <w:color w:val="auto"/>
          <w:spacing w:val="-2"/>
          <w:sz w:val="24"/>
          <w:szCs w:val="24"/>
          <w:highlight w:val="none"/>
        </w:rPr>
        <w:t>时间（见本章第二节“重要事项时间地点一览表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”）前使用建设工程交易</w:t>
      </w:r>
      <w:r>
        <w:rPr>
          <w:rFonts w:hint="eastAsia" w:ascii="宋体" w:hAnsi="宋体" w:eastAsia="宋体" w:cs="宋体"/>
          <w:color w:val="auto"/>
          <w:spacing w:val="-3"/>
          <w:sz w:val="24"/>
          <w:szCs w:val="24"/>
          <w:highlight w:val="none"/>
        </w:rPr>
        <w:t>系统提出问</w:t>
      </w:r>
      <w:r>
        <w:rPr>
          <w:rFonts w:hint="eastAsia" w:ascii="宋体" w:hAnsi="宋体" w:eastAsia="宋体" w:cs="宋体"/>
          <w:color w:val="auto"/>
          <w:spacing w:val="-1"/>
          <w:sz w:val="24"/>
          <w:szCs w:val="24"/>
          <w:highlight w:val="none"/>
        </w:rPr>
        <w:t>题。未在指定时间前、未采用指定方式提出的，招标人不予受理。</w:t>
      </w:r>
    </w:p>
    <w:p w14:paraId="0C4E75E3">
      <w:pPr>
        <w:spacing w:before="154" w:line="30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7.2  </w:t>
      </w:r>
      <w:r>
        <w:rPr>
          <w:rFonts w:hint="eastAsia" w:ascii="宋体" w:hAnsi="宋体" w:eastAsia="宋体" w:cs="宋体"/>
          <w:color w:val="auto"/>
          <w:spacing w:val="-1"/>
          <w:sz w:val="24"/>
          <w:szCs w:val="24"/>
          <w:highlight w:val="none"/>
        </w:rPr>
        <w:t>招标人在提问截止时间（见本章第二节“重要</w:t>
      </w:r>
      <w:r>
        <w:rPr>
          <w:rFonts w:hint="eastAsia" w:ascii="宋体" w:hAnsi="宋体" w:eastAsia="宋体" w:cs="宋体"/>
          <w:color w:val="auto"/>
          <w:spacing w:val="-2"/>
          <w:sz w:val="24"/>
          <w:szCs w:val="24"/>
          <w:highlight w:val="none"/>
        </w:rPr>
        <w:t>事项时间地点一览表</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2"/>
          <w:sz w:val="24"/>
          <w:szCs w:val="24"/>
          <w:highlight w:val="none"/>
        </w:rPr>
        <w:t>”）后</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日内，一次性对收到的所有问题作出答复，并形成答疑（或修</w:t>
      </w:r>
      <w:r>
        <w:rPr>
          <w:rFonts w:hint="eastAsia" w:ascii="宋体" w:hAnsi="宋体" w:eastAsia="宋体" w:cs="宋体"/>
          <w:color w:val="auto"/>
          <w:spacing w:val="-2"/>
          <w:sz w:val="24"/>
          <w:szCs w:val="24"/>
          <w:highlight w:val="none"/>
        </w:rPr>
        <w:t>改）公告在发布招标公</w:t>
      </w:r>
      <w:r>
        <w:rPr>
          <w:rFonts w:hint="eastAsia" w:ascii="宋体" w:hAnsi="宋体" w:eastAsia="宋体" w:cs="宋体"/>
          <w:color w:val="auto"/>
          <w:spacing w:val="-1"/>
          <w:sz w:val="24"/>
          <w:szCs w:val="24"/>
          <w:highlight w:val="none"/>
        </w:rPr>
        <w:t>告的媒介上公开发布。答疑（或修改）公告一旦发布，即视所</w:t>
      </w:r>
      <w:r>
        <w:rPr>
          <w:rFonts w:hint="eastAsia" w:ascii="宋体" w:hAnsi="宋体" w:eastAsia="宋体" w:cs="宋体"/>
          <w:color w:val="auto"/>
          <w:spacing w:val="-2"/>
          <w:sz w:val="24"/>
          <w:szCs w:val="24"/>
          <w:highlight w:val="none"/>
        </w:rPr>
        <w:t>有潜在投标人已经知悉</w:t>
      </w:r>
      <w:r>
        <w:rPr>
          <w:rFonts w:hint="eastAsia" w:ascii="宋体" w:hAnsi="宋体" w:eastAsia="宋体" w:cs="宋体"/>
          <w:color w:val="auto"/>
          <w:spacing w:val="-1"/>
          <w:sz w:val="24"/>
          <w:szCs w:val="24"/>
          <w:highlight w:val="none"/>
        </w:rPr>
        <w:t>答疑（或修改）内容，投标人未及时关注而造成的损失和后果</w:t>
      </w:r>
      <w:r>
        <w:rPr>
          <w:rFonts w:hint="eastAsia" w:ascii="宋体" w:hAnsi="宋体" w:eastAsia="宋体" w:cs="宋体"/>
          <w:color w:val="auto"/>
          <w:spacing w:val="-2"/>
          <w:sz w:val="24"/>
          <w:szCs w:val="24"/>
          <w:highlight w:val="none"/>
        </w:rPr>
        <w:t>，由投标人自行承担。</w:t>
      </w:r>
    </w:p>
    <w:p w14:paraId="3207CA6F">
      <w:pPr>
        <w:spacing w:before="152" w:line="219" w:lineRule="auto"/>
        <w:ind w:firstLine="478" w:firstLineChars="200"/>
        <w:jc w:val="both"/>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7.3  </w:t>
      </w:r>
      <w:r>
        <w:rPr>
          <w:rFonts w:hint="eastAsia" w:ascii="宋体" w:hAnsi="宋体" w:eastAsia="宋体" w:cs="宋体"/>
          <w:color w:val="auto"/>
          <w:spacing w:val="-1"/>
          <w:sz w:val="24"/>
          <w:szCs w:val="24"/>
          <w:highlight w:val="none"/>
        </w:rPr>
        <w:t>招标人对招标文件所作的答疑（或修改）公告，构成</w:t>
      </w:r>
      <w:r>
        <w:rPr>
          <w:rFonts w:hint="eastAsia" w:ascii="宋体" w:hAnsi="宋体" w:eastAsia="宋体" w:cs="宋体"/>
          <w:color w:val="auto"/>
          <w:spacing w:val="-2"/>
          <w:sz w:val="24"/>
          <w:szCs w:val="24"/>
          <w:highlight w:val="none"/>
        </w:rPr>
        <w:t>招标文件的组成部分。</w:t>
      </w:r>
    </w:p>
    <w:p w14:paraId="1728F14D">
      <w:pPr>
        <w:spacing w:before="79" w:line="219" w:lineRule="auto"/>
        <w:ind w:left="488"/>
        <w:outlineLvl w:val="2"/>
        <w:rPr>
          <w:rFonts w:hint="eastAsia" w:ascii="宋体" w:hAnsi="宋体" w:eastAsia="宋体" w:cs="宋体"/>
          <w:color w:val="auto"/>
          <w:sz w:val="24"/>
          <w:szCs w:val="24"/>
          <w:highlight w:val="none"/>
          <w:lang w:eastAsia="zh-CN"/>
        </w:rPr>
      </w:pPr>
      <w:bookmarkStart w:id="36" w:name="_Toc18636"/>
      <w:bookmarkStart w:id="37" w:name="_Toc6897"/>
      <w:r>
        <w:rPr>
          <w:rFonts w:hint="eastAsia" w:ascii="宋体" w:hAnsi="宋体" w:eastAsia="宋体" w:cs="宋体"/>
          <w:b/>
          <w:bCs/>
          <w:color w:val="auto"/>
          <w:spacing w:val="-5"/>
          <w:sz w:val="24"/>
          <w:szCs w:val="24"/>
          <w:highlight w:val="none"/>
        </w:rPr>
        <w:t>8</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5"/>
          <w:sz w:val="24"/>
          <w:szCs w:val="24"/>
          <w:highlight w:val="none"/>
        </w:rPr>
        <w:t>．</w:t>
      </w:r>
      <w:r>
        <w:rPr>
          <w:rFonts w:hint="eastAsia" w:ascii="宋体" w:hAnsi="宋体" w:eastAsia="宋体" w:cs="宋体"/>
          <w:b/>
          <w:bCs/>
          <w:color w:val="auto"/>
          <w:spacing w:val="-1"/>
          <w:sz w:val="24"/>
          <w:szCs w:val="24"/>
          <w:highlight w:val="none"/>
          <w:lang w:eastAsia="zh-CN"/>
        </w:rPr>
        <w:t>最高投标限价</w:t>
      </w:r>
      <w:bookmarkEnd w:id="36"/>
      <w:bookmarkEnd w:id="37"/>
    </w:p>
    <w:p w14:paraId="483B6E50">
      <w:pPr>
        <w:spacing w:before="155"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8.1  </w:t>
      </w:r>
      <w:r>
        <w:rPr>
          <w:rFonts w:hint="eastAsia" w:ascii="宋体" w:hAnsi="宋体" w:eastAsia="宋体" w:cs="宋体"/>
          <w:color w:val="auto"/>
          <w:spacing w:val="-1"/>
          <w:sz w:val="24"/>
          <w:szCs w:val="24"/>
          <w:highlight w:val="none"/>
        </w:rPr>
        <w:t>本招标项目按照以下依据编制</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w:t>
      </w:r>
    </w:p>
    <w:p w14:paraId="50AB2042">
      <w:pPr>
        <w:keepNext w:val="0"/>
        <w:keepLines w:val="0"/>
        <w:pageBreakBefore w:val="0"/>
        <w:widowControl/>
        <w:kinsoku w:val="0"/>
        <w:wordWrap/>
        <w:overflowPunct/>
        <w:topLinePunct w:val="0"/>
        <w:autoSpaceDE w:val="0"/>
        <w:autoSpaceDN w:val="0"/>
        <w:bidi w:val="0"/>
        <w:adjustRightInd w:val="0"/>
        <w:snapToGrid w:val="0"/>
        <w:spacing w:before="157" w:line="360" w:lineRule="auto"/>
        <w:ind w:left="50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》（GB/T 50500-2024）；</w:t>
      </w:r>
    </w:p>
    <w:p w14:paraId="55BAFE0B">
      <w:pPr>
        <w:keepNext w:val="0"/>
        <w:keepLines w:val="0"/>
        <w:pageBreakBefore w:val="0"/>
        <w:widowControl/>
        <w:kinsoku w:val="0"/>
        <w:wordWrap/>
        <w:overflowPunct/>
        <w:topLinePunct w:val="0"/>
        <w:autoSpaceDE w:val="0"/>
        <w:autoSpaceDN w:val="0"/>
        <w:bidi w:val="0"/>
        <w:adjustRightInd w:val="0"/>
        <w:snapToGrid w:val="0"/>
        <w:spacing w:line="360" w:lineRule="auto"/>
        <w:ind w:left="11" w:right="17"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工程工程量计算标准》(GB/T50857-2024）、《园林绿化工程工程量计算标准》(GB/T50858-2024）、2018年《广东省市政工程综合定额》、2018年《广东省园林绿化工程综合定额》及现行的建筑施工规范和省市有关文件、规定为编制依据进行编制。</w:t>
      </w:r>
    </w:p>
    <w:p w14:paraId="071273A5">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（3）施工图及相关资料；</w:t>
      </w:r>
    </w:p>
    <w:p w14:paraId="3F87E4AE">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bookmarkStart w:id="38" w:name="bookmark119"/>
      <w:bookmarkEnd w:id="38"/>
      <w:r>
        <w:rPr>
          <w:rFonts w:hint="eastAsia" w:ascii="宋体" w:hAnsi="宋体" w:eastAsia="宋体" w:cs="宋体"/>
          <w:color w:val="auto"/>
          <w:spacing w:val="-2"/>
          <w:sz w:val="24"/>
          <w:szCs w:val="24"/>
          <w:highlight w:val="none"/>
        </w:rPr>
        <w:t>（4）招标文件及招标工程量清单；</w:t>
      </w:r>
    </w:p>
    <w:p w14:paraId="50D8453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（5）施工现场情况、工程特点及常规施工方案；</w:t>
      </w:r>
    </w:p>
    <w:p w14:paraId="7B3A9415">
      <w:pPr>
        <w:keepNext w:val="0"/>
        <w:keepLines w:val="0"/>
        <w:pageBreakBefore w:val="0"/>
        <w:widowControl/>
        <w:kinsoku w:val="0"/>
        <w:wordWrap/>
        <w:overflowPunct/>
        <w:topLinePunct w:val="0"/>
        <w:autoSpaceDE w:val="0"/>
        <w:autoSpaceDN w:val="0"/>
        <w:bidi w:val="0"/>
        <w:adjustRightInd w:val="0"/>
        <w:snapToGrid w:val="0"/>
        <w:spacing w:line="360" w:lineRule="auto"/>
        <w:ind w:left="12" w:right="136" w:firstLine="48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（6）项目所在地工程造价管理机构发布的工程造价信息，工程造</w:t>
      </w:r>
      <w:r>
        <w:rPr>
          <w:rFonts w:hint="eastAsia" w:ascii="宋体" w:hAnsi="宋体" w:eastAsia="宋体" w:cs="宋体"/>
          <w:color w:val="auto"/>
          <w:spacing w:val="-4"/>
          <w:sz w:val="24"/>
          <w:szCs w:val="24"/>
          <w:highlight w:val="none"/>
        </w:rPr>
        <w:t>价信息缺项的，</w:t>
      </w:r>
      <w:r>
        <w:rPr>
          <w:rFonts w:hint="eastAsia" w:ascii="宋体" w:hAnsi="宋体" w:eastAsia="宋体" w:cs="宋体"/>
          <w:color w:val="auto"/>
          <w:spacing w:val="-2"/>
          <w:sz w:val="24"/>
          <w:szCs w:val="24"/>
          <w:highlight w:val="none"/>
        </w:rPr>
        <w:t>参照市场价格；</w:t>
      </w:r>
    </w:p>
    <w:p w14:paraId="7F6D825D">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（7）与建设项目相关的标准、规范、技术资料。</w:t>
      </w:r>
    </w:p>
    <w:p w14:paraId="0E49F042">
      <w:pPr>
        <w:spacing w:before="79" w:line="333" w:lineRule="auto"/>
        <w:ind w:firstLine="482" w:firstLineChars="200"/>
        <w:jc w:val="both"/>
        <w:rPr>
          <w:rFonts w:hint="eastAsia" w:asciiTheme="minorEastAsia" w:hAnsiTheme="minorEastAsia" w:eastAsiaTheme="minorEastAsia" w:cstheme="minorEastAsia"/>
          <w:snapToGrid w:val="0"/>
          <w:color w:val="auto"/>
          <w:kern w:val="0"/>
          <w:sz w:val="24"/>
          <w:szCs w:val="24"/>
          <w:highlight w:val="none"/>
          <w:u w:val="single"/>
          <w:lang w:val="en-US" w:eastAsia="zh-CN"/>
        </w:rPr>
      </w:pPr>
      <w:r>
        <w:rPr>
          <w:rFonts w:hint="eastAsia" w:ascii="宋体" w:hAnsi="宋体" w:eastAsia="宋体" w:cs="宋体"/>
          <w:b/>
          <w:bCs/>
          <w:color w:val="auto"/>
          <w:sz w:val="24"/>
          <w:szCs w:val="24"/>
          <w:highlight w:val="none"/>
        </w:rPr>
        <w:t>8.2</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lang w:val="en-US" w:eastAsia="zh-CN"/>
        </w:rPr>
        <w:t>本招标项目最高投标限价为人民币（大写）：</w:t>
      </w:r>
      <w:r>
        <w:rPr>
          <w:rFonts w:hint="eastAsia" w:asciiTheme="minorEastAsia" w:hAnsiTheme="minorEastAsia" w:eastAsiaTheme="minorEastAsia" w:cstheme="minorEastAsia"/>
          <w:snapToGrid w:val="0"/>
          <w:color w:val="auto"/>
          <w:kern w:val="0"/>
          <w:sz w:val="24"/>
          <w:szCs w:val="24"/>
          <w:highlight w:val="none"/>
          <w:u w:val="single"/>
          <w:lang w:val="en-US" w:eastAsia="zh-CN"/>
        </w:rPr>
        <w:t>叁佰捌拾伍万壹仟伍佰壹拾陆元零柒分（¥3851516.07元），其中安全生产措施费为：¥86920.57 元，暂列金额（统一报价）为：¥302872.68元。</w:t>
      </w:r>
    </w:p>
    <w:p w14:paraId="37A2572C">
      <w:pPr>
        <w:spacing w:before="79" w:line="333"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3</w:t>
      </w:r>
      <w:r>
        <w:rPr>
          <w:rFonts w:hint="eastAsia" w:ascii="宋体" w:hAnsi="宋体" w:eastAsia="宋体" w:cs="宋体"/>
          <w:color w:val="auto"/>
          <w:sz w:val="24"/>
          <w:szCs w:val="24"/>
          <w:highlight w:val="none"/>
        </w:rPr>
        <w:t>暂估价指招标工程量清单中提供的用于支付必然发生但暂时不能确定价格的</w:t>
      </w:r>
      <w:r>
        <w:rPr>
          <w:rFonts w:hint="eastAsia" w:ascii="宋体" w:hAnsi="宋体" w:eastAsia="宋体" w:cs="宋体"/>
          <w:color w:val="auto"/>
          <w:spacing w:val="-1"/>
          <w:sz w:val="24"/>
          <w:szCs w:val="24"/>
          <w:highlight w:val="none"/>
        </w:rPr>
        <w:t>材料、工程设备的单价以及专业工程的金额；暂列金额指招标</w:t>
      </w:r>
      <w:r>
        <w:rPr>
          <w:rFonts w:hint="eastAsia" w:ascii="宋体" w:hAnsi="宋体" w:eastAsia="宋体" w:cs="宋体"/>
          <w:color w:val="auto"/>
          <w:spacing w:val="-2"/>
          <w:sz w:val="24"/>
          <w:szCs w:val="24"/>
          <w:highlight w:val="none"/>
        </w:rPr>
        <w:t>工程量清单中暂定并包括在合同价款中的一笔款项，用于工程合同签订时尚未确定或</w:t>
      </w:r>
      <w:r>
        <w:rPr>
          <w:rFonts w:hint="eastAsia" w:ascii="宋体" w:hAnsi="宋体" w:eastAsia="宋体" w:cs="宋体"/>
          <w:color w:val="auto"/>
          <w:spacing w:val="-3"/>
          <w:sz w:val="24"/>
          <w:szCs w:val="24"/>
          <w:highlight w:val="none"/>
        </w:rPr>
        <w:t>者不可预见的所需材料、</w:t>
      </w:r>
      <w:r>
        <w:rPr>
          <w:rFonts w:hint="eastAsia" w:ascii="宋体" w:hAnsi="宋体" w:eastAsia="宋体" w:cs="宋体"/>
          <w:color w:val="auto"/>
          <w:spacing w:val="-1"/>
          <w:sz w:val="24"/>
          <w:szCs w:val="24"/>
          <w:highlight w:val="none"/>
        </w:rPr>
        <w:t>工程设备、服务的采购，施工中可能发生的工程变更、合同约</w:t>
      </w:r>
      <w:r>
        <w:rPr>
          <w:rFonts w:hint="eastAsia" w:ascii="宋体" w:hAnsi="宋体" w:eastAsia="宋体" w:cs="宋体"/>
          <w:color w:val="auto"/>
          <w:spacing w:val="-2"/>
          <w:sz w:val="24"/>
          <w:szCs w:val="24"/>
          <w:highlight w:val="none"/>
        </w:rPr>
        <w:t>定调整因素出现时的合</w:t>
      </w:r>
      <w:r>
        <w:rPr>
          <w:rFonts w:hint="eastAsia" w:ascii="宋体" w:hAnsi="宋体" w:eastAsia="宋体" w:cs="宋体"/>
          <w:color w:val="auto"/>
          <w:spacing w:val="-1"/>
          <w:sz w:val="24"/>
          <w:szCs w:val="24"/>
          <w:highlight w:val="none"/>
        </w:rPr>
        <w:t>同价款调整以及发生的索赔、现场签证确认等的费用。</w:t>
      </w:r>
    </w:p>
    <w:p w14:paraId="1F29C3EF">
      <w:pPr>
        <w:spacing w:before="36" w:line="278" w:lineRule="auto"/>
        <w:ind w:left="10" w:right="200" w:firstLine="48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4</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本招标项目以暂估价形式列入招标工程量清单中的材料、工程设备、专业工</w:t>
      </w:r>
      <w:r>
        <w:rPr>
          <w:rFonts w:hint="eastAsia" w:ascii="宋体" w:hAnsi="宋体" w:eastAsia="宋体" w:cs="宋体"/>
          <w:color w:val="auto"/>
          <w:spacing w:val="-2"/>
          <w:sz w:val="24"/>
          <w:szCs w:val="24"/>
          <w:highlight w:val="none"/>
        </w:rPr>
        <w:t>程（以下统称“暂估价项目</w:t>
      </w:r>
      <w:r>
        <w:rPr>
          <w:rFonts w:hint="eastAsia" w:ascii="宋体" w:hAnsi="宋体" w:eastAsia="宋体" w:cs="宋体"/>
          <w:color w:val="auto"/>
          <w:spacing w:val="-80"/>
          <w:sz w:val="24"/>
          <w:szCs w:val="24"/>
          <w:highlight w:val="none"/>
        </w:rPr>
        <w:t xml:space="preserve"> </w:t>
      </w:r>
      <w:r>
        <w:rPr>
          <w:rFonts w:hint="eastAsia" w:ascii="宋体" w:hAnsi="宋体" w:eastAsia="宋体" w:cs="宋体"/>
          <w:color w:val="auto"/>
          <w:spacing w:val="-2"/>
          <w:sz w:val="24"/>
          <w:szCs w:val="24"/>
          <w:highlight w:val="none"/>
        </w:rPr>
        <w:t>”）包括：</w:t>
      </w:r>
      <w:r>
        <w:rPr>
          <w:rFonts w:hint="eastAsia" w:ascii="宋体" w:hAnsi="宋体" w:eastAsia="宋体" w:cs="宋体"/>
          <w:color w:val="auto"/>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12FE5072">
      <w:pPr>
        <w:spacing w:before="154" w:line="280" w:lineRule="auto"/>
        <w:ind w:left="12" w:right="200"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5</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当暂估价项目的内容、标准、要求在项目实施过程中得以深化、明确、固定</w:t>
      </w:r>
      <w:r>
        <w:rPr>
          <w:rFonts w:hint="eastAsia" w:ascii="宋体" w:hAnsi="宋体" w:eastAsia="宋体" w:cs="宋体"/>
          <w:color w:val="auto"/>
          <w:spacing w:val="-2"/>
          <w:sz w:val="24"/>
          <w:szCs w:val="24"/>
          <w:highlight w:val="none"/>
        </w:rPr>
        <w:t>后，按以下原则发包：</w:t>
      </w:r>
    </w:p>
    <w:p w14:paraId="0DB4AC8D">
      <w:pPr>
        <w:spacing w:before="153" w:line="219" w:lineRule="auto"/>
        <w:ind w:left="-3" w:leftChars="0"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（1）暂估价项目按工程、货物（指材料或工程设备，下同）的类别分类汇总的金额，达到必须</w:t>
      </w:r>
      <w:r>
        <w:rPr>
          <w:rFonts w:hint="eastAsia" w:ascii="宋体" w:hAnsi="宋体" w:eastAsia="宋体" w:cs="宋体"/>
          <w:color w:val="auto"/>
          <w:spacing w:val="-3"/>
          <w:sz w:val="24"/>
          <w:szCs w:val="24"/>
          <w:highlight w:val="none"/>
        </w:rPr>
        <w:t>招标规模标准的，由</w:t>
      </w:r>
      <w:r>
        <w:rPr>
          <w:rFonts w:hint="eastAsia" w:ascii="宋体" w:hAnsi="宋体" w:eastAsia="宋体" w:cs="宋体"/>
          <w:b/>
          <w:bCs/>
          <w:color w:val="auto"/>
          <w:spacing w:val="21"/>
          <w:sz w:val="24"/>
          <w:szCs w:val="24"/>
          <w:highlight w:val="none"/>
          <w:u w:val="single"/>
        </w:rPr>
        <w:t xml:space="preserve"> </w:t>
      </w:r>
      <w:r>
        <w:rPr>
          <w:rFonts w:hint="eastAsia" w:ascii="宋体" w:hAnsi="宋体" w:eastAsia="宋体" w:cs="宋体"/>
          <w:bCs/>
          <w:color w:val="auto"/>
          <w:spacing w:val="-1"/>
          <w:sz w:val="24"/>
          <w:szCs w:val="24"/>
          <w:highlight w:val="none"/>
          <w:u w:val="single"/>
        </w:rPr>
        <w:t xml:space="preserve">中标人招标，招标人参与管理 </w:t>
      </w:r>
      <w:r>
        <w:rPr>
          <w:rFonts w:hint="eastAsia" w:ascii="宋体" w:hAnsi="宋体" w:eastAsia="宋体" w:cs="宋体"/>
          <w:bCs/>
          <w:color w:val="auto"/>
          <w:spacing w:val="-1"/>
          <w:sz w:val="24"/>
          <w:szCs w:val="24"/>
          <w:highlight w:val="none"/>
        </w:rPr>
        <w:t>，</w:t>
      </w:r>
      <w:r>
        <w:rPr>
          <w:rFonts w:hint="eastAsia" w:ascii="宋体" w:hAnsi="宋体" w:eastAsia="宋体" w:cs="宋体"/>
          <w:color w:val="auto"/>
          <w:spacing w:val="-1"/>
          <w:sz w:val="24"/>
          <w:szCs w:val="24"/>
          <w:highlight w:val="none"/>
        </w:rPr>
        <w:t>确定专业工程承包人（或材料、工程</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设备供应商）和合同价格。</w:t>
      </w:r>
    </w:p>
    <w:p w14:paraId="5F60C25D">
      <w:pPr>
        <w:spacing w:before="30" w:line="29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准但适用政府采购规定的，按照政府采购规定确定专业工</w:t>
      </w:r>
      <w:r>
        <w:rPr>
          <w:rFonts w:hint="eastAsia" w:ascii="宋体" w:hAnsi="宋体" w:eastAsia="宋体" w:cs="宋体"/>
          <w:color w:val="auto"/>
          <w:spacing w:val="-2"/>
          <w:sz w:val="24"/>
          <w:szCs w:val="24"/>
          <w:highlight w:val="none"/>
        </w:rPr>
        <w:t>程承包人（或材料、工程设备供应商）和合同价格。</w:t>
      </w:r>
    </w:p>
    <w:p w14:paraId="02BF48BB">
      <w:pPr>
        <w:spacing w:before="154" w:line="30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准也不适用政府采购规定，中标人具备相应资格条件的，</w:t>
      </w:r>
      <w:r>
        <w:rPr>
          <w:rFonts w:hint="eastAsia" w:ascii="宋体" w:hAnsi="宋体" w:eastAsia="宋体" w:cs="宋体"/>
          <w:color w:val="auto"/>
          <w:spacing w:val="-2"/>
          <w:sz w:val="24"/>
          <w:szCs w:val="24"/>
          <w:highlight w:val="none"/>
        </w:rPr>
        <w:t>由中标人承包；中标人不具</w:t>
      </w:r>
      <w:r>
        <w:rPr>
          <w:rFonts w:hint="eastAsia" w:ascii="宋体" w:hAnsi="宋体" w:eastAsia="宋体" w:cs="宋体"/>
          <w:color w:val="auto"/>
          <w:spacing w:val="-1"/>
          <w:sz w:val="24"/>
          <w:szCs w:val="24"/>
          <w:highlight w:val="none"/>
        </w:rPr>
        <w:t>备相应资格条件但具备分包权的，由中标人分包，招标人</w:t>
      </w:r>
      <w:r>
        <w:rPr>
          <w:rFonts w:hint="eastAsia" w:ascii="宋体" w:hAnsi="宋体" w:eastAsia="宋体" w:cs="宋体"/>
          <w:color w:val="auto"/>
          <w:spacing w:val="-2"/>
          <w:sz w:val="24"/>
          <w:szCs w:val="24"/>
          <w:highlight w:val="none"/>
        </w:rPr>
        <w:t>同中标人结算原则按本招标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文件相关条款执行。</w:t>
      </w:r>
    </w:p>
    <w:p w14:paraId="3698C443">
      <w:pPr>
        <w:spacing w:before="154" w:line="299"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准也不适用政府采购规定，中标人既不具备相应资格条件</w:t>
      </w:r>
      <w:r>
        <w:rPr>
          <w:rFonts w:hint="eastAsia" w:ascii="宋体" w:hAnsi="宋体" w:eastAsia="宋体" w:cs="宋体"/>
          <w:color w:val="auto"/>
          <w:spacing w:val="-2"/>
          <w:sz w:val="24"/>
          <w:szCs w:val="24"/>
          <w:highlight w:val="none"/>
        </w:rPr>
        <w:t>又不具备分包权的，由招标人另行发包。</w:t>
      </w:r>
    </w:p>
    <w:p w14:paraId="475FBF4C">
      <w:pPr>
        <w:spacing w:before="155" w:line="279" w:lineRule="auto"/>
        <w:ind w:left="9" w:right="66"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（5）暂估价项目由其他承包人承包的，纳入中标人的管理</w:t>
      </w:r>
      <w:r>
        <w:rPr>
          <w:rFonts w:hint="eastAsia" w:ascii="宋体" w:hAnsi="宋体" w:eastAsia="宋体" w:cs="宋体"/>
          <w:color w:val="auto"/>
          <w:spacing w:val="1"/>
          <w:sz w:val="24"/>
          <w:szCs w:val="24"/>
          <w:highlight w:val="none"/>
        </w:rPr>
        <w:t>和协调范围，由其他</w:t>
      </w:r>
      <w:r>
        <w:rPr>
          <w:rFonts w:hint="eastAsia" w:ascii="宋体" w:hAnsi="宋体" w:eastAsia="宋体" w:cs="宋体"/>
          <w:color w:val="auto"/>
          <w:spacing w:val="-1"/>
          <w:sz w:val="24"/>
          <w:szCs w:val="24"/>
          <w:highlight w:val="none"/>
        </w:rPr>
        <w:t>承包人向中标人承担质量、安全、文明施工、工期责任，中标</w:t>
      </w:r>
      <w:r>
        <w:rPr>
          <w:rFonts w:hint="eastAsia" w:ascii="宋体" w:hAnsi="宋体" w:eastAsia="宋体" w:cs="宋体"/>
          <w:color w:val="auto"/>
          <w:spacing w:val="-2"/>
          <w:sz w:val="24"/>
          <w:szCs w:val="24"/>
          <w:highlight w:val="none"/>
        </w:rPr>
        <w:t>人向招标人承担责任。</w:t>
      </w:r>
    </w:p>
    <w:p w14:paraId="34DBC168">
      <w:pPr>
        <w:spacing w:before="155" w:line="333" w:lineRule="auto"/>
        <w:ind w:left="10" w:right="65" w:firstLine="478"/>
        <w:jc w:val="both"/>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本招标项目以暂列金额形式列入招标工程量清单中的所需货物和服务的采购</w:t>
      </w:r>
      <w:r>
        <w:rPr>
          <w:rFonts w:hint="eastAsia" w:ascii="宋体" w:hAnsi="宋体" w:eastAsia="宋体" w:cs="宋体"/>
          <w:color w:val="auto"/>
          <w:spacing w:val="-1"/>
          <w:sz w:val="24"/>
          <w:szCs w:val="24"/>
          <w:highlight w:val="none"/>
        </w:rPr>
        <w:t>（以下统称“暂列金额项目</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”）若有发生，按照本节第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pacing w:val="-1"/>
          <w:sz w:val="24"/>
          <w:szCs w:val="24"/>
          <w:highlight w:val="none"/>
        </w:rPr>
        <w:t xml:space="preserve">8.5 </w:t>
      </w:r>
      <w:r>
        <w:rPr>
          <w:rFonts w:hint="eastAsia" w:ascii="宋体" w:hAnsi="宋体" w:eastAsia="宋体" w:cs="宋体"/>
          <w:color w:val="auto"/>
          <w:spacing w:val="-1"/>
          <w:sz w:val="24"/>
          <w:szCs w:val="24"/>
          <w:highlight w:val="none"/>
        </w:rPr>
        <w:t>条的规定确定货物（或服务）供应商和合同价格。暂列金额项目由其他承包人承包的</w:t>
      </w:r>
      <w:r>
        <w:rPr>
          <w:rFonts w:hint="eastAsia" w:ascii="宋体" w:hAnsi="宋体" w:eastAsia="宋体" w:cs="宋体"/>
          <w:color w:val="auto"/>
          <w:spacing w:val="-2"/>
          <w:sz w:val="24"/>
          <w:szCs w:val="24"/>
          <w:highlight w:val="none"/>
        </w:rPr>
        <w:t>，纳入中标人的管理和协</w:t>
      </w:r>
      <w:r>
        <w:rPr>
          <w:rFonts w:hint="eastAsia" w:ascii="宋体" w:hAnsi="宋体" w:eastAsia="宋体" w:cs="宋体"/>
          <w:color w:val="auto"/>
          <w:spacing w:val="-1"/>
          <w:sz w:val="24"/>
          <w:szCs w:val="24"/>
          <w:highlight w:val="none"/>
        </w:rPr>
        <w:t>调范围</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由其他承包人向中标人承担质量、安全、文明</w:t>
      </w:r>
      <w:r>
        <w:rPr>
          <w:rFonts w:hint="eastAsia" w:ascii="宋体" w:hAnsi="宋体" w:eastAsia="宋体" w:cs="宋体"/>
          <w:color w:val="auto"/>
          <w:spacing w:val="-2"/>
          <w:sz w:val="24"/>
          <w:szCs w:val="24"/>
          <w:highlight w:val="none"/>
        </w:rPr>
        <w:t>施工、工期责任，中标人向招标人承担责任。</w:t>
      </w:r>
    </w:p>
    <w:p w14:paraId="2AB78D5F">
      <w:pPr>
        <w:spacing w:before="79" w:line="219" w:lineRule="auto"/>
        <w:ind w:left="487"/>
        <w:outlineLvl w:val="2"/>
        <w:rPr>
          <w:rFonts w:hint="eastAsia" w:ascii="宋体" w:hAnsi="宋体" w:eastAsia="宋体" w:cs="宋体"/>
          <w:color w:val="auto"/>
          <w:sz w:val="24"/>
          <w:szCs w:val="24"/>
          <w:highlight w:val="none"/>
        </w:rPr>
      </w:pPr>
      <w:bookmarkStart w:id="39" w:name="_Toc21113"/>
      <w:bookmarkStart w:id="40" w:name="_Toc22978"/>
      <w:r>
        <w:rPr>
          <w:rFonts w:hint="eastAsia" w:ascii="宋体" w:hAnsi="宋体" w:eastAsia="宋体" w:cs="宋体"/>
          <w:b/>
          <w:bCs/>
          <w:color w:val="auto"/>
          <w:spacing w:val="-8"/>
          <w:sz w:val="24"/>
          <w:szCs w:val="24"/>
          <w:highlight w:val="none"/>
        </w:rPr>
        <w:t>9</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8"/>
          <w:sz w:val="24"/>
          <w:szCs w:val="24"/>
          <w:highlight w:val="none"/>
        </w:rPr>
        <w:t>．投标报价</w:t>
      </w:r>
      <w:bookmarkEnd w:id="39"/>
      <w:bookmarkEnd w:id="40"/>
    </w:p>
    <w:p w14:paraId="0CB59245">
      <w:pPr>
        <w:spacing w:before="157" w:line="219"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9.1  </w:t>
      </w:r>
      <w:r>
        <w:rPr>
          <w:rFonts w:hint="eastAsia" w:ascii="宋体" w:hAnsi="宋体" w:eastAsia="宋体" w:cs="宋体"/>
          <w:color w:val="auto"/>
          <w:spacing w:val="-1"/>
          <w:sz w:val="24"/>
          <w:szCs w:val="24"/>
          <w:highlight w:val="none"/>
        </w:rPr>
        <w:t>投标人应按照以下依据编制投标报价：</w:t>
      </w:r>
    </w:p>
    <w:p w14:paraId="324CCCE9">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（1）《建设工程工程量清单计价标准》（GB/T 50500-2024）</w:t>
      </w:r>
      <w:r>
        <w:rPr>
          <w:rFonts w:hint="eastAsia" w:ascii="宋体" w:hAnsi="宋体" w:eastAsia="宋体" w:cs="宋体"/>
          <w:color w:val="auto"/>
          <w:spacing w:val="4"/>
          <w:sz w:val="24"/>
          <w:szCs w:val="24"/>
          <w:highlight w:val="none"/>
        </w:rPr>
        <w:t>；</w:t>
      </w:r>
    </w:p>
    <w:p w14:paraId="1F123386">
      <w:pPr>
        <w:spacing w:before="153" w:line="309" w:lineRule="auto"/>
        <w:ind w:left="9" w:right="65"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工程工程量计算标准》(GB/T50857-2024）、《园林绿化工程工程量计算标准》(GB/T50858-2024）、2018年《广东省市政工程综合定额》、2018年《广东省园林绿化工程综合定额》及现行的建筑施工规范和省市有关文件、规定为编制依据进行编制</w:t>
      </w:r>
      <w:r>
        <w:rPr>
          <w:rFonts w:hint="eastAsia" w:ascii="宋体" w:hAnsi="宋体" w:eastAsia="宋体" w:cs="宋体"/>
          <w:color w:val="auto"/>
          <w:spacing w:val="-1"/>
          <w:sz w:val="24"/>
          <w:szCs w:val="24"/>
          <w:highlight w:val="none"/>
        </w:rPr>
        <w:t>；</w:t>
      </w:r>
    </w:p>
    <w:p w14:paraId="4CCDAD2F">
      <w:pPr>
        <w:spacing w:before="78" w:line="220" w:lineRule="auto"/>
        <w:ind w:left="501"/>
        <w:rPr>
          <w:rFonts w:hint="eastAsia" w:ascii="宋体" w:hAnsi="宋体" w:eastAsia="宋体" w:cs="宋体"/>
          <w:color w:val="auto"/>
          <w:sz w:val="24"/>
          <w:szCs w:val="24"/>
          <w:highlight w:val="none"/>
        </w:rPr>
      </w:pPr>
      <w:bookmarkStart w:id="41" w:name="bookmark120"/>
      <w:bookmarkEnd w:id="41"/>
      <w:r>
        <w:rPr>
          <w:rFonts w:hint="eastAsia" w:ascii="宋体" w:hAnsi="宋体" w:eastAsia="宋体" w:cs="宋体"/>
          <w:color w:val="auto"/>
          <w:spacing w:val="-3"/>
          <w:sz w:val="24"/>
          <w:szCs w:val="24"/>
          <w:highlight w:val="none"/>
        </w:rPr>
        <w:t>（3）企业定额；</w:t>
      </w:r>
    </w:p>
    <w:p w14:paraId="44753B79">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（4）招标文件及其答疑（或修改）公告、招标工程量清单；</w:t>
      </w:r>
    </w:p>
    <w:p w14:paraId="3CFD144F">
      <w:pPr>
        <w:spacing w:before="154"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（5）施工图及相关资料；</w:t>
      </w:r>
    </w:p>
    <w:p w14:paraId="3970D688">
      <w:pPr>
        <w:spacing w:before="152"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（6）施工现场情况、工程特点及投标时拟定的施工组织设计或施工方案；</w:t>
      </w:r>
    </w:p>
    <w:p w14:paraId="248C998C">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（7）市场价格信息或项目所在地工程造价管理机构发布的工程造价信息；</w:t>
      </w:r>
    </w:p>
    <w:p w14:paraId="7BBE6412">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（8）与建设项目相关的标准、规范、技术资料。</w:t>
      </w:r>
    </w:p>
    <w:p w14:paraId="5884AFD7">
      <w:pPr>
        <w:spacing w:before="153" w:line="309" w:lineRule="auto"/>
        <w:ind w:left="8" w:right="15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9.2  </w:t>
      </w:r>
      <w:r>
        <w:rPr>
          <w:rFonts w:hint="eastAsia" w:ascii="宋体" w:hAnsi="宋体" w:eastAsia="宋体" w:cs="宋体"/>
          <w:color w:val="auto"/>
          <w:spacing w:val="-2"/>
          <w:sz w:val="24"/>
          <w:szCs w:val="24"/>
          <w:highlight w:val="none"/>
        </w:rPr>
        <w:t>投标人应根据招标工程量清单、工程量清单计价规范中的工作内容、设计文</w:t>
      </w:r>
      <w:r>
        <w:rPr>
          <w:rFonts w:hint="eastAsia" w:ascii="宋体" w:hAnsi="宋体" w:eastAsia="宋体" w:cs="宋体"/>
          <w:color w:val="auto"/>
          <w:spacing w:val="-1"/>
          <w:sz w:val="24"/>
          <w:szCs w:val="24"/>
          <w:highlight w:val="none"/>
        </w:rPr>
        <w:t>件和有关要求、施工现场实际情况、投标人拟定的施工组织设计</w:t>
      </w:r>
      <w:r>
        <w:rPr>
          <w:rFonts w:hint="eastAsia" w:ascii="宋体" w:hAnsi="宋体" w:eastAsia="宋体" w:cs="宋体"/>
          <w:color w:val="auto"/>
          <w:spacing w:val="-2"/>
          <w:sz w:val="24"/>
          <w:szCs w:val="24"/>
          <w:highlight w:val="none"/>
        </w:rPr>
        <w:t>、本单位的企业定额</w:t>
      </w:r>
      <w:r>
        <w:rPr>
          <w:rFonts w:hint="eastAsia" w:ascii="宋体" w:hAnsi="宋体" w:eastAsia="宋体" w:cs="宋体"/>
          <w:color w:val="auto"/>
          <w:spacing w:val="-1"/>
          <w:sz w:val="24"/>
          <w:szCs w:val="24"/>
          <w:highlight w:val="none"/>
        </w:rPr>
        <w:t>和市场价格进行编制，自行报价，并承担一定范围内的风险费用</w:t>
      </w:r>
      <w:r>
        <w:rPr>
          <w:rFonts w:hint="eastAsia" w:ascii="宋体" w:hAnsi="宋体" w:eastAsia="宋体" w:cs="宋体"/>
          <w:color w:val="auto"/>
          <w:spacing w:val="-2"/>
          <w:sz w:val="24"/>
          <w:szCs w:val="24"/>
          <w:highlight w:val="none"/>
        </w:rPr>
        <w:t>。所谓“一定范围内</w:t>
      </w:r>
      <w:r>
        <w:rPr>
          <w:rFonts w:hint="eastAsia" w:ascii="宋体" w:hAnsi="宋体" w:eastAsia="宋体" w:cs="宋体"/>
          <w:color w:val="auto"/>
          <w:spacing w:val="-3"/>
          <w:sz w:val="24"/>
          <w:szCs w:val="24"/>
          <w:highlight w:val="none"/>
        </w:rPr>
        <w:t>的风险</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”是指合同约定的风险。</w:t>
      </w:r>
    </w:p>
    <w:p w14:paraId="6F48F6C5">
      <w:pPr>
        <w:spacing w:before="152" w:line="309"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9.3  </w:t>
      </w:r>
      <w:r>
        <w:rPr>
          <w:rFonts w:hint="eastAsia" w:ascii="宋体" w:hAnsi="宋体" w:eastAsia="宋体" w:cs="宋体"/>
          <w:color w:val="auto"/>
          <w:spacing w:val="-2"/>
          <w:sz w:val="24"/>
          <w:szCs w:val="24"/>
          <w:highlight w:val="none"/>
        </w:rPr>
        <w:t>招标人及招标代理机构不集中组织现场踏勘，投标人需要了解现场情况的，</w:t>
      </w:r>
      <w:r>
        <w:rPr>
          <w:rFonts w:hint="eastAsia" w:ascii="宋体" w:hAnsi="宋体" w:eastAsia="宋体" w:cs="宋体"/>
          <w:color w:val="auto"/>
          <w:spacing w:val="-1"/>
          <w:sz w:val="24"/>
          <w:szCs w:val="24"/>
          <w:highlight w:val="none"/>
        </w:rPr>
        <w:t>可自行进行现场踏勘。各投标人应勘察施工现场及周围环</w:t>
      </w:r>
      <w:r>
        <w:rPr>
          <w:rFonts w:hint="eastAsia" w:ascii="宋体" w:hAnsi="宋体" w:eastAsia="宋体" w:cs="宋体"/>
          <w:color w:val="auto"/>
          <w:spacing w:val="-2"/>
          <w:sz w:val="24"/>
          <w:szCs w:val="24"/>
          <w:highlight w:val="none"/>
        </w:rPr>
        <w:t>境、地形、地貌、水文、交</w:t>
      </w:r>
      <w:r>
        <w:rPr>
          <w:rFonts w:hint="eastAsia" w:ascii="宋体" w:hAnsi="宋体" w:eastAsia="宋体" w:cs="宋体"/>
          <w:color w:val="auto"/>
          <w:spacing w:val="-1"/>
          <w:sz w:val="24"/>
          <w:szCs w:val="24"/>
          <w:highlight w:val="none"/>
        </w:rPr>
        <w:t>通等情况，以获得一切可能影响到投标的直接资料。投标人应</w:t>
      </w:r>
      <w:r>
        <w:rPr>
          <w:rFonts w:hint="eastAsia" w:ascii="宋体" w:hAnsi="宋体" w:eastAsia="宋体" w:cs="宋体"/>
          <w:color w:val="auto"/>
          <w:spacing w:val="-2"/>
          <w:sz w:val="24"/>
          <w:szCs w:val="24"/>
          <w:highlight w:val="none"/>
        </w:rPr>
        <w:t>针对现场情况编制施工</w:t>
      </w:r>
      <w:r>
        <w:rPr>
          <w:rFonts w:hint="eastAsia" w:ascii="宋体" w:hAnsi="宋体" w:eastAsia="宋体" w:cs="宋体"/>
          <w:color w:val="auto"/>
          <w:spacing w:val="-1"/>
          <w:sz w:val="24"/>
          <w:szCs w:val="24"/>
          <w:highlight w:val="none"/>
        </w:rPr>
        <w:t>组织设计，并在编制投标报价时考虑现场情况的影响。</w:t>
      </w:r>
    </w:p>
    <w:p w14:paraId="17C6A9C4">
      <w:pPr>
        <w:spacing w:before="155" w:line="279" w:lineRule="auto"/>
        <w:ind w:left="10" w:right="150" w:firstLine="55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9.4  </w:t>
      </w:r>
      <w:r>
        <w:rPr>
          <w:rFonts w:hint="eastAsia" w:ascii="宋体" w:hAnsi="宋体" w:eastAsia="宋体" w:cs="宋体"/>
          <w:color w:val="auto"/>
          <w:spacing w:val="-2"/>
          <w:sz w:val="24"/>
          <w:szCs w:val="24"/>
          <w:highlight w:val="none"/>
        </w:rPr>
        <w:t>招标人向投标人提供的有关现场的数据和资料，是招标人现有的能被投标人</w:t>
      </w:r>
      <w:r>
        <w:rPr>
          <w:rFonts w:hint="eastAsia" w:ascii="宋体" w:hAnsi="宋体" w:eastAsia="宋体" w:cs="宋体"/>
          <w:color w:val="auto"/>
          <w:sz w:val="24"/>
          <w:szCs w:val="24"/>
          <w:highlight w:val="none"/>
        </w:rPr>
        <w:t>利用的资料，招标人对投标人做出的任何推论</w:t>
      </w:r>
      <w:r>
        <w:rPr>
          <w:rFonts w:hint="eastAsia" w:ascii="宋体" w:hAnsi="宋体" w:eastAsia="宋体" w:cs="宋体"/>
          <w:color w:val="auto"/>
          <w:spacing w:val="-1"/>
          <w:sz w:val="24"/>
          <w:szCs w:val="24"/>
          <w:highlight w:val="none"/>
        </w:rPr>
        <w:t>、理解和结论均不负责任。</w:t>
      </w:r>
    </w:p>
    <w:p w14:paraId="58AFE0B2">
      <w:pPr>
        <w:spacing w:before="154" w:line="299" w:lineRule="auto"/>
        <w:ind w:left="12" w:firstLine="55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9.5  </w:t>
      </w:r>
      <w:r>
        <w:rPr>
          <w:rFonts w:hint="eastAsia" w:ascii="宋体" w:hAnsi="宋体" w:eastAsia="宋体" w:cs="宋体"/>
          <w:color w:val="auto"/>
          <w:spacing w:val="-2"/>
          <w:sz w:val="24"/>
          <w:szCs w:val="24"/>
          <w:highlight w:val="none"/>
        </w:rPr>
        <w:t>投标人必须按照招标工程量清单及表格填报价格。项目编码、项目名称、项</w:t>
      </w:r>
      <w:r>
        <w:rPr>
          <w:rFonts w:hint="eastAsia" w:ascii="宋体" w:hAnsi="宋体" w:eastAsia="宋体" w:cs="宋体"/>
          <w:color w:val="auto"/>
          <w:spacing w:val="2"/>
          <w:sz w:val="24"/>
          <w:szCs w:val="24"/>
          <w:highlight w:val="none"/>
        </w:rPr>
        <w:t>目特征、计量单位、工程量必须与招标工程量清单一致。所有报价均以人</w:t>
      </w:r>
      <w:r>
        <w:rPr>
          <w:rFonts w:hint="eastAsia" w:ascii="宋体" w:hAnsi="宋体" w:eastAsia="宋体" w:cs="宋体"/>
          <w:color w:val="auto"/>
          <w:spacing w:val="1"/>
          <w:sz w:val="24"/>
          <w:szCs w:val="24"/>
          <w:highlight w:val="none"/>
        </w:rPr>
        <w:t>民币“元</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rPr>
        <w:t>为单位，并保留小数点后两位。</w:t>
      </w:r>
    </w:p>
    <w:p w14:paraId="7A5201E3">
      <w:pPr>
        <w:spacing w:before="158" w:line="314"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9.6  </w:t>
      </w:r>
      <w:r>
        <w:rPr>
          <w:rFonts w:hint="eastAsia" w:ascii="宋体" w:hAnsi="宋体" w:eastAsia="宋体" w:cs="宋体"/>
          <w:color w:val="auto"/>
          <w:spacing w:val="-2"/>
          <w:sz w:val="24"/>
          <w:szCs w:val="24"/>
          <w:highlight w:val="none"/>
        </w:rPr>
        <w:t>投标人只允许有一个投标总价。投标总价必须同时用大、小写表示，大、小</w:t>
      </w:r>
      <w:r>
        <w:rPr>
          <w:rFonts w:hint="eastAsia" w:ascii="宋体" w:hAnsi="宋体" w:eastAsia="宋体" w:cs="宋体"/>
          <w:color w:val="auto"/>
          <w:spacing w:val="-1"/>
          <w:sz w:val="24"/>
          <w:szCs w:val="24"/>
          <w:highlight w:val="none"/>
        </w:rPr>
        <w:t>写报价应保持一致，若不一致，以大写报价为准。招标工程量</w:t>
      </w:r>
      <w:r>
        <w:rPr>
          <w:rFonts w:hint="eastAsia" w:ascii="宋体" w:hAnsi="宋体" w:eastAsia="宋体" w:cs="宋体"/>
          <w:color w:val="auto"/>
          <w:spacing w:val="-2"/>
          <w:sz w:val="24"/>
          <w:szCs w:val="24"/>
          <w:highlight w:val="none"/>
        </w:rPr>
        <w:t>清单与计价表中列明的</w:t>
      </w:r>
      <w:r>
        <w:rPr>
          <w:rFonts w:hint="eastAsia" w:ascii="宋体" w:hAnsi="宋体" w:eastAsia="宋体" w:cs="宋体"/>
          <w:color w:val="auto"/>
          <w:spacing w:val="-1"/>
          <w:sz w:val="24"/>
          <w:szCs w:val="24"/>
          <w:highlight w:val="none"/>
        </w:rPr>
        <w:t>所有需要填写单价和合价的项目，投标人均应填写且只允许有</w:t>
      </w:r>
      <w:r>
        <w:rPr>
          <w:rFonts w:hint="eastAsia" w:ascii="宋体" w:hAnsi="宋体" w:eastAsia="宋体" w:cs="宋体"/>
          <w:color w:val="auto"/>
          <w:spacing w:val="-2"/>
          <w:sz w:val="24"/>
          <w:szCs w:val="24"/>
          <w:highlight w:val="none"/>
        </w:rPr>
        <w:t>一个报价。未填写单价</w:t>
      </w:r>
      <w:r>
        <w:rPr>
          <w:rFonts w:hint="eastAsia" w:ascii="宋体" w:hAnsi="宋体" w:eastAsia="宋体" w:cs="宋体"/>
          <w:color w:val="auto"/>
          <w:spacing w:val="-1"/>
          <w:sz w:val="24"/>
          <w:szCs w:val="24"/>
          <w:highlight w:val="none"/>
        </w:rPr>
        <w:t>和合价的项目，视为此项费用已包含在已标价工程量清单其他</w:t>
      </w:r>
      <w:r>
        <w:rPr>
          <w:rFonts w:hint="eastAsia" w:ascii="宋体" w:hAnsi="宋体" w:eastAsia="宋体" w:cs="宋体"/>
          <w:color w:val="auto"/>
          <w:spacing w:val="-2"/>
          <w:sz w:val="24"/>
          <w:szCs w:val="24"/>
          <w:highlight w:val="none"/>
        </w:rPr>
        <w:t>项目的单价和合价中，</w:t>
      </w:r>
      <w:r>
        <w:rPr>
          <w:rFonts w:hint="eastAsia" w:ascii="宋体" w:hAnsi="宋体" w:eastAsia="宋体" w:cs="宋体"/>
          <w:color w:val="auto"/>
          <w:spacing w:val="-1"/>
          <w:sz w:val="24"/>
          <w:szCs w:val="24"/>
          <w:highlight w:val="none"/>
        </w:rPr>
        <w:t>竣工结算时不得重新组价和调整。</w:t>
      </w:r>
    </w:p>
    <w:p w14:paraId="680D700B">
      <w:pPr>
        <w:spacing w:before="152" w:line="309" w:lineRule="auto"/>
        <w:ind w:left="7" w:right="120" w:firstLine="480"/>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z w:val="24"/>
          <w:szCs w:val="24"/>
          <w:highlight w:val="none"/>
        </w:rPr>
        <w:t xml:space="preserve">9.7  </w:t>
      </w:r>
      <w:r>
        <w:rPr>
          <w:rFonts w:hint="eastAsia" w:ascii="宋体" w:hAnsi="宋体" w:eastAsia="宋体" w:cs="宋体"/>
          <w:color w:val="auto"/>
          <w:sz w:val="24"/>
          <w:szCs w:val="24"/>
          <w:highlight w:val="none"/>
        </w:rPr>
        <w:t>投标人的投标总价不得高于</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color w:val="auto"/>
          <w:sz w:val="24"/>
          <w:szCs w:val="24"/>
          <w:highlight w:val="none"/>
        </w:rPr>
        <w:t>，也不得低于工程成本。投标人对</w:t>
      </w:r>
      <w:r>
        <w:rPr>
          <w:rFonts w:hint="eastAsia" w:ascii="宋体" w:hAnsi="宋体" w:eastAsia="宋体" w:cs="宋体"/>
          <w:color w:val="auto"/>
          <w:spacing w:val="-1"/>
          <w:sz w:val="24"/>
          <w:szCs w:val="24"/>
          <w:highlight w:val="none"/>
        </w:rPr>
        <w:t>投标总价的所有优惠（降价、让利等</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1"/>
          <w:sz w:val="24"/>
          <w:szCs w:val="24"/>
          <w:highlight w:val="none"/>
        </w:rPr>
        <w:t>均应当反映在具体清单项目或其综合</w:t>
      </w:r>
      <w:r>
        <w:rPr>
          <w:rFonts w:hint="eastAsia" w:ascii="宋体" w:hAnsi="宋体" w:eastAsia="宋体" w:cs="宋体"/>
          <w:color w:val="auto"/>
          <w:spacing w:val="-2"/>
          <w:sz w:val="24"/>
          <w:szCs w:val="24"/>
          <w:highlight w:val="none"/>
        </w:rPr>
        <w:t>单价的</w:t>
      </w:r>
      <w:r>
        <w:rPr>
          <w:rFonts w:hint="eastAsia" w:ascii="宋体" w:hAnsi="宋体" w:eastAsia="宋体" w:cs="宋体"/>
          <w:color w:val="auto"/>
          <w:spacing w:val="1"/>
          <w:sz w:val="24"/>
          <w:szCs w:val="24"/>
          <w:highlight w:val="none"/>
        </w:rPr>
        <w:t>报价上。</w:t>
      </w:r>
      <w:r>
        <w:rPr>
          <w:rFonts w:hint="eastAsia" w:ascii="宋体" w:hAnsi="宋体" w:eastAsia="宋体" w:cs="宋体"/>
          <w:b/>
          <w:bCs/>
          <w:color w:val="auto"/>
          <w:spacing w:val="1"/>
          <w:sz w:val="24"/>
          <w:szCs w:val="24"/>
          <w:highlight w:val="none"/>
        </w:rPr>
        <w:t>如果投标人的投标总价下浮率高于</w:t>
      </w:r>
      <w:r>
        <w:rPr>
          <w:rFonts w:hint="eastAsia" w:ascii="宋体" w:hAnsi="宋体" w:eastAsia="宋体" w:cs="宋体"/>
          <w:color w:val="auto"/>
          <w:spacing w:val="-40"/>
          <w:sz w:val="24"/>
          <w:szCs w:val="24"/>
          <w:highlight w:val="none"/>
        </w:rPr>
        <w:t xml:space="preserve"> </w:t>
      </w:r>
      <w:r>
        <w:rPr>
          <w:rFonts w:hint="eastAsia" w:ascii="宋体" w:hAnsi="宋体" w:eastAsia="宋体" w:cs="宋体"/>
          <w:b/>
          <w:bCs/>
          <w:color w:val="auto"/>
          <w:spacing w:val="1"/>
          <w:sz w:val="24"/>
          <w:szCs w:val="24"/>
          <w:highlight w:val="none"/>
        </w:rPr>
        <w:t>15%时，投标人必须在投标文件中专项</w:t>
      </w:r>
      <w:r>
        <w:rPr>
          <w:rFonts w:hint="eastAsia" w:ascii="宋体" w:hAnsi="宋体" w:eastAsia="宋体" w:cs="宋体"/>
          <w:b/>
          <w:bCs/>
          <w:color w:val="auto"/>
          <w:spacing w:val="-3"/>
          <w:sz w:val="24"/>
          <w:szCs w:val="24"/>
          <w:highlight w:val="none"/>
        </w:rPr>
        <w:t>作出详细合理的书面说明并提供以往类似工程详细成本分析报告供评标委员会审查。</w:t>
      </w:r>
    </w:p>
    <w:p w14:paraId="25ACD444">
      <w:pPr>
        <w:outlineLvl w:val="9"/>
        <w:rPr>
          <w:rFonts w:hint="eastAsia" w:ascii="宋体" w:hAnsi="宋体" w:eastAsia="宋体" w:cs="宋体"/>
          <w:color w:val="auto"/>
          <w:highlight w:val="none"/>
          <w:lang w:eastAsia="zh-CN"/>
        </w:rPr>
      </w:pPr>
      <w:r>
        <w:rPr>
          <w:rFonts w:hint="eastAsia" w:ascii="宋体" w:hAnsi="宋体" w:eastAsia="宋体" w:cs="宋体"/>
          <w:b/>
          <w:bCs/>
          <w:color w:val="auto"/>
          <w:spacing w:val="-3"/>
          <w:sz w:val="24"/>
          <w:szCs w:val="24"/>
          <w:highlight w:val="none"/>
          <w:lang w:eastAsia="zh-CN"/>
        </w:rPr>
        <w:t>投标总价下浮率=（1-投标总价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100%</w:t>
      </w:r>
    </w:p>
    <w:p w14:paraId="5ABB7F86">
      <w:pPr>
        <w:spacing w:before="146" w:line="325" w:lineRule="auto"/>
        <w:ind w:left="29" w:right="153" w:firstLine="458"/>
        <w:rPr>
          <w:rFonts w:hint="eastAsia" w:ascii="宋体" w:hAnsi="宋体" w:eastAsia="宋体" w:cs="宋体"/>
          <w:b/>
          <w:bCs/>
          <w:color w:val="auto"/>
          <w:highlight w:val="none"/>
        </w:rPr>
      </w:pPr>
      <w:r>
        <w:rPr>
          <w:rFonts w:hint="eastAsia" w:ascii="宋体" w:hAnsi="宋体" w:eastAsia="宋体" w:cs="宋体"/>
          <w:b/>
          <w:bCs/>
          <w:color w:val="auto"/>
          <w:sz w:val="24"/>
          <w:szCs w:val="24"/>
          <w:highlight w:val="none"/>
        </w:rPr>
        <w:t>9.8  投标人的安全生产措施费报价必须达到或超过</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b/>
          <w:bCs/>
          <w:color w:val="auto"/>
          <w:sz w:val="24"/>
          <w:szCs w:val="24"/>
          <w:highlight w:val="none"/>
        </w:rPr>
        <w:t>中</w:t>
      </w:r>
      <w:r>
        <w:rPr>
          <w:rFonts w:hint="eastAsia" w:ascii="宋体" w:hAnsi="宋体" w:eastAsia="宋体" w:cs="宋体"/>
          <w:b/>
          <w:bCs/>
          <w:color w:val="auto"/>
          <w:spacing w:val="-1"/>
          <w:sz w:val="24"/>
          <w:szCs w:val="24"/>
          <w:highlight w:val="none"/>
        </w:rPr>
        <w:t>提供</w:t>
      </w:r>
      <w:r>
        <w:rPr>
          <w:rFonts w:hint="eastAsia" w:ascii="宋体" w:hAnsi="宋体" w:eastAsia="宋体" w:cs="宋体"/>
          <w:b/>
          <w:bCs/>
          <w:color w:val="auto"/>
          <w:spacing w:val="-3"/>
          <w:sz w:val="24"/>
          <w:szCs w:val="24"/>
          <w:highlight w:val="none"/>
        </w:rPr>
        <w:t>的安全生产措施费。</w:t>
      </w:r>
    </w:p>
    <w:p w14:paraId="235C1669">
      <w:pPr>
        <w:spacing w:before="78" w:line="309" w:lineRule="auto"/>
        <w:ind w:right="99"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9.9  </w:t>
      </w:r>
      <w:r>
        <w:rPr>
          <w:rFonts w:hint="eastAsia" w:ascii="宋体" w:hAnsi="宋体" w:eastAsia="宋体" w:cs="宋体"/>
          <w:color w:val="auto"/>
          <w:sz w:val="24"/>
          <w:szCs w:val="24"/>
          <w:highlight w:val="none"/>
        </w:rPr>
        <w:t>投标人必须按照招标工程量清单中提供的暂列金额和暂估价统一报价。投标</w:t>
      </w:r>
      <w:r>
        <w:rPr>
          <w:rFonts w:hint="eastAsia" w:ascii="宋体" w:hAnsi="宋体" w:eastAsia="宋体" w:cs="宋体"/>
          <w:color w:val="auto"/>
          <w:spacing w:val="-1"/>
          <w:sz w:val="24"/>
          <w:szCs w:val="24"/>
          <w:highlight w:val="none"/>
        </w:rPr>
        <w:t>人应充分考虑暂估价项目（或暂列金额项目）的管理和协调所发</w:t>
      </w:r>
      <w:r>
        <w:rPr>
          <w:rFonts w:hint="eastAsia" w:ascii="宋体" w:hAnsi="宋体" w:eastAsia="宋体" w:cs="宋体"/>
          <w:color w:val="auto"/>
          <w:spacing w:val="-2"/>
          <w:sz w:val="24"/>
          <w:szCs w:val="24"/>
          <w:highlight w:val="none"/>
        </w:rPr>
        <w:t>生的费用，并将其纳</w:t>
      </w:r>
      <w:r>
        <w:rPr>
          <w:rFonts w:hint="eastAsia" w:ascii="宋体" w:hAnsi="宋体" w:eastAsia="宋体" w:cs="宋体"/>
          <w:color w:val="auto"/>
          <w:spacing w:val="-1"/>
          <w:sz w:val="24"/>
          <w:szCs w:val="24"/>
          <w:highlight w:val="none"/>
        </w:rPr>
        <w:t>入已标价工程量清单中的适当项目。招标人视该项管理和协调所</w:t>
      </w:r>
      <w:r>
        <w:rPr>
          <w:rFonts w:hint="eastAsia" w:ascii="宋体" w:hAnsi="宋体" w:eastAsia="宋体" w:cs="宋体"/>
          <w:color w:val="auto"/>
          <w:spacing w:val="-2"/>
          <w:sz w:val="24"/>
          <w:szCs w:val="24"/>
          <w:highlight w:val="none"/>
        </w:rPr>
        <w:t>发生的费用已包含在</w:t>
      </w:r>
      <w:r>
        <w:rPr>
          <w:rFonts w:hint="eastAsia" w:ascii="宋体" w:hAnsi="宋体" w:eastAsia="宋体" w:cs="宋体"/>
          <w:color w:val="auto"/>
          <w:spacing w:val="-1"/>
          <w:sz w:val="24"/>
          <w:szCs w:val="24"/>
          <w:highlight w:val="none"/>
        </w:rPr>
        <w:t>其它有价款的竞争性报价内，不再另行支付。</w:t>
      </w:r>
    </w:p>
    <w:p w14:paraId="0DB0421A">
      <w:pPr>
        <w:pStyle w:val="5"/>
        <w:spacing w:line="253" w:lineRule="auto"/>
        <w:ind w:firstLine="422" w:firstLineChars="200"/>
        <w:rPr>
          <w:rFonts w:hint="eastAsia" w:ascii="宋体" w:hAnsi="宋体" w:eastAsia="宋体" w:cs="宋体"/>
          <w:snapToGrid w:val="0"/>
          <w:color w:val="auto"/>
          <w:sz w:val="24"/>
          <w:szCs w:val="24"/>
          <w:highlight w:val="none"/>
          <w:lang w:val="en-US" w:eastAsia="en-US" w:bidi="ar-SA"/>
        </w:rPr>
      </w:pPr>
      <w:r>
        <w:rPr>
          <w:rFonts w:hint="eastAsia" w:ascii="宋体" w:hAnsi="宋体" w:eastAsia="宋体" w:cs="宋体"/>
          <w:b/>
          <w:bCs/>
          <w:color w:val="auto"/>
          <w:highlight w:val="none"/>
        </w:rPr>
        <w:t xml:space="preserve">9.10 </w:t>
      </w:r>
      <w:r>
        <w:rPr>
          <w:rFonts w:hint="eastAsia" w:ascii="宋体" w:hAnsi="宋体" w:eastAsia="宋体" w:cs="宋体"/>
          <w:snapToGrid w:val="0"/>
          <w:color w:val="auto"/>
          <w:sz w:val="24"/>
          <w:szCs w:val="24"/>
          <w:highlight w:val="none"/>
          <w:lang w:val="en-US" w:eastAsia="en-US" w:bidi="ar-SA"/>
        </w:rPr>
        <w:t>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105B0490">
      <w:pPr>
        <w:spacing w:before="78" w:line="220" w:lineRule="auto"/>
        <w:ind w:left="496"/>
        <w:outlineLvl w:val="2"/>
        <w:rPr>
          <w:rFonts w:hint="eastAsia" w:ascii="宋体" w:hAnsi="宋体" w:eastAsia="宋体" w:cs="宋体"/>
          <w:color w:val="auto"/>
          <w:sz w:val="24"/>
          <w:szCs w:val="24"/>
          <w:highlight w:val="none"/>
        </w:rPr>
      </w:pPr>
      <w:bookmarkStart w:id="42" w:name="_Toc16322"/>
      <w:bookmarkStart w:id="43" w:name="_Toc11650"/>
      <w:r>
        <w:rPr>
          <w:rFonts w:hint="eastAsia" w:ascii="宋体" w:hAnsi="宋体" w:eastAsia="宋体" w:cs="宋体"/>
          <w:b/>
          <w:bCs/>
          <w:color w:val="auto"/>
          <w:spacing w:val="-6"/>
          <w:sz w:val="24"/>
          <w:szCs w:val="24"/>
          <w:highlight w:val="none"/>
        </w:rPr>
        <w:t>10</w:t>
      </w:r>
      <w:r>
        <w:rPr>
          <w:rFonts w:hint="eastAsia" w:ascii="宋体" w:hAnsi="宋体" w:eastAsia="宋体" w:cs="宋体"/>
          <w:b/>
          <w:bCs/>
          <w:color w:val="auto"/>
          <w:spacing w:val="-21"/>
          <w:sz w:val="24"/>
          <w:szCs w:val="24"/>
          <w:highlight w:val="none"/>
        </w:rPr>
        <w:t xml:space="preserve"> </w:t>
      </w:r>
      <w:r>
        <w:rPr>
          <w:rFonts w:hint="eastAsia" w:ascii="宋体" w:hAnsi="宋体" w:eastAsia="宋体" w:cs="宋体"/>
          <w:b/>
          <w:bCs/>
          <w:color w:val="auto"/>
          <w:spacing w:val="-6"/>
          <w:sz w:val="24"/>
          <w:szCs w:val="24"/>
          <w:highlight w:val="none"/>
        </w:rPr>
        <w:t>．投标文件的编制要求</w:t>
      </w:r>
      <w:bookmarkEnd w:id="42"/>
      <w:bookmarkEnd w:id="43"/>
    </w:p>
    <w:p w14:paraId="717359E1">
      <w:pPr>
        <w:spacing w:before="152" w:line="222" w:lineRule="auto"/>
        <w:ind w:left="496"/>
        <w:outlineLvl w:val="3"/>
        <w:rPr>
          <w:rFonts w:hint="eastAsia" w:ascii="宋体" w:hAnsi="宋体" w:eastAsia="宋体" w:cs="宋体"/>
          <w:color w:val="auto"/>
          <w:sz w:val="24"/>
          <w:szCs w:val="24"/>
          <w:highlight w:val="none"/>
        </w:rPr>
      </w:pPr>
      <w:bookmarkStart w:id="44" w:name="_Toc22937"/>
      <w:bookmarkStart w:id="45" w:name="_Toc20590"/>
      <w:r>
        <w:rPr>
          <w:rFonts w:hint="eastAsia" w:ascii="宋体" w:hAnsi="宋体" w:eastAsia="宋体" w:cs="宋体"/>
          <w:b/>
          <w:bCs/>
          <w:color w:val="auto"/>
          <w:spacing w:val="-4"/>
          <w:sz w:val="24"/>
          <w:szCs w:val="24"/>
          <w:highlight w:val="none"/>
        </w:rPr>
        <w:t>10.1</w:t>
      </w:r>
      <w:r>
        <w:rPr>
          <w:rFonts w:hint="eastAsia" w:ascii="宋体" w:hAnsi="宋体" w:eastAsia="宋体" w:cs="宋体"/>
          <w:b/>
          <w:bCs/>
          <w:color w:val="auto"/>
          <w:spacing w:val="7"/>
          <w:sz w:val="24"/>
          <w:szCs w:val="24"/>
          <w:highlight w:val="none"/>
        </w:rPr>
        <w:t xml:space="preserve">  </w:t>
      </w:r>
      <w:r>
        <w:rPr>
          <w:rFonts w:hint="eastAsia" w:ascii="宋体" w:hAnsi="宋体" w:eastAsia="宋体" w:cs="宋体"/>
          <w:color w:val="auto"/>
          <w:spacing w:val="-4"/>
          <w:sz w:val="24"/>
          <w:szCs w:val="24"/>
          <w:highlight w:val="none"/>
        </w:rPr>
        <w:t>一般要求</w:t>
      </w:r>
      <w:bookmarkEnd w:id="44"/>
      <w:bookmarkEnd w:id="45"/>
    </w:p>
    <w:p w14:paraId="4800233A">
      <w:pPr>
        <w:spacing w:before="118" w:line="295" w:lineRule="auto"/>
        <w:ind w:left="11" w:right="99"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投标文件应按第六章投标文件格式规定的内容，投标人提交的投标文件应当使</w:t>
      </w:r>
      <w:r>
        <w:rPr>
          <w:rFonts w:hint="eastAsia" w:ascii="宋体" w:hAnsi="宋体" w:eastAsia="宋体" w:cs="宋体"/>
          <w:color w:val="auto"/>
          <w:spacing w:val="-1"/>
          <w:sz w:val="24"/>
          <w:szCs w:val="24"/>
          <w:highlight w:val="none"/>
        </w:rPr>
        <w:t>用招标文件所提供的投标文件全部格式。</w:t>
      </w:r>
    </w:p>
    <w:p w14:paraId="1E2CE420">
      <w:pPr>
        <w:spacing w:before="68" w:line="299" w:lineRule="auto"/>
        <w:ind w:left="11" w:right="99" w:firstLine="563"/>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10.1.1  </w:t>
      </w:r>
      <w:r>
        <w:rPr>
          <w:rFonts w:hint="eastAsia" w:ascii="宋体" w:hAnsi="宋体" w:eastAsia="宋体" w:cs="宋体"/>
          <w:color w:val="auto"/>
          <w:spacing w:val="-3"/>
          <w:sz w:val="24"/>
          <w:szCs w:val="24"/>
          <w:highlight w:val="none"/>
        </w:rPr>
        <w:t>投标人必须响应招标文件，并在充分理解招</w:t>
      </w:r>
      <w:r>
        <w:rPr>
          <w:rFonts w:hint="eastAsia" w:ascii="宋体" w:hAnsi="宋体" w:eastAsia="宋体" w:cs="宋体"/>
          <w:color w:val="auto"/>
          <w:spacing w:val="-4"/>
          <w:sz w:val="24"/>
          <w:szCs w:val="24"/>
          <w:highlight w:val="none"/>
        </w:rPr>
        <w:t>标人提供的全部文件、设计图</w:t>
      </w:r>
      <w:r>
        <w:rPr>
          <w:rFonts w:hint="eastAsia" w:ascii="宋体" w:hAnsi="宋体" w:eastAsia="宋体" w:cs="宋体"/>
          <w:color w:val="auto"/>
          <w:spacing w:val="-1"/>
          <w:sz w:val="24"/>
          <w:szCs w:val="24"/>
          <w:highlight w:val="none"/>
        </w:rPr>
        <w:t>纸、资料及现场条件的基础上编制投标文件。因投标文件</w:t>
      </w:r>
      <w:r>
        <w:rPr>
          <w:rFonts w:hint="eastAsia" w:ascii="宋体" w:hAnsi="宋体" w:eastAsia="宋体" w:cs="宋体"/>
          <w:color w:val="auto"/>
          <w:spacing w:val="-2"/>
          <w:sz w:val="24"/>
          <w:szCs w:val="24"/>
          <w:highlight w:val="none"/>
        </w:rPr>
        <w:t>不符合招标文件的要求而造</w:t>
      </w:r>
      <w:r>
        <w:rPr>
          <w:rFonts w:hint="eastAsia" w:ascii="宋体" w:hAnsi="宋体" w:eastAsia="宋体" w:cs="宋体"/>
          <w:color w:val="auto"/>
          <w:spacing w:val="-1"/>
          <w:sz w:val="24"/>
          <w:szCs w:val="24"/>
          <w:highlight w:val="none"/>
        </w:rPr>
        <w:t>成的损失和后果，由投标人自行承担。</w:t>
      </w:r>
    </w:p>
    <w:p w14:paraId="5DF6C785">
      <w:pPr>
        <w:spacing w:before="123" w:line="290" w:lineRule="auto"/>
        <w:ind w:left="8" w:firstLine="566"/>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10.1.2  投标文件包括商务标书、经济标书、施工组织设计</w:t>
      </w:r>
      <w:r>
        <w:rPr>
          <w:rFonts w:hint="eastAsia" w:ascii="宋体" w:hAnsi="宋体" w:eastAsia="宋体" w:cs="宋体"/>
          <w:b/>
          <w:bCs/>
          <w:color w:val="auto"/>
          <w:spacing w:val="-3"/>
          <w:sz w:val="24"/>
          <w:szCs w:val="24"/>
          <w:highlight w:val="none"/>
          <w:lang w:val="en-US" w:eastAsia="zh-CN"/>
        </w:rPr>
        <w:t>三</w:t>
      </w:r>
      <w:r>
        <w:rPr>
          <w:rFonts w:hint="eastAsia" w:ascii="宋体" w:hAnsi="宋体" w:eastAsia="宋体" w:cs="宋体"/>
          <w:b/>
          <w:bCs/>
          <w:color w:val="auto"/>
          <w:spacing w:val="-3"/>
          <w:sz w:val="24"/>
          <w:szCs w:val="24"/>
          <w:highlight w:val="none"/>
        </w:rPr>
        <w:t>个分册，</w:t>
      </w:r>
      <w:r>
        <w:rPr>
          <w:rFonts w:hint="eastAsia" w:ascii="宋体" w:hAnsi="宋体" w:eastAsia="宋体" w:cs="宋体"/>
          <w:color w:val="auto"/>
          <w:spacing w:val="-3"/>
          <w:sz w:val="24"/>
          <w:szCs w:val="24"/>
          <w:highlight w:val="none"/>
        </w:rPr>
        <w:t>投标文件全部采用电子文档，投标文件所附</w:t>
      </w:r>
      <w:r>
        <w:rPr>
          <w:rFonts w:hint="eastAsia" w:ascii="宋体" w:hAnsi="宋体" w:eastAsia="宋体" w:cs="宋体"/>
          <w:color w:val="auto"/>
          <w:spacing w:val="-4"/>
          <w:sz w:val="24"/>
          <w:szCs w:val="24"/>
          <w:highlight w:val="none"/>
        </w:rPr>
        <w:t>证书证件均为原件扫描件，并</w:t>
      </w:r>
      <w:r>
        <w:rPr>
          <w:rFonts w:hint="eastAsia" w:ascii="宋体" w:hAnsi="宋体" w:eastAsia="宋体" w:cs="宋体"/>
          <w:color w:val="auto"/>
          <w:spacing w:val="-1"/>
          <w:sz w:val="24"/>
          <w:szCs w:val="24"/>
          <w:highlight w:val="none"/>
        </w:rPr>
        <w:t>采用单位数字证书，按招标文件要求在相应位置加盖电子印章。</w:t>
      </w:r>
      <w:r>
        <w:rPr>
          <w:rFonts w:hint="eastAsia" w:ascii="宋体" w:hAnsi="宋体" w:eastAsia="宋体" w:cs="宋体"/>
          <w:color w:val="auto"/>
          <w:spacing w:val="-2"/>
          <w:sz w:val="24"/>
          <w:szCs w:val="24"/>
          <w:highlight w:val="none"/>
        </w:rPr>
        <w:t>投标文件中需个人签</w:t>
      </w:r>
      <w:r>
        <w:rPr>
          <w:rFonts w:hint="eastAsia" w:ascii="宋体" w:hAnsi="宋体" w:eastAsia="宋体" w:cs="宋体"/>
          <w:color w:val="auto"/>
          <w:spacing w:val="-1"/>
          <w:sz w:val="24"/>
          <w:szCs w:val="24"/>
          <w:highlight w:val="none"/>
        </w:rPr>
        <w:t>字或盖章的，应加盖个人电子印章或在线下完成后扫描上传。按</w:t>
      </w:r>
      <w:r>
        <w:rPr>
          <w:rFonts w:hint="eastAsia" w:ascii="宋体" w:hAnsi="宋体" w:eastAsia="宋体" w:cs="宋体"/>
          <w:color w:val="auto"/>
          <w:spacing w:val="-2"/>
          <w:sz w:val="24"/>
          <w:szCs w:val="24"/>
          <w:highlight w:val="none"/>
        </w:rPr>
        <w:t>照交易平台关于全流</w:t>
      </w:r>
      <w:r>
        <w:rPr>
          <w:rFonts w:hint="eastAsia" w:ascii="宋体" w:hAnsi="宋体" w:eastAsia="宋体" w:cs="宋体"/>
          <w:color w:val="auto"/>
          <w:spacing w:val="-7"/>
          <w:sz w:val="24"/>
          <w:szCs w:val="24"/>
          <w:highlight w:val="none"/>
        </w:rPr>
        <w:t>程电子化项目的相关指南进行操作。详见：全国公共资源</w:t>
      </w:r>
      <w:r>
        <w:rPr>
          <w:rFonts w:hint="eastAsia" w:ascii="宋体" w:hAnsi="宋体" w:eastAsia="宋体" w:cs="宋体"/>
          <w:color w:val="auto"/>
          <w:spacing w:val="-8"/>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8"/>
          <w:sz w:val="24"/>
          <w:szCs w:val="24"/>
          <w:highlight w:val="none"/>
        </w:rPr>
        <w:t>·韶关市）</w:t>
      </w:r>
      <w:r>
        <w:rPr>
          <w:rFonts w:hint="eastAsia" w:ascii="宋体" w:hAnsi="宋体" w:eastAsia="宋体" w:cs="宋体"/>
          <w:color w:val="auto"/>
          <w:spacing w:val="-2"/>
          <w:sz w:val="24"/>
          <w:szCs w:val="24"/>
          <w:highlight w:val="none"/>
        </w:rPr>
        <w:t>交易指引。</w:t>
      </w:r>
    </w:p>
    <w:p w14:paraId="217CF466">
      <w:pPr>
        <w:spacing w:before="1" w:line="219" w:lineRule="auto"/>
        <w:ind w:left="57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10.1.3  </w:t>
      </w:r>
      <w:r>
        <w:rPr>
          <w:rFonts w:hint="eastAsia" w:ascii="宋体" w:hAnsi="宋体" w:eastAsia="宋体" w:cs="宋体"/>
          <w:color w:val="auto"/>
          <w:spacing w:val="-1"/>
          <w:sz w:val="24"/>
          <w:szCs w:val="24"/>
          <w:highlight w:val="none"/>
        </w:rPr>
        <w:t>投标文件需按以下要求签字、盖章：电子投标文件：</w:t>
      </w:r>
    </w:p>
    <w:p w14:paraId="4EB2C279">
      <w:pPr>
        <w:spacing w:before="111" w:line="279" w:lineRule="auto"/>
        <w:ind w:right="133" w:firstLine="579"/>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w:t>
      </w:r>
      <w:r>
        <w:rPr>
          <w:rFonts w:hint="eastAsia" w:ascii="宋体" w:hAnsi="宋体" w:eastAsia="宋体" w:cs="宋体"/>
          <w:color w:val="auto"/>
          <w:spacing w:val="-3"/>
          <w:sz w:val="24"/>
          <w:szCs w:val="24"/>
          <w:highlight w:val="none"/>
        </w:rPr>
        <w:t>内容中凡注明“签字</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3"/>
          <w:sz w:val="24"/>
          <w:szCs w:val="24"/>
          <w:highlight w:val="none"/>
        </w:rPr>
        <w:t>”处由要求的人员签字或电子</w:t>
      </w:r>
      <w:r>
        <w:rPr>
          <w:rFonts w:hint="eastAsia" w:ascii="宋体" w:hAnsi="宋体" w:eastAsia="宋体" w:cs="宋体"/>
          <w:color w:val="auto"/>
          <w:spacing w:val="-2"/>
          <w:sz w:val="24"/>
          <w:szCs w:val="24"/>
          <w:highlight w:val="none"/>
        </w:rPr>
        <w:t>签章；凡注明“签字或盖章</w:t>
      </w:r>
      <w:r>
        <w:rPr>
          <w:rFonts w:hint="eastAsia" w:ascii="宋体" w:hAnsi="宋体" w:eastAsia="宋体" w:cs="宋体"/>
          <w:color w:val="auto"/>
          <w:spacing w:val="-87"/>
          <w:sz w:val="24"/>
          <w:szCs w:val="24"/>
          <w:highlight w:val="none"/>
        </w:rPr>
        <w:t xml:space="preserve"> </w:t>
      </w:r>
      <w:r>
        <w:rPr>
          <w:rFonts w:hint="eastAsia" w:ascii="宋体" w:hAnsi="宋体" w:eastAsia="宋体" w:cs="宋体"/>
          <w:color w:val="auto"/>
          <w:spacing w:val="-2"/>
          <w:sz w:val="24"/>
          <w:szCs w:val="24"/>
          <w:highlight w:val="none"/>
        </w:rPr>
        <w:t>”处由要求的人员签字或盖其私章（电子印章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rPr>
        <w:t>凡注明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“签字并盖执业印章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”处由要求的人员签字并盖其执业印</w:t>
      </w:r>
      <w:r>
        <w:rPr>
          <w:rFonts w:hint="eastAsia" w:ascii="宋体" w:hAnsi="宋体" w:eastAsia="宋体" w:cs="宋体"/>
          <w:color w:val="auto"/>
          <w:spacing w:val="-2"/>
          <w:sz w:val="24"/>
          <w:szCs w:val="24"/>
          <w:highlight w:val="none"/>
        </w:rPr>
        <w:t>章。</w:t>
      </w:r>
    </w:p>
    <w:p w14:paraId="0B072D3C">
      <w:pPr>
        <w:spacing w:before="112" w:line="264" w:lineRule="auto"/>
        <w:ind w:left="13" w:right="133" w:firstLine="565"/>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10.1.3.2</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投标文件封套、封面、组成内容中凡要求录入投标人名称且注明“盖单</w:t>
      </w:r>
      <w:r>
        <w:rPr>
          <w:rFonts w:hint="eastAsia" w:ascii="宋体" w:hAnsi="宋体" w:eastAsia="宋体" w:cs="宋体"/>
          <w:color w:val="auto"/>
          <w:spacing w:val="-3"/>
          <w:sz w:val="24"/>
          <w:szCs w:val="24"/>
          <w:highlight w:val="none"/>
        </w:rPr>
        <w:t>位章</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3"/>
          <w:sz w:val="24"/>
          <w:szCs w:val="24"/>
          <w:highlight w:val="none"/>
        </w:rPr>
        <w:t>”处盖单位法人公章（电子印章）。</w:t>
      </w:r>
    </w:p>
    <w:p w14:paraId="0CBE0BD0">
      <w:pPr>
        <w:spacing w:before="146" w:line="279" w:lineRule="auto"/>
        <w:ind w:left="16" w:right="135" w:firstLine="562"/>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10.1.3.3</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投标文件的签字均为签字人本人亲笔署名或签章</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14"/>
          <w:sz w:val="24"/>
          <w:szCs w:val="24"/>
          <w:highlight w:val="none"/>
        </w:rPr>
        <w:t>），</w:t>
      </w:r>
      <w:r>
        <w:rPr>
          <w:rFonts w:hint="eastAsia" w:ascii="宋体" w:hAnsi="宋体" w:eastAsia="宋体" w:cs="宋体"/>
          <w:color w:val="auto"/>
          <w:spacing w:val="-2"/>
          <w:sz w:val="24"/>
          <w:szCs w:val="24"/>
          <w:highlight w:val="none"/>
        </w:rPr>
        <w:t>其余部</w:t>
      </w:r>
      <w:r>
        <w:rPr>
          <w:rFonts w:hint="eastAsia" w:ascii="宋体" w:hAnsi="宋体" w:eastAsia="宋体" w:cs="宋体"/>
          <w:color w:val="auto"/>
          <w:spacing w:val="-1"/>
          <w:sz w:val="24"/>
          <w:szCs w:val="24"/>
          <w:highlight w:val="none"/>
        </w:rPr>
        <w:t>分的复印件无须另行签字、盖章。</w:t>
      </w:r>
    </w:p>
    <w:p w14:paraId="35B67328">
      <w:pPr>
        <w:spacing w:before="155" w:line="219" w:lineRule="auto"/>
        <w:ind w:left="0" w:leftChars="0" w:firstLine="474" w:firstLineChars="200"/>
        <w:outlineLvl w:val="3"/>
        <w:rPr>
          <w:rFonts w:hint="eastAsia" w:ascii="宋体" w:hAnsi="宋体" w:eastAsia="宋体" w:cs="宋体"/>
          <w:b w:val="0"/>
          <w:bCs w:val="0"/>
          <w:color w:val="auto"/>
          <w:spacing w:val="-2"/>
          <w:sz w:val="24"/>
          <w:szCs w:val="24"/>
          <w:highlight w:val="none"/>
        </w:rPr>
      </w:pPr>
      <w:bookmarkStart w:id="46" w:name="_Toc21271"/>
      <w:bookmarkStart w:id="47" w:name="_Toc20223"/>
      <w:r>
        <w:rPr>
          <w:rFonts w:hint="eastAsia" w:ascii="宋体" w:hAnsi="宋体" w:eastAsia="宋体" w:cs="宋体"/>
          <w:b/>
          <w:bCs/>
          <w:color w:val="auto"/>
          <w:spacing w:val="-2"/>
          <w:sz w:val="24"/>
          <w:szCs w:val="24"/>
          <w:highlight w:val="none"/>
        </w:rPr>
        <w:t xml:space="preserve">10.1.3.4 </w:t>
      </w:r>
      <w:r>
        <w:rPr>
          <w:rFonts w:hint="eastAsia" w:ascii="宋体" w:hAnsi="宋体" w:eastAsia="宋体" w:cs="宋体"/>
          <w:color w:val="auto"/>
          <w:spacing w:val="-3"/>
          <w:sz w:val="24"/>
          <w:szCs w:val="24"/>
          <w:highlight w:val="none"/>
        </w:rPr>
        <w:t>联合体投标的，除《联合体协议书》外，由联合体牵头人按以上要求签亲笔署名或签章（电子印章）即可。</w:t>
      </w:r>
    </w:p>
    <w:p w14:paraId="149EA5DD">
      <w:pPr>
        <w:spacing w:before="155" w:line="219" w:lineRule="auto"/>
        <w:ind w:left="500"/>
        <w:outlineLvl w:val="3"/>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10.2  商务标书的编制要求</w:t>
      </w:r>
      <w:bookmarkEnd w:id="46"/>
      <w:bookmarkEnd w:id="47"/>
    </w:p>
    <w:p w14:paraId="09D418EF">
      <w:pPr>
        <w:spacing w:before="157" w:line="219" w:lineRule="auto"/>
        <w:ind w:left="581"/>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10.2.1 </w:t>
      </w:r>
      <w:r>
        <w:rPr>
          <w:rFonts w:hint="eastAsia" w:ascii="宋体" w:hAnsi="宋体" w:eastAsia="宋体" w:cs="宋体"/>
          <w:color w:val="auto"/>
          <w:spacing w:val="-1"/>
          <w:sz w:val="24"/>
          <w:szCs w:val="24"/>
          <w:highlight w:val="none"/>
        </w:rPr>
        <w:t>商务标书包括但不限于以下内容：</w:t>
      </w:r>
    </w:p>
    <w:p w14:paraId="7A133846">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2ADBEC65">
      <w:pPr>
        <w:spacing w:before="153" w:line="222"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796DB9CA">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（3）《投标函》（格式二</w:t>
      </w:r>
      <w:r>
        <w:rPr>
          <w:rFonts w:hint="eastAsia" w:ascii="宋体" w:hAnsi="宋体" w:eastAsia="宋体" w:cs="宋体"/>
          <w:color w:val="auto"/>
          <w:spacing w:val="1"/>
          <w:sz w:val="24"/>
          <w:szCs w:val="24"/>
          <w:highlight w:val="none"/>
        </w:rPr>
        <w:t>）；</w:t>
      </w:r>
    </w:p>
    <w:p w14:paraId="5EEB9573">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（4）《各项承诺一览表》（格式三</w:t>
      </w:r>
      <w:r>
        <w:rPr>
          <w:rFonts w:hint="eastAsia" w:ascii="宋体" w:hAnsi="宋体" w:eastAsia="宋体" w:cs="宋体"/>
          <w:color w:val="auto"/>
          <w:spacing w:val="5"/>
          <w:sz w:val="24"/>
          <w:szCs w:val="24"/>
          <w:highlight w:val="none"/>
        </w:rPr>
        <w:t>）；</w:t>
      </w:r>
    </w:p>
    <w:p w14:paraId="2EEF341D">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（5）《授权委托书》（格式四</w:t>
      </w:r>
      <w:r>
        <w:rPr>
          <w:rFonts w:hint="eastAsia" w:ascii="宋体" w:hAnsi="宋体" w:eastAsia="宋体" w:cs="宋体"/>
          <w:color w:val="auto"/>
          <w:spacing w:val="3"/>
          <w:sz w:val="24"/>
          <w:szCs w:val="24"/>
          <w:highlight w:val="none"/>
        </w:rPr>
        <w:t>）；</w:t>
      </w:r>
    </w:p>
    <w:p w14:paraId="7D3A1941">
      <w:pPr>
        <w:spacing w:before="156"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（6）《法定代表人身份证明》（格式五</w:t>
      </w:r>
      <w:r>
        <w:rPr>
          <w:rFonts w:hint="eastAsia" w:ascii="宋体" w:hAnsi="宋体" w:eastAsia="宋体" w:cs="宋体"/>
          <w:color w:val="auto"/>
          <w:spacing w:val="7"/>
          <w:sz w:val="24"/>
          <w:szCs w:val="24"/>
          <w:highlight w:val="none"/>
        </w:rPr>
        <w:t>）；</w:t>
      </w:r>
    </w:p>
    <w:p w14:paraId="49C24569">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（7）《联合体协议书》（格式六）及所附资料；</w:t>
      </w:r>
    </w:p>
    <w:p w14:paraId="7065F65E">
      <w:pPr>
        <w:spacing w:before="153" w:line="309" w:lineRule="auto"/>
        <w:ind w:left="13" w:right="133"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（8）投标保证缴纳证明（投标人采用投标保证金的，附建</w:t>
      </w:r>
      <w:r>
        <w:rPr>
          <w:rFonts w:hint="eastAsia" w:ascii="宋体" w:hAnsi="宋体" w:eastAsia="宋体" w:cs="宋体"/>
          <w:color w:val="auto"/>
          <w:spacing w:val="1"/>
          <w:sz w:val="24"/>
          <w:szCs w:val="24"/>
          <w:highlight w:val="none"/>
        </w:rPr>
        <w:t>设工程交易系统《缴</w:t>
      </w:r>
      <w:r>
        <w:rPr>
          <w:rFonts w:hint="eastAsia" w:ascii="宋体" w:hAnsi="宋体" w:eastAsia="宋体" w:cs="宋体"/>
          <w:color w:val="auto"/>
          <w:spacing w:val="-1"/>
          <w:sz w:val="24"/>
          <w:szCs w:val="24"/>
          <w:highlight w:val="none"/>
        </w:rPr>
        <w:t>纳投标保证金通知书》页面截图和银行转账单彩色扫描件；采</w:t>
      </w:r>
      <w:r>
        <w:rPr>
          <w:rFonts w:hint="eastAsia" w:ascii="宋体" w:hAnsi="宋体" w:eastAsia="宋体" w:cs="宋体"/>
          <w:color w:val="auto"/>
          <w:spacing w:val="-2"/>
          <w:sz w:val="24"/>
          <w:szCs w:val="24"/>
          <w:highlight w:val="none"/>
        </w:rPr>
        <w:t>用投标保证担保的，附银行保函彩色扫描件；采用投标保证保险的，附电子保单和</w:t>
      </w:r>
      <w:r>
        <w:rPr>
          <w:rFonts w:hint="eastAsia" w:ascii="宋体" w:hAnsi="宋体" w:eastAsia="宋体" w:cs="宋体"/>
          <w:b/>
          <w:bCs/>
          <w:color w:val="auto"/>
          <w:spacing w:val="-2"/>
          <w:sz w:val="24"/>
          <w:szCs w:val="24"/>
          <w:highlight w:val="none"/>
        </w:rPr>
        <w:t>《韶关市公共资源交易一</w:t>
      </w:r>
      <w:r>
        <w:rPr>
          <w:rFonts w:hint="eastAsia" w:ascii="宋体" w:hAnsi="宋体" w:eastAsia="宋体" w:cs="宋体"/>
          <w:b/>
          <w:bCs/>
          <w:color w:val="auto"/>
          <w:spacing w:val="-3"/>
          <w:sz w:val="24"/>
          <w:szCs w:val="24"/>
          <w:highlight w:val="none"/>
        </w:rPr>
        <w:t>体化平台保证金缴纳信息》页面截图</w:t>
      </w:r>
      <w:r>
        <w:rPr>
          <w:rFonts w:hint="eastAsia" w:ascii="宋体" w:hAnsi="宋体" w:eastAsia="宋体" w:cs="宋体"/>
          <w:color w:val="auto"/>
          <w:spacing w:val="4"/>
          <w:sz w:val="24"/>
          <w:szCs w:val="24"/>
          <w:highlight w:val="none"/>
        </w:rPr>
        <w:t>）；</w:t>
      </w:r>
    </w:p>
    <w:p w14:paraId="1196EDC9">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（9）《投标人基本情况表》（格式七）及所附资料；</w:t>
      </w:r>
    </w:p>
    <w:p w14:paraId="625E3C02">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（10）《项目经理简历表》（格式八）及所附资料；</w:t>
      </w:r>
    </w:p>
    <w:p w14:paraId="43069717">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（11）《项目经理任职声明》（格式九</w:t>
      </w:r>
      <w:r>
        <w:rPr>
          <w:rFonts w:hint="eastAsia" w:ascii="宋体" w:hAnsi="宋体" w:eastAsia="宋体" w:cs="宋体"/>
          <w:color w:val="auto"/>
          <w:spacing w:val="7"/>
          <w:sz w:val="24"/>
          <w:szCs w:val="24"/>
          <w:highlight w:val="none"/>
        </w:rPr>
        <w:t>）；</w:t>
      </w:r>
    </w:p>
    <w:p w14:paraId="5600AAC3">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（12）《项目技术负责人简历表》（格式十）及所附资料；</w:t>
      </w:r>
    </w:p>
    <w:p w14:paraId="4A2E911F">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（13）《项</w:t>
      </w:r>
      <w:bookmarkStart w:id="48" w:name="OLE_LINK7"/>
      <w:r>
        <w:rPr>
          <w:rFonts w:hint="eastAsia" w:ascii="宋体" w:hAnsi="宋体" w:eastAsia="宋体" w:cs="宋体"/>
          <w:color w:val="auto"/>
          <w:spacing w:val="-1"/>
          <w:sz w:val="24"/>
          <w:szCs w:val="24"/>
          <w:highlight w:val="none"/>
        </w:rPr>
        <w:t>目管理机构组成表》（格式十一）及</w:t>
      </w:r>
      <w:bookmarkEnd w:id="48"/>
      <w:r>
        <w:rPr>
          <w:rFonts w:hint="eastAsia" w:ascii="宋体" w:hAnsi="宋体" w:eastAsia="宋体" w:cs="宋体"/>
          <w:color w:val="auto"/>
          <w:spacing w:val="-1"/>
          <w:sz w:val="24"/>
          <w:szCs w:val="24"/>
          <w:highlight w:val="none"/>
        </w:rPr>
        <w:t>所附资料；</w:t>
      </w:r>
    </w:p>
    <w:p w14:paraId="58C0C275">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（14）本节第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4"/>
          <w:sz w:val="24"/>
          <w:szCs w:val="24"/>
          <w:highlight w:val="none"/>
        </w:rPr>
        <w:t>15.5.1</w:t>
      </w:r>
      <w:r>
        <w:rPr>
          <w:rFonts w:hint="eastAsia" w:ascii="宋体" w:hAnsi="宋体" w:eastAsia="宋体" w:cs="宋体"/>
          <w:color w:val="auto"/>
          <w:spacing w:val="-4"/>
          <w:sz w:val="24"/>
          <w:szCs w:val="24"/>
          <w:highlight w:val="none"/>
        </w:rPr>
        <w:t>目“评标方法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”要求提供的</w:t>
      </w:r>
      <w:r>
        <w:rPr>
          <w:rFonts w:hint="eastAsia" w:ascii="宋体" w:hAnsi="宋体" w:eastAsia="宋体" w:cs="宋体"/>
          <w:color w:val="auto"/>
          <w:spacing w:val="-5"/>
          <w:sz w:val="24"/>
          <w:szCs w:val="24"/>
          <w:highlight w:val="none"/>
        </w:rPr>
        <w:t>评审资料；</w:t>
      </w:r>
    </w:p>
    <w:p w14:paraId="47D20E97">
      <w:pPr>
        <w:spacing w:before="78" w:line="299" w:lineRule="auto"/>
        <w:ind w:left="8" w:right="61" w:firstLine="49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（15）投标人认为有必要补充的其他资料。（例如投标人已经工商变更，但其企</w:t>
      </w:r>
      <w:r>
        <w:rPr>
          <w:rFonts w:hint="eastAsia" w:ascii="宋体" w:hAnsi="宋体" w:eastAsia="宋体" w:cs="宋体"/>
          <w:color w:val="auto"/>
          <w:spacing w:val="-1"/>
          <w:sz w:val="24"/>
          <w:szCs w:val="24"/>
          <w:highlight w:val="none"/>
        </w:rPr>
        <w:t>业资质证书、安全生产许可证或其员工执业资格注册证书上的企</w:t>
      </w:r>
      <w:r>
        <w:rPr>
          <w:rFonts w:hint="eastAsia" w:ascii="宋体" w:hAnsi="宋体" w:eastAsia="宋体" w:cs="宋体"/>
          <w:color w:val="auto"/>
          <w:spacing w:val="-2"/>
          <w:sz w:val="24"/>
          <w:szCs w:val="24"/>
          <w:highlight w:val="none"/>
        </w:rPr>
        <w:t>业名称未能在投标期</w:t>
      </w:r>
      <w:r>
        <w:rPr>
          <w:rFonts w:hint="eastAsia" w:ascii="宋体" w:hAnsi="宋体" w:eastAsia="宋体" w:cs="宋体"/>
          <w:color w:val="auto"/>
          <w:spacing w:val="-1"/>
          <w:sz w:val="24"/>
          <w:szCs w:val="24"/>
          <w:highlight w:val="none"/>
        </w:rPr>
        <w:t>间完成变更的书面说明和佐证材料等）</w:t>
      </w:r>
    </w:p>
    <w:p w14:paraId="24149AB2">
      <w:pPr>
        <w:spacing w:before="155" w:line="262" w:lineRule="auto"/>
        <w:ind w:left="9" w:right="61" w:firstLine="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10.2.2  </w:t>
      </w:r>
      <w:r>
        <w:rPr>
          <w:rFonts w:hint="eastAsia" w:ascii="宋体" w:hAnsi="宋体" w:eastAsia="宋体" w:cs="宋体"/>
          <w:color w:val="auto"/>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z w:val="24"/>
          <w:szCs w:val="24"/>
          <w:highlight w:val="none"/>
        </w:rPr>
        <w:t>10.2.1</w:t>
      </w:r>
      <w:r>
        <w:rPr>
          <w:rFonts w:hint="eastAsia" w:ascii="宋体" w:hAnsi="宋体" w:eastAsia="宋体" w:cs="宋体"/>
          <w:color w:val="auto"/>
          <w:sz w:val="24"/>
          <w:szCs w:val="24"/>
          <w:highlight w:val="none"/>
        </w:rPr>
        <w:t>目中所列出的商务标书组成内容中，第（</w:t>
      </w:r>
      <w:r>
        <w:rPr>
          <w:rFonts w:hint="eastAsia" w:ascii="宋体" w:hAnsi="宋体" w:eastAsia="宋体" w:cs="宋体"/>
          <w:color w:val="auto"/>
          <w:spacing w:val="-1"/>
          <w:sz w:val="24"/>
          <w:szCs w:val="24"/>
          <w:highlight w:val="none"/>
        </w:rPr>
        <w:t>1）至第（13）项</w:t>
      </w:r>
      <w:r>
        <w:rPr>
          <w:rFonts w:hint="eastAsia" w:ascii="宋体" w:hAnsi="宋体" w:eastAsia="宋体" w:cs="宋体"/>
          <w:color w:val="auto"/>
          <w:sz w:val="24"/>
          <w:szCs w:val="24"/>
          <w:highlight w:val="none"/>
        </w:rPr>
        <w:t>所有投标人均应提供，</w:t>
      </w:r>
      <w:r>
        <w:rPr>
          <w:rFonts w:hint="eastAsia" w:ascii="宋体" w:hAnsi="宋体" w:eastAsia="宋体" w:cs="宋体"/>
          <w:b/>
          <w:bCs/>
          <w:color w:val="auto"/>
          <w:sz w:val="24"/>
          <w:szCs w:val="24"/>
          <w:highlight w:val="none"/>
        </w:rPr>
        <w:t>但非联合体投标的，</w:t>
      </w:r>
      <w:r>
        <w:rPr>
          <w:rFonts w:hint="eastAsia" w:ascii="宋体" w:hAnsi="宋体" w:eastAsia="宋体" w:cs="宋体"/>
          <w:b/>
          <w:bCs/>
          <w:color w:val="auto"/>
          <w:spacing w:val="-1"/>
          <w:sz w:val="24"/>
          <w:szCs w:val="24"/>
          <w:highlight w:val="none"/>
        </w:rPr>
        <w:t>无需提供第（7）项内容。</w:t>
      </w:r>
    </w:p>
    <w:p w14:paraId="189FCE5F">
      <w:pPr>
        <w:spacing w:before="199" w:line="279" w:lineRule="auto"/>
        <w:ind w:right="61"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10.2.3 </w:t>
      </w:r>
      <w:r>
        <w:rPr>
          <w:rFonts w:hint="eastAsia" w:ascii="宋体" w:hAnsi="宋体" w:eastAsia="宋体" w:cs="宋体"/>
          <w:color w:val="auto"/>
          <w:spacing w:val="-8"/>
          <w:sz w:val="24"/>
          <w:szCs w:val="24"/>
          <w:highlight w:val="none"/>
        </w:rPr>
        <w:t>商务标书的组成内容按本节第 10.2.1 目规定的顺序整理、编排后，逐页（页</w:t>
      </w:r>
      <w:r>
        <w:rPr>
          <w:rFonts w:hint="eastAsia" w:ascii="宋体" w:hAnsi="宋体" w:eastAsia="宋体" w:cs="宋体"/>
          <w:color w:val="auto"/>
          <w:spacing w:val="-1"/>
          <w:sz w:val="24"/>
          <w:szCs w:val="24"/>
          <w:highlight w:val="none"/>
        </w:rPr>
        <w:t>码起始从封面开始）连续标记页码。</w:t>
      </w:r>
    </w:p>
    <w:p w14:paraId="00D341F8">
      <w:pPr>
        <w:pStyle w:val="5"/>
        <w:spacing w:line="257" w:lineRule="auto"/>
        <w:rPr>
          <w:rFonts w:hint="eastAsia" w:ascii="宋体" w:hAnsi="宋体" w:eastAsia="宋体" w:cs="宋体"/>
          <w:color w:val="auto"/>
          <w:highlight w:val="none"/>
        </w:rPr>
      </w:pPr>
    </w:p>
    <w:p w14:paraId="05E2DA61">
      <w:pPr>
        <w:spacing w:before="78" w:line="219" w:lineRule="auto"/>
        <w:ind w:left="496"/>
        <w:outlineLvl w:val="3"/>
        <w:rPr>
          <w:rFonts w:hint="eastAsia" w:ascii="宋体" w:hAnsi="宋体" w:eastAsia="宋体" w:cs="宋体"/>
          <w:b/>
          <w:bCs/>
          <w:color w:val="auto"/>
          <w:sz w:val="24"/>
          <w:szCs w:val="24"/>
          <w:highlight w:val="none"/>
        </w:rPr>
      </w:pPr>
      <w:bookmarkStart w:id="49" w:name="_Toc10602"/>
      <w:bookmarkStart w:id="50" w:name="_Toc29370"/>
      <w:r>
        <w:rPr>
          <w:rFonts w:hint="eastAsia" w:ascii="宋体" w:hAnsi="宋体" w:eastAsia="宋体" w:cs="宋体"/>
          <w:b/>
          <w:bCs/>
          <w:color w:val="auto"/>
          <w:spacing w:val="-2"/>
          <w:sz w:val="24"/>
          <w:szCs w:val="24"/>
          <w:highlight w:val="none"/>
        </w:rPr>
        <w:t>10.3  经济标书的编制要求</w:t>
      </w:r>
      <w:bookmarkEnd w:id="49"/>
      <w:bookmarkEnd w:id="50"/>
    </w:p>
    <w:p w14:paraId="4D7F8054">
      <w:pPr>
        <w:spacing w:before="154"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10.3.1  </w:t>
      </w:r>
      <w:r>
        <w:rPr>
          <w:rFonts w:hint="eastAsia" w:ascii="宋体" w:hAnsi="宋体" w:eastAsia="宋体" w:cs="宋体"/>
          <w:color w:val="auto"/>
          <w:spacing w:val="-1"/>
          <w:sz w:val="24"/>
          <w:szCs w:val="24"/>
          <w:highlight w:val="none"/>
        </w:rPr>
        <w:t>经济标书包括以下内容：</w:t>
      </w:r>
    </w:p>
    <w:p w14:paraId="047BAC7D">
      <w:pPr>
        <w:spacing w:before="156"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6558A67D">
      <w:pPr>
        <w:spacing w:before="153"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31ADD06E">
      <w:pPr>
        <w:spacing w:before="150"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（3）《投标总价》；</w:t>
      </w:r>
    </w:p>
    <w:p w14:paraId="0D903CB7">
      <w:pPr>
        <w:spacing w:before="157" w:line="219" w:lineRule="auto"/>
        <w:ind w:left="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说明：《投标总价》的格式按照《建设工程工程量</w:t>
      </w:r>
      <w:r>
        <w:rPr>
          <w:rFonts w:hint="eastAsia" w:ascii="宋体" w:hAnsi="宋体" w:eastAsia="宋体" w:cs="宋体"/>
          <w:color w:val="auto"/>
          <w:spacing w:val="-1"/>
          <w:sz w:val="24"/>
          <w:szCs w:val="24"/>
          <w:highlight w:val="none"/>
        </w:rPr>
        <w:t>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w:t>
      </w:r>
    </w:p>
    <w:p w14:paraId="19D1E9E0">
      <w:pPr>
        <w:spacing w:before="155" w:line="220" w:lineRule="auto"/>
        <w:ind w:left="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）执行，并应满足以下要求：</w:t>
      </w:r>
    </w:p>
    <w:p w14:paraId="578C4661">
      <w:pPr>
        <w:spacing w:before="150" w:line="309" w:lineRule="auto"/>
        <w:ind w:left="8"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a</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color w:val="auto"/>
          <w:spacing w:val="-2"/>
          <w:sz w:val="24"/>
          <w:szCs w:val="24"/>
          <w:highlight w:val="none"/>
        </w:rPr>
        <w:t>．《投标总价扉页》后应附编制人的造价工程师注册证书彩色扫描件（须扫描至变更注册栏，</w:t>
      </w:r>
      <w:r>
        <w:rPr>
          <w:rFonts w:hint="eastAsia" w:ascii="宋体" w:hAnsi="宋体" w:eastAsia="宋体" w:cs="宋体"/>
          <w:b/>
          <w:bCs/>
          <w:color w:val="auto"/>
          <w:spacing w:val="-2"/>
          <w:sz w:val="24"/>
          <w:szCs w:val="24"/>
          <w:highlight w:val="none"/>
        </w:rPr>
        <w:t>一级造价师或二级造价师均可提供电子证书</w:t>
      </w:r>
      <w:r>
        <w:rPr>
          <w:rFonts w:hint="eastAsia" w:ascii="宋体" w:hAnsi="宋体" w:eastAsia="宋体" w:cs="宋体"/>
          <w:color w:val="auto"/>
          <w:spacing w:val="-2"/>
          <w:sz w:val="24"/>
          <w:szCs w:val="24"/>
          <w:highlight w:val="none"/>
        </w:rPr>
        <w:t>）；投标人委托造价咨询单位编制《投标总价》的，在该扉页“投标人 ”栏目加盖造价</w:t>
      </w:r>
      <w:r>
        <w:rPr>
          <w:rFonts w:hint="eastAsia" w:ascii="宋体" w:hAnsi="宋体" w:eastAsia="宋体" w:cs="宋体"/>
          <w:color w:val="auto"/>
          <w:spacing w:val="-7"/>
          <w:sz w:val="24"/>
          <w:szCs w:val="24"/>
          <w:highlight w:val="none"/>
        </w:rPr>
        <w:t>咨询人公章，</w:t>
      </w:r>
      <w:r>
        <w:rPr>
          <w:rFonts w:hint="eastAsia" w:ascii="宋体" w:hAnsi="宋体" w:eastAsia="宋体" w:cs="宋体"/>
          <w:color w:val="auto"/>
          <w:spacing w:val="-1"/>
          <w:sz w:val="24"/>
          <w:szCs w:val="24"/>
          <w:highlight w:val="none"/>
        </w:rPr>
        <w:t>并在该扉页后附造价咨询人的营业执照副本彩色扫描件。</w:t>
      </w:r>
    </w:p>
    <w:p w14:paraId="5A9B40CD">
      <w:pPr>
        <w:spacing w:before="119" w:line="314" w:lineRule="auto"/>
        <w:ind w:left="10" w:right="6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b.  </w:t>
      </w:r>
      <w:r>
        <w:rPr>
          <w:rFonts w:hint="eastAsia" w:ascii="宋体" w:hAnsi="宋体" w:eastAsia="宋体" w:cs="宋体"/>
          <w:color w:val="auto"/>
          <w:spacing w:val="2"/>
          <w:sz w:val="24"/>
          <w:szCs w:val="24"/>
          <w:highlight w:val="none"/>
        </w:rPr>
        <w:t>投标人认为有必要补充的其他资料（例如关于投标总价下浮率超过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
          <w:sz w:val="24"/>
          <w:szCs w:val="24"/>
          <w:highlight w:val="none"/>
        </w:rPr>
        <w:t>15%的书</w:t>
      </w:r>
      <w:r>
        <w:rPr>
          <w:rFonts w:hint="eastAsia" w:ascii="宋体" w:hAnsi="宋体" w:eastAsia="宋体" w:cs="宋体"/>
          <w:color w:val="auto"/>
          <w:spacing w:val="-2"/>
          <w:sz w:val="24"/>
          <w:szCs w:val="24"/>
          <w:highlight w:val="none"/>
        </w:rPr>
        <w:t>面说明和佐证材料）。</w:t>
      </w:r>
    </w:p>
    <w:p w14:paraId="2F5BB681">
      <w:pPr>
        <w:spacing w:before="99" w:line="280" w:lineRule="auto"/>
        <w:ind w:left="10" w:right="63"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10.3.2  </w:t>
      </w:r>
      <w:r>
        <w:rPr>
          <w:rFonts w:hint="eastAsia" w:ascii="宋体" w:hAnsi="宋体" w:eastAsia="宋体" w:cs="宋体"/>
          <w:color w:val="auto"/>
          <w:spacing w:val="-3"/>
          <w:sz w:val="24"/>
          <w:szCs w:val="24"/>
          <w:highlight w:val="none"/>
        </w:rPr>
        <w:t>本节第</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3"/>
          <w:sz w:val="24"/>
          <w:szCs w:val="24"/>
          <w:highlight w:val="none"/>
        </w:rPr>
        <w:t>10.3.1</w:t>
      </w:r>
      <w:r>
        <w:rPr>
          <w:rFonts w:hint="eastAsia" w:ascii="宋体" w:hAnsi="宋体" w:eastAsia="宋体" w:cs="宋体"/>
          <w:color w:val="auto"/>
          <w:spacing w:val="-3"/>
          <w:sz w:val="24"/>
          <w:szCs w:val="24"/>
          <w:highlight w:val="none"/>
        </w:rPr>
        <w:t>目中所列出的经济标书组成内容中，第（1）至第（3）项所</w:t>
      </w:r>
      <w:r>
        <w:rPr>
          <w:rFonts w:hint="eastAsia" w:ascii="宋体" w:hAnsi="宋体" w:eastAsia="宋体" w:cs="宋体"/>
          <w:color w:val="auto"/>
          <w:spacing w:val="-2"/>
          <w:sz w:val="24"/>
          <w:szCs w:val="24"/>
          <w:highlight w:val="none"/>
        </w:rPr>
        <w:t>有投标人均应提供。</w:t>
      </w:r>
    </w:p>
    <w:p w14:paraId="755A525F">
      <w:pPr>
        <w:spacing w:before="155" w:line="279" w:lineRule="auto"/>
        <w:ind w:left="8" w:right="61"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0"/>
          <w:sz w:val="24"/>
          <w:szCs w:val="24"/>
          <w:highlight w:val="none"/>
        </w:rPr>
        <w:t>10.3.3</w:t>
      </w:r>
      <w:r>
        <w:rPr>
          <w:rFonts w:hint="eastAsia" w:ascii="宋体" w:hAnsi="宋体" w:eastAsia="宋体" w:cs="宋体"/>
          <w:b/>
          <w:bCs/>
          <w:color w:val="auto"/>
          <w:spacing w:val="12"/>
          <w:sz w:val="24"/>
          <w:szCs w:val="24"/>
          <w:highlight w:val="none"/>
        </w:rPr>
        <w:t xml:space="preserve"> </w:t>
      </w:r>
      <w:r>
        <w:rPr>
          <w:rFonts w:hint="eastAsia" w:ascii="宋体" w:hAnsi="宋体" w:eastAsia="宋体" w:cs="宋体"/>
          <w:color w:val="auto"/>
          <w:spacing w:val="-10"/>
          <w:sz w:val="24"/>
          <w:szCs w:val="24"/>
          <w:highlight w:val="none"/>
        </w:rPr>
        <w:t>经济标书的组成内容按本节第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w:t>
      </w:r>
      <w:r>
        <w:rPr>
          <w:rFonts w:hint="eastAsia" w:ascii="宋体" w:hAnsi="宋体" w:eastAsia="宋体" w:cs="宋体"/>
          <w:color w:val="auto"/>
          <w:spacing w:val="-11"/>
          <w:sz w:val="24"/>
          <w:szCs w:val="24"/>
          <w:highlight w:val="none"/>
        </w:rPr>
        <w:t>.3.1 目规定的顺序整理、编排后，逐页（页</w:t>
      </w:r>
      <w:r>
        <w:rPr>
          <w:rFonts w:hint="eastAsia" w:ascii="宋体" w:hAnsi="宋体" w:eastAsia="宋体" w:cs="宋体"/>
          <w:color w:val="auto"/>
          <w:spacing w:val="-1"/>
          <w:sz w:val="24"/>
          <w:szCs w:val="24"/>
          <w:highlight w:val="none"/>
        </w:rPr>
        <w:t>码起始从封面开始）连续标记页码。</w:t>
      </w:r>
    </w:p>
    <w:p w14:paraId="06BCCAAB">
      <w:pPr>
        <w:spacing w:before="82" w:line="213" w:lineRule="auto"/>
        <w:ind w:left="496"/>
        <w:outlineLvl w:val="3"/>
        <w:rPr>
          <w:rFonts w:hint="eastAsia" w:ascii="宋体" w:hAnsi="宋体" w:eastAsia="宋体" w:cs="宋体"/>
          <w:b/>
          <w:bCs/>
          <w:color w:val="auto"/>
          <w:sz w:val="25"/>
          <w:szCs w:val="25"/>
          <w:highlight w:val="none"/>
        </w:rPr>
      </w:pPr>
      <w:r>
        <w:rPr>
          <w:rFonts w:hint="eastAsia" w:ascii="宋体" w:hAnsi="宋体" w:eastAsia="宋体" w:cs="宋体"/>
          <w:b/>
          <w:bCs/>
          <w:color w:val="auto"/>
          <w:spacing w:val="-3"/>
          <w:sz w:val="24"/>
          <w:szCs w:val="24"/>
          <w:highlight w:val="none"/>
        </w:rPr>
        <w:t>10.4  施工组织设计的编制要求</w:t>
      </w:r>
    </w:p>
    <w:p w14:paraId="768CF899">
      <w:pPr>
        <w:spacing w:before="151"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10.4.1 </w:t>
      </w:r>
      <w:r>
        <w:rPr>
          <w:rFonts w:hint="eastAsia" w:ascii="宋体" w:hAnsi="宋体" w:eastAsia="宋体" w:cs="宋体"/>
          <w:color w:val="auto"/>
          <w:spacing w:val="-1"/>
          <w:sz w:val="24"/>
          <w:szCs w:val="24"/>
          <w:highlight w:val="none"/>
        </w:rPr>
        <w:t>施工组织设计的编制依据包括且不限于：</w:t>
      </w:r>
    </w:p>
    <w:p w14:paraId="1E40B774">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（1）招标文件及其答疑（或修改）公告；</w:t>
      </w:r>
    </w:p>
    <w:p w14:paraId="4975F0E4">
      <w:pPr>
        <w:spacing w:before="155"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（2）施工图及相关资料；</w:t>
      </w:r>
    </w:p>
    <w:p w14:paraId="6E3E7330">
      <w:pPr>
        <w:spacing w:before="152"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（3）施工现场情况、工程特点；</w:t>
      </w:r>
    </w:p>
    <w:p w14:paraId="1323D629">
      <w:pPr>
        <w:spacing w:before="78"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（4）相关法律、法规、规定；</w:t>
      </w:r>
    </w:p>
    <w:p w14:paraId="546827BB">
      <w:pPr>
        <w:spacing w:before="153" w:line="299" w:lineRule="auto"/>
        <w:ind w:left="10" w:right="21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（5）国家、广东省、韶关市关于施工现场管理、施工工艺</w:t>
      </w:r>
      <w:r>
        <w:rPr>
          <w:rFonts w:hint="eastAsia" w:ascii="宋体" w:hAnsi="宋体" w:eastAsia="宋体" w:cs="宋体"/>
          <w:color w:val="auto"/>
          <w:spacing w:val="1"/>
          <w:sz w:val="24"/>
          <w:szCs w:val="24"/>
          <w:highlight w:val="none"/>
        </w:rPr>
        <w:t>、绿色施工、安全防</w:t>
      </w:r>
      <w:r>
        <w:rPr>
          <w:rFonts w:hint="eastAsia" w:ascii="宋体" w:hAnsi="宋体" w:eastAsia="宋体" w:cs="宋体"/>
          <w:color w:val="auto"/>
          <w:spacing w:val="-1"/>
          <w:sz w:val="24"/>
          <w:szCs w:val="24"/>
          <w:highlight w:val="none"/>
        </w:rPr>
        <w:t>护、文明施工、环境保护等方面的标准、规范、技术资料。</w:t>
      </w:r>
      <w:r>
        <w:rPr>
          <w:rFonts w:hint="eastAsia" w:ascii="宋体" w:hAnsi="宋体" w:eastAsia="宋体" w:cs="宋体"/>
          <w:color w:val="auto"/>
          <w:spacing w:val="-2"/>
          <w:sz w:val="24"/>
          <w:szCs w:val="24"/>
          <w:highlight w:val="none"/>
        </w:rPr>
        <w:t>如《广东省住房和城乡建</w:t>
      </w:r>
      <w:r>
        <w:rPr>
          <w:rFonts w:hint="eastAsia" w:ascii="宋体" w:hAnsi="宋体" w:eastAsia="宋体" w:cs="宋体"/>
          <w:color w:val="auto"/>
          <w:sz w:val="24"/>
          <w:szCs w:val="24"/>
          <w:highlight w:val="none"/>
        </w:rPr>
        <w:t>设厅绿色施工导则》《广东省建设工程施工扬尘污染防</w:t>
      </w:r>
      <w:r>
        <w:rPr>
          <w:rFonts w:hint="eastAsia" w:ascii="宋体" w:hAnsi="宋体" w:eastAsia="宋体" w:cs="宋体"/>
          <w:color w:val="auto"/>
          <w:spacing w:val="-1"/>
          <w:sz w:val="24"/>
          <w:szCs w:val="24"/>
          <w:highlight w:val="none"/>
        </w:rPr>
        <w:t>治管理办法（试行）》等；</w:t>
      </w:r>
    </w:p>
    <w:p w14:paraId="7973C375">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（6）企业内部标准、工法。</w:t>
      </w:r>
    </w:p>
    <w:p w14:paraId="43414437">
      <w:pPr>
        <w:spacing w:before="15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10.4.2 </w:t>
      </w:r>
      <w:r>
        <w:rPr>
          <w:rFonts w:hint="eastAsia" w:ascii="宋体" w:hAnsi="宋体" w:eastAsia="宋体" w:cs="宋体"/>
          <w:color w:val="auto"/>
          <w:spacing w:val="-1"/>
          <w:sz w:val="24"/>
          <w:szCs w:val="24"/>
          <w:highlight w:val="none"/>
        </w:rPr>
        <w:t>施工组织设计包括但不限于以下内容：</w:t>
      </w:r>
    </w:p>
    <w:p w14:paraId="4448288D">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3BC2A7E8">
      <w:pPr>
        <w:spacing w:before="156"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3D46DDF6">
      <w:pPr>
        <w:spacing w:before="150"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（3）总体概述（包括施工程序总体设想及施工段划分等内容</w:t>
      </w:r>
      <w:r>
        <w:rPr>
          <w:rFonts w:hint="eastAsia" w:ascii="宋体" w:hAnsi="宋体" w:eastAsia="宋体" w:cs="宋体"/>
          <w:color w:val="auto"/>
          <w:spacing w:val="2"/>
          <w:sz w:val="24"/>
          <w:szCs w:val="24"/>
          <w:highlight w:val="none"/>
        </w:rPr>
        <w:t>）；</w:t>
      </w:r>
    </w:p>
    <w:p w14:paraId="23C15B5F">
      <w:pPr>
        <w:spacing w:before="154" w:line="299" w:lineRule="auto"/>
        <w:ind w:left="9" w:right="21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（4）施工总进度计划及保证措施（包括进度管理目标；以</w:t>
      </w:r>
      <w:r>
        <w:rPr>
          <w:rFonts w:hint="eastAsia" w:ascii="宋体" w:hAnsi="宋体" w:eastAsia="宋体" w:cs="宋体"/>
          <w:color w:val="auto"/>
          <w:spacing w:val="1"/>
          <w:sz w:val="24"/>
          <w:szCs w:val="24"/>
          <w:highlight w:val="none"/>
        </w:rPr>
        <w:t>横道图或标明关键线</w:t>
      </w:r>
      <w:r>
        <w:rPr>
          <w:rFonts w:hint="eastAsia" w:ascii="宋体" w:hAnsi="宋体" w:eastAsia="宋体" w:cs="宋体"/>
          <w:color w:val="auto"/>
          <w:spacing w:val="-1"/>
          <w:sz w:val="24"/>
          <w:szCs w:val="24"/>
          <w:highlight w:val="none"/>
        </w:rPr>
        <w:t>路的网络进度计划；保障进度计划需要的人、材、机需求计划</w:t>
      </w:r>
      <w:r>
        <w:rPr>
          <w:rFonts w:hint="eastAsia" w:ascii="宋体" w:hAnsi="宋体" w:eastAsia="宋体" w:cs="宋体"/>
          <w:color w:val="auto"/>
          <w:spacing w:val="-2"/>
          <w:sz w:val="24"/>
          <w:szCs w:val="24"/>
          <w:highlight w:val="none"/>
        </w:rPr>
        <w:t>及保证措施；违约责任承诺等内容</w:t>
      </w:r>
      <w:r>
        <w:rPr>
          <w:rFonts w:hint="eastAsia" w:ascii="宋体" w:hAnsi="宋体" w:eastAsia="宋体" w:cs="宋体"/>
          <w:color w:val="auto"/>
          <w:sz w:val="24"/>
          <w:szCs w:val="24"/>
          <w:highlight w:val="none"/>
        </w:rPr>
        <w:t>）；</w:t>
      </w:r>
    </w:p>
    <w:p w14:paraId="413C1EC3">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（5）质量保证措施（包括质量管理目标；相应保证措施；违约责任承诺</w:t>
      </w:r>
      <w:r>
        <w:rPr>
          <w:rFonts w:hint="eastAsia" w:ascii="宋体" w:hAnsi="宋体" w:eastAsia="宋体" w:cs="宋体"/>
          <w:color w:val="auto"/>
          <w:spacing w:val="-6"/>
          <w:sz w:val="24"/>
          <w:szCs w:val="24"/>
          <w:highlight w:val="none"/>
        </w:rPr>
        <w:t>等内容</w:t>
      </w:r>
      <w:r>
        <w:rPr>
          <w:rFonts w:hint="eastAsia" w:ascii="宋体" w:hAnsi="宋体" w:eastAsia="宋体" w:cs="宋体"/>
          <w:color w:val="auto"/>
          <w:spacing w:val="-62"/>
          <w:w w:val="97"/>
          <w:sz w:val="24"/>
          <w:szCs w:val="24"/>
          <w:highlight w:val="none"/>
        </w:rPr>
        <w:t>）；</w:t>
      </w:r>
    </w:p>
    <w:p w14:paraId="63DC62FA">
      <w:pPr>
        <w:spacing w:before="156" w:line="279" w:lineRule="auto"/>
        <w:ind w:left="11" w:right="21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（6）施工技术措施（包括关键施工技术、工艺及工程项目</w:t>
      </w:r>
      <w:r>
        <w:rPr>
          <w:rFonts w:hint="eastAsia" w:ascii="宋体" w:hAnsi="宋体" w:eastAsia="宋体" w:cs="宋体"/>
          <w:color w:val="auto"/>
          <w:spacing w:val="1"/>
          <w:sz w:val="24"/>
          <w:szCs w:val="24"/>
          <w:highlight w:val="none"/>
        </w:rPr>
        <w:t>实施的重点、难点分</w:t>
      </w:r>
      <w:r>
        <w:rPr>
          <w:rFonts w:hint="eastAsia" w:ascii="宋体" w:hAnsi="宋体" w:eastAsia="宋体" w:cs="宋体"/>
          <w:color w:val="auto"/>
          <w:spacing w:val="-1"/>
          <w:sz w:val="24"/>
          <w:szCs w:val="24"/>
          <w:highlight w:val="none"/>
        </w:rPr>
        <w:t>析和解决方案；新技术应用与承诺等内容</w:t>
      </w:r>
      <w:r>
        <w:rPr>
          <w:rFonts w:hint="eastAsia" w:ascii="宋体" w:hAnsi="宋体" w:eastAsia="宋体" w:cs="宋体"/>
          <w:color w:val="auto"/>
          <w:spacing w:val="2"/>
          <w:sz w:val="24"/>
          <w:szCs w:val="24"/>
          <w:highlight w:val="none"/>
        </w:rPr>
        <w:t>）；</w:t>
      </w:r>
    </w:p>
    <w:p w14:paraId="7BB5E824">
      <w:pPr>
        <w:spacing w:before="118" w:line="297" w:lineRule="auto"/>
        <w:ind w:left="11" w:right="31" w:firstLine="489"/>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（7）绿色施工、安全防护、文明施工措施计划(应对建设单位组织的勘察设计等单位在施工招标文件中列出的危大工程清单(详见格式十三)进行投标文件回应，如有)</w:t>
      </w:r>
      <w:r>
        <w:rPr>
          <w:rFonts w:hint="eastAsia" w:ascii="宋体" w:hAnsi="宋体" w:eastAsia="宋体" w:cs="宋体"/>
          <w:color w:val="auto"/>
          <w:spacing w:val="-3"/>
          <w:sz w:val="24"/>
          <w:szCs w:val="24"/>
          <w:highlight w:val="none"/>
        </w:rPr>
        <w:t>；</w:t>
      </w:r>
    </w:p>
    <w:p w14:paraId="02E9B450">
      <w:pPr>
        <w:spacing w:before="118" w:line="297" w:lineRule="auto"/>
        <w:ind w:left="11" w:right="3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（8）施工现场总平面布置（</w:t>
      </w:r>
      <w:bookmarkStart w:id="51" w:name="OLE_LINK8"/>
      <w:r>
        <w:rPr>
          <w:rFonts w:hint="eastAsia" w:ascii="宋体" w:hAnsi="宋体" w:eastAsia="宋体" w:cs="宋体"/>
          <w:color w:val="auto"/>
          <w:spacing w:val="2"/>
          <w:sz w:val="24"/>
          <w:szCs w:val="24"/>
          <w:highlight w:val="none"/>
        </w:rPr>
        <w:t>投标人应递交一份施工现场总</w:t>
      </w:r>
      <w:r>
        <w:rPr>
          <w:rFonts w:hint="eastAsia" w:ascii="宋体" w:hAnsi="宋体" w:eastAsia="宋体" w:cs="宋体"/>
          <w:color w:val="auto"/>
          <w:spacing w:val="1"/>
          <w:sz w:val="24"/>
          <w:szCs w:val="24"/>
          <w:highlight w:val="none"/>
        </w:rPr>
        <w:t>平面布置图，绘出现</w:t>
      </w:r>
      <w:r>
        <w:rPr>
          <w:rFonts w:hint="eastAsia" w:ascii="宋体" w:hAnsi="宋体" w:eastAsia="宋体" w:cs="宋体"/>
          <w:color w:val="auto"/>
          <w:spacing w:val="-1"/>
          <w:sz w:val="24"/>
          <w:szCs w:val="24"/>
          <w:highlight w:val="none"/>
        </w:rPr>
        <w:t>场临时设施布置图表并附文字说明，说明临时设施、加工车间、</w:t>
      </w:r>
      <w:r>
        <w:rPr>
          <w:rFonts w:hint="eastAsia" w:ascii="宋体" w:hAnsi="宋体" w:eastAsia="宋体" w:cs="宋体"/>
          <w:color w:val="auto"/>
          <w:spacing w:val="-2"/>
          <w:sz w:val="24"/>
          <w:szCs w:val="24"/>
          <w:highlight w:val="none"/>
        </w:rPr>
        <w:t>现场办公、设备及仓</w:t>
      </w:r>
      <w:r>
        <w:rPr>
          <w:rFonts w:hint="eastAsia" w:ascii="宋体" w:hAnsi="宋体" w:eastAsia="宋体" w:cs="宋体"/>
          <w:color w:val="auto"/>
          <w:spacing w:val="-1"/>
          <w:sz w:val="24"/>
          <w:szCs w:val="24"/>
          <w:highlight w:val="none"/>
        </w:rPr>
        <w:t>储、供电、供水、卫生、生活、道路、消防等设施的情况和布置</w:t>
      </w:r>
      <w:bookmarkEnd w:id="51"/>
      <w:r>
        <w:rPr>
          <w:rFonts w:hint="eastAsia" w:ascii="宋体" w:hAnsi="宋体" w:eastAsia="宋体" w:cs="宋体"/>
          <w:color w:val="auto"/>
          <w:spacing w:val="9"/>
          <w:sz w:val="24"/>
          <w:szCs w:val="24"/>
          <w:highlight w:val="none"/>
        </w:rPr>
        <w:t>）；</w:t>
      </w:r>
    </w:p>
    <w:p w14:paraId="5E69FD0B">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（9）项目管理机构。</w:t>
      </w:r>
    </w:p>
    <w:p w14:paraId="10315D49">
      <w:pPr>
        <w:spacing w:before="154" w:line="280" w:lineRule="auto"/>
        <w:ind w:right="211" w:firstLine="47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（10）投标人认为有必要补充的其他内容（例如对总包管理的认识以及对专业分</w:t>
      </w:r>
      <w:r>
        <w:rPr>
          <w:rFonts w:hint="eastAsia" w:ascii="宋体" w:hAnsi="宋体" w:eastAsia="宋体" w:cs="宋体"/>
          <w:color w:val="auto"/>
          <w:spacing w:val="-1"/>
          <w:sz w:val="24"/>
          <w:szCs w:val="24"/>
          <w:highlight w:val="none"/>
        </w:rPr>
        <w:t>包工程的管理、协调、配合、服务方案）。</w:t>
      </w:r>
    </w:p>
    <w:p w14:paraId="33E7EB44">
      <w:pPr>
        <w:spacing w:before="152" w:line="279" w:lineRule="auto"/>
        <w:ind w:right="196"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10.4.3  </w:t>
      </w:r>
      <w:r>
        <w:rPr>
          <w:rFonts w:hint="eastAsia" w:ascii="宋体" w:hAnsi="宋体" w:eastAsia="宋体" w:cs="宋体"/>
          <w:color w:val="auto"/>
          <w:spacing w:val="-2"/>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2"/>
          <w:sz w:val="24"/>
          <w:szCs w:val="24"/>
          <w:highlight w:val="none"/>
        </w:rPr>
        <w:t>10.4.2</w:t>
      </w:r>
      <w:r>
        <w:rPr>
          <w:rFonts w:hint="eastAsia" w:ascii="宋体" w:hAnsi="宋体" w:eastAsia="宋体" w:cs="宋体"/>
          <w:color w:val="auto"/>
          <w:spacing w:val="-2"/>
          <w:sz w:val="24"/>
          <w:szCs w:val="24"/>
          <w:highlight w:val="none"/>
        </w:rPr>
        <w:t>目中所列出</w:t>
      </w:r>
      <w:r>
        <w:rPr>
          <w:rFonts w:hint="eastAsia" w:ascii="宋体" w:hAnsi="宋体" w:eastAsia="宋体" w:cs="宋体"/>
          <w:color w:val="auto"/>
          <w:spacing w:val="-3"/>
          <w:sz w:val="24"/>
          <w:szCs w:val="24"/>
          <w:highlight w:val="none"/>
        </w:rPr>
        <w:t>的施工组织设计组成内容中，第（1）至第（9）</w:t>
      </w:r>
      <w:r>
        <w:rPr>
          <w:rFonts w:hint="eastAsia" w:ascii="宋体" w:hAnsi="宋体" w:eastAsia="宋体" w:cs="宋体"/>
          <w:color w:val="auto"/>
          <w:spacing w:val="-2"/>
          <w:sz w:val="24"/>
          <w:szCs w:val="24"/>
          <w:highlight w:val="none"/>
        </w:rPr>
        <w:t>项所有投标人均应提供。</w:t>
      </w:r>
    </w:p>
    <w:p w14:paraId="56491334">
      <w:pPr>
        <w:spacing w:before="157" w:line="279" w:lineRule="auto"/>
        <w:ind w:right="211" w:firstLine="462" w:firstLineChars="200"/>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5"/>
          <w:sz w:val="24"/>
          <w:szCs w:val="24"/>
          <w:highlight w:val="none"/>
        </w:rPr>
        <w:t xml:space="preserve">10.4.4 </w:t>
      </w:r>
      <w:r>
        <w:rPr>
          <w:rFonts w:hint="eastAsia" w:ascii="宋体" w:hAnsi="宋体" w:eastAsia="宋体" w:cs="宋体"/>
          <w:color w:val="auto"/>
          <w:spacing w:val="-5"/>
          <w:sz w:val="24"/>
          <w:szCs w:val="24"/>
          <w:highlight w:val="none"/>
        </w:rPr>
        <w:t>施工组织设计的组成内容按本节第</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5"/>
          <w:sz w:val="24"/>
          <w:szCs w:val="24"/>
          <w:highlight w:val="none"/>
        </w:rPr>
        <w:t>10.4.2 目规定的顺序整理、编排后，逐</w:t>
      </w:r>
      <w:r>
        <w:rPr>
          <w:rFonts w:hint="eastAsia" w:ascii="宋体" w:hAnsi="宋体" w:eastAsia="宋体" w:cs="宋体"/>
          <w:color w:val="auto"/>
          <w:spacing w:val="-1"/>
          <w:sz w:val="24"/>
          <w:szCs w:val="24"/>
          <w:highlight w:val="none"/>
        </w:rPr>
        <w:t>页（页码起始从封面开始）连续标记页码。</w:t>
      </w:r>
    </w:p>
    <w:p w14:paraId="702A1AEA">
      <w:pPr>
        <w:ind w:firstLine="472"/>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b/>
          <w:bCs/>
          <w:color w:val="auto"/>
          <w:spacing w:val="-1"/>
          <w:sz w:val="24"/>
          <w:szCs w:val="24"/>
          <w:highlight w:val="none"/>
        </w:rPr>
        <w:t>10.4.5</w:t>
      </w:r>
      <w:bookmarkStart w:id="52" w:name="OLE_LINK9"/>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施工组织设计的正文不得超过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150</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页</w:t>
      </w:r>
      <w:r>
        <w:rPr>
          <w:rFonts w:hint="eastAsia" w:ascii="宋体" w:hAnsi="宋体" w:eastAsia="宋体" w:cs="宋体"/>
          <w:color w:val="auto"/>
          <w:spacing w:val="-1"/>
          <w:sz w:val="24"/>
          <w:szCs w:val="24"/>
          <w:highlight w:val="none"/>
          <w:lang w:eastAsia="zh-CN"/>
        </w:rPr>
        <w:t>。</w:t>
      </w:r>
      <w:bookmarkEnd w:id="52"/>
      <w:bookmarkStart w:id="53" w:name="bookmark121"/>
      <w:bookmarkEnd w:id="53"/>
    </w:p>
    <w:p w14:paraId="02DC3960">
      <w:pPr>
        <w:pStyle w:val="2"/>
        <w:keepNext/>
        <w:keepLines/>
        <w:pageBreakBefore w:val="0"/>
        <w:widowControl/>
        <w:kinsoku w:val="0"/>
        <w:wordWrap/>
        <w:overflowPunct/>
        <w:topLinePunct w:val="0"/>
        <w:autoSpaceDE w:val="0"/>
        <w:autoSpaceDN w:val="0"/>
        <w:bidi w:val="0"/>
        <w:adjustRightInd w:val="0"/>
        <w:snapToGrid w:val="0"/>
        <w:spacing w:before="0" w:beforeLines="50" w:line="375" w:lineRule="auto"/>
        <w:textAlignment w:val="baseline"/>
        <w:rPr>
          <w:rFonts w:hint="eastAsia" w:ascii="宋体" w:hAnsi="宋体" w:eastAsia="宋体" w:cs="宋体"/>
          <w:color w:val="auto"/>
          <w:sz w:val="24"/>
          <w:szCs w:val="24"/>
          <w:highlight w:val="none"/>
        </w:rPr>
      </w:pPr>
      <w:bookmarkStart w:id="54" w:name="_Toc20579"/>
      <w:r>
        <w:rPr>
          <w:rFonts w:hint="eastAsia" w:ascii="宋体" w:hAnsi="宋体" w:eastAsia="宋体" w:cs="宋体"/>
          <w:snapToGrid w:val="0"/>
          <w:color w:val="auto"/>
          <w:kern w:val="0"/>
          <w:sz w:val="24"/>
          <w:szCs w:val="24"/>
          <w:highlight w:val="none"/>
          <w:lang w:val="en-US" w:eastAsia="zh-CN"/>
        </w:rPr>
        <w:t xml:space="preserve">   </w:t>
      </w:r>
      <w:bookmarkEnd w:id="54"/>
      <w:bookmarkStart w:id="55" w:name="_Toc21936"/>
      <w:r>
        <w:rPr>
          <w:rFonts w:hint="eastAsia" w:ascii="宋体" w:hAnsi="宋体" w:eastAsia="宋体" w:cs="宋体"/>
          <w:b/>
          <w:bCs/>
          <w:color w:val="auto"/>
          <w:spacing w:val="-9"/>
          <w:sz w:val="24"/>
          <w:szCs w:val="24"/>
          <w:highlight w:val="none"/>
        </w:rPr>
        <w:t>11.</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bookmarkEnd w:id="55"/>
    </w:p>
    <w:p w14:paraId="3D405C38">
      <w:pPr>
        <w:keepNext w:val="0"/>
        <w:keepLines w:val="0"/>
        <w:pageBreakBefore w:val="0"/>
        <w:widowControl/>
        <w:kinsoku w:val="0"/>
        <w:wordWrap/>
        <w:overflowPunct/>
        <w:topLinePunct w:val="0"/>
        <w:autoSpaceDE w:val="0"/>
        <w:autoSpaceDN w:val="0"/>
        <w:bidi w:val="0"/>
        <w:adjustRightInd w:val="0"/>
        <w:snapToGrid w:val="0"/>
        <w:spacing w:line="296"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11.1  </w:t>
      </w:r>
      <w:r>
        <w:rPr>
          <w:rFonts w:hint="eastAsia" w:ascii="宋体" w:hAnsi="宋体" w:eastAsia="宋体" w:cs="宋体"/>
          <w:color w:val="auto"/>
          <w:spacing w:val="-3"/>
          <w:sz w:val="24"/>
          <w:szCs w:val="24"/>
          <w:highlight w:val="none"/>
        </w:rPr>
        <w:t>在建设工程交易系统上传加盖了电子印章的投标文件、录入相关信息及标书</w:t>
      </w:r>
      <w:r>
        <w:rPr>
          <w:rFonts w:hint="eastAsia" w:ascii="宋体" w:hAnsi="宋体" w:eastAsia="宋体" w:cs="宋体"/>
          <w:color w:val="auto"/>
          <w:spacing w:val="2"/>
          <w:sz w:val="24"/>
          <w:szCs w:val="24"/>
          <w:highlight w:val="none"/>
        </w:rPr>
        <w:t>页码信息</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
          <w:sz w:val="24"/>
          <w:szCs w:val="24"/>
          <w:highlight w:val="none"/>
        </w:rPr>
        <w:t>页码起始从封面开始）并提交投标标书。提交标书为已加密投标文件。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具体操作参照《韶关市公共资源建设工程交易系统-投标人操</w:t>
      </w:r>
      <w:r>
        <w:rPr>
          <w:rFonts w:hint="eastAsia" w:ascii="宋体" w:hAnsi="宋体" w:eastAsia="宋体" w:cs="宋体"/>
          <w:color w:val="auto"/>
          <w:spacing w:val="-3"/>
          <w:sz w:val="24"/>
          <w:szCs w:val="24"/>
          <w:highlight w:val="none"/>
        </w:rPr>
        <w:t>作指南（电子评标）》。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本项目评标采用全流程电子化进行招标投标（投标人应根据</w:t>
      </w:r>
      <w:r>
        <w:rPr>
          <w:rFonts w:hint="eastAsia" w:ascii="宋体" w:hAnsi="宋体" w:eastAsia="宋体" w:cs="宋体"/>
          <w:color w:val="auto"/>
          <w:spacing w:val="-2"/>
          <w:sz w:val="24"/>
          <w:szCs w:val="24"/>
          <w:highlight w:val="none"/>
        </w:rPr>
        <w:t>韶关市公共资源建设工程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交易系统进行编辑投标相关内容、按招标文件电子投标要求</w:t>
      </w:r>
      <w:r>
        <w:rPr>
          <w:rFonts w:hint="eastAsia" w:ascii="宋体" w:hAnsi="宋体" w:eastAsia="宋体" w:cs="宋体"/>
          <w:color w:val="auto"/>
          <w:spacing w:val="-2"/>
          <w:sz w:val="24"/>
          <w:szCs w:val="24"/>
          <w:highlight w:val="none"/>
        </w:rPr>
        <w:t>上传已加盖电子印章投标</w:t>
      </w:r>
      <w:r>
        <w:rPr>
          <w:rFonts w:hint="eastAsia" w:ascii="宋体" w:hAnsi="宋体" w:eastAsia="宋体" w:cs="宋体"/>
          <w:color w:val="auto"/>
          <w:spacing w:val="-1"/>
          <w:sz w:val="24"/>
          <w:szCs w:val="24"/>
          <w:highlight w:val="none"/>
        </w:rPr>
        <w:t>文件，否则将自行承担不利后果）。投标文件完成上传后，投标人应</w:t>
      </w:r>
      <w:r>
        <w:rPr>
          <w:rFonts w:hint="eastAsia" w:ascii="宋体" w:hAnsi="宋体" w:eastAsia="宋体" w:cs="宋体"/>
          <w:color w:val="auto"/>
          <w:spacing w:val="-2"/>
          <w:sz w:val="24"/>
          <w:szCs w:val="24"/>
          <w:highlight w:val="none"/>
        </w:rPr>
        <w:t>使用 CA 数字证</w:t>
      </w:r>
      <w:r>
        <w:rPr>
          <w:rFonts w:hint="eastAsia" w:ascii="宋体" w:hAnsi="宋体" w:eastAsia="宋体" w:cs="宋体"/>
          <w:color w:val="auto"/>
          <w:spacing w:val="-1"/>
          <w:sz w:val="24"/>
          <w:szCs w:val="24"/>
          <w:highlight w:val="none"/>
        </w:rPr>
        <w:t>书对投标文件进行文件加密，形成加密的投标文件并提交标书。</w:t>
      </w:r>
    </w:p>
    <w:p w14:paraId="6868FCA9">
      <w:pPr>
        <w:spacing w:before="115" w:line="286" w:lineRule="auto"/>
        <w:ind w:left="10" w:right="81" w:firstLine="485"/>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11.2</w:t>
      </w:r>
      <w:r>
        <w:rPr>
          <w:rFonts w:hint="eastAsia" w:ascii="宋体" w:hAnsi="宋体" w:eastAsia="宋体" w:cs="宋体"/>
          <w:b/>
          <w:bCs/>
          <w:color w:val="auto"/>
          <w:spacing w:val="19"/>
          <w:sz w:val="24"/>
          <w:szCs w:val="24"/>
          <w:highlight w:val="none"/>
        </w:rPr>
        <w:t xml:space="preserve">  </w:t>
      </w:r>
      <w:r>
        <w:rPr>
          <w:rFonts w:hint="eastAsia" w:ascii="宋体" w:hAnsi="宋体" w:eastAsia="宋体" w:cs="宋体"/>
          <w:color w:val="auto"/>
          <w:spacing w:val="-4"/>
          <w:sz w:val="24"/>
          <w:szCs w:val="24"/>
          <w:highlight w:val="none"/>
        </w:rPr>
        <w:t>电子投标文件的修改、撤回：在提交投标文件截止时间前，投标人可</w:t>
      </w:r>
      <w:r>
        <w:rPr>
          <w:rFonts w:hint="eastAsia" w:ascii="宋体" w:hAnsi="宋体" w:eastAsia="宋体" w:cs="宋体"/>
          <w:color w:val="auto"/>
          <w:spacing w:val="-5"/>
          <w:sz w:val="24"/>
          <w:szCs w:val="24"/>
          <w:highlight w:val="none"/>
        </w:rPr>
        <w:t>以修改</w:t>
      </w:r>
      <w:r>
        <w:rPr>
          <w:rFonts w:hint="eastAsia" w:ascii="宋体" w:hAnsi="宋体" w:eastAsia="宋体" w:cs="宋体"/>
          <w:color w:val="auto"/>
          <w:spacing w:val="-1"/>
          <w:sz w:val="24"/>
          <w:szCs w:val="24"/>
          <w:highlight w:val="none"/>
        </w:rPr>
        <w:t>或撤回未解密的电子投标文件，并于提交投标文件截止时间</w:t>
      </w:r>
      <w:r>
        <w:rPr>
          <w:rFonts w:hint="eastAsia" w:ascii="宋体" w:hAnsi="宋体" w:eastAsia="宋体" w:cs="宋体"/>
          <w:color w:val="auto"/>
          <w:spacing w:val="-2"/>
          <w:sz w:val="24"/>
          <w:szCs w:val="24"/>
          <w:highlight w:val="none"/>
        </w:rPr>
        <w:t>前将重新上传修改后的电</w:t>
      </w:r>
      <w:r>
        <w:rPr>
          <w:rFonts w:hint="eastAsia" w:ascii="宋体" w:hAnsi="宋体" w:eastAsia="宋体" w:cs="宋体"/>
          <w:color w:val="auto"/>
          <w:spacing w:val="-1"/>
          <w:sz w:val="24"/>
          <w:szCs w:val="24"/>
          <w:highlight w:val="none"/>
        </w:rPr>
        <w:t>子投标文件至系统，到达投标文件提交截止时间后投标人不</w:t>
      </w:r>
      <w:r>
        <w:rPr>
          <w:rFonts w:hint="eastAsia" w:ascii="宋体" w:hAnsi="宋体" w:eastAsia="宋体" w:cs="宋体"/>
          <w:color w:val="auto"/>
          <w:spacing w:val="-2"/>
          <w:sz w:val="24"/>
          <w:szCs w:val="24"/>
          <w:highlight w:val="none"/>
        </w:rPr>
        <w:t>得撤回、补充、修改和更换投标文件。</w:t>
      </w:r>
    </w:p>
    <w:p w14:paraId="1F5F4AB1">
      <w:pPr>
        <w:numPr>
          <w:ilvl w:val="0"/>
          <w:numId w:val="0"/>
        </w:numPr>
        <w:spacing w:before="78" w:line="220" w:lineRule="auto"/>
        <w:ind w:firstLine="446" w:firstLineChars="200"/>
        <w:outlineLvl w:val="2"/>
        <w:rPr>
          <w:rFonts w:hint="eastAsia" w:ascii="宋体" w:hAnsi="宋体" w:eastAsia="宋体" w:cs="宋体"/>
          <w:b/>
          <w:bCs/>
          <w:color w:val="auto"/>
          <w:spacing w:val="-4"/>
          <w:sz w:val="24"/>
          <w:szCs w:val="24"/>
          <w:highlight w:val="none"/>
        </w:rPr>
      </w:pPr>
      <w:bookmarkStart w:id="56" w:name="_Toc27752"/>
      <w:r>
        <w:rPr>
          <w:rFonts w:hint="eastAsia" w:ascii="宋体" w:hAnsi="宋体" w:eastAsia="宋体" w:cs="宋体"/>
          <w:b/>
          <w:bCs/>
          <w:color w:val="auto"/>
          <w:spacing w:val="-9"/>
          <w:sz w:val="24"/>
          <w:szCs w:val="24"/>
          <w:highlight w:val="none"/>
          <w:lang w:val="en-US" w:eastAsia="zh-CN"/>
        </w:rPr>
        <w:t>12.</w:t>
      </w:r>
      <w:r>
        <w:rPr>
          <w:rFonts w:hint="eastAsia" w:ascii="宋体" w:hAnsi="宋体" w:eastAsia="宋体" w:cs="宋体"/>
          <w:b/>
          <w:bCs/>
          <w:color w:val="auto"/>
          <w:spacing w:val="22"/>
          <w:w w:val="101"/>
          <w:sz w:val="24"/>
          <w:szCs w:val="24"/>
          <w:highlight w:val="none"/>
        </w:rPr>
        <w:t xml:space="preserve"> </w:t>
      </w:r>
      <w:bookmarkStart w:id="57" w:name="_Toc29834"/>
      <w:r>
        <w:rPr>
          <w:rFonts w:hint="eastAsia" w:ascii="宋体" w:hAnsi="宋体" w:eastAsia="宋体" w:cs="宋体"/>
          <w:b/>
          <w:bCs/>
          <w:color w:val="auto"/>
          <w:spacing w:val="-4"/>
          <w:sz w:val="24"/>
          <w:szCs w:val="24"/>
          <w:highlight w:val="none"/>
        </w:rPr>
        <w:t>电子投标及投标解密失败及突发情况的补救方案</w:t>
      </w:r>
      <w:bookmarkEnd w:id="56"/>
      <w:bookmarkEnd w:id="57"/>
    </w:p>
    <w:p w14:paraId="6462F20A">
      <w:pPr>
        <w:keepNext w:val="0"/>
        <w:keepLines w:val="0"/>
        <w:pageBreakBefore w:val="0"/>
        <w:widowControl/>
        <w:kinsoku w:val="0"/>
        <w:wordWrap/>
        <w:overflowPunct/>
        <w:topLinePunct w:val="0"/>
        <w:autoSpaceDE w:val="0"/>
        <w:autoSpaceDN w:val="0"/>
        <w:bidi w:val="0"/>
        <w:adjustRightInd w:val="0"/>
        <w:snapToGrid w:val="0"/>
        <w:spacing w:before="78" w:line="360" w:lineRule="auto"/>
        <w:ind w:firstLine="47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12.1 </w:t>
      </w:r>
      <w:r>
        <w:rPr>
          <w:rFonts w:hint="eastAsia" w:ascii="宋体" w:hAnsi="宋体" w:eastAsia="宋体" w:cs="宋体"/>
          <w:color w:val="auto"/>
          <w:spacing w:val="-1"/>
          <w:sz w:val="24"/>
          <w:szCs w:val="24"/>
          <w:highlight w:val="none"/>
        </w:rPr>
        <w:t>按照交易平台关于全流程电子化项目的相</w:t>
      </w:r>
      <w:r>
        <w:rPr>
          <w:rFonts w:hint="eastAsia" w:ascii="宋体" w:hAnsi="宋体" w:eastAsia="宋体" w:cs="宋体"/>
          <w:color w:val="auto"/>
          <w:spacing w:val="-2"/>
          <w:sz w:val="24"/>
          <w:szCs w:val="24"/>
          <w:highlight w:val="none"/>
        </w:rPr>
        <w:t>关指南进行操作。详见：全国公共</w:t>
      </w:r>
      <w:r>
        <w:rPr>
          <w:rFonts w:hint="eastAsia" w:ascii="宋体" w:hAnsi="宋体" w:eastAsia="宋体" w:cs="宋体"/>
          <w:color w:val="auto"/>
          <w:spacing w:val="-1"/>
          <w:sz w:val="24"/>
          <w:szCs w:val="24"/>
          <w:highlight w:val="none"/>
        </w:rPr>
        <w:t>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·韶关市</w:t>
      </w:r>
      <w:r>
        <w:rPr>
          <w:rFonts w:hint="eastAsia" w:ascii="宋体" w:hAnsi="宋体" w:eastAsia="宋体" w:cs="宋体"/>
          <w:color w:val="auto"/>
          <w:spacing w:val="-26"/>
          <w:sz w:val="24"/>
          <w:szCs w:val="24"/>
          <w:highlight w:val="none"/>
        </w:rPr>
        <w:t>）（</w:t>
      </w:r>
      <w:r>
        <w:rPr>
          <w:rFonts w:hint="eastAsia" w:ascii="宋体" w:hAnsi="宋体" w:eastAsia="宋体" w:cs="宋体"/>
          <w:color w:val="auto"/>
          <w:spacing w:val="-1"/>
          <w:sz w:val="24"/>
          <w:szCs w:val="24"/>
          <w:highlight w:val="none"/>
        </w:rPr>
        <w:t>https://y</w:t>
      </w:r>
      <w:r>
        <w:rPr>
          <w:rFonts w:hint="eastAsia" w:ascii="宋体" w:hAnsi="宋体" w:eastAsia="宋体" w:cs="宋体"/>
          <w:color w:val="auto"/>
          <w:spacing w:val="-2"/>
          <w:sz w:val="24"/>
          <w:szCs w:val="24"/>
          <w:highlight w:val="none"/>
        </w:rPr>
        <w:t>gp.gdzwfw.gov.cn/ggzy-portal/#/44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0200/index）服务指南栏目发布的最新版操作指引。</w:t>
      </w:r>
    </w:p>
    <w:p w14:paraId="5443024B">
      <w:pPr>
        <w:spacing w:before="11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补救方案：</w:t>
      </w:r>
    </w:p>
    <w:p w14:paraId="67019C1A">
      <w:pPr>
        <w:spacing w:before="115"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12.2.1  </w:t>
      </w:r>
      <w:r>
        <w:rPr>
          <w:rFonts w:hint="eastAsia" w:ascii="宋体" w:hAnsi="宋体" w:eastAsia="宋体" w:cs="宋体"/>
          <w:color w:val="auto"/>
          <w:spacing w:val="-1"/>
          <w:sz w:val="24"/>
          <w:szCs w:val="24"/>
          <w:highlight w:val="none"/>
        </w:rPr>
        <w:t>投标文件解密失败的补救方案：</w:t>
      </w:r>
    </w:p>
    <w:p w14:paraId="1EDCE6E7">
      <w:pPr>
        <w:spacing w:before="115" w:line="298" w:lineRule="auto"/>
        <w:ind w:right="81"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在规定时间内，因投标人之外原因(指网络瘫痪、服务器损坏、交易系统故障短期无法恢复)等导致的电子投标文件解密失败，在开标现场解密环节由代理授权后，</w:t>
      </w:r>
      <w:r>
        <w:rPr>
          <w:rFonts w:hint="eastAsia" w:ascii="宋体" w:hAnsi="宋体" w:eastAsia="宋体" w:cs="宋体"/>
          <w:color w:val="auto"/>
          <w:spacing w:val="1"/>
          <w:sz w:val="24"/>
          <w:szCs w:val="24"/>
          <w:highlight w:val="none"/>
        </w:rPr>
        <w:t>解密失败投标人可在建设工程交易系统在规定时间（代理机构授权后</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1"/>
          <w:sz w:val="24"/>
          <w:szCs w:val="24"/>
          <w:highlight w:val="none"/>
        </w:rPr>
        <w:t>30</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1"/>
          <w:sz w:val="24"/>
          <w:szCs w:val="24"/>
          <w:highlight w:val="none"/>
        </w:rPr>
        <w:t>分钟内）内</w:t>
      </w:r>
      <w:bookmarkStart w:id="58" w:name="bookmark122"/>
      <w:bookmarkEnd w:id="58"/>
      <w:r>
        <w:rPr>
          <w:rFonts w:hint="eastAsia" w:ascii="宋体" w:hAnsi="宋体" w:eastAsia="宋体" w:cs="宋体"/>
          <w:color w:val="auto"/>
          <w:spacing w:val="-1"/>
          <w:sz w:val="24"/>
          <w:szCs w:val="24"/>
          <w:highlight w:val="none"/>
        </w:rPr>
        <w:t>重新提交投标文件继续开标程序。</w:t>
      </w:r>
    </w:p>
    <w:p w14:paraId="6A128606">
      <w:pPr>
        <w:spacing w:before="114"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12.2.2  </w:t>
      </w:r>
      <w:r>
        <w:rPr>
          <w:rFonts w:hint="eastAsia" w:ascii="宋体" w:hAnsi="宋体" w:eastAsia="宋体" w:cs="宋体"/>
          <w:color w:val="auto"/>
          <w:spacing w:val="-1"/>
          <w:sz w:val="24"/>
          <w:szCs w:val="24"/>
          <w:highlight w:val="none"/>
        </w:rPr>
        <w:t>评标时突发情况的补救方案</w:t>
      </w:r>
    </w:p>
    <w:p w14:paraId="389EEFFD">
      <w:pPr>
        <w:spacing w:before="114" w:line="303" w:lineRule="auto"/>
        <w:ind w:right="81"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在评标过程中，因主场或副场网络故障、电子设备或者</w:t>
      </w:r>
      <w:r>
        <w:rPr>
          <w:rFonts w:hint="eastAsia" w:ascii="宋体" w:hAnsi="宋体" w:eastAsia="宋体" w:cs="宋体"/>
          <w:color w:val="auto"/>
          <w:spacing w:val="-2"/>
          <w:sz w:val="24"/>
          <w:szCs w:val="24"/>
          <w:highlight w:val="none"/>
        </w:rPr>
        <w:t>评标系统故障，以及其他</w:t>
      </w:r>
      <w:r>
        <w:rPr>
          <w:rFonts w:hint="eastAsia" w:ascii="宋体" w:hAnsi="宋体" w:eastAsia="宋体" w:cs="宋体"/>
          <w:color w:val="auto"/>
          <w:spacing w:val="-3"/>
          <w:sz w:val="24"/>
          <w:szCs w:val="24"/>
          <w:highlight w:val="none"/>
        </w:rPr>
        <w:t>原因导致无法继续进行评标时，在</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小时以内解除故障的可继续评标，超过</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小时无</w:t>
      </w:r>
      <w:r>
        <w:rPr>
          <w:rFonts w:hint="eastAsia" w:ascii="宋体" w:hAnsi="宋体" w:eastAsia="宋体" w:cs="宋体"/>
          <w:color w:val="auto"/>
          <w:spacing w:val="-1"/>
          <w:sz w:val="24"/>
          <w:szCs w:val="24"/>
          <w:highlight w:val="none"/>
        </w:rPr>
        <w:t>法解除故障的，由招标人确定是否进行评标。如延期评标，</w:t>
      </w:r>
      <w:r>
        <w:rPr>
          <w:rFonts w:hint="eastAsia" w:ascii="宋体" w:hAnsi="宋体" w:eastAsia="宋体" w:cs="宋体"/>
          <w:color w:val="auto"/>
          <w:spacing w:val="-2"/>
          <w:sz w:val="24"/>
          <w:szCs w:val="24"/>
          <w:highlight w:val="none"/>
        </w:rPr>
        <w:t>招标人及参与评标活动的</w:t>
      </w:r>
      <w:r>
        <w:rPr>
          <w:rFonts w:hint="eastAsia" w:ascii="宋体" w:hAnsi="宋体" w:eastAsia="宋体" w:cs="宋体"/>
          <w:color w:val="auto"/>
          <w:spacing w:val="-1"/>
          <w:sz w:val="24"/>
          <w:szCs w:val="24"/>
          <w:highlight w:val="none"/>
        </w:rPr>
        <w:t>各方主体及其有关工作人员应当配合主场、副场做好招投标</w:t>
      </w:r>
      <w:r>
        <w:rPr>
          <w:rFonts w:hint="eastAsia" w:ascii="宋体" w:hAnsi="宋体" w:eastAsia="宋体" w:cs="宋体"/>
          <w:color w:val="auto"/>
          <w:spacing w:val="-2"/>
          <w:sz w:val="24"/>
          <w:szCs w:val="24"/>
          <w:highlight w:val="none"/>
        </w:rPr>
        <w:t>资料的封存和保密工作，</w:t>
      </w:r>
      <w:r>
        <w:rPr>
          <w:rFonts w:hint="eastAsia" w:ascii="宋体" w:hAnsi="宋体" w:eastAsia="宋体" w:cs="宋体"/>
          <w:color w:val="auto"/>
          <w:spacing w:val="-1"/>
          <w:sz w:val="24"/>
          <w:szCs w:val="24"/>
          <w:highlight w:val="none"/>
        </w:rPr>
        <w:t>另行组建评标委员会重新评标。原评标委员会成员应当对评</w:t>
      </w:r>
      <w:r>
        <w:rPr>
          <w:rFonts w:hint="eastAsia" w:ascii="宋体" w:hAnsi="宋体" w:eastAsia="宋体" w:cs="宋体"/>
          <w:color w:val="auto"/>
          <w:spacing w:val="-2"/>
          <w:sz w:val="24"/>
          <w:szCs w:val="24"/>
          <w:highlight w:val="none"/>
        </w:rPr>
        <w:t>标情况保密，不得对外透</w:t>
      </w:r>
      <w:r>
        <w:rPr>
          <w:rFonts w:hint="eastAsia" w:ascii="宋体" w:hAnsi="宋体" w:eastAsia="宋体" w:cs="宋体"/>
          <w:color w:val="auto"/>
          <w:spacing w:val="-1"/>
          <w:sz w:val="24"/>
          <w:szCs w:val="24"/>
          <w:highlight w:val="none"/>
        </w:rPr>
        <w:t>露与评标有关的任何信息与情况。</w:t>
      </w:r>
    </w:p>
    <w:p w14:paraId="432398B9">
      <w:pPr>
        <w:spacing w:before="69" w:line="324" w:lineRule="auto"/>
        <w:ind w:left="11" w:right="81" w:firstLine="484"/>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12.2.3  </w:t>
      </w:r>
      <w:r>
        <w:rPr>
          <w:rFonts w:hint="eastAsia" w:ascii="宋体" w:hAnsi="宋体" w:eastAsia="宋体" w:cs="宋体"/>
          <w:color w:val="auto"/>
          <w:spacing w:val="-1"/>
          <w:sz w:val="24"/>
          <w:szCs w:val="24"/>
          <w:highlight w:val="none"/>
        </w:rPr>
        <w:t>除发生上述情况外，开标评标均以投标人（联合体投标的，由联合体牵头人）通过交易平台网上递交的电子投标文件为准。</w:t>
      </w:r>
    </w:p>
    <w:p w14:paraId="4746E39E">
      <w:pPr>
        <w:spacing w:before="78" w:line="220" w:lineRule="auto"/>
        <w:ind w:left="496"/>
        <w:outlineLvl w:val="2"/>
        <w:rPr>
          <w:rFonts w:hint="eastAsia" w:ascii="宋体" w:hAnsi="宋体" w:eastAsia="宋体" w:cs="宋体"/>
          <w:color w:val="auto"/>
          <w:sz w:val="24"/>
          <w:szCs w:val="24"/>
          <w:highlight w:val="none"/>
        </w:rPr>
      </w:pPr>
      <w:bookmarkStart w:id="59" w:name="_Toc27195"/>
      <w:bookmarkStart w:id="60" w:name="_Toc22312"/>
      <w:r>
        <w:rPr>
          <w:rFonts w:hint="eastAsia" w:ascii="宋体" w:hAnsi="宋体" w:eastAsia="宋体" w:cs="宋体"/>
          <w:b/>
          <w:bCs/>
          <w:color w:val="auto"/>
          <w:spacing w:val="-7"/>
          <w:sz w:val="24"/>
          <w:szCs w:val="24"/>
          <w:highlight w:val="none"/>
        </w:rPr>
        <w:t>13</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7"/>
          <w:sz w:val="24"/>
          <w:szCs w:val="24"/>
          <w:highlight w:val="none"/>
        </w:rPr>
        <w:t>．投标文件的提交</w:t>
      </w:r>
      <w:bookmarkEnd w:id="59"/>
      <w:bookmarkEnd w:id="60"/>
    </w:p>
    <w:p w14:paraId="63ACB3FA">
      <w:pPr>
        <w:spacing w:before="123" w:line="278" w:lineRule="auto"/>
        <w:ind w:left="13" w:right="81"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 xml:space="preserve">13.1  </w:t>
      </w:r>
      <w:r>
        <w:rPr>
          <w:rFonts w:hint="eastAsia" w:ascii="宋体" w:hAnsi="宋体" w:eastAsia="宋体" w:cs="宋体"/>
          <w:color w:val="auto"/>
          <w:spacing w:val="-11"/>
          <w:sz w:val="24"/>
          <w:szCs w:val="24"/>
          <w:highlight w:val="none"/>
        </w:rPr>
        <w:t>在投标文件提交截止时间前，投标人通过全国公共资源交易平台（</w:t>
      </w:r>
      <w:r>
        <w:rPr>
          <w:rFonts w:hint="eastAsia" w:ascii="宋体" w:hAnsi="宋体" w:eastAsia="宋体" w:cs="宋体"/>
          <w:color w:val="auto"/>
          <w:spacing w:val="-12"/>
          <w:sz w:val="24"/>
          <w:szCs w:val="24"/>
          <w:highlight w:val="none"/>
        </w:rPr>
        <w:t>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2"/>
          <w:sz w:val="24"/>
          <w:szCs w:val="24"/>
          <w:highlight w:val="none"/>
        </w:rPr>
        <w:t>·韶</w:t>
      </w:r>
      <w:r>
        <w:rPr>
          <w:rFonts w:hint="eastAsia" w:ascii="宋体" w:hAnsi="宋体" w:eastAsia="宋体" w:cs="宋体"/>
          <w:color w:val="auto"/>
          <w:spacing w:val="-1"/>
          <w:sz w:val="24"/>
          <w:szCs w:val="24"/>
          <w:highlight w:val="none"/>
        </w:rPr>
        <w:t>关市）提交已加密投标文件。逾期提交的电子投标文</w:t>
      </w:r>
      <w:r>
        <w:rPr>
          <w:rFonts w:hint="eastAsia" w:ascii="宋体" w:hAnsi="宋体" w:eastAsia="宋体" w:cs="宋体"/>
          <w:color w:val="auto"/>
          <w:spacing w:val="-2"/>
          <w:sz w:val="24"/>
          <w:szCs w:val="24"/>
          <w:highlight w:val="none"/>
        </w:rPr>
        <w:t>件，全国公共资源交易平台（广</w:t>
      </w:r>
      <w:r>
        <w:rPr>
          <w:rFonts w:hint="eastAsia" w:ascii="宋体" w:hAnsi="宋体" w:eastAsia="宋体" w:cs="宋体"/>
          <w:color w:val="auto"/>
          <w:spacing w:val="-9"/>
          <w:sz w:val="24"/>
          <w:szCs w:val="24"/>
          <w:highlight w:val="none"/>
        </w:rPr>
        <w:t>东省</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9"/>
          <w:sz w:val="24"/>
          <w:szCs w:val="24"/>
          <w:highlight w:val="none"/>
        </w:rPr>
        <w:t>·韶关市）将予以拒收。</w:t>
      </w:r>
    </w:p>
    <w:p w14:paraId="6051D660">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p>
    <w:p w14:paraId="00486459">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13.3  </w:t>
      </w:r>
      <w:r>
        <w:rPr>
          <w:rFonts w:hint="eastAsia" w:ascii="宋体" w:hAnsi="宋体" w:eastAsia="宋体" w:cs="宋体"/>
          <w:color w:val="auto"/>
          <w:spacing w:val="-1"/>
          <w:sz w:val="24"/>
          <w:szCs w:val="24"/>
          <w:highlight w:val="none"/>
        </w:rPr>
        <w:t>递交时间和地点：投标人如有招标</w:t>
      </w:r>
      <w:r>
        <w:rPr>
          <w:rFonts w:hint="eastAsia" w:ascii="宋体" w:hAnsi="宋体" w:eastAsia="宋体" w:cs="宋体"/>
          <w:color w:val="auto"/>
          <w:spacing w:val="-2"/>
          <w:sz w:val="24"/>
          <w:szCs w:val="24"/>
          <w:highlight w:val="none"/>
        </w:rPr>
        <w:t>文件要求提交的用于评审的证书、证件、证明原件（附一式两份清单</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由投标人法定代表人或其委托代理人在指定的时间和</w:t>
      </w:r>
      <w:r>
        <w:rPr>
          <w:rFonts w:hint="eastAsia" w:ascii="宋体" w:hAnsi="宋体" w:eastAsia="宋体" w:cs="宋体"/>
          <w:color w:val="auto"/>
          <w:spacing w:val="-1"/>
          <w:sz w:val="24"/>
          <w:szCs w:val="24"/>
          <w:highlight w:val="none"/>
        </w:rPr>
        <w:t>地点递交（见“重要事项时间地点一览表</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w:t>
      </w:r>
    </w:p>
    <w:p w14:paraId="3B37374D">
      <w:pPr>
        <w:spacing w:before="112" w:line="219" w:lineRule="auto"/>
        <w:ind w:firstLine="47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13.4  </w:t>
      </w:r>
      <w:r>
        <w:rPr>
          <w:rFonts w:hint="eastAsia" w:ascii="宋体" w:hAnsi="宋体" w:eastAsia="宋体" w:cs="宋体"/>
          <w:color w:val="auto"/>
          <w:spacing w:val="-1"/>
          <w:sz w:val="24"/>
          <w:szCs w:val="24"/>
          <w:highlight w:val="none"/>
        </w:rPr>
        <w:t>代理机构对因不可抗力事件造成的投</w:t>
      </w:r>
      <w:r>
        <w:rPr>
          <w:rFonts w:hint="eastAsia" w:ascii="宋体" w:hAnsi="宋体" w:eastAsia="宋体" w:cs="宋体"/>
          <w:color w:val="auto"/>
          <w:spacing w:val="-2"/>
          <w:sz w:val="24"/>
          <w:szCs w:val="24"/>
          <w:highlight w:val="none"/>
        </w:rPr>
        <w:t>标文件的损坏、丢失的，不承担责任。</w:t>
      </w:r>
    </w:p>
    <w:p w14:paraId="4AB75F24">
      <w:pPr>
        <w:spacing w:before="116"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13.5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1"/>
          <w:sz w:val="24"/>
          <w:szCs w:val="24"/>
          <w:highlight w:val="none"/>
        </w:rPr>
        <w:t>出现下述情形之一，属于未成功提</w:t>
      </w:r>
      <w:r>
        <w:rPr>
          <w:rFonts w:hint="eastAsia" w:ascii="宋体" w:hAnsi="宋体" w:eastAsia="宋体" w:cs="宋体"/>
          <w:color w:val="auto"/>
          <w:spacing w:val="-2"/>
          <w:sz w:val="24"/>
          <w:szCs w:val="24"/>
          <w:highlight w:val="none"/>
        </w:rPr>
        <w:t>交投标文件，按无效投标处理：</w:t>
      </w:r>
    </w:p>
    <w:p w14:paraId="7078EE47">
      <w:pPr>
        <w:spacing w:before="115" w:line="219"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（1）至提交投标文件截止时，投标文件未完整上传及提交标书；</w:t>
      </w:r>
    </w:p>
    <w:p w14:paraId="182F51BA">
      <w:pPr>
        <w:spacing w:before="114"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（2）解密失败且在规定时间内未重新提交投标文件的；</w:t>
      </w:r>
    </w:p>
    <w:p w14:paraId="42D26110">
      <w:pPr>
        <w:spacing w:before="115"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375241E2">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13.6  </w:t>
      </w:r>
      <w:r>
        <w:rPr>
          <w:rFonts w:hint="eastAsia" w:ascii="宋体" w:hAnsi="宋体" w:eastAsia="宋体" w:cs="宋体"/>
          <w:color w:val="auto"/>
          <w:spacing w:val="-1"/>
          <w:sz w:val="24"/>
          <w:szCs w:val="24"/>
          <w:highlight w:val="none"/>
        </w:rPr>
        <w:t>联合体投标的，由联合体牵头人按以上要求递交相关资料。</w:t>
      </w:r>
    </w:p>
    <w:p w14:paraId="3A0B8A8C">
      <w:pPr>
        <w:spacing w:before="113" w:line="279" w:lineRule="auto"/>
        <w:ind w:left="9" w:right="24" w:firstLine="48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13.7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1"/>
          <w:sz w:val="24"/>
          <w:szCs w:val="24"/>
          <w:highlight w:val="none"/>
        </w:rPr>
        <w:t>应向投标人出具标明签收</w:t>
      </w:r>
      <w:r>
        <w:rPr>
          <w:rFonts w:hint="eastAsia" w:ascii="宋体" w:hAnsi="宋体" w:eastAsia="宋体" w:cs="宋体"/>
          <w:color w:val="auto"/>
          <w:spacing w:val="-2"/>
          <w:sz w:val="24"/>
          <w:szCs w:val="24"/>
          <w:highlight w:val="none"/>
        </w:rPr>
        <w:t>人和签收时间的凭证，并妥善保管。</w:t>
      </w:r>
    </w:p>
    <w:p w14:paraId="4E2CDC3E">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13.8 </w:t>
      </w:r>
      <w:r>
        <w:rPr>
          <w:rFonts w:hint="eastAsia" w:ascii="宋体" w:hAnsi="宋体" w:eastAsia="宋体" w:cs="宋体"/>
          <w:color w:val="auto"/>
          <w:spacing w:val="-2"/>
          <w:sz w:val="24"/>
          <w:szCs w:val="24"/>
          <w:highlight w:val="none"/>
        </w:rPr>
        <w:t xml:space="preserve"> 本次招标投标有效期为</w:t>
      </w:r>
      <w:r>
        <w:rPr>
          <w:rFonts w:hint="eastAsia" w:ascii="宋体" w:hAnsi="宋体" w:eastAsia="宋体" w:cs="宋体"/>
          <w:color w:val="auto"/>
          <w:spacing w:val="-2"/>
          <w:sz w:val="24"/>
          <w:szCs w:val="24"/>
          <w:highlight w:val="none"/>
          <w:u w:val="single"/>
          <w:lang w:eastAsia="zh-CN"/>
        </w:rPr>
        <w:t>90</w:t>
      </w:r>
      <w:r>
        <w:rPr>
          <w:rFonts w:hint="eastAsia" w:ascii="宋体" w:hAnsi="宋体" w:eastAsia="宋体" w:cs="宋体"/>
          <w:color w:val="auto"/>
          <w:spacing w:val="-2"/>
          <w:sz w:val="24"/>
          <w:szCs w:val="24"/>
          <w:highlight w:val="none"/>
        </w:rPr>
        <w:t>个日历天，投标有效期从提交投标文件的截止之日起计算。在此期间，投标人不得撤销或修改其</w:t>
      </w:r>
      <w:r>
        <w:rPr>
          <w:rFonts w:hint="eastAsia" w:ascii="宋体" w:hAnsi="宋体" w:eastAsia="宋体" w:cs="宋体"/>
          <w:color w:val="auto"/>
          <w:spacing w:val="-7"/>
          <w:sz w:val="24"/>
          <w:szCs w:val="24"/>
          <w:highlight w:val="none"/>
        </w:rPr>
        <w:t>投标文件，否则其投标保证不予退还。</w:t>
      </w:r>
    </w:p>
    <w:p w14:paraId="2A2F821B">
      <w:pPr>
        <w:spacing w:before="145" w:line="221" w:lineRule="auto"/>
        <w:ind w:left="496"/>
        <w:outlineLvl w:val="2"/>
        <w:rPr>
          <w:rFonts w:hint="eastAsia" w:ascii="宋体" w:hAnsi="宋体" w:eastAsia="宋体" w:cs="宋体"/>
          <w:color w:val="auto"/>
          <w:sz w:val="24"/>
          <w:szCs w:val="24"/>
          <w:highlight w:val="none"/>
        </w:rPr>
      </w:pPr>
      <w:bookmarkStart w:id="61" w:name="_Toc6719"/>
      <w:bookmarkStart w:id="62" w:name="_Toc22047"/>
      <w:r>
        <w:rPr>
          <w:rFonts w:hint="eastAsia" w:ascii="宋体" w:hAnsi="宋体" w:eastAsia="宋体" w:cs="宋体"/>
          <w:b/>
          <w:bCs/>
          <w:color w:val="auto"/>
          <w:spacing w:val="-11"/>
          <w:sz w:val="24"/>
          <w:szCs w:val="24"/>
          <w:highlight w:val="none"/>
        </w:rPr>
        <w:t>14</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．开标</w:t>
      </w:r>
      <w:bookmarkEnd w:id="61"/>
      <w:bookmarkEnd w:id="62"/>
    </w:p>
    <w:p w14:paraId="792BE085">
      <w:pPr>
        <w:spacing w:before="155" w:line="329" w:lineRule="auto"/>
        <w:ind w:left="10" w:right="81" w:firstLine="48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14.1  </w:t>
      </w:r>
      <w:r>
        <w:rPr>
          <w:rFonts w:hint="eastAsia" w:ascii="宋体" w:hAnsi="宋体" w:eastAsia="宋体" w:cs="宋体"/>
          <w:color w:val="auto"/>
          <w:spacing w:val="-3"/>
          <w:sz w:val="24"/>
          <w:szCs w:val="24"/>
          <w:highlight w:val="none"/>
        </w:rPr>
        <w:t>招标人邀请所有正确获取招标文件、电子投标、缴纳投标保证的投标人参加</w:t>
      </w:r>
      <w:r>
        <w:rPr>
          <w:rFonts w:hint="eastAsia" w:ascii="宋体" w:hAnsi="宋体" w:eastAsia="宋体" w:cs="宋体"/>
          <w:color w:val="auto"/>
          <w:spacing w:val="-1"/>
          <w:sz w:val="24"/>
          <w:szCs w:val="24"/>
          <w:highlight w:val="none"/>
        </w:rPr>
        <w:t>开标，投标人可自主决定是否参加。投标人可登陆交易平台</w:t>
      </w:r>
      <w:r>
        <w:rPr>
          <w:rFonts w:hint="eastAsia" w:ascii="宋体" w:hAnsi="宋体" w:eastAsia="宋体" w:cs="宋体"/>
          <w:color w:val="auto"/>
          <w:spacing w:val="-2"/>
          <w:sz w:val="24"/>
          <w:szCs w:val="24"/>
          <w:highlight w:val="none"/>
        </w:rPr>
        <w:t>观看开标实况、提出异议</w:t>
      </w:r>
      <w:r>
        <w:rPr>
          <w:rFonts w:hint="eastAsia" w:ascii="宋体" w:hAnsi="宋体" w:eastAsia="宋体" w:cs="宋体"/>
          <w:color w:val="auto"/>
          <w:spacing w:val="-1"/>
          <w:sz w:val="24"/>
          <w:szCs w:val="24"/>
          <w:highlight w:val="none"/>
        </w:rPr>
        <w:t>或进行澄清、确认等操作（具体按招标文件和系统操作手册</w:t>
      </w:r>
      <w:r>
        <w:rPr>
          <w:rFonts w:hint="eastAsia" w:ascii="宋体" w:hAnsi="宋体" w:eastAsia="宋体" w:cs="宋体"/>
          <w:color w:val="auto"/>
          <w:spacing w:val="-2"/>
          <w:sz w:val="24"/>
          <w:szCs w:val="24"/>
          <w:highlight w:val="none"/>
        </w:rPr>
        <w:t>为准）。投标人不参加开</w:t>
      </w:r>
      <w:bookmarkStart w:id="63" w:name="bookmark123"/>
      <w:bookmarkEnd w:id="63"/>
      <w:r>
        <w:rPr>
          <w:rFonts w:hint="eastAsia" w:ascii="宋体" w:hAnsi="宋体" w:eastAsia="宋体" w:cs="宋体"/>
          <w:color w:val="auto"/>
          <w:sz w:val="24"/>
          <w:szCs w:val="24"/>
          <w:highlight w:val="none"/>
        </w:rPr>
        <w:t>标的，视其默认开标结果，以及放弃在开标期间见证、</w:t>
      </w:r>
      <w:r>
        <w:rPr>
          <w:rFonts w:hint="eastAsia" w:ascii="宋体" w:hAnsi="宋体" w:eastAsia="宋体" w:cs="宋体"/>
          <w:color w:val="auto"/>
          <w:spacing w:val="-1"/>
          <w:sz w:val="24"/>
          <w:szCs w:val="24"/>
          <w:highlight w:val="none"/>
        </w:rPr>
        <w:t>监督、投诉、申辩的权利。</w:t>
      </w:r>
    </w:p>
    <w:p w14:paraId="3DC2018F">
      <w:pPr>
        <w:spacing w:before="156"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14.1.1  </w:t>
      </w:r>
      <w:r>
        <w:rPr>
          <w:rFonts w:hint="eastAsia" w:ascii="宋体" w:hAnsi="宋体" w:eastAsia="宋体" w:cs="宋体"/>
          <w:color w:val="auto"/>
          <w:sz w:val="24"/>
          <w:szCs w:val="24"/>
          <w:highlight w:val="none"/>
        </w:rPr>
        <w:t>开标时间和地点：见本章第</w:t>
      </w:r>
      <w:r>
        <w:rPr>
          <w:rFonts w:hint="eastAsia" w:ascii="宋体" w:hAnsi="宋体" w:eastAsia="宋体" w:cs="宋体"/>
          <w:color w:val="auto"/>
          <w:spacing w:val="-1"/>
          <w:sz w:val="24"/>
          <w:szCs w:val="24"/>
          <w:highlight w:val="none"/>
        </w:rPr>
        <w:t>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p>
    <w:p w14:paraId="652A2E38">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 xml:space="preserve">14.1.2 </w:t>
      </w:r>
      <w:r>
        <w:rPr>
          <w:rFonts w:hint="eastAsia" w:ascii="宋体" w:hAnsi="宋体" w:eastAsia="宋体" w:cs="宋体"/>
          <w:color w:val="auto"/>
          <w:spacing w:val="-7"/>
          <w:sz w:val="24"/>
          <w:szCs w:val="24"/>
          <w:highlight w:val="none"/>
        </w:rPr>
        <w:t>开标前</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7"/>
          <w:sz w:val="24"/>
          <w:szCs w:val="24"/>
          <w:highlight w:val="none"/>
        </w:rPr>
        <w:t>24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7"/>
          <w:sz w:val="24"/>
          <w:szCs w:val="24"/>
          <w:highlight w:val="none"/>
        </w:rPr>
        <w:t>小时，若建设工程交易系统显示缴</w:t>
      </w:r>
      <w:r>
        <w:rPr>
          <w:rFonts w:hint="eastAsia" w:ascii="宋体" w:hAnsi="宋体" w:eastAsia="宋体" w:cs="宋体"/>
          <w:color w:val="auto"/>
          <w:spacing w:val="-8"/>
          <w:sz w:val="24"/>
          <w:szCs w:val="24"/>
          <w:highlight w:val="none"/>
        </w:rPr>
        <w:t>纳投标保证（包括投标保证金、</w:t>
      </w:r>
      <w:r>
        <w:rPr>
          <w:rFonts w:hint="eastAsia" w:ascii="宋体" w:hAnsi="宋体" w:eastAsia="宋体" w:cs="宋体"/>
          <w:color w:val="auto"/>
          <w:spacing w:val="-2"/>
          <w:sz w:val="24"/>
          <w:szCs w:val="24"/>
          <w:highlight w:val="none"/>
        </w:rPr>
        <w:t>投标保证担保、投标保证保险）的投标人数量不足</w:t>
      </w:r>
      <w:r>
        <w:rPr>
          <w:rFonts w:hint="eastAsia" w:ascii="宋体" w:hAnsi="宋体" w:eastAsia="宋体" w:cs="宋体"/>
          <w:color w:val="auto"/>
          <w:spacing w:val="-42"/>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个时，招标人将取消原定于次日</w:t>
      </w:r>
      <w:r>
        <w:rPr>
          <w:rFonts w:hint="eastAsia" w:ascii="宋体" w:hAnsi="宋体" w:eastAsia="宋体" w:cs="宋体"/>
          <w:color w:val="auto"/>
          <w:spacing w:val="-1"/>
          <w:sz w:val="24"/>
          <w:szCs w:val="24"/>
          <w:highlight w:val="none"/>
        </w:rPr>
        <w:t>召开的开标活动。投标人可在投标保证缴纳截止时间（见本章</w:t>
      </w:r>
      <w:r>
        <w:rPr>
          <w:rFonts w:hint="eastAsia" w:ascii="宋体" w:hAnsi="宋体" w:eastAsia="宋体" w:cs="宋体"/>
          <w:color w:val="auto"/>
          <w:spacing w:val="-2"/>
          <w:sz w:val="24"/>
          <w:szCs w:val="24"/>
          <w:highlight w:val="none"/>
        </w:rPr>
        <w:t>第二节“重要事项时间</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”）至电子投标截止时间（见本章第二节“重要事项时间地点一览</w:t>
      </w:r>
      <w:r>
        <w:rPr>
          <w:rFonts w:hint="eastAsia" w:ascii="宋体" w:hAnsi="宋体" w:eastAsia="宋体" w:cs="宋体"/>
          <w:color w:val="auto"/>
          <w:spacing w:val="-2"/>
          <w:sz w:val="24"/>
          <w:szCs w:val="24"/>
          <w:highlight w:val="none"/>
        </w:rPr>
        <w:t>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期间登录全国公共资源交易平台（广东省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22"/>
          <w:sz w:val="24"/>
          <w:szCs w:val="24"/>
          <w:highlight w:val="none"/>
        </w:rPr>
        <w:t>）（</w:t>
      </w:r>
      <w:r>
        <w:rPr>
          <w:rFonts w:hint="eastAsia" w:ascii="宋体" w:hAnsi="宋体" w:eastAsia="宋体" w:cs="宋体"/>
          <w:color w:val="auto"/>
          <w:spacing w:val="-2"/>
          <w:sz w:val="24"/>
          <w:szCs w:val="24"/>
          <w:highlight w:val="none"/>
        </w:rPr>
        <w:t>https://ygp.gdzwfw.gov.cn/</w:t>
      </w:r>
      <w:r>
        <w:rPr>
          <w:rFonts w:hint="eastAsia" w:ascii="宋体" w:hAnsi="宋体" w:eastAsia="宋体" w:cs="宋体"/>
          <w:color w:val="auto"/>
          <w:sz w:val="24"/>
          <w:szCs w:val="24"/>
          <w:highlight w:val="none"/>
        </w:rPr>
        <w:t xml:space="preserve"> ggzy-portal/#/440200/index）查询是否发布了取</w:t>
      </w:r>
      <w:r>
        <w:rPr>
          <w:rFonts w:hint="eastAsia" w:ascii="宋体" w:hAnsi="宋体" w:eastAsia="宋体" w:cs="宋体"/>
          <w:color w:val="auto"/>
          <w:spacing w:val="-1"/>
          <w:sz w:val="24"/>
          <w:szCs w:val="24"/>
          <w:highlight w:val="none"/>
        </w:rPr>
        <w:t>消开标活动的相关信息。</w:t>
      </w:r>
    </w:p>
    <w:p w14:paraId="30562814">
      <w:pPr>
        <w:spacing w:before="159" w:line="319" w:lineRule="auto"/>
        <w:ind w:left="10" w:right="80" w:firstLine="49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14.1.3</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本项目实行全流程电子化招标投标，投标人在交易平台按要求上传加盖电</w:t>
      </w:r>
      <w:r>
        <w:rPr>
          <w:rFonts w:hint="eastAsia" w:ascii="宋体" w:hAnsi="宋体" w:eastAsia="宋体" w:cs="宋体"/>
          <w:color w:val="auto"/>
          <w:spacing w:val="-1"/>
          <w:sz w:val="24"/>
          <w:szCs w:val="24"/>
          <w:highlight w:val="none"/>
        </w:rPr>
        <w:t>子印章并经加密的电子投标文件，并在交易平台录入准确的</w:t>
      </w:r>
      <w:r>
        <w:rPr>
          <w:rFonts w:hint="eastAsia" w:ascii="宋体" w:hAnsi="宋体" w:eastAsia="宋体" w:cs="宋体"/>
          <w:color w:val="auto"/>
          <w:spacing w:val="-2"/>
          <w:sz w:val="24"/>
          <w:szCs w:val="24"/>
          <w:highlight w:val="none"/>
        </w:rPr>
        <w:t>页码信息即可完成在线投</w:t>
      </w:r>
      <w:r>
        <w:rPr>
          <w:rFonts w:hint="eastAsia" w:ascii="宋体" w:hAnsi="宋体" w:eastAsia="宋体" w:cs="宋体"/>
          <w:color w:val="auto"/>
          <w:spacing w:val="-1"/>
          <w:sz w:val="24"/>
          <w:szCs w:val="24"/>
          <w:highlight w:val="none"/>
        </w:rPr>
        <w:t>标</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由于投标人原因导致未按投标截至时限上传完整投标文</w:t>
      </w:r>
      <w:r>
        <w:rPr>
          <w:rFonts w:hint="eastAsia" w:ascii="宋体" w:hAnsi="宋体" w:eastAsia="宋体" w:cs="宋体"/>
          <w:color w:val="auto"/>
          <w:spacing w:val="-2"/>
          <w:sz w:val="24"/>
          <w:szCs w:val="24"/>
          <w:highlight w:val="none"/>
        </w:rPr>
        <w:t>件、在交易平台中上传的</w:t>
      </w:r>
      <w:r>
        <w:rPr>
          <w:rFonts w:hint="eastAsia" w:ascii="宋体" w:hAnsi="宋体" w:eastAsia="宋体" w:cs="宋体"/>
          <w:color w:val="auto"/>
          <w:spacing w:val="-1"/>
          <w:sz w:val="24"/>
          <w:szCs w:val="24"/>
          <w:highlight w:val="none"/>
        </w:rPr>
        <w:t>投标文件无法解密、投标文件损坏或格式不正确、投标文件</w:t>
      </w:r>
      <w:r>
        <w:rPr>
          <w:rFonts w:hint="eastAsia" w:ascii="宋体" w:hAnsi="宋体" w:eastAsia="宋体" w:cs="宋体"/>
          <w:color w:val="auto"/>
          <w:spacing w:val="-2"/>
          <w:sz w:val="24"/>
          <w:szCs w:val="24"/>
          <w:highlight w:val="none"/>
        </w:rPr>
        <w:t>未按招标文件要求加盖电</w:t>
      </w:r>
      <w:r>
        <w:rPr>
          <w:rFonts w:hint="eastAsia" w:ascii="宋体" w:hAnsi="宋体" w:eastAsia="宋体" w:cs="宋体"/>
          <w:color w:val="auto"/>
          <w:spacing w:val="-1"/>
          <w:sz w:val="24"/>
          <w:szCs w:val="24"/>
          <w:highlight w:val="none"/>
        </w:rPr>
        <w:t>子印章或电子印章不完整、电子投标文件解密失败且未按要</w:t>
      </w:r>
      <w:r>
        <w:rPr>
          <w:rFonts w:hint="eastAsia" w:ascii="宋体" w:hAnsi="宋体" w:eastAsia="宋体" w:cs="宋体"/>
          <w:color w:val="auto"/>
          <w:spacing w:val="-2"/>
          <w:sz w:val="24"/>
          <w:szCs w:val="24"/>
          <w:highlight w:val="none"/>
        </w:rPr>
        <w:t>求上传备用投标文件等情</w:t>
      </w:r>
      <w:r>
        <w:rPr>
          <w:rFonts w:hint="eastAsia" w:ascii="宋体" w:hAnsi="宋体" w:eastAsia="宋体" w:cs="宋体"/>
          <w:color w:val="auto"/>
          <w:spacing w:val="-1"/>
          <w:sz w:val="24"/>
          <w:szCs w:val="24"/>
          <w:highlight w:val="none"/>
        </w:rPr>
        <w:t>形导致投标无效的，由投标人自行负责。</w:t>
      </w:r>
    </w:p>
    <w:p w14:paraId="16B5CEF9">
      <w:pPr>
        <w:spacing w:before="152" w:line="221"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14.2  </w:t>
      </w:r>
      <w:r>
        <w:rPr>
          <w:rFonts w:hint="eastAsia" w:ascii="宋体" w:hAnsi="宋体" w:eastAsia="宋体" w:cs="宋体"/>
          <w:color w:val="auto"/>
          <w:spacing w:val="-2"/>
          <w:sz w:val="24"/>
          <w:szCs w:val="24"/>
          <w:highlight w:val="none"/>
        </w:rPr>
        <w:t>开标程序</w:t>
      </w:r>
    </w:p>
    <w:p w14:paraId="497CFDD0">
      <w:pPr>
        <w:spacing w:before="42" w:line="219" w:lineRule="auto"/>
        <w:ind w:left="501"/>
        <w:outlineLvl w:val="9"/>
        <w:rPr>
          <w:rFonts w:hint="eastAsia" w:ascii="宋体" w:hAnsi="宋体" w:eastAsia="宋体" w:cs="宋体"/>
          <w:color w:val="auto"/>
          <w:sz w:val="24"/>
          <w:szCs w:val="24"/>
          <w:highlight w:val="none"/>
        </w:rPr>
      </w:pPr>
      <w:bookmarkStart w:id="64" w:name="_Toc8314"/>
      <w:bookmarkStart w:id="65" w:name="_Toc10291"/>
      <w:bookmarkStart w:id="66" w:name="_Toc15587"/>
      <w:bookmarkStart w:id="67" w:name="_Toc10685"/>
      <w:r>
        <w:rPr>
          <w:rFonts w:hint="eastAsia" w:ascii="宋体" w:hAnsi="宋体" w:eastAsia="宋体" w:cs="宋体"/>
          <w:color w:val="auto"/>
          <w:spacing w:val="-1"/>
          <w:sz w:val="24"/>
          <w:szCs w:val="24"/>
          <w:highlight w:val="none"/>
        </w:rPr>
        <w:t>（1）主持人（招标人代表或招标人授权的招标代理机构人员）宣读开标纪律。</w:t>
      </w:r>
      <w:bookmarkEnd w:id="64"/>
      <w:bookmarkEnd w:id="65"/>
      <w:bookmarkEnd w:id="66"/>
      <w:bookmarkEnd w:id="67"/>
    </w:p>
    <w:p w14:paraId="5EAC246A">
      <w:pPr>
        <w:spacing w:before="181" w:line="219" w:lineRule="auto"/>
        <w:ind w:left="501"/>
        <w:outlineLvl w:val="9"/>
        <w:rPr>
          <w:rFonts w:hint="eastAsia" w:ascii="宋体" w:hAnsi="宋体" w:eastAsia="宋体" w:cs="宋体"/>
          <w:color w:val="auto"/>
          <w:sz w:val="24"/>
          <w:szCs w:val="24"/>
          <w:highlight w:val="none"/>
        </w:rPr>
      </w:pPr>
      <w:bookmarkStart w:id="68" w:name="_Toc30853"/>
      <w:bookmarkStart w:id="69" w:name="_Toc16292"/>
      <w:bookmarkStart w:id="70" w:name="_Toc20238"/>
      <w:bookmarkStart w:id="71" w:name="_Toc2011"/>
      <w:r>
        <w:rPr>
          <w:rFonts w:hint="eastAsia" w:ascii="宋体" w:hAnsi="宋体" w:eastAsia="宋体" w:cs="宋体"/>
          <w:color w:val="auto"/>
          <w:spacing w:val="-1"/>
          <w:sz w:val="24"/>
          <w:szCs w:val="24"/>
          <w:highlight w:val="none"/>
        </w:rPr>
        <w:t>（2）主持人宣布唱标人、记录人、见证人、监督人等有关人员姓名。</w:t>
      </w:r>
      <w:bookmarkEnd w:id="68"/>
      <w:bookmarkEnd w:id="69"/>
      <w:bookmarkEnd w:id="70"/>
      <w:bookmarkEnd w:id="71"/>
    </w:p>
    <w:p w14:paraId="7443DF73">
      <w:pPr>
        <w:spacing w:before="183" w:line="219" w:lineRule="auto"/>
        <w:ind w:left="501"/>
        <w:outlineLvl w:val="9"/>
        <w:rPr>
          <w:rFonts w:hint="eastAsia" w:ascii="宋体" w:hAnsi="宋体" w:eastAsia="宋体" w:cs="宋体"/>
          <w:color w:val="auto"/>
          <w:sz w:val="24"/>
          <w:szCs w:val="24"/>
          <w:highlight w:val="none"/>
        </w:rPr>
      </w:pPr>
      <w:bookmarkStart w:id="72" w:name="_Toc1974"/>
      <w:bookmarkStart w:id="73" w:name="_Toc17462"/>
      <w:bookmarkStart w:id="74" w:name="_Toc26494"/>
      <w:bookmarkStart w:id="75" w:name="_Toc31716"/>
      <w:r>
        <w:rPr>
          <w:rFonts w:hint="eastAsia" w:ascii="宋体" w:hAnsi="宋体" w:eastAsia="宋体" w:cs="宋体"/>
          <w:color w:val="auto"/>
          <w:spacing w:val="-1"/>
          <w:sz w:val="24"/>
          <w:szCs w:val="24"/>
          <w:highlight w:val="none"/>
        </w:rPr>
        <w:t>（3）唱标人公布在投标截止时间前进行投标文件的投标人数量和名称</w:t>
      </w:r>
      <w:bookmarkEnd w:id="72"/>
      <w:bookmarkEnd w:id="73"/>
      <w:bookmarkEnd w:id="74"/>
      <w:bookmarkEnd w:id="75"/>
    </w:p>
    <w:p w14:paraId="3324CC32">
      <w:pPr>
        <w:spacing w:before="181" w:line="219" w:lineRule="auto"/>
        <w:ind w:left="501"/>
        <w:outlineLvl w:val="9"/>
        <w:rPr>
          <w:rFonts w:hint="eastAsia" w:ascii="宋体" w:hAnsi="宋体" w:eastAsia="宋体" w:cs="宋体"/>
          <w:color w:val="auto"/>
          <w:sz w:val="24"/>
          <w:szCs w:val="24"/>
          <w:highlight w:val="none"/>
        </w:rPr>
      </w:pPr>
      <w:bookmarkStart w:id="76" w:name="_Toc27967"/>
      <w:bookmarkStart w:id="77" w:name="_Toc20559"/>
      <w:bookmarkStart w:id="78" w:name="_Toc8179"/>
      <w:bookmarkStart w:id="79" w:name="_Toc15860"/>
      <w:r>
        <w:rPr>
          <w:rFonts w:hint="eastAsia" w:ascii="宋体" w:hAnsi="宋体" w:eastAsia="宋体" w:cs="宋体"/>
          <w:color w:val="auto"/>
          <w:spacing w:val="2"/>
          <w:sz w:val="24"/>
          <w:szCs w:val="24"/>
          <w:highlight w:val="none"/>
        </w:rPr>
        <w:t>（4）招标代理机构会同交易场所工作人员对投标人的</w:t>
      </w:r>
      <w:r>
        <w:rPr>
          <w:rFonts w:hint="eastAsia" w:ascii="宋体" w:hAnsi="宋体" w:eastAsia="宋体" w:cs="宋体"/>
          <w:color w:val="auto"/>
          <w:spacing w:val="1"/>
          <w:sz w:val="24"/>
          <w:szCs w:val="24"/>
          <w:highlight w:val="none"/>
        </w:rPr>
        <w:t>电子投标信息进行解密，</w:t>
      </w:r>
      <w:bookmarkEnd w:id="76"/>
      <w:bookmarkEnd w:id="77"/>
      <w:bookmarkEnd w:id="78"/>
      <w:bookmarkEnd w:id="79"/>
    </w:p>
    <w:p w14:paraId="2BAFEA97">
      <w:pPr>
        <w:spacing w:before="183" w:line="220" w:lineRule="auto"/>
        <w:ind w:left="1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建设工程交易系统自动生成《投标保证缴纳情况表》和《开标一览表》。</w:t>
      </w:r>
    </w:p>
    <w:p w14:paraId="03A06962">
      <w:pPr>
        <w:spacing w:before="182" w:line="360" w:lineRule="auto"/>
        <w:ind w:firstLine="466" w:firstLineChars="200"/>
        <w:outlineLvl w:val="9"/>
        <w:rPr>
          <w:rFonts w:hint="eastAsia" w:ascii="宋体" w:hAnsi="宋体" w:eastAsia="宋体" w:cs="宋体"/>
          <w:color w:val="auto"/>
          <w:sz w:val="24"/>
          <w:szCs w:val="24"/>
          <w:highlight w:val="none"/>
        </w:rPr>
      </w:pPr>
      <w:bookmarkStart w:id="80" w:name="_Toc28266"/>
      <w:bookmarkStart w:id="81" w:name="_Toc2199"/>
      <w:bookmarkStart w:id="82" w:name="_Toc28812"/>
      <w:bookmarkStart w:id="83" w:name="_Toc26216"/>
      <w:r>
        <w:rPr>
          <w:rFonts w:hint="eastAsia" w:ascii="宋体" w:hAnsi="宋体" w:eastAsia="宋体" w:cs="宋体"/>
          <w:b/>
          <w:bCs/>
          <w:color w:val="auto"/>
          <w:spacing w:val="-4"/>
          <w:sz w:val="24"/>
          <w:szCs w:val="24"/>
          <w:highlight w:val="none"/>
        </w:rPr>
        <w:t>温馨提示：因本项目实行全流程电子化招标投标，投标人无须进行现场签到，可</w:t>
      </w:r>
      <w:bookmarkEnd w:id="80"/>
      <w:bookmarkEnd w:id="81"/>
      <w:bookmarkEnd w:id="82"/>
      <w:r>
        <w:rPr>
          <w:rFonts w:hint="eastAsia" w:ascii="宋体" w:hAnsi="宋体" w:eastAsia="宋体" w:cs="宋体"/>
          <w:b/>
          <w:bCs/>
          <w:color w:val="auto"/>
          <w:spacing w:val="-4"/>
          <w:sz w:val="24"/>
          <w:szCs w:val="24"/>
          <w:highlight w:val="none"/>
        </w:rPr>
        <w:t>登录交易平台观看开标实况、提出异议或进行澄清、确认等操作，对开标事项的异议</w:t>
      </w:r>
      <w:r>
        <w:rPr>
          <w:rFonts w:hint="eastAsia" w:ascii="宋体" w:hAnsi="宋体" w:eastAsia="宋体" w:cs="宋体"/>
          <w:b/>
          <w:bCs/>
          <w:color w:val="auto"/>
          <w:spacing w:val="-2"/>
          <w:sz w:val="24"/>
          <w:szCs w:val="24"/>
          <w:highlight w:val="none"/>
        </w:rPr>
        <w:t>未在开标期间提出的，招标</w:t>
      </w:r>
      <w:r>
        <w:rPr>
          <w:rFonts w:hint="eastAsia" w:ascii="宋体" w:hAnsi="宋体" w:eastAsia="宋体" w:cs="宋体"/>
          <w:b/>
          <w:bCs/>
          <w:color w:val="auto"/>
          <w:spacing w:val="-2"/>
          <w:sz w:val="24"/>
          <w:szCs w:val="24"/>
          <w:highlight w:val="none"/>
          <w:lang w:eastAsia="zh-CN"/>
        </w:rPr>
        <w:t>人不</w:t>
      </w:r>
      <w:r>
        <w:rPr>
          <w:rFonts w:hint="eastAsia" w:ascii="宋体" w:hAnsi="宋体" w:eastAsia="宋体" w:cs="宋体"/>
          <w:b/>
          <w:bCs/>
          <w:color w:val="auto"/>
          <w:spacing w:val="-2"/>
          <w:sz w:val="24"/>
          <w:szCs w:val="24"/>
          <w:highlight w:val="none"/>
        </w:rPr>
        <w:t>予受理。具体按招标文件和系统操作手册为</w:t>
      </w:r>
      <w:r>
        <w:rPr>
          <w:rFonts w:hint="eastAsia" w:ascii="宋体" w:hAnsi="宋体" w:eastAsia="宋体" w:cs="宋体"/>
          <w:b/>
          <w:bCs/>
          <w:color w:val="auto"/>
          <w:spacing w:val="-3"/>
          <w:sz w:val="24"/>
          <w:szCs w:val="24"/>
          <w:highlight w:val="none"/>
        </w:rPr>
        <w:t>准。</w:t>
      </w:r>
      <w:bookmarkEnd w:id="83"/>
    </w:p>
    <w:p w14:paraId="40440713">
      <w:pPr>
        <w:spacing w:before="143" w:line="299" w:lineRule="auto"/>
        <w:ind w:left="11" w:right="80"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14.3  </w:t>
      </w:r>
      <w:r>
        <w:rPr>
          <w:rFonts w:hint="eastAsia" w:ascii="宋体" w:hAnsi="宋体" w:eastAsia="宋体" w:cs="宋体"/>
          <w:color w:val="auto"/>
          <w:spacing w:val="-3"/>
          <w:sz w:val="24"/>
          <w:szCs w:val="24"/>
          <w:highlight w:val="none"/>
        </w:rPr>
        <w:t>投标人对开标相关事项（如开标程序等）有异议的，必须在开标期间和开标</w:t>
      </w:r>
      <w:r>
        <w:rPr>
          <w:rFonts w:hint="eastAsia" w:ascii="宋体" w:hAnsi="宋体" w:eastAsia="宋体" w:cs="宋体"/>
          <w:color w:val="auto"/>
          <w:spacing w:val="-1"/>
          <w:sz w:val="24"/>
          <w:szCs w:val="24"/>
          <w:highlight w:val="none"/>
        </w:rPr>
        <w:t>现场提出，招标人或其授权的招标代理机构应当场作出答</w:t>
      </w:r>
      <w:r>
        <w:rPr>
          <w:rFonts w:hint="eastAsia" w:ascii="宋体" w:hAnsi="宋体" w:eastAsia="宋体" w:cs="宋体"/>
          <w:color w:val="auto"/>
          <w:spacing w:val="-2"/>
          <w:sz w:val="24"/>
          <w:szCs w:val="24"/>
          <w:highlight w:val="none"/>
        </w:rPr>
        <w:t>复，并记录在案。对开标事</w:t>
      </w:r>
      <w:r>
        <w:rPr>
          <w:rFonts w:hint="eastAsia" w:ascii="宋体" w:hAnsi="宋体" w:eastAsia="宋体" w:cs="宋体"/>
          <w:color w:val="auto"/>
          <w:spacing w:val="-1"/>
          <w:sz w:val="24"/>
          <w:szCs w:val="24"/>
          <w:highlight w:val="none"/>
        </w:rPr>
        <w:t>项的异议未在开标期间和开标现场提出的，招标人不予受理。</w:t>
      </w:r>
    </w:p>
    <w:p w14:paraId="203FF0F7">
      <w:pPr>
        <w:spacing w:before="155" w:line="279" w:lineRule="auto"/>
        <w:ind w:left="8" w:right="82" w:firstLine="48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14.4 </w:t>
      </w:r>
      <w:r>
        <w:rPr>
          <w:rFonts w:hint="eastAsia" w:ascii="宋体" w:hAnsi="宋体" w:eastAsia="宋体" w:cs="宋体"/>
          <w:color w:val="auto"/>
          <w:spacing w:val="-1"/>
          <w:sz w:val="24"/>
          <w:szCs w:val="24"/>
          <w:highlight w:val="none"/>
        </w:rPr>
        <w:t>招标代理机构将资料原件（如有）</w:t>
      </w:r>
      <w:r>
        <w:rPr>
          <w:rFonts w:hint="eastAsia" w:ascii="宋体" w:hAnsi="宋体" w:eastAsia="宋体" w:cs="宋体"/>
          <w:color w:val="auto"/>
          <w:spacing w:val="-2"/>
          <w:sz w:val="24"/>
          <w:szCs w:val="24"/>
          <w:highlight w:val="none"/>
        </w:rPr>
        <w:t>、《开标一览表》以及其他有关资料移交评标委员会。</w:t>
      </w:r>
    </w:p>
    <w:p w14:paraId="47BF78F2">
      <w:pPr>
        <w:spacing w:before="78" w:line="221" w:lineRule="auto"/>
        <w:ind w:left="496"/>
        <w:outlineLvl w:val="2"/>
        <w:rPr>
          <w:rFonts w:hint="eastAsia" w:ascii="宋体" w:hAnsi="宋体" w:eastAsia="宋体" w:cs="宋体"/>
          <w:color w:val="auto"/>
          <w:highlight w:val="none"/>
        </w:rPr>
      </w:pPr>
      <w:bookmarkStart w:id="84" w:name="_Toc961"/>
      <w:bookmarkStart w:id="85" w:name="_Toc6628"/>
      <w:r>
        <w:rPr>
          <w:rFonts w:hint="eastAsia" w:ascii="宋体" w:hAnsi="宋体" w:eastAsia="宋体" w:cs="宋体"/>
          <w:b/>
          <w:bCs/>
          <w:color w:val="auto"/>
          <w:spacing w:val="-11"/>
          <w:sz w:val="24"/>
          <w:szCs w:val="24"/>
          <w:highlight w:val="none"/>
        </w:rPr>
        <w:t>15</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．评标</w:t>
      </w:r>
      <w:bookmarkEnd w:id="84"/>
      <w:bookmarkEnd w:id="85"/>
    </w:p>
    <w:p w14:paraId="5CEBE6C5">
      <w:pPr>
        <w:keepNext w:val="0"/>
        <w:keepLines w:val="0"/>
        <w:pageBreakBefore w:val="0"/>
        <w:widowControl w:val="0"/>
        <w:kinsoku/>
        <w:wordWrap w:val="0"/>
        <w:overflowPunct/>
        <w:topLinePunct w:val="0"/>
        <w:autoSpaceDE w:val="0"/>
        <w:autoSpaceDN w:val="0"/>
        <w:bidi w:val="0"/>
        <w:adjustRightInd/>
        <w:snapToGrid/>
        <w:spacing w:before="0" w:beforeLines="50" w:line="360" w:lineRule="auto"/>
        <w:ind w:firstLine="480" w:firstLineChars="200"/>
        <w:textAlignment w:val="baseline"/>
        <w:rPr>
          <w:rFonts w:hint="eastAsia" w:ascii="宋体" w:hAnsi="宋体" w:eastAsia="宋体" w:cs="宋体"/>
          <w:snapToGrid w:val="0"/>
          <w:color w:val="auto"/>
          <w:kern w:val="0"/>
          <w:sz w:val="24"/>
          <w:szCs w:val="24"/>
          <w:highlight w:val="none"/>
        </w:rPr>
      </w:pPr>
      <w:bookmarkStart w:id="86" w:name="bookmark124"/>
      <w:bookmarkEnd w:id="86"/>
      <w:r>
        <w:rPr>
          <w:rFonts w:hint="eastAsia" w:ascii="宋体" w:hAnsi="宋体" w:eastAsia="宋体" w:cs="宋体"/>
          <w:snapToGrid w:val="0"/>
          <w:color w:val="auto"/>
          <w:kern w:val="0"/>
          <w:sz w:val="24"/>
          <w:szCs w:val="24"/>
          <w:highlight w:val="none"/>
        </w:rPr>
        <w:t xml:space="preserve">评标分为初步评审和详细评审两个阶段，由评标委员会在有关部门的监督下，严格按照本招标文件指定的评标方法，对投标人的投标文件进行审查、评审。评标委员会完成评标后，向招标人推荐 </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个中标候选人，并向招标人提交由全体评标委员会成员签字的评标报告。</w:t>
      </w:r>
    </w:p>
    <w:p w14:paraId="74FE6A41">
      <w:pPr>
        <w:spacing w:before="38"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  </w:t>
      </w:r>
      <w:r>
        <w:rPr>
          <w:rFonts w:hint="eastAsia" w:ascii="宋体" w:hAnsi="宋体" w:eastAsia="宋体" w:cs="宋体"/>
          <w:color w:val="auto"/>
          <w:spacing w:val="-2"/>
          <w:sz w:val="24"/>
          <w:szCs w:val="24"/>
          <w:highlight w:val="none"/>
        </w:rPr>
        <w:t>评标委员会</w:t>
      </w:r>
    </w:p>
    <w:p w14:paraId="7E586CA1">
      <w:pPr>
        <w:spacing w:before="155" w:line="324" w:lineRule="auto"/>
        <w:ind w:left="10" w:right="65"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15.1.1 </w:t>
      </w:r>
      <w:r>
        <w:rPr>
          <w:rFonts w:hint="eastAsia" w:ascii="宋体" w:hAnsi="宋体" w:eastAsia="宋体" w:cs="宋体"/>
          <w:color w:val="auto"/>
          <w:sz w:val="24"/>
          <w:szCs w:val="24"/>
          <w:highlight w:val="none"/>
        </w:rPr>
        <w:t>评标委员会由</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u w:val="single"/>
        </w:rPr>
        <w:t xml:space="preserve"> 0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人。专家从</w:t>
      </w:r>
      <w:r>
        <w:rPr>
          <w:rFonts w:hint="eastAsia" w:ascii="宋体" w:hAnsi="宋体" w:eastAsia="宋体" w:cs="宋体"/>
          <w:color w:val="auto"/>
          <w:sz w:val="24"/>
          <w:szCs w:val="24"/>
          <w:highlight w:val="none"/>
          <w:u w:val="single"/>
        </w:rPr>
        <w:t>广东省综合评标评审专家库</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韶关区域</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中随机抽取，其中技术类专家</w:t>
      </w:r>
      <w:r>
        <w:rPr>
          <w:rFonts w:hint="eastAsia" w:ascii="宋体" w:hAnsi="宋体" w:eastAsia="宋体" w:cs="宋体"/>
          <w:color w:val="auto"/>
          <w:sz w:val="24"/>
          <w:szCs w:val="24"/>
          <w:highlight w:val="none"/>
          <w:u w:val="single"/>
        </w:rPr>
        <w:t xml:space="preserve"> 3 </w:t>
      </w:r>
      <w:r>
        <w:rPr>
          <w:rFonts w:hint="eastAsia" w:ascii="宋体" w:hAnsi="宋体" w:eastAsia="宋体" w:cs="宋体"/>
          <w:color w:val="auto"/>
          <w:sz w:val="24"/>
          <w:szCs w:val="24"/>
          <w:highlight w:val="none"/>
        </w:rPr>
        <w:t>人，经济类专家</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人。</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p>
    <w:p w14:paraId="6E04259D">
      <w:pPr>
        <w:spacing w:before="32" w:line="280" w:lineRule="auto"/>
        <w:ind w:left="13" w:right="7" w:firstLine="561"/>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15.1.2  </w:t>
      </w:r>
      <w:r>
        <w:rPr>
          <w:rFonts w:hint="eastAsia" w:ascii="宋体" w:hAnsi="宋体" w:eastAsia="宋体" w:cs="宋体"/>
          <w:color w:val="auto"/>
          <w:spacing w:val="-2"/>
          <w:sz w:val="24"/>
          <w:szCs w:val="24"/>
          <w:highlight w:val="none"/>
        </w:rPr>
        <w:t>评标委员会应认真、公正、诚实、廉洁地履行职责。有下列情形之一的，不得担任评标委员会成员：</w:t>
      </w:r>
    </w:p>
    <w:p w14:paraId="5B6D30EB">
      <w:pPr>
        <w:spacing w:before="154"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（1）投标人或投标人主要负责人的近亲属；</w:t>
      </w:r>
    </w:p>
    <w:p w14:paraId="311A3C6A">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（2）项目主管部门或者行政监督部门的人员；</w:t>
      </w:r>
    </w:p>
    <w:p w14:paraId="5160DFA2">
      <w:pPr>
        <w:spacing w:before="155" w:line="221"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（3）与投标人有经济利益关系，可能影响对投标公正评审的；</w:t>
      </w:r>
    </w:p>
    <w:p w14:paraId="62119D0A">
      <w:pPr>
        <w:spacing w:before="153" w:line="279" w:lineRule="auto"/>
        <w:ind w:left="8" w:right="65" w:firstLine="57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（4）曾因在招标、评标以及其他与招标投标有关活动中从事违法行为而受过行政处罚或刑事处罚的。</w:t>
      </w:r>
    </w:p>
    <w:p w14:paraId="029A4248">
      <w:pPr>
        <w:spacing w:before="155" w:line="219" w:lineRule="auto"/>
        <w:ind w:left="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评标委员会成员有以上情形之一的，应主动提出回避。</w:t>
      </w:r>
    </w:p>
    <w:p w14:paraId="4433A9EB">
      <w:pPr>
        <w:spacing w:before="154" w:line="279" w:lineRule="auto"/>
        <w:ind w:left="8" w:right="65"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15.1.3  </w:t>
      </w:r>
      <w:r>
        <w:rPr>
          <w:rFonts w:hint="eastAsia" w:ascii="宋体" w:hAnsi="宋体" w:eastAsia="宋体" w:cs="宋体"/>
          <w:color w:val="auto"/>
          <w:spacing w:val="-1"/>
          <w:sz w:val="24"/>
          <w:szCs w:val="24"/>
          <w:highlight w:val="none"/>
        </w:rPr>
        <w:t>评标全过程实行封闭式管理，在中标结果公</w:t>
      </w:r>
      <w:r>
        <w:rPr>
          <w:rFonts w:hint="eastAsia" w:ascii="宋体" w:hAnsi="宋体" w:eastAsia="宋体" w:cs="宋体"/>
          <w:color w:val="auto"/>
          <w:spacing w:val="-2"/>
          <w:sz w:val="24"/>
          <w:szCs w:val="24"/>
          <w:highlight w:val="none"/>
        </w:rPr>
        <w:t>布前，禁止评标委员会成员以</w:t>
      </w:r>
      <w:r>
        <w:rPr>
          <w:rFonts w:hint="eastAsia" w:ascii="宋体" w:hAnsi="宋体" w:eastAsia="宋体" w:cs="宋体"/>
          <w:color w:val="auto"/>
          <w:spacing w:val="-1"/>
          <w:sz w:val="24"/>
          <w:szCs w:val="24"/>
          <w:highlight w:val="none"/>
        </w:rPr>
        <w:t>任何方式私下接触投标人。</w:t>
      </w:r>
    </w:p>
    <w:p w14:paraId="103791E4">
      <w:pPr>
        <w:spacing w:before="157" w:line="298" w:lineRule="auto"/>
        <w:ind w:left="11" w:right="65"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15.1.4  </w:t>
      </w:r>
      <w:r>
        <w:rPr>
          <w:rFonts w:hint="eastAsia" w:ascii="宋体" w:hAnsi="宋体" w:eastAsia="宋体" w:cs="宋体"/>
          <w:color w:val="auto"/>
          <w:spacing w:val="-1"/>
          <w:sz w:val="24"/>
          <w:szCs w:val="24"/>
          <w:highlight w:val="none"/>
        </w:rPr>
        <w:t>在评标过程中，评标委员会可以书面形式要</w:t>
      </w:r>
      <w:r>
        <w:rPr>
          <w:rFonts w:hint="eastAsia" w:ascii="宋体" w:hAnsi="宋体" w:eastAsia="宋体" w:cs="宋体"/>
          <w:color w:val="auto"/>
          <w:spacing w:val="-2"/>
          <w:sz w:val="24"/>
          <w:szCs w:val="24"/>
          <w:highlight w:val="none"/>
        </w:rPr>
        <w:t>求投标人对所提交的投标文件</w:t>
      </w:r>
      <w:r>
        <w:rPr>
          <w:rFonts w:hint="eastAsia" w:ascii="宋体" w:hAnsi="宋体" w:eastAsia="宋体" w:cs="宋体"/>
          <w:color w:val="auto"/>
          <w:spacing w:val="-1"/>
          <w:sz w:val="24"/>
          <w:szCs w:val="24"/>
          <w:highlight w:val="none"/>
        </w:rPr>
        <w:t>中不明确的内容进行书面澄清或说明，但不接受投标人主</w:t>
      </w:r>
      <w:r>
        <w:rPr>
          <w:rFonts w:hint="eastAsia" w:ascii="宋体" w:hAnsi="宋体" w:eastAsia="宋体" w:cs="宋体"/>
          <w:color w:val="auto"/>
          <w:spacing w:val="-2"/>
          <w:sz w:val="24"/>
          <w:szCs w:val="24"/>
          <w:highlight w:val="none"/>
        </w:rPr>
        <w:t>动提出的澄清或说明。投标</w:t>
      </w:r>
      <w:r>
        <w:rPr>
          <w:rFonts w:hint="eastAsia" w:ascii="宋体" w:hAnsi="宋体" w:eastAsia="宋体" w:cs="宋体"/>
          <w:color w:val="auto"/>
          <w:spacing w:val="-1"/>
          <w:sz w:val="24"/>
          <w:szCs w:val="24"/>
          <w:highlight w:val="none"/>
        </w:rPr>
        <w:t>人的书面澄清或说明不得改变投标文件的实质性内容，并</w:t>
      </w:r>
      <w:r>
        <w:rPr>
          <w:rFonts w:hint="eastAsia" w:ascii="宋体" w:hAnsi="宋体" w:eastAsia="宋体" w:cs="宋体"/>
          <w:color w:val="auto"/>
          <w:spacing w:val="-2"/>
          <w:sz w:val="24"/>
          <w:szCs w:val="24"/>
          <w:highlight w:val="none"/>
        </w:rPr>
        <w:t>作为投标文件的组成部分。</w:t>
      </w:r>
    </w:p>
    <w:p w14:paraId="4EE9F1E7">
      <w:pPr>
        <w:spacing w:before="156" w:line="309" w:lineRule="auto"/>
        <w:ind w:left="8" w:right="65" w:firstLine="56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15.1.5  </w:t>
      </w:r>
      <w:r>
        <w:rPr>
          <w:rFonts w:hint="eastAsia" w:ascii="宋体" w:hAnsi="宋体" w:eastAsia="宋体" w:cs="宋体"/>
          <w:color w:val="auto"/>
          <w:spacing w:val="-3"/>
          <w:sz w:val="24"/>
          <w:szCs w:val="24"/>
          <w:highlight w:val="none"/>
        </w:rPr>
        <w:t>在任何评标环节中，当评标委员会就某</w:t>
      </w:r>
      <w:r>
        <w:rPr>
          <w:rFonts w:hint="eastAsia" w:ascii="宋体" w:hAnsi="宋体" w:eastAsia="宋体" w:cs="宋体"/>
          <w:color w:val="auto"/>
          <w:spacing w:val="-4"/>
          <w:sz w:val="24"/>
          <w:szCs w:val="24"/>
          <w:highlight w:val="none"/>
        </w:rPr>
        <w:t>项定性的评审结论不统一、需要做</w:t>
      </w:r>
      <w:r>
        <w:rPr>
          <w:rFonts w:hint="eastAsia" w:ascii="宋体" w:hAnsi="宋体" w:eastAsia="宋体" w:cs="宋体"/>
          <w:color w:val="auto"/>
          <w:spacing w:val="-1"/>
          <w:sz w:val="24"/>
          <w:szCs w:val="24"/>
          <w:highlight w:val="none"/>
        </w:rPr>
        <w:t>出表决时，由评标委员会全体成员按照少数服从多数的原则，以</w:t>
      </w:r>
      <w:r>
        <w:rPr>
          <w:rFonts w:hint="eastAsia" w:ascii="宋体" w:hAnsi="宋体" w:eastAsia="宋体" w:cs="宋体"/>
          <w:color w:val="auto"/>
          <w:spacing w:val="-2"/>
          <w:sz w:val="24"/>
          <w:szCs w:val="24"/>
          <w:highlight w:val="none"/>
        </w:rPr>
        <w:t>记名投票方式表决。</w:t>
      </w:r>
      <w:r>
        <w:rPr>
          <w:rFonts w:hint="eastAsia" w:ascii="宋体" w:hAnsi="宋体" w:eastAsia="宋体" w:cs="宋体"/>
          <w:color w:val="auto"/>
          <w:spacing w:val="-1"/>
          <w:sz w:val="24"/>
          <w:szCs w:val="24"/>
          <w:highlight w:val="none"/>
        </w:rPr>
        <w:t>评标委员会全体成员应共同遵守和执行表决结果，严禁评标委员</w:t>
      </w:r>
      <w:r>
        <w:rPr>
          <w:rFonts w:hint="eastAsia" w:ascii="宋体" w:hAnsi="宋体" w:eastAsia="宋体" w:cs="宋体"/>
          <w:color w:val="auto"/>
          <w:spacing w:val="-2"/>
          <w:sz w:val="24"/>
          <w:szCs w:val="24"/>
          <w:highlight w:val="none"/>
        </w:rPr>
        <w:t>会任何成员将个人意</w:t>
      </w:r>
      <w:r>
        <w:rPr>
          <w:rFonts w:hint="eastAsia" w:ascii="宋体" w:hAnsi="宋体" w:eastAsia="宋体" w:cs="宋体"/>
          <w:color w:val="auto"/>
          <w:spacing w:val="-1"/>
          <w:sz w:val="24"/>
          <w:szCs w:val="24"/>
          <w:highlight w:val="none"/>
        </w:rPr>
        <w:t>见强加给他人、影响评标正常秩序和妨碍评审结论的公正性。</w:t>
      </w:r>
    </w:p>
    <w:p w14:paraId="43D102BA">
      <w:pPr>
        <w:spacing w:before="79" w:line="221" w:lineRule="auto"/>
        <w:ind w:left="577"/>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15.2  </w:t>
      </w:r>
      <w:r>
        <w:rPr>
          <w:rFonts w:hint="eastAsia" w:ascii="宋体" w:hAnsi="宋体" w:eastAsia="宋体" w:cs="宋体"/>
          <w:color w:val="auto"/>
          <w:spacing w:val="-2"/>
          <w:sz w:val="24"/>
          <w:szCs w:val="24"/>
          <w:highlight w:val="none"/>
        </w:rPr>
        <w:t>评标方法</w:t>
      </w:r>
    </w:p>
    <w:p w14:paraId="6D924BEF">
      <w:pPr>
        <w:spacing w:before="78" w:line="326" w:lineRule="auto"/>
        <w:ind w:left="231" w:right="181" w:firstLine="560"/>
        <w:rPr>
          <w:rFonts w:hint="eastAsia" w:ascii="宋体" w:hAnsi="宋体" w:eastAsia="宋体" w:cs="宋体"/>
          <w:color w:val="auto"/>
          <w:highlight w:val="none"/>
        </w:rPr>
      </w:pPr>
      <w:bookmarkStart w:id="87" w:name="bookmark125"/>
      <w:bookmarkEnd w:id="87"/>
      <w:r>
        <w:rPr>
          <w:rFonts w:hint="eastAsia" w:ascii="宋体" w:hAnsi="宋体" w:eastAsia="宋体" w:cs="宋体"/>
          <w:color w:val="auto"/>
          <w:spacing w:val="-4"/>
          <w:sz w:val="24"/>
          <w:szCs w:val="24"/>
          <w:highlight w:val="none"/>
        </w:rPr>
        <w:t>根据有关法律、法规的相关规定，结合本招标项目资金来源和规模特点，本次招</w:t>
      </w:r>
      <w:r>
        <w:rPr>
          <w:rFonts w:hint="eastAsia" w:ascii="宋体" w:hAnsi="宋体" w:eastAsia="宋体" w:cs="宋体"/>
          <w:color w:val="auto"/>
          <w:spacing w:val="-1"/>
          <w:sz w:val="24"/>
          <w:szCs w:val="24"/>
          <w:highlight w:val="none"/>
        </w:rPr>
        <w:t>标采用</w:t>
      </w:r>
      <w:r>
        <w:rPr>
          <w:rFonts w:hint="eastAsia" w:ascii="宋体" w:hAnsi="宋体" w:eastAsia="宋体" w:cs="宋体"/>
          <w:b/>
          <w:bCs/>
          <w:color w:val="auto"/>
          <w:spacing w:val="-4"/>
          <w:sz w:val="24"/>
          <w:szCs w:val="24"/>
          <w:highlight w:val="none"/>
          <w:u w:val="single"/>
        </w:rPr>
        <w:t xml:space="preserve"> 综合评估法 </w:t>
      </w:r>
      <w:r>
        <w:rPr>
          <w:rFonts w:hint="eastAsia" w:ascii="宋体" w:hAnsi="宋体" w:eastAsia="宋体" w:cs="宋体"/>
          <w:color w:val="auto"/>
          <w:spacing w:val="-4"/>
          <w:sz w:val="24"/>
          <w:szCs w:val="24"/>
          <w:highlight w:val="none"/>
          <w:u w:val="single"/>
        </w:rPr>
        <w:t>（</w:t>
      </w:r>
      <w:r>
        <w:rPr>
          <w:rFonts w:hint="eastAsia" w:ascii="宋体" w:hAnsi="宋体" w:eastAsia="宋体" w:cs="宋体"/>
          <w:color w:val="auto"/>
          <w:spacing w:val="-1"/>
          <w:sz w:val="24"/>
          <w:szCs w:val="24"/>
          <w:highlight w:val="none"/>
        </w:rPr>
        <w:t>评标方法名称）进行评标。</w:t>
      </w:r>
    </w:p>
    <w:p w14:paraId="083CCE6C">
      <w:pPr>
        <w:spacing w:before="154" w:line="269" w:lineRule="auto"/>
        <w:ind w:left="220" w:right="33" w:firstLine="496"/>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15.3  </w:t>
      </w:r>
      <w:r>
        <w:rPr>
          <w:rFonts w:hint="eastAsia" w:ascii="宋体" w:hAnsi="宋体" w:eastAsia="宋体" w:cs="宋体"/>
          <w:color w:val="auto"/>
          <w:spacing w:val="-3"/>
          <w:sz w:val="24"/>
          <w:szCs w:val="24"/>
          <w:highlight w:val="none"/>
        </w:rPr>
        <w:t>评审范围：评标委员会应对所有投标人的投标文件进行评审。</w:t>
      </w:r>
    </w:p>
    <w:p w14:paraId="49E70C10">
      <w:pPr>
        <w:spacing w:before="153" w:line="220" w:lineRule="auto"/>
        <w:ind w:left="71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15.4  </w:t>
      </w:r>
      <w:r>
        <w:rPr>
          <w:rFonts w:hint="eastAsia" w:ascii="宋体" w:hAnsi="宋体" w:eastAsia="宋体" w:cs="宋体"/>
          <w:color w:val="auto"/>
          <w:spacing w:val="-2"/>
          <w:sz w:val="24"/>
          <w:szCs w:val="24"/>
          <w:highlight w:val="none"/>
        </w:rPr>
        <w:t>初步评审阶段</w:t>
      </w:r>
    </w:p>
    <w:p w14:paraId="5B763A9F">
      <w:pPr>
        <w:spacing w:before="153" w:line="220" w:lineRule="auto"/>
        <w:ind w:left="70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初步评审阶段分为资格评审、形式评审和响应性评审三个环节。</w:t>
      </w:r>
    </w:p>
    <w:p w14:paraId="1198C934">
      <w:pPr>
        <w:spacing w:before="155" w:line="279" w:lineRule="auto"/>
        <w:ind w:left="719" w:right="6303" w:hanging="3"/>
        <w:rPr>
          <w:rFonts w:hint="eastAsia" w:asciiTheme="minorEastAsia" w:hAnsiTheme="minorEastAsia" w:eastAsiaTheme="minorEastAsia" w:cstheme="minorEastAsia"/>
          <w:color w:val="auto"/>
          <w:spacing w:val="-4"/>
          <w:sz w:val="24"/>
          <w:szCs w:val="24"/>
          <w:highlight w:val="none"/>
        </w:rPr>
      </w:pPr>
      <w:r>
        <w:rPr>
          <w:rFonts w:hint="eastAsia" w:ascii="宋体" w:hAnsi="宋体" w:eastAsia="宋体" w:cs="宋体"/>
          <w:b/>
          <w:bCs/>
          <w:color w:val="auto"/>
          <w:spacing w:val="-3"/>
          <w:sz w:val="24"/>
          <w:szCs w:val="24"/>
          <w:highlight w:val="none"/>
        </w:rPr>
        <w:t>15.4.1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2"/>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资格评审环节</w:t>
      </w:r>
    </w:p>
    <w:p w14:paraId="12AA72C0">
      <w:pPr>
        <w:keepNext w:val="0"/>
        <w:keepLines w:val="0"/>
        <w:pageBreakBefore w:val="0"/>
        <w:widowControl/>
        <w:kinsoku w:val="0"/>
        <w:wordWrap/>
        <w:overflowPunct/>
        <w:topLinePunct w:val="0"/>
        <w:autoSpaceDE w:val="0"/>
        <w:autoSpaceDN w:val="0"/>
        <w:bidi w:val="0"/>
        <w:adjustRightInd w:val="0"/>
        <w:snapToGrid w:val="0"/>
        <w:spacing w:line="279" w:lineRule="auto"/>
        <w:ind w:left="720" w:right="6304" w:hanging="6"/>
        <w:textAlignment w:val="baseline"/>
        <w:rPr>
          <w:rFonts w:hint="eastAsia" w:ascii="宋体" w:hAnsi="宋体" w:eastAsia="宋体" w:cs="宋体"/>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资格评审事项包括：</w:t>
      </w:r>
    </w:p>
    <w:p w14:paraId="3C2A7C1E">
      <w:pPr>
        <w:keepNext w:val="0"/>
        <w:keepLines w:val="0"/>
        <w:pageBreakBefore w:val="0"/>
        <w:widowControl/>
        <w:kinsoku w:val="0"/>
        <w:wordWrap/>
        <w:overflowPunct/>
        <w:topLinePunct w:val="0"/>
        <w:autoSpaceDE w:val="0"/>
        <w:autoSpaceDN w:val="0"/>
        <w:bidi w:val="0"/>
        <w:adjustRightInd w:val="0"/>
        <w:snapToGrid w:val="0"/>
        <w:spacing w:line="360" w:lineRule="auto"/>
        <w:ind w:left="232" w:firstLine="488"/>
        <w:textAlignment w:val="baseline"/>
        <w:rPr>
          <w:rFonts w:hint="eastAsia" w:asciiTheme="minorEastAsia" w:hAnsiTheme="minorEastAsia" w:eastAsiaTheme="minorEastAsia" w:cstheme="minorEastAsia"/>
          <w:color w:val="auto"/>
          <w:spacing w:val="-4"/>
          <w:sz w:val="24"/>
          <w:szCs w:val="24"/>
          <w:highlight w:val="none"/>
        </w:rPr>
      </w:pPr>
      <w:bookmarkStart w:id="88" w:name="_Toc22778"/>
      <w:r>
        <w:rPr>
          <w:rFonts w:hint="eastAsia" w:asciiTheme="minorEastAsia" w:hAnsiTheme="minorEastAsia" w:eastAsiaTheme="minorEastAsia" w:cstheme="minorEastAsia"/>
          <w:color w:val="auto"/>
          <w:spacing w:val="-4"/>
          <w:sz w:val="24"/>
          <w:szCs w:val="24"/>
          <w:highlight w:val="none"/>
        </w:rPr>
        <w:t>（1）投标人是否符合本章第三节第2.4条“禁止投标条款”规定。如果“禁止投标条款”包括严重失信主体名单的，投标人信用信息的获取采用现场实时查询的方式实施。由招标代理机构工作人员在评标委员会成员、交易场所工作人员共同见证下，登录信用中国网站（https://www.creditchina.gov.cn），在企业查询界面下载和打印《法人和非法人组织公共信用信息报告》，作为评审依据移交评标委员会。</w:t>
      </w:r>
    </w:p>
    <w:p w14:paraId="0BE4BA4B">
      <w:pPr>
        <w:keepNext w:val="0"/>
        <w:keepLines w:val="0"/>
        <w:pageBreakBefore w:val="0"/>
        <w:widowControl/>
        <w:kinsoku w:val="0"/>
        <w:overflowPunct/>
        <w:topLinePunct w:val="0"/>
        <w:autoSpaceDE w:val="0"/>
        <w:autoSpaceDN w:val="0"/>
        <w:bidi w:val="0"/>
        <w:adjustRightInd w:val="0"/>
        <w:snapToGrid w:val="0"/>
        <w:spacing w:line="360" w:lineRule="auto"/>
        <w:ind w:left="72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（2）投标人名称是否与营业执照、资质证书、安全生产许可证一致。</w:t>
      </w:r>
    </w:p>
    <w:p w14:paraId="5C81E7D4">
      <w:pPr>
        <w:keepNext w:val="0"/>
        <w:keepLines w:val="0"/>
        <w:pageBreakBefore w:val="0"/>
        <w:widowControl/>
        <w:kinsoku w:val="0"/>
        <w:wordWrap w:val="0"/>
        <w:overflowPunct/>
        <w:topLinePunct w:val="0"/>
        <w:autoSpaceDE w:val="0"/>
        <w:autoSpaceDN w:val="0"/>
        <w:bidi w:val="0"/>
        <w:adjustRightInd w:val="0"/>
        <w:snapToGrid w:val="0"/>
        <w:spacing w:line="360" w:lineRule="auto"/>
        <w:ind w:left="232" w:right="96" w:firstLine="488"/>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（3）投标人的资质是否符合招标文件规定；其营业执照、资质证书、安全生产许可证（含实时网页查询页，可参考网址 https://zlaq.mohurd.gov.cn/fwmh/bjxcjgl/fwm</w:t>
      </w:r>
      <w:bookmarkStart w:id="89" w:name="bookmark126"/>
      <w:bookmarkEnd w:id="89"/>
      <w:r>
        <w:rPr>
          <w:rFonts w:hint="eastAsia" w:asciiTheme="minorEastAsia" w:hAnsiTheme="minorEastAsia" w:eastAsiaTheme="minorEastAsia" w:cstheme="minorEastAsia"/>
          <w:color w:val="auto"/>
          <w:spacing w:val="2"/>
          <w:sz w:val="24"/>
          <w:szCs w:val="24"/>
          <w:highlight w:val="none"/>
        </w:rPr>
        <w:t>h/pages/construction_safety/qyaqscxkz/qyaqscxkz）是否合法、有效、准确</w:t>
      </w:r>
      <w:r>
        <w:rPr>
          <w:rFonts w:hint="eastAsia" w:asciiTheme="minorEastAsia" w:hAnsiTheme="minorEastAsia" w:eastAsiaTheme="minorEastAsia" w:cstheme="minorEastAsia"/>
          <w:color w:val="auto"/>
          <w:spacing w:val="-1"/>
          <w:position w:val="3"/>
          <w:sz w:val="24"/>
          <w:szCs w:val="24"/>
          <w:highlight w:val="none"/>
        </w:rPr>
        <w:t>。</w:t>
      </w:r>
    </w:p>
    <w:p w14:paraId="46BDDC87">
      <w:pPr>
        <w:keepNext w:val="0"/>
        <w:keepLines w:val="0"/>
        <w:pageBreakBefore w:val="0"/>
        <w:widowControl/>
        <w:kinsoku w:val="0"/>
        <w:overflowPunct/>
        <w:topLinePunct w:val="0"/>
        <w:autoSpaceDE w:val="0"/>
        <w:autoSpaceDN w:val="0"/>
        <w:bidi w:val="0"/>
        <w:adjustRightInd w:val="0"/>
        <w:snapToGrid w:val="0"/>
        <w:spacing w:line="360" w:lineRule="auto"/>
        <w:ind w:left="50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（4）《项目经理简历表》中拟派项目经理是否与《开标一览表》一致。</w:t>
      </w:r>
    </w:p>
    <w:p w14:paraId="3040E94A">
      <w:pPr>
        <w:keepNext w:val="0"/>
        <w:keepLines w:val="0"/>
        <w:pageBreakBefore w:val="0"/>
        <w:widowControl/>
        <w:kinsoku w:val="0"/>
        <w:overflowPunct/>
        <w:topLinePunct w:val="0"/>
        <w:autoSpaceDE w:val="0"/>
        <w:autoSpaceDN w:val="0"/>
        <w:bidi w:val="0"/>
        <w:adjustRightInd w:val="0"/>
        <w:snapToGrid w:val="0"/>
        <w:spacing w:line="360" w:lineRule="auto"/>
        <w:ind w:left="11" w:firstLine="489"/>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2"/>
          <w:sz w:val="24"/>
          <w:szCs w:val="24"/>
          <w:highlight w:val="none"/>
        </w:rPr>
        <w:t>（5）拟派项目经理、项目技术负责人、专职安全员的条件</w:t>
      </w:r>
      <w:r>
        <w:rPr>
          <w:rFonts w:hint="eastAsia" w:asciiTheme="minorEastAsia" w:hAnsiTheme="minorEastAsia" w:eastAsiaTheme="minorEastAsia" w:cstheme="minorEastAsia"/>
          <w:color w:val="auto"/>
          <w:spacing w:val="1"/>
          <w:sz w:val="24"/>
          <w:szCs w:val="24"/>
          <w:highlight w:val="none"/>
        </w:rPr>
        <w:t>是否符合招标文件规</w:t>
      </w:r>
      <w:r>
        <w:rPr>
          <w:rFonts w:hint="eastAsia" w:asciiTheme="minorEastAsia" w:hAnsiTheme="minorEastAsia" w:eastAsiaTheme="minorEastAsia" w:cstheme="minorEastAsia"/>
          <w:color w:val="auto"/>
          <w:spacing w:val="-1"/>
          <w:sz w:val="24"/>
          <w:szCs w:val="24"/>
          <w:highlight w:val="none"/>
        </w:rPr>
        <w:t>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27910BA3">
      <w:pPr>
        <w:keepNext w:val="0"/>
        <w:keepLines w:val="0"/>
        <w:pageBreakBefore w:val="0"/>
        <w:widowControl/>
        <w:kinsoku w:val="0"/>
        <w:overflowPunct/>
        <w:topLinePunct w:val="0"/>
        <w:autoSpaceDE w:val="0"/>
        <w:autoSpaceDN w:val="0"/>
        <w:bidi w:val="0"/>
        <w:adjustRightInd w:val="0"/>
        <w:snapToGrid w:val="0"/>
        <w:spacing w:line="360" w:lineRule="auto"/>
        <w:ind w:left="8" w:right="2" w:firstLine="492"/>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6</w:t>
      </w:r>
      <w:r>
        <w:rPr>
          <w:rFonts w:hint="eastAsia" w:asciiTheme="minorEastAsia" w:hAnsiTheme="minorEastAsia" w:eastAsiaTheme="minorEastAsia" w:cstheme="minorEastAsia"/>
          <w:color w:val="auto"/>
          <w:spacing w:val="2"/>
          <w:sz w:val="24"/>
          <w:szCs w:val="24"/>
          <w:highlight w:val="none"/>
        </w:rPr>
        <w:t>）投标人为外省建筑企业的，是否按规定在“进粤</w:t>
      </w:r>
      <w:r>
        <w:rPr>
          <w:rFonts w:hint="eastAsia" w:asciiTheme="minorEastAsia" w:hAnsiTheme="minorEastAsia" w:eastAsiaTheme="minorEastAsia" w:cstheme="minorEastAsia"/>
          <w:color w:val="auto"/>
          <w:spacing w:val="1"/>
          <w:sz w:val="24"/>
          <w:szCs w:val="24"/>
          <w:highlight w:val="none"/>
        </w:rPr>
        <w:t>企业和人员诚信信息登记</w:t>
      </w:r>
      <w:r>
        <w:rPr>
          <w:rFonts w:hint="eastAsia" w:asciiTheme="minorEastAsia" w:hAnsiTheme="minorEastAsia" w:eastAsiaTheme="minorEastAsia" w:cstheme="minorEastAsia"/>
          <w:color w:val="auto"/>
          <w:spacing w:val="-2"/>
          <w:sz w:val="24"/>
          <w:szCs w:val="24"/>
          <w:highlight w:val="none"/>
        </w:rPr>
        <w:t>平台</w:t>
      </w:r>
      <w:r>
        <w:rPr>
          <w:rFonts w:hint="eastAsia" w:asciiTheme="minorEastAsia" w:hAnsiTheme="minorEastAsia" w:eastAsiaTheme="minorEastAsia" w:cstheme="minorEastAsia"/>
          <w:color w:val="auto"/>
          <w:spacing w:val="-76"/>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”录入企业及其拟派人员有关信息并通过数据规范检查。</w:t>
      </w:r>
    </w:p>
    <w:p w14:paraId="5E3A3AD8">
      <w:pPr>
        <w:spacing w:before="15" w:line="360" w:lineRule="auto"/>
        <w:ind w:right="2" w:firstLine="474"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2"/>
          <w:sz w:val="24"/>
          <w:szCs w:val="24"/>
          <w:highlight w:val="none"/>
        </w:rPr>
        <w:t xml:space="preserve">15.4.2 </w:t>
      </w:r>
      <w:r>
        <w:rPr>
          <w:rFonts w:hint="eastAsia" w:ascii="宋体" w:hAnsi="宋体" w:eastAsia="宋体" w:cs="宋体"/>
          <w:color w:val="auto"/>
          <w:spacing w:val="1"/>
          <w:sz w:val="24"/>
          <w:szCs w:val="24"/>
          <w:highlight w:val="none"/>
        </w:rPr>
        <w:t xml:space="preserve"> 形式评审环节</w:t>
      </w:r>
    </w:p>
    <w:p w14:paraId="720A176D">
      <w:pPr>
        <w:spacing w:before="15" w:line="360" w:lineRule="auto"/>
        <w:ind w:right="2" w:firstLine="484" w:firstLineChars="200"/>
        <w:jc w:val="both"/>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形式评审事</w:t>
      </w:r>
      <w:r>
        <w:rPr>
          <w:rFonts w:hint="eastAsia" w:ascii="宋体" w:hAnsi="宋体" w:eastAsia="宋体" w:cs="宋体"/>
          <w:color w:val="auto"/>
          <w:spacing w:val="1"/>
          <w:sz w:val="24"/>
          <w:szCs w:val="24"/>
          <w:highlight w:val="none"/>
          <w:lang w:eastAsia="zh-CN"/>
        </w:rPr>
        <w:t>项包括</w:t>
      </w:r>
      <w:bookmarkEnd w:id="88"/>
    </w:p>
    <w:p w14:paraId="540DEAA8">
      <w:pPr>
        <w:spacing w:before="40" w:line="360" w:lineRule="auto"/>
        <w:ind w:left="501"/>
        <w:outlineLvl w:val="9"/>
        <w:rPr>
          <w:rFonts w:hint="eastAsia" w:ascii="宋体" w:hAnsi="宋体" w:eastAsia="宋体" w:cs="宋体"/>
          <w:color w:val="auto"/>
          <w:sz w:val="24"/>
          <w:szCs w:val="24"/>
          <w:highlight w:val="none"/>
        </w:rPr>
      </w:pPr>
      <w:bookmarkStart w:id="90" w:name="_Toc20481"/>
      <w:bookmarkStart w:id="91" w:name="_Toc23632"/>
      <w:bookmarkStart w:id="92" w:name="_Toc13304"/>
      <w:bookmarkStart w:id="93" w:name="_Toc4914"/>
      <w:r>
        <w:rPr>
          <w:rFonts w:hint="eastAsia" w:ascii="宋体" w:hAnsi="宋体" w:eastAsia="宋体" w:cs="宋体"/>
          <w:color w:val="auto"/>
          <w:spacing w:val="-1"/>
          <w:sz w:val="24"/>
          <w:szCs w:val="24"/>
          <w:highlight w:val="none"/>
        </w:rPr>
        <w:t>（1）各分册是否按招标文件规定加盖电子印章。</w:t>
      </w:r>
      <w:bookmarkEnd w:id="90"/>
      <w:bookmarkEnd w:id="91"/>
      <w:bookmarkEnd w:id="92"/>
      <w:bookmarkEnd w:id="93"/>
    </w:p>
    <w:p w14:paraId="64C926F3">
      <w:pPr>
        <w:spacing w:before="15" w:line="360" w:lineRule="auto"/>
        <w:ind w:firstLine="464" w:firstLineChars="200"/>
        <w:outlineLvl w:val="9"/>
        <w:rPr>
          <w:rFonts w:hint="eastAsia" w:ascii="宋体" w:hAnsi="宋体" w:eastAsia="宋体" w:cs="宋体"/>
          <w:color w:val="auto"/>
          <w:spacing w:val="-1"/>
          <w:sz w:val="24"/>
          <w:szCs w:val="24"/>
          <w:highlight w:val="none"/>
        </w:rPr>
      </w:pPr>
      <w:bookmarkStart w:id="94" w:name="_Toc27432"/>
      <w:bookmarkStart w:id="95" w:name="_Toc28409"/>
      <w:bookmarkStart w:id="96" w:name="_Toc10806"/>
      <w:bookmarkStart w:id="97" w:name="_Toc12756"/>
      <w:r>
        <w:rPr>
          <w:rFonts w:hint="eastAsia" w:ascii="宋体" w:hAnsi="宋体" w:eastAsia="宋体" w:cs="宋体"/>
          <w:color w:val="auto"/>
          <w:spacing w:val="-4"/>
          <w:sz w:val="24"/>
          <w:szCs w:val="24"/>
          <w:highlight w:val="none"/>
        </w:rPr>
        <w:t>（2）本节第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10.2.2 目、第</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4"/>
          <w:sz w:val="24"/>
          <w:szCs w:val="24"/>
          <w:highlight w:val="none"/>
        </w:rPr>
        <w:t>10.3.2 目、第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10.4.3 目中规定</w:t>
      </w:r>
      <w:r>
        <w:rPr>
          <w:rFonts w:hint="eastAsia" w:ascii="宋体" w:hAnsi="宋体" w:eastAsia="宋体" w:cs="宋体"/>
          <w:color w:val="auto"/>
          <w:spacing w:val="-5"/>
          <w:sz w:val="24"/>
          <w:szCs w:val="24"/>
          <w:highlight w:val="none"/>
        </w:rPr>
        <w:t>的“所有投标人均应提</w:t>
      </w:r>
      <w:bookmarkEnd w:id="94"/>
      <w:bookmarkEnd w:id="95"/>
      <w:bookmarkEnd w:id="96"/>
      <w:r>
        <w:rPr>
          <w:rFonts w:hint="eastAsia" w:ascii="宋体" w:hAnsi="宋体" w:eastAsia="宋体" w:cs="宋体"/>
          <w:color w:val="auto"/>
          <w:spacing w:val="-1"/>
          <w:sz w:val="24"/>
          <w:szCs w:val="24"/>
          <w:highlight w:val="none"/>
        </w:rPr>
        <w:t>供</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”的组成内容（包括该组成内容的所附资料）是否完整、齐全.</w:t>
      </w:r>
      <w:bookmarkEnd w:id="97"/>
    </w:p>
    <w:p w14:paraId="127DFB0D">
      <w:pPr>
        <w:spacing w:before="15" w:line="360" w:lineRule="auto"/>
        <w:ind w:right="2" w:firstLine="474" w:firstLineChars="200"/>
        <w:jc w:val="both"/>
        <w:outlineLvl w:val="9"/>
        <w:rPr>
          <w:rFonts w:hint="eastAsia" w:ascii="宋体" w:hAnsi="宋体" w:eastAsia="宋体" w:cs="宋体"/>
          <w:color w:val="auto"/>
          <w:spacing w:val="2"/>
          <w:sz w:val="24"/>
          <w:szCs w:val="24"/>
          <w:highlight w:val="none"/>
        </w:rPr>
      </w:pPr>
      <w:bookmarkStart w:id="98" w:name="_Toc22642"/>
      <w:bookmarkStart w:id="99" w:name="_Toc14202"/>
      <w:bookmarkStart w:id="100" w:name="_Toc16645"/>
      <w:bookmarkStart w:id="101" w:name="_Toc22562"/>
      <w:r>
        <w:rPr>
          <w:rFonts w:hint="eastAsia" w:ascii="宋体" w:hAnsi="宋体" w:eastAsia="宋体" w:cs="宋体"/>
          <w:b/>
          <w:bCs/>
          <w:color w:val="auto"/>
          <w:spacing w:val="-2"/>
          <w:sz w:val="24"/>
          <w:szCs w:val="24"/>
          <w:highlight w:val="none"/>
        </w:rPr>
        <w:t xml:space="preserve">15.4.3  </w:t>
      </w:r>
      <w:r>
        <w:rPr>
          <w:rFonts w:hint="eastAsia" w:ascii="宋体" w:hAnsi="宋体" w:eastAsia="宋体" w:cs="宋体"/>
          <w:color w:val="auto"/>
          <w:spacing w:val="2"/>
          <w:sz w:val="24"/>
          <w:szCs w:val="24"/>
          <w:highlight w:val="none"/>
        </w:rPr>
        <w:t xml:space="preserve">响应性评审环节 </w:t>
      </w:r>
    </w:p>
    <w:p w14:paraId="746226A2">
      <w:pPr>
        <w:spacing w:before="15" w:line="360" w:lineRule="auto"/>
        <w:ind w:right="2" w:firstLine="488"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响应性评项包括：</w:t>
      </w:r>
      <w:bookmarkEnd w:id="98"/>
      <w:bookmarkEnd w:id="99"/>
      <w:bookmarkEnd w:id="100"/>
      <w:bookmarkEnd w:id="101"/>
    </w:p>
    <w:p w14:paraId="7C2C97F5">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（1）投标有效期、质量标准、工期等是否响应招标文件实</w:t>
      </w:r>
      <w:r>
        <w:rPr>
          <w:rFonts w:hint="eastAsia" w:ascii="宋体" w:hAnsi="宋体" w:eastAsia="宋体" w:cs="宋体"/>
          <w:color w:val="auto"/>
          <w:spacing w:val="1"/>
          <w:sz w:val="24"/>
          <w:szCs w:val="24"/>
          <w:highlight w:val="none"/>
        </w:rPr>
        <w:t>质性要求；是否擅自</w:t>
      </w:r>
      <w:r>
        <w:rPr>
          <w:rFonts w:hint="eastAsia" w:ascii="宋体" w:hAnsi="宋体" w:eastAsia="宋体" w:cs="宋体"/>
          <w:color w:val="auto"/>
          <w:spacing w:val="-1"/>
          <w:sz w:val="24"/>
          <w:szCs w:val="24"/>
          <w:highlight w:val="none"/>
        </w:rPr>
        <w:t>修改、遗漏《投标函》《各项承诺一览表》的实质性内容。</w:t>
      </w:r>
    </w:p>
    <w:p w14:paraId="0FC3EBE0">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（2）编制《投标总价》的造价工程师，其注册证书是否合法、有效。</w:t>
      </w:r>
    </w:p>
    <w:p w14:paraId="7272F12D">
      <w:pPr>
        <w:keepNext w:val="0"/>
        <w:keepLines w:val="0"/>
        <w:pageBreakBefore w:val="0"/>
        <w:widowControl/>
        <w:kinsoku w:val="0"/>
        <w:wordWrap/>
        <w:overflowPunct/>
        <w:topLinePunct w:val="0"/>
        <w:autoSpaceDE w:val="0"/>
        <w:autoSpaceDN w:val="0"/>
        <w:bidi w:val="0"/>
        <w:adjustRightInd w:val="0"/>
        <w:snapToGrid w:val="0"/>
        <w:spacing w:line="360" w:lineRule="auto"/>
        <w:ind w:left="23" w:right="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（3）投标人委托造价咨询单位编制《投标总价》的，是否在《投标总价扉页》“投标人</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”栏目加盖造价咨询人公章；是否提供</w:t>
      </w:r>
      <w:r>
        <w:rPr>
          <w:rFonts w:hint="eastAsia" w:ascii="宋体" w:hAnsi="宋体" w:eastAsia="宋体" w:cs="宋体"/>
          <w:color w:val="auto"/>
          <w:sz w:val="24"/>
          <w:szCs w:val="24"/>
          <w:highlight w:val="none"/>
        </w:rPr>
        <w:t>造价咨询人的营业执照</w:t>
      </w:r>
      <w:r>
        <w:rPr>
          <w:rFonts w:hint="eastAsia" w:ascii="宋体" w:hAnsi="宋体" w:eastAsia="宋体" w:cs="宋体"/>
          <w:color w:val="auto"/>
          <w:spacing w:val="-2"/>
          <w:sz w:val="24"/>
          <w:szCs w:val="24"/>
          <w:highlight w:val="none"/>
        </w:rPr>
        <w:t>副本彩色扫描件；</w:t>
      </w:r>
    </w:p>
    <w:p w14:paraId="1684033F">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（4）投标总价是否唯一；投标总价是否超出</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w:t>
      </w:r>
      <w:r>
        <w:rPr>
          <w:rFonts w:hint="eastAsia" w:ascii="宋体" w:hAnsi="宋体" w:eastAsia="宋体" w:cs="宋体"/>
          <w:b/>
          <w:bCs/>
          <w:color w:val="auto"/>
          <w:spacing w:val="1"/>
          <w:sz w:val="24"/>
          <w:szCs w:val="24"/>
          <w:highlight w:val="none"/>
        </w:rPr>
        <w:t>安全生产措施费</w:t>
      </w:r>
      <w:r>
        <w:rPr>
          <w:rFonts w:hint="eastAsia" w:ascii="宋体" w:hAnsi="宋体" w:eastAsia="宋体" w:cs="宋体"/>
          <w:color w:val="auto"/>
          <w:spacing w:val="-1"/>
          <w:sz w:val="24"/>
          <w:szCs w:val="24"/>
          <w:highlight w:val="none"/>
        </w:rPr>
        <w:t>是否达到最低要求；暂列金额、暂估价是否按照招标工</w:t>
      </w:r>
      <w:r>
        <w:rPr>
          <w:rFonts w:hint="eastAsia" w:ascii="宋体" w:hAnsi="宋体" w:eastAsia="宋体" w:cs="宋体"/>
          <w:color w:val="auto"/>
          <w:spacing w:val="-2"/>
          <w:sz w:val="24"/>
          <w:szCs w:val="24"/>
          <w:highlight w:val="none"/>
        </w:rPr>
        <w:t>程量清单统一报价；投</w:t>
      </w:r>
      <w:r>
        <w:rPr>
          <w:rFonts w:hint="eastAsia" w:ascii="宋体" w:hAnsi="宋体" w:eastAsia="宋体" w:cs="宋体"/>
          <w:color w:val="auto"/>
          <w:spacing w:val="-1"/>
          <w:sz w:val="24"/>
          <w:szCs w:val="24"/>
          <w:highlight w:val="none"/>
        </w:rPr>
        <w:t>标人是否以低于成本的价格竞标。</w:t>
      </w:r>
    </w:p>
    <w:p w14:paraId="07EB7BBE">
      <w:pPr>
        <w:spacing w:before="38" w:line="360" w:lineRule="auto"/>
        <w:ind w:right="2" w:firstLine="474" w:firstLineChars="200"/>
        <w:jc w:val="both"/>
        <w:rPr>
          <w:rFonts w:hint="eastAsia" w:ascii="宋体" w:hAnsi="宋体" w:eastAsia="宋体" w:cs="宋体"/>
          <w:color w:val="auto"/>
          <w:position w:val="-8"/>
          <w:sz w:val="24"/>
          <w:szCs w:val="24"/>
          <w:highlight w:val="none"/>
        </w:rPr>
      </w:pPr>
      <w:r>
        <w:rPr>
          <w:rFonts w:hint="eastAsia" w:ascii="宋体" w:hAnsi="宋体" w:eastAsia="宋体" w:cs="宋体"/>
          <w:b/>
          <w:bCs/>
          <w:color w:val="auto"/>
          <w:spacing w:val="-2"/>
          <w:sz w:val="24"/>
          <w:szCs w:val="24"/>
          <w:highlight w:val="none"/>
        </w:rPr>
        <w:t>注：如果某投标人的投标总价下浮率超过</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32"/>
          <w:sz w:val="24"/>
          <w:szCs w:val="24"/>
          <w:highlight w:val="none"/>
        </w:rPr>
        <w:t xml:space="preserve"> </w:t>
      </w:r>
      <w:r>
        <w:rPr>
          <w:rFonts w:hint="eastAsia" w:ascii="宋体" w:hAnsi="宋体" w:eastAsia="宋体" w:cs="宋体"/>
          <w:b/>
          <w:bCs/>
          <w:color w:val="auto"/>
          <w:spacing w:val="-2"/>
          <w:sz w:val="24"/>
          <w:szCs w:val="24"/>
          <w:highlight w:val="none"/>
        </w:rPr>
        <w:t>，又未提供</w:t>
      </w:r>
      <w:r>
        <w:rPr>
          <w:rFonts w:hint="eastAsia" w:ascii="宋体" w:hAnsi="宋体" w:eastAsia="宋体" w:cs="宋体"/>
          <w:b/>
          <w:bCs/>
          <w:color w:val="auto"/>
          <w:spacing w:val="-3"/>
          <w:sz w:val="24"/>
          <w:szCs w:val="24"/>
          <w:highlight w:val="none"/>
        </w:rPr>
        <w:t>相应书面说明和佐证</w:t>
      </w:r>
      <w:bookmarkStart w:id="102" w:name="bookmark127"/>
      <w:bookmarkEnd w:id="102"/>
      <w:r>
        <w:rPr>
          <w:rFonts w:hint="eastAsia" w:ascii="宋体" w:hAnsi="宋体" w:eastAsia="宋体" w:cs="宋体"/>
          <w:b/>
          <w:bCs/>
          <w:color w:val="auto"/>
          <w:spacing w:val="-4"/>
          <w:sz w:val="24"/>
          <w:szCs w:val="24"/>
          <w:highlight w:val="none"/>
        </w:rPr>
        <w:t>材料或提供的书面说明和佐证材料不能令人信服的，评标委员会应认定其以低于成本</w:t>
      </w:r>
      <w:r>
        <w:rPr>
          <w:rFonts w:hint="eastAsia" w:ascii="宋体" w:hAnsi="宋体" w:eastAsia="宋体" w:cs="宋体"/>
          <w:b/>
          <w:bCs/>
          <w:color w:val="auto"/>
          <w:spacing w:val="-9"/>
          <w:sz w:val="24"/>
          <w:szCs w:val="24"/>
          <w:highlight w:val="none"/>
        </w:rPr>
        <w:t>的价格竞标，并否决其投标。评</w:t>
      </w:r>
      <w:r>
        <w:rPr>
          <w:rFonts w:hint="eastAsia" w:ascii="宋体" w:hAnsi="宋体" w:eastAsia="宋体" w:cs="宋体"/>
          <w:b/>
          <w:bCs/>
          <w:color w:val="auto"/>
          <w:spacing w:val="-4"/>
          <w:sz w:val="24"/>
          <w:szCs w:val="24"/>
          <w:highlight w:val="none"/>
        </w:rPr>
        <w:t>标委员会接受该投标人的投标总价而未否决其投标的， 应在评标报告中说明判断理由。投标总价下浮率＝（1－投标总价÷</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）×100% 。</w:t>
      </w:r>
    </w:p>
    <w:p w14:paraId="1B4A1888">
      <w:pPr>
        <w:spacing w:before="157" w:line="360" w:lineRule="auto"/>
        <w:ind w:left="11" w:right="114" w:firstLine="505" w:firstLineChars="20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（5）施工组织设计的质量、进度保障措施是否符合国</w:t>
      </w:r>
      <w:r>
        <w:rPr>
          <w:rFonts w:hint="eastAsia" w:ascii="宋体" w:hAnsi="宋体" w:eastAsia="宋体" w:cs="宋体"/>
          <w:color w:val="auto"/>
          <w:sz w:val="24"/>
          <w:szCs w:val="24"/>
          <w:highlight w:val="none"/>
        </w:rPr>
        <w:t>家和省市现行有关规</w:t>
      </w:r>
      <w:r>
        <w:rPr>
          <w:rFonts w:hint="eastAsia" w:ascii="宋体" w:hAnsi="宋体" w:eastAsia="宋体" w:cs="宋体"/>
          <w:color w:val="auto"/>
          <w:spacing w:val="-1"/>
          <w:sz w:val="24"/>
          <w:szCs w:val="24"/>
          <w:highlight w:val="none"/>
        </w:rPr>
        <w:t>范、规定、标准，是否能实现工程质量、进度管理目标。</w:t>
      </w:r>
    </w:p>
    <w:p w14:paraId="123D5255">
      <w:pPr>
        <w:spacing w:before="82" w:line="211" w:lineRule="auto"/>
        <w:ind w:left="580"/>
        <w:outlineLvl w:val="9"/>
        <w:rPr>
          <w:rFonts w:hint="eastAsia" w:ascii="宋体" w:hAnsi="宋体" w:eastAsia="宋体" w:cs="宋体"/>
          <w:color w:val="auto"/>
          <w:sz w:val="25"/>
          <w:szCs w:val="25"/>
          <w:highlight w:val="none"/>
        </w:rPr>
      </w:pPr>
      <w:bookmarkStart w:id="103" w:name="_Toc18204"/>
      <w:bookmarkStart w:id="104" w:name="_Toc19814"/>
      <w:bookmarkStart w:id="105" w:name="_Toc32114"/>
      <w:bookmarkStart w:id="106" w:name="_Toc15367"/>
      <w:r>
        <w:rPr>
          <w:rFonts w:hint="eastAsia" w:ascii="宋体" w:hAnsi="宋体" w:eastAsia="宋体" w:cs="宋体"/>
          <w:b/>
          <w:bCs/>
          <w:color w:val="auto"/>
          <w:spacing w:val="-3"/>
          <w:sz w:val="24"/>
          <w:szCs w:val="24"/>
          <w:highlight w:val="none"/>
        </w:rPr>
        <w:t xml:space="preserve">15.4.4  </w:t>
      </w:r>
      <w:r>
        <w:rPr>
          <w:rFonts w:hint="eastAsia" w:ascii="宋体" w:hAnsi="宋体" w:eastAsia="宋体" w:cs="宋体"/>
          <w:color w:val="auto"/>
          <w:spacing w:val="-3"/>
          <w:sz w:val="24"/>
          <w:szCs w:val="24"/>
          <w:highlight w:val="none"/>
        </w:rPr>
        <w:t>否决投标说明</w:t>
      </w:r>
      <w:bookmarkEnd w:id="103"/>
      <w:bookmarkEnd w:id="104"/>
      <w:bookmarkEnd w:id="105"/>
      <w:bookmarkEnd w:id="106"/>
    </w:p>
    <w:p w14:paraId="0A7D0F98">
      <w:pPr>
        <w:spacing w:before="152" w:line="333" w:lineRule="auto"/>
        <w:ind w:left="11" w:right="175" w:firstLine="561"/>
        <w:rPr>
          <w:rFonts w:hint="eastAsia" w:ascii="宋体" w:hAnsi="宋体" w:eastAsia="宋体" w:cs="宋体"/>
          <w:color w:val="auto"/>
          <w:highlight w:val="none"/>
        </w:rPr>
      </w:pPr>
      <w:r>
        <w:rPr>
          <w:rFonts w:hint="eastAsia" w:ascii="宋体" w:hAnsi="宋体" w:eastAsia="宋体" w:cs="宋体"/>
          <w:color w:val="auto"/>
          <w:spacing w:val="-5"/>
          <w:sz w:val="24"/>
          <w:szCs w:val="24"/>
          <w:highlight w:val="none"/>
        </w:rPr>
        <w:t>初步评审阶段各个环节否决投标的全部条件，在本章第四节“否决投标条件</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b/>
          <w:bCs/>
          <w:color w:val="auto"/>
          <w:sz w:val="24"/>
          <w:szCs w:val="24"/>
          <w:highlight w:val="none"/>
        </w:rPr>
        <w:t>1</w:t>
      </w:r>
      <w:r>
        <w:rPr>
          <w:rFonts w:hint="eastAsia" w:ascii="宋体" w:hAnsi="宋体" w:eastAsia="宋体" w:cs="宋体"/>
          <w:color w:val="auto"/>
          <w:sz w:val="24"/>
          <w:szCs w:val="24"/>
          <w:highlight w:val="none"/>
        </w:rPr>
        <w:t>条至第</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rPr>
        <w:t>条中集中列示。投标人有其中所列任何一种情形的，由评标委员会否决其</w:t>
      </w:r>
      <w:r>
        <w:rPr>
          <w:rFonts w:hint="eastAsia" w:ascii="宋体" w:hAnsi="宋体" w:eastAsia="宋体" w:cs="宋体"/>
          <w:color w:val="auto"/>
          <w:spacing w:val="-1"/>
          <w:sz w:val="24"/>
          <w:szCs w:val="24"/>
          <w:highlight w:val="none"/>
        </w:rPr>
        <w:t>投标。在初步评审阶段任何环节被否决的投标人，不进入下一环</w:t>
      </w:r>
      <w:r>
        <w:rPr>
          <w:rFonts w:hint="eastAsia" w:ascii="宋体" w:hAnsi="宋体" w:eastAsia="宋体" w:cs="宋体"/>
          <w:color w:val="auto"/>
          <w:spacing w:val="-2"/>
          <w:sz w:val="24"/>
          <w:szCs w:val="24"/>
          <w:highlight w:val="none"/>
        </w:rPr>
        <w:t>节（或阶段）评审。</w:t>
      </w:r>
      <w:r>
        <w:rPr>
          <w:rFonts w:hint="eastAsia" w:ascii="宋体" w:hAnsi="宋体" w:eastAsia="宋体" w:cs="宋体"/>
          <w:color w:val="auto"/>
          <w:spacing w:val="-1"/>
          <w:sz w:val="24"/>
          <w:szCs w:val="24"/>
          <w:highlight w:val="none"/>
        </w:rPr>
        <w:t>在初步评审阶段任何环节。</w:t>
      </w:r>
      <w:r>
        <w:rPr>
          <w:rFonts w:hint="eastAsia" w:ascii="宋体" w:hAnsi="宋体" w:eastAsia="宋体" w:cs="宋体"/>
          <w:color w:val="auto"/>
          <w:sz w:val="24"/>
          <w:szCs w:val="24"/>
          <w:highlight w:val="none"/>
        </w:rPr>
        <w:t>评标委员会经评审，认为所有投标都不符合招标文件要求的，可否决所有投标，项目的所有投标被否决的，招标人应依法重新组织招标。</w:t>
      </w:r>
    </w:p>
    <w:p w14:paraId="4AB68C11">
      <w:pPr>
        <w:spacing w:before="78" w:line="221" w:lineRule="auto"/>
        <w:ind w:left="577"/>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1312"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31"/>
                    <a:stretch>
                      <a:fillRect/>
                    </a:stretch>
                  </pic:blipFill>
                  <pic:spPr>
                    <a:xfrm>
                      <a:off x="0" y="0"/>
                      <a:ext cx="6350" cy="279400"/>
                    </a:xfrm>
                    <a:prstGeom prst="rect">
                      <a:avLst/>
                    </a:prstGeom>
                    <a:noFill/>
                    <a:ln>
                      <a:noFill/>
                    </a:ln>
                  </pic:spPr>
                </pic:pic>
              </a:graphicData>
            </a:graphic>
          </wp:anchor>
        </w:drawing>
      </w:r>
      <w:bookmarkStart w:id="107" w:name="bookmark128"/>
      <w:bookmarkEnd w:id="107"/>
      <w:r>
        <w:rPr>
          <w:rFonts w:hint="eastAsia" w:ascii="宋体" w:hAnsi="宋体" w:eastAsia="宋体" w:cs="宋体"/>
          <w:b/>
          <w:bCs/>
          <w:color w:val="auto"/>
          <w:spacing w:val="-2"/>
          <w:sz w:val="24"/>
          <w:szCs w:val="24"/>
          <w:highlight w:val="none"/>
        </w:rPr>
        <w:t xml:space="preserve">15.5  </w:t>
      </w:r>
      <w:r>
        <w:rPr>
          <w:rFonts w:hint="eastAsia" w:ascii="宋体" w:hAnsi="宋体" w:eastAsia="宋体" w:cs="宋体"/>
          <w:color w:val="auto"/>
          <w:spacing w:val="-2"/>
          <w:sz w:val="24"/>
          <w:szCs w:val="24"/>
          <w:highlight w:val="none"/>
        </w:rPr>
        <w:t>详细评审阶段</w:t>
      </w:r>
    </w:p>
    <w:p w14:paraId="21AA4981">
      <w:pPr>
        <w:spacing w:before="81" w:line="211" w:lineRule="auto"/>
        <w:ind w:left="498"/>
        <w:outlineLvl w:val="9"/>
        <w:rPr>
          <w:rFonts w:hint="eastAsia" w:ascii="宋体" w:hAnsi="宋体" w:eastAsia="宋体" w:cs="宋体"/>
          <w:color w:val="auto"/>
          <w:sz w:val="25"/>
          <w:szCs w:val="25"/>
          <w:highlight w:val="none"/>
        </w:rPr>
      </w:pPr>
      <w:bookmarkStart w:id="108" w:name="_Toc10503"/>
      <w:bookmarkStart w:id="109" w:name="_Toc4119"/>
      <w:bookmarkStart w:id="110" w:name="_Toc14991"/>
      <w:bookmarkStart w:id="111" w:name="_Toc28572"/>
      <w:r>
        <w:rPr>
          <w:rFonts w:hint="eastAsia" w:ascii="宋体" w:hAnsi="宋体" w:eastAsia="宋体" w:cs="宋体"/>
          <w:b/>
          <w:bCs/>
          <w:color w:val="auto"/>
          <w:spacing w:val="-3"/>
          <w:sz w:val="24"/>
          <w:szCs w:val="24"/>
          <w:highlight w:val="none"/>
        </w:rPr>
        <w:t xml:space="preserve">15.5.1  </w:t>
      </w:r>
      <w:r>
        <w:rPr>
          <w:rFonts w:hint="eastAsia" w:ascii="宋体" w:hAnsi="宋体" w:eastAsia="宋体" w:cs="宋体"/>
          <w:color w:val="auto"/>
          <w:spacing w:val="-3"/>
          <w:sz w:val="24"/>
          <w:szCs w:val="24"/>
          <w:highlight w:val="none"/>
        </w:rPr>
        <w:t>“综合评估法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”评审程序</w:t>
      </w:r>
      <w:bookmarkEnd w:id="108"/>
      <w:bookmarkEnd w:id="109"/>
      <w:bookmarkEnd w:id="110"/>
      <w:bookmarkEnd w:id="111"/>
    </w:p>
    <w:p w14:paraId="5801B40B">
      <w:pPr>
        <w:spacing w:before="152" w:line="329" w:lineRule="auto"/>
        <w:ind w:left="14" w:right="81" w:firstLine="47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评审内容分为商务技术和投标报价两大部分。其中，商</w:t>
      </w:r>
      <w:r>
        <w:rPr>
          <w:rFonts w:hint="eastAsia" w:ascii="宋体" w:hAnsi="宋体" w:eastAsia="宋体" w:cs="宋体"/>
          <w:color w:val="auto"/>
          <w:spacing w:val="-2"/>
          <w:sz w:val="24"/>
          <w:szCs w:val="24"/>
          <w:highlight w:val="none"/>
        </w:rPr>
        <w:t>务技术合计满分</w:t>
      </w:r>
      <w:r>
        <w:rPr>
          <w:rFonts w:hint="eastAsia" w:ascii="宋体" w:hAnsi="宋体" w:eastAsia="宋体" w:cs="宋体"/>
          <w:color w:val="auto"/>
          <w:spacing w:val="-2"/>
          <w:sz w:val="24"/>
          <w:szCs w:val="24"/>
          <w:highlight w:val="none"/>
          <w:lang w:eastAsia="zh-CN"/>
        </w:rPr>
        <w:t>100</w:t>
      </w:r>
      <w:r>
        <w:rPr>
          <w:rFonts w:hint="eastAsia" w:ascii="宋体" w:hAnsi="宋体" w:eastAsia="宋体" w:cs="宋体"/>
          <w:color w:val="auto"/>
          <w:spacing w:val="-2"/>
          <w:sz w:val="24"/>
          <w:szCs w:val="24"/>
          <w:highlight w:val="none"/>
        </w:rPr>
        <w:t>分，权重</w:t>
      </w:r>
      <w:r>
        <w:rPr>
          <w:rFonts w:hint="eastAsia" w:ascii="宋体" w:hAnsi="宋体" w:eastAsia="宋体" w:cs="宋体"/>
          <w:color w:val="auto"/>
          <w:spacing w:val="-3"/>
          <w:sz w:val="24"/>
          <w:szCs w:val="24"/>
          <w:highlight w:val="none"/>
        </w:rPr>
        <w:t>为</w:t>
      </w:r>
      <w:r>
        <w:rPr>
          <w:rFonts w:hint="eastAsia" w:ascii="宋体" w:hAnsi="宋体" w:eastAsia="宋体" w:cs="宋体"/>
          <w:color w:val="auto"/>
          <w:spacing w:val="-3"/>
          <w:sz w:val="24"/>
          <w:szCs w:val="24"/>
          <w:highlight w:val="none"/>
          <w:lang w:eastAsia="zh-CN"/>
        </w:rPr>
        <w:t>40</w:t>
      </w:r>
      <w:r>
        <w:rPr>
          <w:rFonts w:hint="eastAsia" w:ascii="宋体" w:hAnsi="宋体" w:eastAsia="宋体" w:cs="宋体"/>
          <w:color w:val="auto"/>
          <w:spacing w:val="-3"/>
          <w:sz w:val="24"/>
          <w:szCs w:val="24"/>
          <w:highlight w:val="none"/>
        </w:rPr>
        <w:t>%；投标报价满分</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3"/>
          <w:sz w:val="24"/>
          <w:szCs w:val="24"/>
          <w:highlight w:val="none"/>
        </w:rPr>
        <w:t>100 分，权重为</w:t>
      </w:r>
      <w:r>
        <w:rPr>
          <w:rFonts w:hint="eastAsia" w:ascii="宋体" w:hAnsi="宋体" w:eastAsia="宋体" w:cs="宋体"/>
          <w:color w:val="auto"/>
          <w:spacing w:val="-3"/>
          <w:sz w:val="24"/>
          <w:szCs w:val="24"/>
          <w:highlight w:val="none"/>
          <w:lang w:eastAsia="zh-CN"/>
        </w:rPr>
        <w:t>60</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。两大部分权重之和应为</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100%。</w:t>
      </w:r>
    </w:p>
    <w:p w14:paraId="7F93F86E">
      <w:pPr>
        <w:spacing w:before="153" w:line="324" w:lineRule="auto"/>
        <w:ind w:left="14"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除特别注明外，综合得分以及商务技术得分、投标报价得分的中间过程计算值和</w:t>
      </w:r>
      <w:r>
        <w:rPr>
          <w:rFonts w:hint="eastAsia" w:ascii="宋体" w:hAnsi="宋体" w:eastAsia="宋体" w:cs="宋体"/>
          <w:color w:val="auto"/>
          <w:spacing w:val="-4"/>
          <w:sz w:val="24"/>
          <w:szCs w:val="24"/>
          <w:highlight w:val="none"/>
        </w:rPr>
        <w:t>最终值，均按“</w:t>
      </w:r>
      <w:r>
        <w:rPr>
          <w:rFonts w:hint="eastAsia" w:ascii="宋体" w:hAnsi="宋体" w:eastAsia="宋体" w:cs="宋体"/>
          <w:color w:val="auto"/>
          <w:spacing w:val="-78"/>
          <w:sz w:val="24"/>
          <w:szCs w:val="24"/>
          <w:highlight w:val="none"/>
        </w:rPr>
        <w:t xml:space="preserve"> </w:t>
      </w:r>
      <w:r>
        <w:rPr>
          <w:rFonts w:hint="eastAsia" w:ascii="宋体" w:hAnsi="宋体" w:eastAsia="宋体" w:cs="宋体"/>
          <w:color w:val="auto"/>
          <w:spacing w:val="-4"/>
          <w:sz w:val="24"/>
          <w:szCs w:val="24"/>
          <w:highlight w:val="none"/>
        </w:rPr>
        <w:t>四舍五入</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”原则精确到两位小数。</w:t>
      </w:r>
    </w:p>
    <w:p w14:paraId="1F4AF271">
      <w:pPr>
        <w:spacing w:before="38" w:line="220" w:lineRule="auto"/>
        <w:ind w:left="503"/>
        <w:outlineLvl w:val="9"/>
        <w:rPr>
          <w:rFonts w:hint="eastAsia" w:ascii="宋体" w:hAnsi="宋体" w:eastAsia="宋体" w:cs="宋体"/>
          <w:color w:val="auto"/>
          <w:sz w:val="24"/>
          <w:szCs w:val="24"/>
          <w:highlight w:val="none"/>
        </w:rPr>
      </w:pPr>
      <w:bookmarkStart w:id="112" w:name="_Toc10398"/>
      <w:bookmarkStart w:id="113" w:name="_Toc22949"/>
      <w:bookmarkStart w:id="114" w:name="_Toc18029"/>
      <w:bookmarkStart w:id="115" w:name="_Toc17510"/>
      <w:r>
        <w:rPr>
          <w:rFonts w:hint="eastAsia" w:ascii="宋体" w:hAnsi="宋体" w:eastAsia="宋体" w:cs="宋体"/>
          <w:color w:val="auto"/>
          <w:spacing w:val="-3"/>
          <w:sz w:val="24"/>
          <w:szCs w:val="24"/>
          <w:highlight w:val="none"/>
        </w:rPr>
        <w:t>（1）商务技术得分</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M</w:t>
      </w:r>
      <w:bookmarkEnd w:id="112"/>
      <w:bookmarkEnd w:id="113"/>
      <w:bookmarkEnd w:id="114"/>
      <w:bookmarkEnd w:id="115"/>
    </w:p>
    <w:p w14:paraId="392026E4">
      <w:pPr>
        <w:spacing w:before="153" w:line="279" w:lineRule="auto"/>
        <w:ind w:left="15" w:right="81"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color w:val="auto"/>
          <w:spacing w:val="1"/>
          <w:sz w:val="24"/>
          <w:szCs w:val="24"/>
          <w:highlight w:val="none"/>
        </w:rPr>
        <w:t>．评标委员会按照《综合评分表》商务部分指定的评分标准对各评分因素进行</w:t>
      </w:r>
      <w:r>
        <w:rPr>
          <w:rFonts w:hint="eastAsia" w:ascii="宋体" w:hAnsi="宋体" w:eastAsia="宋体" w:cs="宋体"/>
          <w:color w:val="auto"/>
          <w:spacing w:val="-1"/>
          <w:sz w:val="24"/>
          <w:szCs w:val="24"/>
          <w:highlight w:val="none"/>
        </w:rPr>
        <w:t>打分。各评分因素得分之和即为某投标人的商务得分</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
          <w:sz w:val="24"/>
          <w:szCs w:val="24"/>
          <w:highlight w:val="none"/>
        </w:rPr>
        <w:t>。</w:t>
      </w:r>
    </w:p>
    <w:p w14:paraId="2881815B">
      <w:pPr>
        <w:spacing w:before="154" w:line="299" w:lineRule="auto"/>
        <w:ind w:left="12" w:right="8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b</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
          <w:sz w:val="24"/>
          <w:szCs w:val="24"/>
          <w:highlight w:val="none"/>
        </w:rPr>
        <w:t>．评标委员会各成员独立按照《综合评分表》技术部分（施工组织设</w:t>
      </w:r>
      <w:r>
        <w:rPr>
          <w:rFonts w:hint="eastAsia" w:ascii="宋体" w:hAnsi="宋体" w:eastAsia="宋体" w:cs="宋体"/>
          <w:color w:val="auto"/>
          <w:sz w:val="24"/>
          <w:szCs w:val="24"/>
          <w:highlight w:val="none"/>
        </w:rPr>
        <w:t>计）指定</w:t>
      </w:r>
      <w:r>
        <w:rPr>
          <w:rFonts w:hint="eastAsia" w:ascii="宋体" w:hAnsi="宋体" w:eastAsia="宋体" w:cs="宋体"/>
          <w:color w:val="auto"/>
          <w:spacing w:val="-1"/>
          <w:sz w:val="24"/>
          <w:szCs w:val="24"/>
          <w:highlight w:val="none"/>
        </w:rPr>
        <w:t>的评分标准对各评分因素进行打分，累加后得出技术评分。</w:t>
      </w:r>
      <w:r>
        <w:rPr>
          <w:rFonts w:hint="eastAsia" w:ascii="宋体" w:hAnsi="宋体" w:eastAsia="宋体" w:cs="宋体"/>
          <w:color w:val="auto"/>
          <w:spacing w:val="-2"/>
          <w:sz w:val="24"/>
          <w:szCs w:val="24"/>
          <w:highlight w:val="none"/>
        </w:rPr>
        <w:t>将评标委员会所有成员的</w:t>
      </w:r>
      <w:r>
        <w:rPr>
          <w:rFonts w:hint="eastAsia" w:ascii="宋体" w:hAnsi="宋体" w:eastAsia="宋体" w:cs="宋体"/>
          <w:color w:val="auto"/>
          <w:sz w:val="24"/>
          <w:szCs w:val="24"/>
          <w:highlight w:val="none"/>
        </w:rPr>
        <w:t>技术评分去掉最高分和最低分后，取算术平均值，即</w:t>
      </w:r>
      <w:r>
        <w:rPr>
          <w:rFonts w:hint="eastAsia" w:ascii="宋体" w:hAnsi="宋体" w:eastAsia="宋体" w:cs="宋体"/>
          <w:color w:val="auto"/>
          <w:spacing w:val="-1"/>
          <w:sz w:val="24"/>
          <w:szCs w:val="24"/>
          <w:highlight w:val="none"/>
        </w:rPr>
        <w:t>为某投标人的技术得分</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
          <w:sz w:val="24"/>
          <w:szCs w:val="24"/>
          <w:highlight w:val="none"/>
        </w:rPr>
        <w:t>。</w:t>
      </w:r>
    </w:p>
    <w:p w14:paraId="16A785CF">
      <w:pPr>
        <w:spacing w:before="155" w:line="231" w:lineRule="auto"/>
        <w:ind w:left="491"/>
        <w:rPr>
          <w:rFonts w:hint="eastAsia" w:ascii="宋体" w:hAnsi="宋体" w:eastAsia="宋体" w:cs="宋体"/>
          <w:color w:val="auto"/>
          <w:sz w:val="15"/>
          <w:szCs w:val="15"/>
          <w:highlight w:val="none"/>
        </w:rPr>
      </w:pPr>
      <w:r>
        <w:rPr>
          <w:rFonts w:hint="eastAsia" w:ascii="宋体" w:hAnsi="宋体" w:eastAsia="宋体" w:cs="宋体"/>
          <w:b/>
          <w:bCs/>
          <w:color w:val="auto"/>
          <w:spacing w:val="-12"/>
          <w:sz w:val="24"/>
          <w:szCs w:val="24"/>
          <w:highlight w:val="none"/>
        </w:rPr>
        <w:t>c</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12"/>
          <w:position w:val="-1"/>
          <w:sz w:val="15"/>
          <w:szCs w:val="15"/>
          <w:highlight w:val="none"/>
        </w:rPr>
        <w:t>1</w:t>
      </w:r>
      <w:r>
        <w:rPr>
          <w:rFonts w:hint="eastAsia" w:ascii="宋体" w:hAnsi="宋体" w:eastAsia="宋体" w:cs="宋体"/>
          <w:color w:val="auto"/>
          <w:sz w:val="24"/>
          <w:szCs w:val="24"/>
          <w:highlight w:val="none"/>
        </w:rPr>
        <w:t>＋M</w:t>
      </w:r>
      <w:r>
        <w:rPr>
          <w:rFonts w:hint="eastAsia" w:ascii="宋体" w:hAnsi="宋体" w:eastAsia="宋体" w:cs="宋体"/>
          <w:color w:val="auto"/>
          <w:position w:val="-1"/>
          <w:sz w:val="15"/>
          <w:szCs w:val="15"/>
          <w:highlight w:val="none"/>
        </w:rPr>
        <w:t>2</w:t>
      </w:r>
    </w:p>
    <w:p w14:paraId="0A2F9F5C">
      <w:pPr>
        <w:spacing w:before="139" w:line="220" w:lineRule="auto"/>
        <w:ind w:left="49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2"/>
          <w:w w:val="101"/>
          <w:position w:val="-1"/>
          <w:sz w:val="15"/>
          <w:szCs w:val="15"/>
          <w:highlight w:val="none"/>
        </w:rPr>
        <w:t xml:space="preserve"> </w:t>
      </w:r>
      <w:r>
        <w:rPr>
          <w:rFonts w:hint="eastAsia" w:ascii="宋体" w:hAnsi="宋体" w:eastAsia="宋体" w:cs="宋体"/>
          <w:color w:val="auto"/>
          <w:spacing w:val="-1"/>
          <w:sz w:val="24"/>
          <w:szCs w:val="24"/>
          <w:highlight w:val="none"/>
        </w:rPr>
        <w:t>为某投标人的商务得分，M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1"/>
          <w:sz w:val="24"/>
          <w:szCs w:val="24"/>
          <w:highlight w:val="none"/>
        </w:rPr>
        <w:t>为某投标人的</w:t>
      </w:r>
      <w:r>
        <w:rPr>
          <w:rFonts w:hint="eastAsia" w:ascii="宋体" w:hAnsi="宋体" w:eastAsia="宋体" w:cs="宋体"/>
          <w:color w:val="auto"/>
          <w:spacing w:val="-2"/>
          <w:sz w:val="24"/>
          <w:szCs w:val="24"/>
          <w:highlight w:val="none"/>
        </w:rPr>
        <w:t>技术得分。</w:t>
      </w:r>
    </w:p>
    <w:p w14:paraId="48783CD0">
      <w:pPr>
        <w:spacing w:before="153" w:line="219" w:lineRule="auto"/>
        <w:ind w:left="503"/>
        <w:outlineLvl w:val="9"/>
        <w:rPr>
          <w:rFonts w:hint="eastAsia" w:ascii="宋体" w:hAnsi="宋体" w:eastAsia="宋体" w:cs="宋体"/>
          <w:color w:val="auto"/>
          <w:sz w:val="24"/>
          <w:szCs w:val="24"/>
          <w:highlight w:val="none"/>
        </w:rPr>
      </w:pPr>
      <w:bookmarkStart w:id="116" w:name="_Toc14059"/>
      <w:bookmarkStart w:id="117" w:name="_Toc16136"/>
      <w:bookmarkStart w:id="118" w:name="_Toc3958"/>
      <w:bookmarkStart w:id="119" w:name="_Toc27609"/>
      <w:r>
        <w:rPr>
          <w:rFonts w:hint="eastAsia" w:ascii="宋体" w:hAnsi="宋体" w:eastAsia="宋体" w:cs="宋体"/>
          <w:color w:val="auto"/>
          <w:spacing w:val="-2"/>
          <w:sz w:val="24"/>
          <w:szCs w:val="24"/>
          <w:highlight w:val="none"/>
        </w:rPr>
        <w:t>（2）投标报价得分</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2"/>
          <w:sz w:val="24"/>
          <w:szCs w:val="24"/>
          <w:highlight w:val="none"/>
        </w:rPr>
        <w:t>N</w:t>
      </w:r>
      <w:bookmarkEnd w:id="116"/>
      <w:bookmarkEnd w:id="117"/>
      <w:bookmarkEnd w:id="118"/>
      <w:bookmarkEnd w:id="119"/>
    </w:p>
    <w:p w14:paraId="32CC3A83">
      <w:pPr>
        <w:spacing w:before="157" w:line="219" w:lineRule="auto"/>
        <w:ind w:firstLine="470"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a</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color w:val="auto"/>
          <w:spacing w:val="-3"/>
          <w:sz w:val="24"/>
          <w:szCs w:val="24"/>
          <w:highlight w:val="none"/>
        </w:rPr>
        <w:t>．评标委员会按照《综合评分表》投标报价部分指定的方法计</w:t>
      </w:r>
      <w:r>
        <w:rPr>
          <w:rFonts w:hint="eastAsia" w:ascii="宋体" w:hAnsi="宋体" w:eastAsia="宋体" w:cs="宋体"/>
          <w:color w:val="auto"/>
          <w:spacing w:val="-4"/>
          <w:sz w:val="24"/>
          <w:szCs w:val="24"/>
          <w:highlight w:val="none"/>
        </w:rPr>
        <w:t>算评标基准价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pacing w:val="-4"/>
          <w:sz w:val="24"/>
          <w:szCs w:val="24"/>
          <w:highlight w:val="none"/>
        </w:rPr>
        <w:t>D。</w:t>
      </w:r>
    </w:p>
    <w:p w14:paraId="244C81B9">
      <w:pPr>
        <w:spacing w:before="155" w:line="299" w:lineRule="auto"/>
        <w:ind w:left="12" w:right="83"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b</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z w:val="24"/>
          <w:szCs w:val="24"/>
          <w:highlight w:val="none"/>
        </w:rPr>
        <w:t>．采用内插法计算某投标人的投标报价得分</w:t>
      </w:r>
      <w:r>
        <w:rPr>
          <w:rFonts w:hint="eastAsia" w:ascii="宋体" w:hAnsi="宋体" w:eastAsia="宋体" w:cs="宋体"/>
          <w:color w:val="auto"/>
          <w:spacing w:val="-60"/>
          <w:sz w:val="24"/>
          <w:szCs w:val="24"/>
          <w:highlight w:val="none"/>
        </w:rPr>
        <w:t xml:space="preserve"> </w:t>
      </w:r>
      <w:r>
        <w:rPr>
          <w:rFonts w:hint="eastAsia" w:ascii="宋体" w:hAnsi="宋体" w:eastAsia="宋体" w:cs="宋体"/>
          <w:color w:val="auto"/>
          <w:sz w:val="24"/>
          <w:szCs w:val="24"/>
          <w:highlight w:val="none"/>
        </w:rPr>
        <w:t>N</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z w:val="24"/>
          <w:szCs w:val="24"/>
          <w:highlight w:val="none"/>
        </w:rPr>
        <w:t>，即当投标人的投标总价等于评</w:t>
      </w:r>
      <w:r>
        <w:rPr>
          <w:rFonts w:hint="eastAsia" w:ascii="宋体" w:hAnsi="宋体" w:eastAsia="宋体" w:cs="宋体"/>
          <w:color w:val="auto"/>
          <w:spacing w:val="-1"/>
          <w:sz w:val="24"/>
          <w:szCs w:val="24"/>
          <w:highlight w:val="none"/>
        </w:rPr>
        <w:t>标基准价时得</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100分，每高于评标基准价一个百分点扣</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1"/>
          <w:sz w:val="24"/>
          <w:szCs w:val="24"/>
          <w:highlight w:val="none"/>
        </w:rPr>
        <w:t xml:space="preserve">1分,  </w:t>
      </w:r>
      <w:r>
        <w:rPr>
          <w:rFonts w:hint="eastAsia" w:ascii="宋体" w:hAnsi="宋体" w:eastAsia="宋体" w:cs="宋体"/>
          <w:color w:val="auto"/>
          <w:spacing w:val="-2"/>
          <w:sz w:val="24"/>
          <w:szCs w:val="24"/>
          <w:highlight w:val="none"/>
        </w:rPr>
        <w:t>每低于评标基准价一个百分点扣</w:t>
      </w:r>
      <w:r>
        <w:rPr>
          <w:rFonts w:hint="eastAsia" w:ascii="宋体" w:hAnsi="宋体" w:eastAsia="宋体" w:cs="宋体"/>
          <w:color w:val="auto"/>
          <w:spacing w:val="-34"/>
          <w:sz w:val="24"/>
          <w:szCs w:val="24"/>
          <w:highlight w:val="none"/>
        </w:rPr>
        <w:t xml:space="preserve"> </w:t>
      </w:r>
      <w:r>
        <w:rPr>
          <w:rFonts w:hint="eastAsia" w:ascii="宋体" w:hAnsi="宋体" w:eastAsia="宋体" w:cs="宋体"/>
          <w:b/>
          <w:bCs/>
          <w:color w:val="auto"/>
          <w:spacing w:val="-2"/>
          <w:sz w:val="24"/>
          <w:szCs w:val="24"/>
          <w:highlight w:val="none"/>
        </w:rPr>
        <w:t>0.5 分</w:t>
      </w:r>
      <w:r>
        <w:rPr>
          <w:rFonts w:hint="eastAsia" w:ascii="宋体" w:hAnsi="宋体" w:eastAsia="宋体" w:cs="宋体"/>
          <w:color w:val="auto"/>
          <w:spacing w:val="-2"/>
          <w:sz w:val="24"/>
          <w:szCs w:val="24"/>
          <w:highlight w:val="none"/>
        </w:rPr>
        <w:t>，扣完为止。公式如下：</w:t>
      </w:r>
    </w:p>
    <w:p w14:paraId="7BBB0CF5">
      <w:pPr>
        <w:spacing w:before="118" w:line="333" w:lineRule="exact"/>
        <w:ind w:left="2418"/>
        <w:rPr>
          <w:rFonts w:hint="eastAsia" w:ascii="宋体" w:hAnsi="宋体" w:eastAsia="宋体" w:cs="宋体"/>
          <w:color w:val="auto"/>
          <w:sz w:val="24"/>
          <w:szCs w:val="24"/>
          <w:highlight w:val="none"/>
        </w:rPr>
      </w:pPr>
      <w:r>
        <w:rPr>
          <w:rFonts w:hint="eastAsia" w:ascii="宋体" w:hAnsi="宋体" w:eastAsia="宋体" w:cs="宋体"/>
          <w:color w:val="auto"/>
          <w:spacing w:val="-6"/>
          <w:position w:val="3"/>
          <w:sz w:val="24"/>
          <w:szCs w:val="24"/>
          <w:highlight w:val="none"/>
        </w:rPr>
        <w:t>N</w:t>
      </w:r>
      <w:r>
        <w:rPr>
          <w:rFonts w:hint="eastAsia" w:ascii="宋体" w:hAnsi="宋体" w:eastAsia="宋体" w:cs="宋体"/>
          <w:color w:val="auto"/>
          <w:spacing w:val="-27"/>
          <w:position w:val="3"/>
          <w:sz w:val="24"/>
          <w:szCs w:val="24"/>
          <w:highlight w:val="none"/>
        </w:rPr>
        <w:t xml:space="preserve"> </w:t>
      </w:r>
      <w:r>
        <w:rPr>
          <w:rFonts w:hint="eastAsia" w:ascii="宋体" w:hAnsi="宋体" w:eastAsia="宋体" w:cs="宋体"/>
          <w:color w:val="auto"/>
          <w:spacing w:val="-6"/>
          <w:position w:val="3"/>
          <w:sz w:val="24"/>
          <w:szCs w:val="24"/>
          <w:highlight w:val="none"/>
        </w:rPr>
        <w:t>＝100</w:t>
      </w:r>
      <w:r>
        <w:rPr>
          <w:rFonts w:hint="eastAsia" w:ascii="宋体" w:hAnsi="宋体" w:eastAsia="宋体" w:cs="宋体"/>
          <w:color w:val="auto"/>
          <w:spacing w:val="-12"/>
          <w:position w:val="3"/>
          <w:sz w:val="24"/>
          <w:szCs w:val="24"/>
          <w:highlight w:val="none"/>
        </w:rPr>
        <w:t>－（</w:t>
      </w:r>
      <w:r>
        <w:rPr>
          <w:rFonts w:hint="eastAsia" w:ascii="宋体" w:hAnsi="宋体" w:eastAsia="宋体" w:cs="宋体"/>
          <w:color w:val="auto"/>
          <w:spacing w:val="-6"/>
          <w:position w:val="3"/>
          <w:sz w:val="24"/>
          <w:szCs w:val="24"/>
          <w:highlight w:val="none"/>
        </w:rPr>
        <w:t>|  Di－D</w:t>
      </w:r>
      <w:r>
        <w:rPr>
          <w:rFonts w:hint="eastAsia" w:ascii="宋体" w:hAnsi="宋体" w:eastAsia="宋体" w:cs="宋体"/>
          <w:color w:val="auto"/>
          <w:spacing w:val="9"/>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17"/>
          <w:position w:val="3"/>
          <w:sz w:val="24"/>
          <w:szCs w:val="24"/>
          <w:highlight w:val="none"/>
        </w:rPr>
        <w:t xml:space="preserve">  </w:t>
      </w:r>
      <w:r>
        <w:rPr>
          <w:rFonts w:hint="eastAsia" w:ascii="宋体" w:hAnsi="宋体" w:eastAsia="宋体" w:cs="宋体"/>
          <w:color w:val="auto"/>
          <w:spacing w:val="-6"/>
          <w:position w:val="3"/>
          <w:sz w:val="24"/>
          <w:szCs w:val="24"/>
          <w:highlight w:val="none"/>
        </w:rPr>
        <w:t>÷D）</w:t>
      </w:r>
      <w:r>
        <w:rPr>
          <w:rFonts w:hint="eastAsia" w:ascii="宋体" w:hAnsi="宋体" w:eastAsia="宋体" w:cs="宋体"/>
          <w:color w:val="auto"/>
          <w:spacing w:val="-75"/>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92"/>
          <w:position w:val="3"/>
          <w:sz w:val="24"/>
          <w:szCs w:val="24"/>
          <w:highlight w:val="none"/>
        </w:rPr>
        <w:t xml:space="preserve"> </w:t>
      </w:r>
      <w:r>
        <w:rPr>
          <w:rFonts w:hint="eastAsia" w:ascii="宋体" w:hAnsi="宋体" w:eastAsia="宋体" w:cs="宋体"/>
          <w:color w:val="auto"/>
          <w:spacing w:val="-6"/>
          <w:position w:val="3"/>
          <w:sz w:val="24"/>
          <w:szCs w:val="24"/>
          <w:highlight w:val="none"/>
        </w:rPr>
        <w:t>100×E</w:t>
      </w:r>
    </w:p>
    <w:p w14:paraId="2D2C5A9B">
      <w:pPr>
        <w:spacing w:before="106" w:line="316" w:lineRule="auto"/>
        <w:ind w:left="7" w:right="17" w:firstLine="489"/>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式中：D 为评标基准价；Di</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为某投标人的投标总价；E</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为扣分因子，当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9"/>
          <w:sz w:val="24"/>
          <w:szCs w:val="24"/>
          <w:highlight w:val="none"/>
        </w:rPr>
        <w:t>Di＞D</w:t>
      </w:r>
      <w:r>
        <w:rPr>
          <w:rFonts w:hint="eastAsia" w:ascii="宋体" w:hAnsi="宋体" w:eastAsia="宋体" w:cs="宋体"/>
          <w:color w:val="auto"/>
          <w:spacing w:val="22"/>
          <w:w w:val="101"/>
          <w:sz w:val="24"/>
          <w:szCs w:val="24"/>
          <w:highlight w:val="none"/>
        </w:rPr>
        <w:t xml:space="preserve"> </w:t>
      </w:r>
      <w:r>
        <w:rPr>
          <w:rFonts w:hint="eastAsia" w:ascii="宋体" w:hAnsi="宋体" w:eastAsia="宋体" w:cs="宋体"/>
          <w:color w:val="auto"/>
          <w:spacing w:val="-10"/>
          <w:sz w:val="24"/>
          <w:szCs w:val="24"/>
          <w:highlight w:val="none"/>
        </w:rPr>
        <w:t>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E</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8"/>
          <w:sz w:val="24"/>
          <w:szCs w:val="24"/>
          <w:highlight w:val="none"/>
        </w:rPr>
        <w:t>＝</w:t>
      </w:r>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30"/>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color w:val="auto"/>
          <w:spacing w:val="-8"/>
          <w:sz w:val="24"/>
          <w:szCs w:val="24"/>
          <w:highlight w:val="none"/>
        </w:rPr>
        <w:t>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8"/>
          <w:sz w:val="24"/>
          <w:szCs w:val="24"/>
          <w:highlight w:val="none"/>
        </w:rPr>
        <w:t>Di＜D</w:t>
      </w:r>
      <w:r>
        <w:rPr>
          <w:rFonts w:hint="eastAsia" w:ascii="宋体" w:hAnsi="宋体" w:eastAsia="宋体" w:cs="宋体"/>
          <w:color w:val="auto"/>
          <w:spacing w:val="20"/>
          <w:w w:val="101"/>
          <w:sz w:val="24"/>
          <w:szCs w:val="24"/>
          <w:highlight w:val="none"/>
        </w:rPr>
        <w:t xml:space="preserve"> </w:t>
      </w:r>
      <w:r>
        <w:rPr>
          <w:rFonts w:hint="eastAsia" w:ascii="宋体" w:hAnsi="宋体" w:eastAsia="宋体" w:cs="宋体"/>
          <w:color w:val="auto"/>
          <w:spacing w:val="-8"/>
          <w:sz w:val="24"/>
          <w:szCs w:val="24"/>
          <w:highlight w:val="none"/>
        </w:rPr>
        <w:t>时，E</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＝0.5。</w:t>
      </w:r>
    </w:p>
    <w:p w14:paraId="25245EA0">
      <w:pPr>
        <w:spacing w:before="95" w:line="220" w:lineRule="auto"/>
        <w:ind w:left="503"/>
        <w:outlineLvl w:val="9"/>
        <w:rPr>
          <w:rFonts w:hint="eastAsia" w:ascii="宋体" w:hAnsi="宋体" w:eastAsia="宋体" w:cs="宋体"/>
          <w:color w:val="auto"/>
          <w:sz w:val="24"/>
          <w:szCs w:val="24"/>
          <w:highlight w:val="none"/>
        </w:rPr>
      </w:pPr>
      <w:bookmarkStart w:id="120" w:name="_Toc576"/>
      <w:bookmarkStart w:id="121" w:name="_Toc3861"/>
      <w:bookmarkStart w:id="122" w:name="_Toc4990"/>
      <w:bookmarkStart w:id="123" w:name="_Toc7915"/>
      <w:r>
        <w:rPr>
          <w:rFonts w:hint="eastAsia" w:ascii="宋体" w:hAnsi="宋体" w:eastAsia="宋体" w:cs="宋体"/>
          <w:color w:val="auto"/>
          <w:spacing w:val="-3"/>
          <w:sz w:val="24"/>
          <w:szCs w:val="24"/>
          <w:highlight w:val="none"/>
        </w:rPr>
        <w:t>（3）综合得分</w:t>
      </w:r>
      <w:bookmarkEnd w:id="120"/>
      <w:bookmarkEnd w:id="121"/>
      <w:bookmarkEnd w:id="122"/>
      <w:bookmarkEnd w:id="123"/>
    </w:p>
    <w:p w14:paraId="0F362937">
      <w:pPr>
        <w:spacing w:before="153" w:line="220" w:lineRule="auto"/>
        <w:ind w:left="49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综合得分换算为百分制，满分</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2"/>
          <w:sz w:val="24"/>
          <w:szCs w:val="24"/>
          <w:highlight w:val="none"/>
        </w:rPr>
        <w:t>100 分，公式如下：</w:t>
      </w:r>
    </w:p>
    <w:p w14:paraId="0C5D7075">
      <w:pPr>
        <w:spacing w:before="155" w:line="324" w:lineRule="auto"/>
        <w:ind w:left="496" w:right="532" w:hanging="33"/>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综合得分＝M÷商务技术合计满分×100</w:t>
      </w:r>
      <w:r>
        <w:rPr>
          <w:rFonts w:hint="eastAsia" w:ascii="宋体" w:hAnsi="宋体" w:eastAsia="宋体" w:cs="宋体"/>
          <w:color w:val="auto"/>
          <w:spacing w:val="-1"/>
          <w:sz w:val="24"/>
          <w:szCs w:val="24"/>
          <w:highlight w:val="none"/>
        </w:rPr>
        <w:t>×商务技术权重＋N×投标报价权重</w:t>
      </w:r>
    </w:p>
    <w:p w14:paraId="22FAA7C0">
      <w:pPr>
        <w:spacing w:before="155" w:line="324" w:lineRule="auto"/>
        <w:ind w:left="496" w:right="532" w:hanging="3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 为商务技术得分，N 为投标报价得分。</w:t>
      </w:r>
    </w:p>
    <w:p w14:paraId="018D3E19">
      <w:pPr>
        <w:pStyle w:val="5"/>
        <w:spacing w:line="304" w:lineRule="auto"/>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（4）评标委员会汇总、比较所有投标人的综合得分后，取综合得分最高的投标人为第一中标候选人，取综合得分第二、第三高的投标人为第二、第三中标候选人。 如果最高综合得分相同，取投标总价低者为第一中标候选人，并依此确定第二、第三 中标候选人。如果最高综合得分相同，投标总价也相同，由评标委员会投票确定。</w:t>
      </w:r>
    </w:p>
    <w:p w14:paraId="2C7B650C">
      <w:pPr>
        <w:rPr>
          <w:rFonts w:hint="eastAsia"/>
          <w:color w:val="auto"/>
          <w:highlight w:val="none"/>
        </w:rPr>
      </w:pPr>
    </w:p>
    <w:p w14:paraId="1DAED1C9">
      <w:pPr>
        <w:rPr>
          <w:rFonts w:hint="eastAsia" w:ascii="宋体" w:hAnsi="宋体" w:eastAsia="宋体" w:cs="宋体"/>
          <w:b/>
          <w:bCs/>
          <w:color w:val="auto"/>
          <w:spacing w:val="-6"/>
          <w:sz w:val="30"/>
          <w:szCs w:val="30"/>
          <w:highlight w:val="none"/>
        </w:rPr>
      </w:pPr>
      <w:bookmarkStart w:id="124" w:name="_Toc17375"/>
      <w:bookmarkStart w:id="125" w:name="_Toc16801"/>
      <w:bookmarkStart w:id="126" w:name="_Toc3020"/>
    </w:p>
    <w:p w14:paraId="40D4E59D">
      <w:pPr>
        <w:spacing w:before="98" w:line="221" w:lineRule="auto"/>
        <w:ind w:left="4248"/>
        <w:outlineLvl w:val="9"/>
        <w:rPr>
          <w:rFonts w:hint="eastAsia" w:ascii="宋体" w:hAnsi="宋体" w:eastAsia="宋体" w:cs="宋体"/>
          <w:b/>
          <w:bCs/>
          <w:color w:val="auto"/>
          <w:spacing w:val="-6"/>
          <w:sz w:val="30"/>
          <w:szCs w:val="30"/>
          <w:highlight w:val="none"/>
        </w:rPr>
      </w:pPr>
      <w:r>
        <w:rPr>
          <w:rFonts w:hint="eastAsia" w:ascii="宋体" w:hAnsi="宋体" w:eastAsia="宋体" w:cs="宋体"/>
          <w:b/>
          <w:bCs/>
          <w:color w:val="auto"/>
          <w:spacing w:val="-6"/>
          <w:sz w:val="30"/>
          <w:szCs w:val="30"/>
          <w:highlight w:val="none"/>
        </w:rPr>
        <w:t>综合评分表</w:t>
      </w:r>
      <w:bookmarkEnd w:id="124"/>
      <w:bookmarkEnd w:id="125"/>
      <w:bookmarkEnd w:id="126"/>
    </w:p>
    <w:tbl>
      <w:tblPr>
        <w:tblStyle w:val="14"/>
        <w:tblW w:w="104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1"/>
        <w:gridCol w:w="168"/>
        <w:gridCol w:w="3700"/>
        <w:gridCol w:w="5065"/>
      </w:tblGrid>
      <w:tr w14:paraId="5FB65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7D7D7"/>
            <w:noWrap w:val="0"/>
            <w:vAlign w:val="center"/>
          </w:tcPr>
          <w:p w14:paraId="248FBA9C">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both"/>
              <w:textAlignment w:val="auto"/>
              <w:rPr>
                <w:rFonts w:hint="eastAsia" w:ascii="宋体" w:hAnsi="宋体" w:eastAsia="宋体" w:cs="宋体"/>
                <w:b/>
                <w:bCs/>
                <w:caps w:val="0"/>
                <w:smallCaps w:val="0"/>
                <w:snapToGrid w:val="0"/>
                <w:color w:val="auto"/>
                <w:spacing w:val="0"/>
                <w:kern w:val="0"/>
                <w:sz w:val="24"/>
                <w:szCs w:val="24"/>
                <w:highlight w:val="none"/>
                <w:lang w:eastAsia="zh-CN"/>
              </w:rPr>
            </w:pPr>
            <w:bookmarkStart w:id="127" w:name="_Toc9725"/>
            <w:bookmarkStart w:id="128" w:name="_Toc17436"/>
            <w:bookmarkStart w:id="129" w:name="_Toc31744"/>
            <w:bookmarkStart w:id="130" w:name="_Toc5769"/>
            <w:r>
              <w:rPr>
                <w:rFonts w:hint="eastAsia" w:ascii="宋体" w:hAnsi="宋体" w:eastAsia="宋体" w:cs="宋体"/>
                <w:b/>
                <w:bCs/>
                <w:caps w:val="0"/>
                <w:smallCaps w:val="0"/>
                <w:snapToGrid w:val="0"/>
                <w:color w:val="auto"/>
                <w:spacing w:val="0"/>
                <w:kern w:val="0"/>
                <w:sz w:val="24"/>
                <w:szCs w:val="24"/>
                <w:highlight w:val="none"/>
                <w:lang w:eastAsia="zh-CN"/>
              </w:rPr>
              <w:t>商务部分，满分：</w:t>
            </w:r>
            <w:r>
              <w:rPr>
                <w:rFonts w:hint="eastAsia" w:ascii="宋体" w:hAnsi="宋体" w:eastAsia="宋体" w:cs="宋体"/>
                <w:b/>
                <w:bCs/>
                <w:caps w:val="0"/>
                <w:smallCaps w:val="0"/>
                <w:snapToGrid w:val="0"/>
                <w:color w:val="auto"/>
                <w:spacing w:val="0"/>
                <w:kern w:val="0"/>
                <w:sz w:val="24"/>
                <w:szCs w:val="24"/>
                <w:highlight w:val="none"/>
                <w:u w:val="single"/>
                <w:lang w:val="en-US" w:eastAsia="zh-CN"/>
              </w:rPr>
              <w:t xml:space="preserve"> 80 </w:t>
            </w:r>
            <w:r>
              <w:rPr>
                <w:rFonts w:hint="eastAsia" w:ascii="宋体" w:hAnsi="宋体" w:eastAsia="宋体" w:cs="宋体"/>
                <w:b/>
                <w:bCs/>
                <w:caps w:val="0"/>
                <w:smallCaps w:val="0"/>
                <w:snapToGrid w:val="0"/>
                <w:color w:val="auto"/>
                <w:spacing w:val="0"/>
                <w:kern w:val="0"/>
                <w:sz w:val="24"/>
                <w:szCs w:val="24"/>
                <w:highlight w:val="none"/>
                <w:lang w:val="en-US" w:eastAsia="zh-CN"/>
              </w:rPr>
              <w:t>分。</w:t>
            </w:r>
          </w:p>
        </w:tc>
      </w:tr>
      <w:tr w14:paraId="3362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835041F">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eastAsia="zh-CN"/>
              </w:rPr>
            </w:pPr>
            <w:r>
              <w:rPr>
                <w:rFonts w:hint="eastAsia" w:ascii="宋体" w:hAnsi="宋体" w:eastAsia="宋体" w:cs="宋体"/>
                <w:b/>
                <w:bCs/>
                <w:caps w:val="0"/>
                <w:smallCaps w:val="0"/>
                <w:snapToGrid w:val="0"/>
                <w:color w:val="auto"/>
                <w:spacing w:val="0"/>
                <w:kern w:val="0"/>
                <w:sz w:val="24"/>
                <w:szCs w:val="24"/>
                <w:highlight w:val="none"/>
                <w:lang w:eastAsia="zh-CN"/>
              </w:rPr>
              <w:t>评分因素</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5109D750">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eastAsia="zh-CN"/>
              </w:rPr>
            </w:pPr>
            <w:r>
              <w:rPr>
                <w:rFonts w:hint="eastAsia" w:ascii="宋体" w:hAnsi="宋体" w:eastAsia="宋体" w:cs="宋体"/>
                <w:b/>
                <w:bCs/>
                <w:caps w:val="0"/>
                <w:smallCaps w:val="0"/>
                <w:snapToGrid w:val="0"/>
                <w:color w:val="auto"/>
                <w:spacing w:val="0"/>
                <w:kern w:val="0"/>
                <w:sz w:val="24"/>
                <w:szCs w:val="24"/>
                <w:highlight w:val="none"/>
                <w:lang w:eastAsia="zh-CN"/>
              </w:rPr>
              <w:t>评分标准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72014B04">
            <w:pPr>
              <w:pStyle w:val="5"/>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rPr>
                <w:rFonts w:hint="eastAsia" w:ascii="宋体" w:hAnsi="宋体" w:eastAsia="宋体" w:cs="宋体"/>
                <w:b/>
                <w:bCs/>
                <w:caps w:val="0"/>
                <w:smallCaps w:val="0"/>
                <w:snapToGrid w:val="0"/>
                <w:color w:val="auto"/>
                <w:spacing w:val="0"/>
                <w:kern w:val="0"/>
                <w:sz w:val="24"/>
                <w:szCs w:val="24"/>
                <w:highlight w:val="none"/>
                <w:lang w:val="en-US" w:eastAsia="zh-CN"/>
              </w:rPr>
            </w:pPr>
            <w:r>
              <w:rPr>
                <w:rFonts w:hint="eastAsia" w:ascii="宋体" w:hAnsi="宋体" w:eastAsia="宋体" w:cs="宋体"/>
                <w:b/>
                <w:bCs/>
                <w:caps w:val="0"/>
                <w:smallCaps w:val="0"/>
                <w:snapToGrid w:val="0"/>
                <w:color w:val="auto"/>
                <w:spacing w:val="0"/>
                <w:kern w:val="0"/>
                <w:sz w:val="24"/>
                <w:szCs w:val="24"/>
                <w:highlight w:val="none"/>
                <w:lang w:val="en-US" w:eastAsia="zh-CN"/>
              </w:rPr>
              <w:t>备注</w:t>
            </w:r>
          </w:p>
        </w:tc>
      </w:tr>
      <w:tr w14:paraId="5BE3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76D9FFBC">
            <w:pPr>
              <w:pStyle w:val="5"/>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企业奖项</w:t>
            </w:r>
          </w:p>
          <w:p w14:paraId="2355EF7A">
            <w:pPr>
              <w:pStyle w:val="5"/>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（10分）</w:t>
            </w:r>
          </w:p>
          <w:p w14:paraId="581C56A1">
            <w:pPr>
              <w:pStyle w:val="5"/>
              <w:keepNext w:val="0"/>
              <w:keepLines w:val="0"/>
              <w:pageBreakBefore w:val="0"/>
              <w:widowControl w:val="0"/>
              <w:kinsoku/>
              <w:wordWrap w:val="0"/>
              <w:overflowPunct/>
              <w:topLinePunct w:val="0"/>
              <w:autoSpaceDE/>
              <w:autoSpaceDN/>
              <w:bidi w:val="0"/>
              <w:adjustRightInd/>
              <w:snapToGrid/>
              <w:spacing w:after="0" w:line="400" w:lineRule="exact"/>
              <w:jc w:val="center"/>
              <w:textAlignment w:val="auto"/>
              <w:rPr>
                <w:rFonts w:hint="eastAsia" w:ascii="宋体" w:hAnsi="宋体" w:eastAsia="宋体" w:cs="宋体"/>
                <w:snapToGrid w:val="0"/>
                <w:color w:val="auto"/>
                <w:kern w:val="0"/>
                <w:sz w:val="22"/>
                <w:szCs w:val="22"/>
                <w:highlight w:val="none"/>
                <w:lang w:val="en-US" w:eastAsia="zh-CN" w:bidi="ar-SA"/>
              </w:rPr>
            </w:pP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768E1588">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企业近 5 年来（202</w:t>
            </w:r>
            <w:r>
              <w:rPr>
                <w:rFonts w:hint="eastAsia" w:ascii="宋体" w:hAnsi="宋体" w:eastAsia="宋体" w:cs="宋体"/>
                <w:snapToGrid w:val="0"/>
                <w:color w:val="auto"/>
                <w:kern w:val="0"/>
                <w:sz w:val="22"/>
                <w:szCs w:val="22"/>
                <w:highlight w:val="none"/>
                <w:lang w:val="en-US" w:eastAsia="zh-CN"/>
              </w:rPr>
              <w:t>1</w:t>
            </w:r>
            <w:r>
              <w:rPr>
                <w:rFonts w:hint="eastAsia" w:ascii="宋体" w:hAnsi="宋体" w:eastAsia="宋体" w:cs="宋体"/>
                <w:snapToGrid w:val="0"/>
                <w:color w:val="auto"/>
                <w:kern w:val="0"/>
                <w:sz w:val="22"/>
                <w:szCs w:val="22"/>
                <w:highlight w:val="none"/>
              </w:rPr>
              <w:t>年1月1日至今）</w:t>
            </w:r>
            <w:r>
              <w:rPr>
                <w:rFonts w:hint="eastAsia" w:ascii="宋体" w:hAnsi="宋体" w:eastAsia="宋体" w:cs="宋体"/>
                <w:snapToGrid w:val="0"/>
                <w:color w:val="auto"/>
                <w:kern w:val="0"/>
                <w:sz w:val="22"/>
                <w:szCs w:val="22"/>
                <w:highlight w:val="none"/>
                <w:lang w:val="en-US" w:eastAsia="zh-CN"/>
              </w:rPr>
              <w:t>获得</w:t>
            </w:r>
            <w:r>
              <w:rPr>
                <w:rFonts w:hint="eastAsia" w:ascii="宋体" w:hAnsi="宋体" w:eastAsia="宋体" w:cs="宋体"/>
                <w:snapToGrid w:val="0"/>
                <w:color w:val="auto"/>
                <w:kern w:val="0"/>
                <w:sz w:val="22"/>
                <w:szCs w:val="22"/>
                <w:highlight w:val="none"/>
                <w:u w:val="single"/>
                <w:lang w:val="en-US" w:eastAsia="zh-CN"/>
              </w:rPr>
              <w:t>房屋建筑或市政</w:t>
            </w:r>
            <w:r>
              <w:rPr>
                <w:rFonts w:hint="eastAsia" w:ascii="宋体" w:hAnsi="宋体" w:eastAsia="宋体" w:cs="宋体"/>
                <w:snapToGrid w:val="0"/>
                <w:color w:val="auto"/>
                <w:kern w:val="0"/>
                <w:sz w:val="22"/>
                <w:szCs w:val="22"/>
                <w:highlight w:val="none"/>
                <w:u w:val="none"/>
                <w:lang w:val="en-US" w:eastAsia="zh-CN"/>
              </w:rPr>
              <w:t>工程类</w:t>
            </w:r>
            <w:r>
              <w:rPr>
                <w:rFonts w:hint="eastAsia" w:ascii="宋体" w:hAnsi="宋体" w:eastAsia="宋体" w:cs="宋体"/>
                <w:snapToGrid w:val="0"/>
                <w:color w:val="auto"/>
                <w:kern w:val="0"/>
                <w:sz w:val="22"/>
                <w:szCs w:val="22"/>
                <w:highlight w:val="none"/>
                <w:lang w:val="en-US" w:eastAsia="zh-CN"/>
              </w:rPr>
              <w:t>奖项情况</w:t>
            </w:r>
            <w:r>
              <w:rPr>
                <w:rFonts w:hint="eastAsia" w:ascii="宋体" w:hAnsi="宋体" w:eastAsia="宋体" w:cs="宋体"/>
                <w:snapToGrid w:val="0"/>
                <w:color w:val="auto"/>
                <w:kern w:val="0"/>
                <w:sz w:val="22"/>
                <w:szCs w:val="22"/>
                <w:highlight w:val="none"/>
              </w:rPr>
              <w:t>（</w:t>
            </w:r>
            <w:r>
              <w:rPr>
                <w:rFonts w:hint="eastAsia" w:ascii="宋体" w:hAnsi="宋体" w:eastAsia="宋体" w:cs="宋体"/>
                <w:snapToGrid w:val="0"/>
                <w:color w:val="auto"/>
                <w:kern w:val="0"/>
                <w:sz w:val="22"/>
                <w:szCs w:val="22"/>
                <w:highlight w:val="none"/>
                <w:lang w:val="en-US" w:eastAsia="zh-CN"/>
              </w:rPr>
              <w:t>不</w:t>
            </w:r>
            <w:r>
              <w:rPr>
                <w:rFonts w:hint="eastAsia" w:ascii="宋体" w:hAnsi="宋体" w:eastAsia="宋体" w:cs="宋体"/>
                <w:snapToGrid w:val="0"/>
                <w:color w:val="auto"/>
                <w:kern w:val="0"/>
                <w:sz w:val="22"/>
                <w:szCs w:val="22"/>
                <w:highlight w:val="none"/>
              </w:rPr>
              <w:t>含参建</w:t>
            </w:r>
            <w:r>
              <w:rPr>
                <w:rFonts w:hint="eastAsia" w:ascii="宋体" w:hAnsi="宋体" w:eastAsia="宋体" w:cs="宋体"/>
                <w:snapToGrid w:val="0"/>
                <w:color w:val="auto"/>
                <w:kern w:val="0"/>
                <w:sz w:val="22"/>
                <w:szCs w:val="22"/>
                <w:highlight w:val="none"/>
                <w:lang w:val="en-US" w:eastAsia="zh-CN"/>
              </w:rPr>
              <w:t>项目</w:t>
            </w:r>
            <w:r>
              <w:rPr>
                <w:rFonts w:hint="eastAsia" w:ascii="宋体" w:hAnsi="宋体" w:eastAsia="宋体" w:cs="宋体"/>
                <w:snapToGrid w:val="0"/>
                <w:color w:val="auto"/>
                <w:kern w:val="0"/>
                <w:sz w:val="22"/>
                <w:szCs w:val="22"/>
                <w:highlight w:val="none"/>
              </w:rPr>
              <w:t>）：</w:t>
            </w:r>
          </w:p>
          <w:p w14:paraId="0F1717CF">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lang w:eastAsia="zh-CN"/>
              </w:rPr>
            </w:pPr>
            <w:r>
              <w:rPr>
                <w:rFonts w:hint="eastAsia" w:ascii="宋体" w:hAnsi="宋体" w:eastAsia="宋体" w:cs="宋体"/>
                <w:snapToGrid w:val="0"/>
                <w:color w:val="auto"/>
                <w:kern w:val="0"/>
                <w:sz w:val="22"/>
                <w:szCs w:val="22"/>
                <w:highlight w:val="none"/>
              </w:rPr>
              <w:t>1．获得国家级奖项的，每个得</w:t>
            </w:r>
            <w:r>
              <w:rPr>
                <w:rFonts w:hint="eastAsia" w:ascii="宋体" w:hAnsi="宋体" w:eastAsia="宋体" w:cs="宋体"/>
                <w:snapToGrid w:val="0"/>
                <w:color w:val="auto"/>
                <w:kern w:val="0"/>
                <w:sz w:val="22"/>
                <w:szCs w:val="22"/>
                <w:highlight w:val="none"/>
                <w:u w:val="single"/>
                <w:lang w:val="en-US" w:eastAsia="zh-CN"/>
              </w:rPr>
              <w:t>8</w:t>
            </w:r>
          </w:p>
          <w:p w14:paraId="09225D2E">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分。 </w:t>
            </w:r>
          </w:p>
          <w:p w14:paraId="22FA75A0">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2．获得省级奖项的，每个得 </w:t>
            </w:r>
            <w:r>
              <w:rPr>
                <w:rFonts w:hint="eastAsia" w:ascii="宋体" w:hAnsi="宋体" w:eastAsia="宋体" w:cs="宋体"/>
                <w:snapToGrid w:val="0"/>
                <w:color w:val="auto"/>
                <w:kern w:val="0"/>
                <w:sz w:val="22"/>
                <w:szCs w:val="22"/>
                <w:highlight w:val="none"/>
                <w:u w:val="single"/>
                <w:lang w:val="en-US" w:eastAsia="zh-CN"/>
              </w:rPr>
              <w:t>4</w:t>
            </w:r>
            <w:r>
              <w:rPr>
                <w:rFonts w:hint="eastAsia" w:ascii="宋体" w:hAnsi="宋体" w:eastAsia="宋体" w:cs="宋体"/>
                <w:snapToGrid w:val="0"/>
                <w:color w:val="auto"/>
                <w:kern w:val="0"/>
                <w:sz w:val="22"/>
                <w:szCs w:val="22"/>
                <w:highlight w:val="none"/>
              </w:rPr>
              <w:t>分。</w:t>
            </w:r>
          </w:p>
          <w:p w14:paraId="2D0AC1D2">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u w:val="single"/>
                <w:lang w:eastAsia="zh-CN"/>
              </w:rPr>
            </w:pPr>
            <w:r>
              <w:rPr>
                <w:rFonts w:hint="eastAsia" w:ascii="宋体" w:hAnsi="宋体" w:eastAsia="宋体" w:cs="宋体"/>
                <w:snapToGrid w:val="0"/>
                <w:color w:val="auto"/>
                <w:kern w:val="0"/>
                <w:sz w:val="22"/>
                <w:szCs w:val="22"/>
                <w:highlight w:val="none"/>
              </w:rPr>
              <w:t xml:space="preserve">3．获得地市级奖项的，每个得 </w:t>
            </w:r>
            <w:r>
              <w:rPr>
                <w:rFonts w:hint="eastAsia" w:ascii="宋体" w:hAnsi="宋体" w:eastAsia="宋体" w:cs="宋体"/>
                <w:snapToGrid w:val="0"/>
                <w:color w:val="auto"/>
                <w:kern w:val="0"/>
                <w:sz w:val="22"/>
                <w:szCs w:val="22"/>
                <w:highlight w:val="none"/>
                <w:u w:val="single"/>
                <w:lang w:val="en-US" w:eastAsia="zh-CN"/>
              </w:rPr>
              <w:t>2</w:t>
            </w:r>
          </w:p>
          <w:p w14:paraId="581FA834">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分。 </w:t>
            </w:r>
          </w:p>
          <w:p w14:paraId="5D8F8CFA">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4．以上奖项均未获得的，不予计分。</w:t>
            </w:r>
          </w:p>
          <w:p w14:paraId="648F0579">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b/>
                <w:bCs/>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5．</w:t>
            </w:r>
            <w:r>
              <w:rPr>
                <w:rFonts w:hint="eastAsia" w:ascii="宋体" w:hAnsi="宋体" w:eastAsia="宋体" w:cs="宋体"/>
                <w:b/>
                <w:bCs/>
                <w:snapToGrid w:val="0"/>
                <w:color w:val="auto"/>
                <w:kern w:val="0"/>
                <w:sz w:val="22"/>
                <w:szCs w:val="22"/>
                <w:highlight w:val="none"/>
              </w:rPr>
              <w:t>本项最高得 10 分。</w:t>
            </w:r>
          </w:p>
          <w:p w14:paraId="7AF4F523">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lang w:val="en-US" w:eastAsia="zh-CN" w:bidi="ar-SA"/>
              </w:rPr>
            </w:pPr>
          </w:p>
        </w:tc>
        <w:tc>
          <w:tcPr>
            <w:tcW w:w="5065" w:type="dxa"/>
            <w:tcBorders>
              <w:top w:val="single" w:color="auto" w:sz="4" w:space="0"/>
              <w:left w:val="single" w:color="auto" w:sz="4" w:space="0"/>
              <w:bottom w:val="single" w:color="auto" w:sz="4" w:space="0"/>
              <w:right w:val="single" w:color="auto" w:sz="4" w:space="0"/>
            </w:tcBorders>
            <w:noWrap w:val="0"/>
            <w:vAlign w:val="center"/>
          </w:tcPr>
          <w:p w14:paraId="62504F23">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1.允许投标人提交多个业绩，但同一业绩只按最高级别奖项计分一次。</w:t>
            </w:r>
          </w:p>
          <w:p w14:paraId="14730929">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w:t>
            </w:r>
            <w:r>
              <w:rPr>
                <w:rFonts w:hint="eastAsia" w:ascii="宋体" w:hAnsi="宋体" w:eastAsia="宋体" w:cs="宋体"/>
                <w:b/>
                <w:bCs/>
                <w:snapToGrid w:val="0"/>
                <w:color w:val="auto"/>
                <w:kern w:val="0"/>
                <w:sz w:val="22"/>
                <w:szCs w:val="22"/>
                <w:highlight w:val="none"/>
              </w:rPr>
              <w:t>需附有关奖项证明彩色扫描件，同时提供原件供核对（奖项证明为电子证书的除外）</w:t>
            </w:r>
            <w:r>
              <w:rPr>
                <w:rFonts w:hint="eastAsia" w:ascii="宋体" w:hAnsi="宋体" w:eastAsia="宋体" w:cs="宋体"/>
                <w:snapToGrid w:val="0"/>
                <w:color w:val="auto"/>
                <w:kern w:val="0"/>
                <w:sz w:val="22"/>
                <w:szCs w:val="22"/>
                <w:highlight w:val="none"/>
              </w:rPr>
              <w:t>。</w:t>
            </w:r>
          </w:p>
          <w:p w14:paraId="52E374F7">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3.颁发机构限定以下范围：</w:t>
            </w:r>
          </w:p>
          <w:p w14:paraId="70C6C749">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①国家级奖项：国务院、住建部、中国建筑业协会、中国市政行业协会；（相关协会需经民政部门备案）；</w:t>
            </w:r>
          </w:p>
          <w:p w14:paraId="2DEAE535">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②省级奖项：省级建设行政主管部门、省级建筑行业协会、省级建筑安全协会、省市政行业协会；（相关协会需经民政部门备案）；</w:t>
            </w:r>
          </w:p>
          <w:p w14:paraId="796E25D5">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③地市级奖项：市级建设行政主管部门、市级建筑行业协会、地市级市政行业协会。（相关协会需经民政部门备案）。</w:t>
            </w:r>
          </w:p>
          <w:p w14:paraId="0C4C7B64">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4.获奖时间以奖项证明的落款日期为准。</w:t>
            </w:r>
          </w:p>
          <w:p w14:paraId="67FEA784">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5．任一奖项有以下情形之一的，该奖项视为无效，不予计分：</w:t>
            </w:r>
          </w:p>
          <w:p w14:paraId="2030463B">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①未</w:t>
            </w:r>
            <w:r>
              <w:rPr>
                <w:rFonts w:hint="eastAsia" w:ascii="宋体" w:hAnsi="宋体" w:eastAsia="宋体" w:cs="宋体"/>
                <w:snapToGrid w:val="0"/>
                <w:color w:val="auto"/>
                <w:kern w:val="0"/>
                <w:sz w:val="22"/>
                <w:szCs w:val="22"/>
                <w:highlight w:val="none"/>
                <w:lang w:val="en-US" w:eastAsia="zh-CN"/>
              </w:rPr>
              <w:t>提供奖项原件的</w:t>
            </w:r>
            <w:r>
              <w:rPr>
                <w:rFonts w:hint="eastAsia" w:ascii="宋体" w:hAnsi="宋体" w:eastAsia="宋体" w:cs="宋体"/>
                <w:snapToGrid w:val="0"/>
                <w:color w:val="auto"/>
                <w:kern w:val="0"/>
                <w:sz w:val="22"/>
                <w:szCs w:val="22"/>
                <w:highlight w:val="none"/>
              </w:rPr>
              <w:t>；</w:t>
            </w:r>
          </w:p>
          <w:p w14:paraId="3BBC6C71">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②奖项不属于指定类别的；</w:t>
            </w:r>
          </w:p>
          <w:p w14:paraId="74C77B06">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③颁发机构不符合要求的；</w:t>
            </w:r>
          </w:p>
          <w:p w14:paraId="7B6A940A">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④获奖时间不符合要求的。</w:t>
            </w:r>
          </w:p>
          <w:p w14:paraId="6D02A37B">
            <w:pPr>
              <w:pStyle w:val="5"/>
              <w:keepNext w:val="0"/>
              <w:keepLines w:val="0"/>
              <w:pageBreakBefore w:val="0"/>
              <w:widowControl w:val="0"/>
              <w:kinsoku/>
              <w:wordWrap w:val="0"/>
              <w:overflowPunct/>
              <w:topLinePunct w:val="0"/>
              <w:autoSpaceDE/>
              <w:autoSpaceDN/>
              <w:bidi w:val="0"/>
              <w:adjustRightInd/>
              <w:snapToGrid/>
              <w:spacing w:after="0" w:line="400" w:lineRule="exact"/>
              <w:textAlignment w:val="auto"/>
              <w:rPr>
                <w:rFonts w:hint="eastAsia"/>
                <w:color w:val="auto"/>
                <w:sz w:val="22"/>
                <w:szCs w:val="22"/>
                <w:highlight w:val="none"/>
                <w:lang w:val="en-US" w:eastAsia="zh-CN"/>
              </w:rPr>
            </w:pPr>
            <w:r>
              <w:rPr>
                <w:rFonts w:hint="eastAsia" w:ascii="宋体" w:hAnsi="宋体" w:eastAsia="宋体" w:cs="宋体"/>
                <w:b/>
                <w:bCs/>
                <w:snapToGrid w:val="0"/>
                <w:color w:val="auto"/>
                <w:kern w:val="0"/>
                <w:sz w:val="22"/>
                <w:szCs w:val="22"/>
                <w:highlight w:val="none"/>
              </w:rPr>
              <w:t>说明：以上所称“要求 ”均指本表评分标准及备注的要求，下同。</w:t>
            </w:r>
          </w:p>
        </w:tc>
      </w:tr>
      <w:tr w14:paraId="48A4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570DD20">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w:t>
            </w:r>
          </w:p>
          <w:p w14:paraId="3981C759">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综合素质</w:t>
            </w:r>
          </w:p>
          <w:p w14:paraId="59BC31CC">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（10分）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6E79CB2">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项目经理具备工程类技术职称情况：</w:t>
            </w:r>
          </w:p>
          <w:p w14:paraId="2C80F617">
            <w:pPr>
              <w:widowControl w:val="0"/>
              <w:numPr>
                <w:ilvl w:val="0"/>
                <w:numId w:val="0"/>
              </w:numPr>
              <w:wordWrap w:val="0"/>
              <w:adjustRightInd w:val="0"/>
              <w:snapToGrid w:val="0"/>
              <w:spacing w:after="0" w:afterLines="0" w:afterAutospacing="0" w:line="400" w:lineRule="exact"/>
              <w:jc w:val="both"/>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1.具备中级工程师或以上职称的，得</w:t>
            </w:r>
            <w:r>
              <w:rPr>
                <w:rFonts w:hint="eastAsia" w:ascii="宋体" w:hAnsi="宋体" w:eastAsia="宋体" w:cs="宋体"/>
                <w:snapToGrid w:val="0"/>
                <w:color w:val="auto"/>
                <w:kern w:val="0"/>
                <w:sz w:val="22"/>
                <w:szCs w:val="22"/>
                <w:highlight w:val="none"/>
                <w:u w:val="single"/>
                <w:lang w:val="en-US" w:eastAsia="zh-CN" w:bidi="ar-SA"/>
              </w:rPr>
              <w:t>10</w:t>
            </w:r>
            <w:r>
              <w:rPr>
                <w:rFonts w:hint="eastAsia" w:ascii="宋体" w:hAnsi="宋体" w:eastAsia="宋体" w:cs="宋体"/>
                <w:snapToGrid w:val="0"/>
                <w:color w:val="auto"/>
                <w:kern w:val="0"/>
                <w:sz w:val="22"/>
                <w:szCs w:val="22"/>
                <w:highlight w:val="none"/>
                <w:lang w:val="en-US" w:eastAsia="zh-CN" w:bidi="ar-SA"/>
              </w:rPr>
              <w:t>分。</w:t>
            </w:r>
          </w:p>
          <w:p w14:paraId="6E74D567">
            <w:pPr>
              <w:widowControl w:val="0"/>
              <w:numPr>
                <w:ilvl w:val="0"/>
                <w:numId w:val="0"/>
              </w:numPr>
              <w:wordWrap w:val="0"/>
              <w:adjustRightInd w:val="0"/>
              <w:snapToGrid w:val="0"/>
              <w:spacing w:after="0" w:afterLines="0" w:afterAutospacing="0" w:line="400" w:lineRule="exact"/>
              <w:jc w:val="both"/>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 xml:space="preserve">2.具备助理工程师职称的，得 </w:t>
            </w:r>
            <w:r>
              <w:rPr>
                <w:rFonts w:hint="eastAsia" w:ascii="宋体" w:hAnsi="宋体" w:eastAsia="宋体" w:cs="宋体"/>
                <w:snapToGrid w:val="0"/>
                <w:color w:val="auto"/>
                <w:kern w:val="0"/>
                <w:sz w:val="22"/>
                <w:szCs w:val="22"/>
                <w:highlight w:val="none"/>
                <w:u w:val="single"/>
                <w:lang w:val="en-US" w:eastAsia="zh-CN" w:bidi="ar-SA"/>
              </w:rPr>
              <w:t>5</w:t>
            </w:r>
            <w:r>
              <w:rPr>
                <w:rFonts w:hint="eastAsia" w:ascii="宋体" w:hAnsi="宋体" w:eastAsia="宋体" w:cs="宋体"/>
                <w:snapToGrid w:val="0"/>
                <w:color w:val="auto"/>
                <w:kern w:val="0"/>
                <w:sz w:val="22"/>
                <w:szCs w:val="22"/>
                <w:highlight w:val="none"/>
                <w:lang w:val="en-US" w:eastAsia="zh-CN" w:bidi="ar-SA"/>
              </w:rPr>
              <w:t>分。</w:t>
            </w:r>
          </w:p>
          <w:p w14:paraId="6029FC63">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
              </w:rPr>
              <w:t>3.</w:t>
            </w:r>
            <w:r>
              <w:rPr>
                <w:rFonts w:hint="eastAsia" w:ascii="宋体" w:hAnsi="宋体" w:eastAsia="宋体" w:cs="宋体"/>
                <w:snapToGrid w:val="0"/>
                <w:color w:val="auto"/>
                <w:kern w:val="0"/>
                <w:sz w:val="22"/>
                <w:szCs w:val="22"/>
                <w:highlight w:val="none"/>
                <w:lang w:val="en-US" w:eastAsia="zh-CN" w:bidi="ar-SA"/>
              </w:rPr>
              <w:t>不具备以上职称的，或未提供职称证原件的（电子证书除外），不予计分。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54270A2">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b/>
                <w:bCs/>
                <w:snapToGrid w:val="0"/>
                <w:color w:val="auto"/>
                <w:kern w:val="0"/>
                <w:sz w:val="22"/>
                <w:szCs w:val="22"/>
                <w:highlight w:val="none"/>
              </w:rPr>
              <w:t>1.需附职称证彩色扫描件，同时提供原件供核对（职称证书为电子证书的除外）。</w:t>
            </w:r>
          </w:p>
        </w:tc>
      </w:tr>
      <w:tr w14:paraId="6DE8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1EAFBDBF">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企业业绩</w:t>
            </w:r>
          </w:p>
          <w:p w14:paraId="274E3EF6">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（1</w:t>
            </w:r>
            <w:r>
              <w:rPr>
                <w:rFonts w:hint="eastAsia" w:ascii="宋体" w:hAnsi="宋体" w:eastAsia="宋体" w:cs="宋体"/>
                <w:snapToGrid w:val="0"/>
                <w:color w:val="auto"/>
                <w:kern w:val="0"/>
                <w:sz w:val="22"/>
                <w:szCs w:val="22"/>
                <w:highlight w:val="none"/>
                <w:lang w:val="en-US" w:eastAsia="zh-CN"/>
              </w:rPr>
              <w:t>5</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BE2DAEC">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企业近 5 年来（202</w:t>
            </w:r>
            <w:r>
              <w:rPr>
                <w:rFonts w:hint="eastAsia" w:ascii="宋体" w:hAnsi="宋体" w:eastAsia="宋体" w:cs="宋体"/>
                <w:snapToGrid w:val="0"/>
                <w:color w:val="auto"/>
                <w:kern w:val="0"/>
                <w:sz w:val="22"/>
                <w:szCs w:val="22"/>
                <w:highlight w:val="none"/>
                <w:lang w:val="en-US" w:eastAsia="zh-CN"/>
              </w:rPr>
              <w:t>1</w:t>
            </w:r>
            <w:r>
              <w:rPr>
                <w:rFonts w:hint="eastAsia" w:ascii="宋体" w:hAnsi="宋体" w:eastAsia="宋体" w:cs="宋体"/>
                <w:snapToGrid w:val="0"/>
                <w:color w:val="auto"/>
                <w:kern w:val="0"/>
                <w:sz w:val="22"/>
                <w:szCs w:val="22"/>
                <w:highlight w:val="none"/>
              </w:rPr>
              <w:t>年1月1日至今）业绩情况：</w:t>
            </w:r>
          </w:p>
          <w:p w14:paraId="19DFF583">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1. </w:t>
            </w:r>
            <w:r>
              <w:rPr>
                <w:rFonts w:hint="eastAsia" w:ascii="宋体" w:hAnsi="宋体" w:eastAsia="宋体" w:cs="宋体"/>
                <w:snapToGrid w:val="0"/>
                <w:color w:val="auto"/>
                <w:kern w:val="0"/>
                <w:sz w:val="22"/>
                <w:szCs w:val="22"/>
                <w:highlight w:val="none"/>
                <w:lang w:val="en-US" w:eastAsia="zh-CN"/>
              </w:rPr>
              <w:t>完成</w:t>
            </w:r>
            <w:r>
              <w:rPr>
                <w:rFonts w:hint="eastAsia" w:ascii="宋体" w:hAnsi="宋体" w:eastAsia="宋体" w:cs="宋体"/>
                <w:snapToGrid w:val="0"/>
                <w:color w:val="auto"/>
                <w:kern w:val="0"/>
                <w:sz w:val="22"/>
                <w:szCs w:val="22"/>
                <w:highlight w:val="none"/>
              </w:rPr>
              <w:t>过类似工程的，每个得</w:t>
            </w:r>
            <w:r>
              <w:rPr>
                <w:rFonts w:hint="eastAsia" w:ascii="宋体" w:hAnsi="宋体" w:eastAsia="宋体" w:cs="宋体"/>
                <w:snapToGrid w:val="0"/>
                <w:color w:val="auto"/>
                <w:kern w:val="0"/>
                <w:sz w:val="22"/>
                <w:szCs w:val="22"/>
                <w:highlight w:val="none"/>
                <w:u w:val="single"/>
              </w:rPr>
              <w:t>5</w:t>
            </w:r>
            <w:r>
              <w:rPr>
                <w:rFonts w:hint="eastAsia" w:ascii="宋体" w:hAnsi="宋体" w:eastAsia="宋体" w:cs="宋体"/>
                <w:snapToGrid w:val="0"/>
                <w:color w:val="auto"/>
                <w:kern w:val="0"/>
                <w:sz w:val="22"/>
                <w:szCs w:val="22"/>
                <w:highlight w:val="none"/>
              </w:rPr>
              <w:t>分；</w:t>
            </w:r>
          </w:p>
          <w:p w14:paraId="02B49E5C">
            <w:pPr>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 xml:space="preserve">2. </w:t>
            </w:r>
            <w:r>
              <w:rPr>
                <w:rFonts w:hint="eastAsia" w:ascii="宋体" w:hAnsi="宋体" w:eastAsia="宋体" w:cs="宋体"/>
                <w:snapToGrid w:val="0"/>
                <w:color w:val="auto"/>
                <w:kern w:val="0"/>
                <w:sz w:val="22"/>
                <w:szCs w:val="22"/>
                <w:highlight w:val="none"/>
                <w:lang w:val="en-US" w:eastAsia="zh-CN"/>
              </w:rPr>
              <w:t>未完成</w:t>
            </w:r>
            <w:r>
              <w:rPr>
                <w:rFonts w:hint="eastAsia" w:ascii="宋体" w:hAnsi="宋体" w:eastAsia="宋体" w:cs="宋体"/>
                <w:snapToGrid w:val="0"/>
                <w:color w:val="auto"/>
                <w:kern w:val="0"/>
                <w:sz w:val="22"/>
                <w:szCs w:val="22"/>
                <w:highlight w:val="none"/>
              </w:rPr>
              <w:t>过类似工程的，不予计分。</w:t>
            </w:r>
          </w:p>
          <w:p w14:paraId="2A5B0199">
            <w:pPr>
              <w:wordWrap w:val="0"/>
              <w:adjustRightInd w:val="0"/>
              <w:snapToGrid w:val="0"/>
              <w:spacing w:line="400" w:lineRule="exac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 xml:space="preserve">3.本项最高得15分。 </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FFF08A5">
            <w:pPr>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1.类似工程指：</w:t>
            </w:r>
            <w:r>
              <w:rPr>
                <w:rFonts w:hint="eastAsia" w:ascii="宋体" w:hAnsi="宋体" w:eastAsia="宋体" w:cs="宋体"/>
                <w:color w:val="auto"/>
                <w:sz w:val="22"/>
                <w:szCs w:val="22"/>
                <w:highlight w:val="none"/>
                <w:u w:val="single"/>
              </w:rPr>
              <w:t>单项工程造价≥</w:t>
            </w:r>
            <w:r>
              <w:rPr>
                <w:rFonts w:hint="eastAsia" w:ascii="宋体" w:hAnsi="宋体" w:eastAsia="宋体" w:cs="宋体"/>
                <w:color w:val="auto"/>
                <w:sz w:val="22"/>
                <w:szCs w:val="22"/>
                <w:highlight w:val="none"/>
                <w:u w:val="single"/>
                <w:lang w:val="en-US" w:eastAsia="zh-CN"/>
              </w:rPr>
              <w:t>380</w:t>
            </w:r>
            <w:r>
              <w:rPr>
                <w:rFonts w:hint="eastAsia" w:ascii="宋体" w:hAnsi="宋体" w:eastAsia="宋体" w:cs="宋体"/>
                <w:color w:val="auto"/>
                <w:sz w:val="22"/>
                <w:szCs w:val="22"/>
                <w:highlight w:val="none"/>
                <w:u w:val="single"/>
              </w:rPr>
              <w:t>万元的</w:t>
            </w:r>
            <w:r>
              <w:rPr>
                <w:rFonts w:hint="eastAsia" w:ascii="宋体" w:hAnsi="宋体" w:eastAsia="宋体" w:cs="宋体"/>
                <w:color w:val="auto"/>
                <w:sz w:val="22"/>
                <w:szCs w:val="22"/>
                <w:highlight w:val="none"/>
                <w:u w:val="single"/>
                <w:lang w:val="en-US" w:eastAsia="zh-CN"/>
              </w:rPr>
              <w:t>房屋建筑或</w:t>
            </w:r>
            <w:r>
              <w:rPr>
                <w:rFonts w:hint="eastAsia" w:ascii="宋体" w:hAnsi="宋体" w:eastAsia="宋体" w:cs="宋体"/>
                <w:color w:val="auto"/>
                <w:sz w:val="22"/>
                <w:szCs w:val="22"/>
                <w:highlight w:val="none"/>
                <w:u w:val="single"/>
              </w:rPr>
              <w:t>市政公用工程</w:t>
            </w:r>
            <w:r>
              <w:rPr>
                <w:rFonts w:hint="eastAsia" w:ascii="宋体" w:hAnsi="宋体" w:eastAsia="宋体" w:cs="宋体"/>
                <w:color w:val="auto"/>
                <w:sz w:val="22"/>
                <w:szCs w:val="22"/>
                <w:highlight w:val="none"/>
              </w:rPr>
              <w:t>；</w:t>
            </w:r>
          </w:p>
          <w:p w14:paraId="493754ED">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2.需附有关业绩（仅限于以施工总承包单位身份参建的项目）中标通知书及竣工验收报告彩色扫描件，</w:t>
            </w:r>
            <w:r>
              <w:rPr>
                <w:rFonts w:hint="eastAsia" w:ascii="宋体" w:hAnsi="宋体" w:eastAsia="宋体" w:cs="宋体"/>
                <w:b/>
                <w:bCs/>
                <w:color w:val="auto"/>
                <w:kern w:val="2"/>
                <w:sz w:val="22"/>
                <w:szCs w:val="22"/>
                <w:highlight w:val="none"/>
                <w:lang w:val="en-US" w:eastAsia="zh-CN" w:bidi="ar-SA"/>
              </w:rPr>
              <w:t>同时提供原件供核对（证书为电子证书的除外）</w:t>
            </w:r>
            <w:r>
              <w:rPr>
                <w:rFonts w:hint="eastAsia" w:ascii="宋体" w:hAnsi="宋体" w:eastAsia="宋体" w:cs="宋体"/>
                <w:color w:val="auto"/>
                <w:kern w:val="2"/>
                <w:sz w:val="22"/>
                <w:szCs w:val="22"/>
                <w:highlight w:val="none"/>
                <w:lang w:val="en-US" w:eastAsia="zh-CN" w:bidi="ar-SA"/>
              </w:rPr>
              <w:t>。</w:t>
            </w:r>
          </w:p>
          <w:p w14:paraId="28CA12C9">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3.业绩时间以竣工验收报告日期为准。</w:t>
            </w:r>
          </w:p>
          <w:p w14:paraId="30B6DE20">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4.任一业绩有以下情形之一的，该业绩视为无效，不予计分：</w:t>
            </w:r>
          </w:p>
          <w:p w14:paraId="6A9416F6">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①未提供业绩证明材料原件的；</w:t>
            </w:r>
          </w:p>
          <w:p w14:paraId="5A534833">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②业绩不属于类似工程的；</w:t>
            </w:r>
          </w:p>
          <w:p w14:paraId="75F4B16D">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③不是以指定身份参建的；</w:t>
            </w:r>
          </w:p>
          <w:p w14:paraId="0F7E703A">
            <w:pPr>
              <w:pageBreakBefore w:val="0"/>
              <w:widowControl w:val="0"/>
              <w:kinsoku/>
              <w:wordWrap w:val="0"/>
              <w:overflowPunct/>
              <w:topLinePunct w:val="0"/>
              <w:autoSpaceDE/>
              <w:autoSpaceDN/>
              <w:bidi w:val="0"/>
              <w:adjustRightInd w:val="0"/>
              <w:snapToGrid w:val="0"/>
              <w:spacing w:line="288" w:lineRule="auto"/>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④业绩时间不符合要求的；</w:t>
            </w:r>
          </w:p>
          <w:p w14:paraId="2C59ACC5">
            <w:pPr>
              <w:pStyle w:val="2"/>
              <w:pageBreakBefore w:val="0"/>
              <w:widowControl w:val="0"/>
              <w:kinsoku/>
              <w:overflowPunct/>
              <w:topLinePunct w:val="0"/>
              <w:autoSpaceDE/>
              <w:autoSpaceDN/>
              <w:bidi w:val="0"/>
              <w:spacing w:before="0" w:after="0"/>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color w:val="auto"/>
                <w:kern w:val="2"/>
                <w:sz w:val="22"/>
                <w:szCs w:val="22"/>
                <w:highlight w:val="none"/>
                <w:lang w:val="en-US" w:eastAsia="zh-CN" w:bidi="ar-SA"/>
              </w:rPr>
              <w:t>⑤业绩未竣工验收的。</w:t>
            </w:r>
          </w:p>
        </w:tc>
      </w:tr>
      <w:tr w14:paraId="2BFA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2"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6B2D94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企业银行</w:t>
            </w:r>
          </w:p>
          <w:p w14:paraId="5DBEC85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资信评级</w:t>
            </w:r>
          </w:p>
          <w:p w14:paraId="1CF35790">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snapToGrid w:val="0"/>
                <w:color w:val="auto"/>
                <w:kern w:val="0"/>
                <w:sz w:val="22"/>
                <w:szCs w:val="22"/>
                <w:highlight w:val="none"/>
                <w:lang w:val="en-US" w:eastAsia="zh-CN"/>
              </w:rPr>
              <w:t>5</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088E97A9">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1.银行资信评级AAA的，得</w:t>
            </w:r>
            <w:r>
              <w:rPr>
                <w:rFonts w:hint="eastAsia" w:ascii="宋体" w:hAnsi="宋体" w:eastAsia="宋体" w:cs="宋体"/>
                <w:color w:val="auto"/>
                <w:sz w:val="22"/>
                <w:szCs w:val="22"/>
                <w:highlight w:val="none"/>
                <w:u w:val="single"/>
                <w:lang w:val="en-US" w:eastAsia="zh-CN"/>
              </w:rPr>
              <w:t>5</w:t>
            </w:r>
            <w:r>
              <w:rPr>
                <w:rFonts w:hint="eastAsia" w:ascii="宋体" w:hAnsi="宋体" w:eastAsia="宋体" w:cs="宋体"/>
                <w:color w:val="auto"/>
                <w:sz w:val="22"/>
                <w:szCs w:val="22"/>
                <w:highlight w:val="none"/>
              </w:rPr>
              <w:t>分。</w:t>
            </w:r>
          </w:p>
          <w:p w14:paraId="1553AD8C">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2.银行资信评级AA（含AA＋、AA－）的，得</w:t>
            </w:r>
            <w:r>
              <w:rPr>
                <w:rFonts w:hint="eastAsia" w:ascii="宋体" w:hAnsi="宋体" w:eastAsia="宋体" w:cs="宋体"/>
                <w:color w:val="auto"/>
                <w:sz w:val="22"/>
                <w:szCs w:val="22"/>
                <w:highlight w:val="none"/>
                <w:u w:val="single"/>
                <w:lang w:val="en-US" w:eastAsia="zh-CN"/>
              </w:rPr>
              <w:t>3</w:t>
            </w:r>
            <w:r>
              <w:rPr>
                <w:rFonts w:hint="eastAsia" w:ascii="宋体" w:hAnsi="宋体" w:eastAsia="宋体" w:cs="宋体"/>
                <w:color w:val="auto"/>
                <w:sz w:val="22"/>
                <w:szCs w:val="22"/>
                <w:highlight w:val="none"/>
              </w:rPr>
              <w:t>分。</w:t>
            </w:r>
          </w:p>
          <w:p w14:paraId="2E6773B0">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3.银行资信评级A（含A＋、A－）的，得</w:t>
            </w:r>
            <w:r>
              <w:rPr>
                <w:rFonts w:hint="eastAsia" w:ascii="宋体" w:hAnsi="宋体" w:eastAsia="宋体" w:cs="宋体"/>
                <w:color w:val="auto"/>
                <w:sz w:val="22"/>
                <w:szCs w:val="22"/>
                <w:highlight w:val="none"/>
                <w:u w:val="single"/>
                <w:lang w:val="en-US" w:eastAsia="zh-CN"/>
              </w:rPr>
              <w:t>1</w:t>
            </w:r>
            <w:r>
              <w:rPr>
                <w:rFonts w:hint="eastAsia" w:ascii="宋体" w:hAnsi="宋体" w:eastAsia="宋体" w:cs="宋体"/>
                <w:color w:val="auto"/>
                <w:sz w:val="22"/>
                <w:szCs w:val="22"/>
                <w:highlight w:val="none"/>
              </w:rPr>
              <w:t>分。</w:t>
            </w:r>
          </w:p>
          <w:p w14:paraId="7AC6BAC0">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color w:val="auto"/>
                <w:sz w:val="22"/>
                <w:szCs w:val="22"/>
                <w:highlight w:val="none"/>
              </w:rPr>
              <w:t>4.未获得过以上评级的，或评级证书</w:t>
            </w:r>
            <w:r>
              <w:rPr>
                <w:rFonts w:hint="eastAsia" w:ascii="宋体" w:hAnsi="宋体" w:eastAsia="宋体" w:cs="宋体"/>
                <w:snapToGrid w:val="0"/>
                <w:color w:val="auto"/>
                <w:kern w:val="0"/>
                <w:sz w:val="22"/>
                <w:szCs w:val="22"/>
                <w:highlight w:val="none"/>
                <w:lang w:val="en-US" w:eastAsia="zh-CN" w:bidi="ar-SA"/>
              </w:rPr>
              <w:t>（证明）</w:t>
            </w:r>
            <w:r>
              <w:rPr>
                <w:rFonts w:hint="eastAsia" w:ascii="宋体" w:hAnsi="宋体" w:eastAsia="宋体" w:cs="宋体"/>
                <w:color w:val="auto"/>
                <w:sz w:val="22"/>
                <w:szCs w:val="22"/>
                <w:highlight w:val="none"/>
              </w:rPr>
              <w:t>无效的，不予计分。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850E4AC">
            <w:pPr>
              <w:pStyle w:val="5"/>
              <w:wordWrap w:val="0"/>
              <w:adjustRightInd w:val="0"/>
              <w:snapToGrid w:val="0"/>
              <w:spacing w:after="0" w:line="400" w:lineRule="exact"/>
              <w:rPr>
                <w:rFonts w:hint="eastAsia" w:ascii="宋体" w:hAnsi="宋体" w:eastAsia="宋体" w:cs="宋体"/>
                <w:b w:val="0"/>
                <w:bCs w:val="0"/>
                <w:snapToGrid w:val="0"/>
                <w:color w:val="auto"/>
                <w:kern w:val="0"/>
                <w:sz w:val="22"/>
                <w:szCs w:val="22"/>
                <w:highlight w:val="none"/>
                <w:lang w:val="en-US" w:eastAsia="zh-CN"/>
              </w:rPr>
            </w:pPr>
            <w:r>
              <w:rPr>
                <w:rFonts w:hint="eastAsia" w:ascii="宋体" w:hAnsi="宋体" w:eastAsia="宋体" w:cs="宋体"/>
                <w:b w:val="0"/>
                <w:bCs w:val="0"/>
                <w:snapToGrid w:val="0"/>
                <w:color w:val="auto"/>
                <w:kern w:val="0"/>
                <w:sz w:val="22"/>
                <w:szCs w:val="22"/>
                <w:highlight w:val="none"/>
                <w:lang w:val="en-US" w:eastAsia="zh-CN"/>
              </w:rPr>
              <w:t>1.需附在有效期内的资信（信用）评级（等级）证书（证明）扫描件，</w:t>
            </w:r>
            <w:r>
              <w:rPr>
                <w:rFonts w:hint="eastAsia" w:ascii="宋体" w:hAnsi="宋体" w:eastAsia="宋体" w:cs="宋体"/>
                <w:b/>
                <w:bCs/>
                <w:snapToGrid w:val="0"/>
                <w:color w:val="auto"/>
                <w:kern w:val="0"/>
                <w:sz w:val="22"/>
                <w:szCs w:val="22"/>
                <w:highlight w:val="none"/>
                <w:lang w:val="en-US" w:eastAsia="zh-CN"/>
              </w:rPr>
              <w:t>同时提供原件供核对。</w:t>
            </w:r>
          </w:p>
          <w:p w14:paraId="24A33ED1">
            <w:pPr>
              <w:pStyle w:val="5"/>
              <w:wordWrap w:val="0"/>
              <w:adjustRightInd w:val="0"/>
              <w:snapToGrid w:val="0"/>
              <w:spacing w:after="0"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2.评级（等级）证书须由</w:t>
            </w:r>
            <w:r>
              <w:rPr>
                <w:rFonts w:hint="eastAsia" w:ascii="宋体" w:hAnsi="宋体" w:eastAsia="宋体" w:cs="宋体"/>
                <w:snapToGrid w:val="0"/>
                <w:color w:val="auto"/>
                <w:kern w:val="0"/>
                <w:sz w:val="22"/>
                <w:szCs w:val="22"/>
                <w:highlight w:val="none"/>
                <w:u w:val="single"/>
                <w:lang w:val="en-US" w:eastAsia="zh-CN"/>
              </w:rPr>
              <w:t>企业基本账户开户银行/市级或以上金融机构</w:t>
            </w:r>
            <w:r>
              <w:rPr>
                <w:rFonts w:hint="eastAsia" w:ascii="宋体" w:hAnsi="宋体" w:eastAsia="宋体" w:cs="宋体"/>
                <w:snapToGrid w:val="0"/>
                <w:color w:val="auto"/>
                <w:kern w:val="0"/>
                <w:sz w:val="22"/>
                <w:szCs w:val="22"/>
                <w:highlight w:val="none"/>
                <w:lang w:val="en-US" w:eastAsia="zh-CN"/>
              </w:rPr>
              <w:t>出具。</w:t>
            </w:r>
          </w:p>
          <w:p w14:paraId="4048157A">
            <w:pPr>
              <w:pStyle w:val="5"/>
              <w:wordWrap w:val="0"/>
              <w:adjustRightInd w:val="0"/>
              <w:snapToGrid w:val="0"/>
              <w:spacing w:after="0"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3.评级（等级）证书（证明）有以下情形之一的，视为无效：</w:t>
            </w:r>
          </w:p>
          <w:p w14:paraId="6EA7D4FB">
            <w:pPr>
              <w:pStyle w:val="5"/>
              <w:wordWrap w:val="0"/>
              <w:adjustRightInd w:val="0"/>
              <w:snapToGrid w:val="0"/>
              <w:spacing w:after="0"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①未提供评级（等级）证书（证明）</w:t>
            </w:r>
            <w:r>
              <w:rPr>
                <w:rFonts w:hint="eastAsia" w:ascii="宋体" w:hAnsi="宋体" w:eastAsia="宋体" w:cs="宋体"/>
                <w:b/>
                <w:bCs/>
                <w:snapToGrid w:val="0"/>
                <w:color w:val="auto"/>
                <w:kern w:val="0"/>
                <w:sz w:val="22"/>
                <w:szCs w:val="22"/>
                <w:highlight w:val="none"/>
                <w:lang w:val="en-US" w:eastAsia="zh-CN"/>
              </w:rPr>
              <w:t>原件</w:t>
            </w:r>
            <w:r>
              <w:rPr>
                <w:rFonts w:hint="eastAsia" w:ascii="宋体" w:hAnsi="宋体" w:eastAsia="宋体" w:cs="宋体"/>
                <w:snapToGrid w:val="0"/>
                <w:color w:val="auto"/>
                <w:kern w:val="0"/>
                <w:sz w:val="22"/>
                <w:szCs w:val="22"/>
                <w:highlight w:val="none"/>
                <w:lang w:val="en-US" w:eastAsia="zh-CN"/>
              </w:rPr>
              <w:t>的；</w:t>
            </w:r>
          </w:p>
          <w:p w14:paraId="4DB61D2D">
            <w:pPr>
              <w:pStyle w:val="5"/>
              <w:wordWrap w:val="0"/>
              <w:adjustRightInd w:val="0"/>
              <w:snapToGrid w:val="0"/>
              <w:spacing w:after="0" w:line="400" w:lineRule="exact"/>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②评级（等级）证书（证明）不在有效期内的；</w:t>
            </w:r>
          </w:p>
          <w:p w14:paraId="4FE6F6B4">
            <w:pPr>
              <w:pStyle w:val="5"/>
              <w:keepNext w:val="0"/>
              <w:keepLines w:val="0"/>
              <w:pageBreakBefore w:val="0"/>
              <w:widowControl w:val="0"/>
              <w:kinsoku/>
              <w:wordWrap w:val="0"/>
              <w:overflowPunct/>
              <w:topLinePunct w:val="0"/>
              <w:autoSpaceDE/>
              <w:autoSpaceDN/>
              <w:bidi w:val="0"/>
              <w:adjustRightInd w:val="0"/>
              <w:snapToGrid w:val="0"/>
              <w:spacing w:after="0" w:line="288" w:lineRule="auto"/>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2"/>
                <w:szCs w:val="22"/>
                <w:highlight w:val="none"/>
                <w:lang w:val="en-US" w:eastAsia="zh-CN"/>
              </w:rPr>
              <w:t>③出具机构不符合要求的；</w:t>
            </w:r>
          </w:p>
        </w:tc>
      </w:tr>
      <w:tr w14:paraId="7B3E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4"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1A3BB1E2">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企业管理</w:t>
            </w:r>
          </w:p>
          <w:p w14:paraId="6E909C86">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体系认证</w:t>
            </w:r>
          </w:p>
          <w:p w14:paraId="09A4D8CF">
            <w:pPr>
              <w:pStyle w:val="5"/>
              <w:wordWrap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b/>
                <w:bCs/>
                <w:snapToGrid w:val="0"/>
                <w:color w:val="auto"/>
                <w:kern w:val="0"/>
                <w:sz w:val="22"/>
                <w:szCs w:val="22"/>
                <w:highlight w:val="none"/>
              </w:rPr>
              <w:t>6</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44CFD0E5">
            <w:pPr>
              <w:pStyle w:val="5"/>
              <w:wordWrap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1．质量管理体系认证、职业健康安全管理体系认证、环境管理体系认证中，每获得1项认证得</w:t>
            </w:r>
            <w:r>
              <w:rPr>
                <w:rFonts w:hint="eastAsia" w:ascii="宋体" w:hAnsi="宋体" w:eastAsia="宋体" w:cs="宋体"/>
                <w:snapToGrid w:val="0"/>
                <w:color w:val="auto"/>
                <w:kern w:val="0"/>
                <w:sz w:val="22"/>
                <w:szCs w:val="22"/>
                <w:highlight w:val="none"/>
                <w:u w:val="single"/>
              </w:rPr>
              <w:t>2</w:t>
            </w:r>
            <w:r>
              <w:rPr>
                <w:rFonts w:hint="eastAsia" w:ascii="宋体" w:hAnsi="宋体" w:eastAsia="宋体" w:cs="宋体"/>
                <w:snapToGrid w:val="0"/>
                <w:color w:val="auto"/>
                <w:kern w:val="0"/>
                <w:sz w:val="22"/>
                <w:szCs w:val="22"/>
                <w:highlight w:val="none"/>
              </w:rPr>
              <w:t>分，最高得</w:t>
            </w:r>
            <w:r>
              <w:rPr>
                <w:rFonts w:hint="eastAsia" w:ascii="宋体" w:hAnsi="宋体" w:eastAsia="宋体" w:cs="宋体"/>
                <w:b/>
                <w:bCs/>
                <w:snapToGrid w:val="0"/>
                <w:color w:val="auto"/>
                <w:kern w:val="0"/>
                <w:sz w:val="22"/>
                <w:szCs w:val="22"/>
                <w:highlight w:val="none"/>
                <w:u w:val="single"/>
              </w:rPr>
              <w:t>6</w:t>
            </w:r>
            <w:r>
              <w:rPr>
                <w:rFonts w:hint="eastAsia" w:ascii="宋体" w:hAnsi="宋体" w:eastAsia="宋体" w:cs="宋体"/>
                <w:snapToGrid w:val="0"/>
                <w:color w:val="auto"/>
                <w:kern w:val="0"/>
                <w:sz w:val="22"/>
                <w:szCs w:val="22"/>
                <w:highlight w:val="none"/>
              </w:rPr>
              <w:t>分。</w:t>
            </w:r>
          </w:p>
          <w:p w14:paraId="243B03F2">
            <w:pPr>
              <w:pStyle w:val="5"/>
              <w:wordWrap w:val="0"/>
              <w:spacing w:line="400" w:lineRule="exac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2．未获得以上认证的，不予计分。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D52DE02">
            <w:pPr>
              <w:pStyle w:val="5"/>
              <w:wordWrap w:val="0"/>
              <w:spacing w:line="276" w:lineRule="auto"/>
              <w:jc w:val="both"/>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1.需附在有效期内的认证证书彩色扫描件，</w:t>
            </w:r>
            <w:r>
              <w:rPr>
                <w:rFonts w:hint="eastAsia" w:ascii="宋体" w:hAnsi="宋体" w:eastAsia="宋体" w:cs="宋体"/>
                <w:b/>
                <w:bCs/>
                <w:snapToGrid w:val="0"/>
                <w:color w:val="auto"/>
                <w:kern w:val="0"/>
                <w:sz w:val="22"/>
                <w:szCs w:val="22"/>
                <w:highlight w:val="none"/>
              </w:rPr>
              <w:t>同时提供原件供核对（认证证书为电子证书的除外）</w:t>
            </w:r>
            <w:r>
              <w:rPr>
                <w:rFonts w:hint="eastAsia" w:ascii="宋体" w:hAnsi="宋体" w:eastAsia="宋体" w:cs="宋体"/>
                <w:snapToGrid w:val="0"/>
                <w:color w:val="auto"/>
                <w:kern w:val="0"/>
                <w:sz w:val="22"/>
                <w:szCs w:val="22"/>
                <w:highlight w:val="none"/>
              </w:rPr>
              <w:t>。</w:t>
            </w:r>
          </w:p>
          <w:p w14:paraId="2BEE3C20">
            <w:pPr>
              <w:pStyle w:val="5"/>
              <w:wordWrap w:val="0"/>
              <w:spacing w:line="276" w:lineRule="auto"/>
              <w:jc w:val="both"/>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2.任一认证证书有以下情形之一的，该认证证书视为无效，不予计分：</w:t>
            </w:r>
          </w:p>
          <w:p w14:paraId="49CCFFA8">
            <w:pPr>
              <w:pStyle w:val="5"/>
              <w:wordWrap w:val="0"/>
              <w:spacing w:line="276" w:lineRule="auto"/>
              <w:jc w:val="both"/>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①未提供认证证书原件的；</w:t>
            </w:r>
          </w:p>
          <w:p w14:paraId="7F84C0B3">
            <w:pPr>
              <w:pStyle w:val="5"/>
              <w:wordWrap w:val="0"/>
              <w:spacing w:line="276" w:lineRule="auto"/>
              <w:jc w:val="both"/>
              <w:rPr>
                <w:rFonts w:hint="eastAsia" w:ascii="宋体" w:hAnsi="宋体" w:eastAsia="宋体" w:cs="宋体"/>
                <w:color w:val="auto"/>
                <w:sz w:val="22"/>
                <w:szCs w:val="22"/>
                <w:highlight w:val="none"/>
                <w:lang w:val="en-US" w:eastAsia="zh-CN"/>
              </w:rPr>
            </w:pPr>
            <w:r>
              <w:rPr>
                <w:rFonts w:hint="eastAsia" w:ascii="宋体" w:hAnsi="宋体" w:eastAsia="宋体" w:cs="宋体"/>
                <w:snapToGrid w:val="0"/>
                <w:color w:val="auto"/>
                <w:kern w:val="0"/>
                <w:sz w:val="22"/>
                <w:szCs w:val="22"/>
                <w:highlight w:val="none"/>
              </w:rPr>
              <w:t>②认证证书不在有效期内的。</w:t>
            </w:r>
          </w:p>
        </w:tc>
      </w:tr>
      <w:tr w14:paraId="5DE5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6" w:hRule="atLeast"/>
          <w:jc w:val="center"/>
        </w:trPr>
        <w:tc>
          <w:tcPr>
            <w:tcW w:w="1491" w:type="dxa"/>
            <w:tcBorders>
              <w:top w:val="single" w:color="auto" w:sz="4" w:space="0"/>
              <w:left w:val="single" w:color="auto" w:sz="4" w:space="0"/>
              <w:right w:val="single" w:color="auto" w:sz="4" w:space="0"/>
            </w:tcBorders>
            <w:noWrap w:val="0"/>
            <w:vAlign w:val="center"/>
          </w:tcPr>
          <w:p w14:paraId="264E4CB1">
            <w:pPr>
              <w:pStyle w:val="5"/>
              <w:wordWrap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w:t>
            </w:r>
          </w:p>
          <w:p w14:paraId="346ABAE8">
            <w:pPr>
              <w:pStyle w:val="5"/>
              <w:wordWrap w:val="0"/>
              <w:spacing w:line="400" w:lineRule="exact"/>
              <w:jc w:val="center"/>
              <w:rPr>
                <w:rFonts w:hint="eastAsia" w:ascii="宋体" w:hAnsi="宋体" w:eastAsia="宋体" w:cs="宋体"/>
                <w:strike/>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财务状况</w:t>
            </w:r>
          </w:p>
          <w:p w14:paraId="6FE4729D">
            <w:pPr>
              <w:pStyle w:val="5"/>
              <w:wordWrap w:val="0"/>
              <w:spacing w:line="400" w:lineRule="exact"/>
              <w:jc w:val="center"/>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w:t>
            </w:r>
            <w:r>
              <w:rPr>
                <w:rFonts w:hint="eastAsia" w:ascii="宋体" w:hAnsi="宋体" w:eastAsia="宋体" w:cs="宋体"/>
                <w:b/>
                <w:bCs/>
                <w:snapToGrid w:val="0"/>
                <w:color w:val="auto"/>
                <w:kern w:val="0"/>
                <w:sz w:val="22"/>
                <w:szCs w:val="22"/>
                <w:highlight w:val="none"/>
              </w:rPr>
              <w:t>9</w:t>
            </w:r>
            <w:r>
              <w:rPr>
                <w:rFonts w:hint="eastAsia" w:ascii="宋体" w:hAnsi="宋体" w:eastAsia="宋体" w:cs="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78FCF5CD">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1.提供不少于</w:t>
            </w:r>
            <w:r>
              <w:rPr>
                <w:rFonts w:hint="eastAsia" w:ascii="宋体" w:hAnsi="宋体" w:eastAsia="宋体" w:cs="宋体"/>
                <w:snapToGrid w:val="0"/>
                <w:color w:val="000000" w:themeColor="text1"/>
                <w:kern w:val="0"/>
                <w:sz w:val="22"/>
                <w:szCs w:val="22"/>
                <w:highlight w:val="none"/>
                <w:u w:val="single"/>
                <w:lang w:val="en-US" w:eastAsia="zh-CN"/>
                <w14:textFill>
                  <w14:solidFill>
                    <w14:schemeClr w14:val="tx1"/>
                  </w14:solidFill>
                </w14:textFill>
              </w:rPr>
              <w:t>100</w:t>
            </w:r>
            <w:r>
              <w:rPr>
                <w:rFonts w:hint="eastAsia" w:ascii="宋体" w:hAnsi="宋体" w:eastAsia="宋体" w:cs="宋体"/>
                <w:snapToGrid w:val="0"/>
                <w:color w:val="auto"/>
                <w:kern w:val="0"/>
                <w:sz w:val="22"/>
                <w:szCs w:val="22"/>
                <w:highlight w:val="none"/>
              </w:rPr>
              <w:t>万元银行授信证明的，得</w:t>
            </w:r>
            <w:r>
              <w:rPr>
                <w:rFonts w:hint="eastAsia" w:ascii="宋体" w:hAnsi="宋体" w:eastAsia="宋体" w:cs="宋体"/>
                <w:snapToGrid w:val="0"/>
                <w:color w:val="auto"/>
                <w:kern w:val="0"/>
                <w:sz w:val="22"/>
                <w:szCs w:val="22"/>
                <w:highlight w:val="none"/>
                <w:lang w:val="en-US" w:eastAsia="zh-CN"/>
              </w:rPr>
              <w:t>5</w:t>
            </w:r>
            <w:r>
              <w:rPr>
                <w:rFonts w:hint="eastAsia" w:ascii="宋体" w:hAnsi="宋体" w:eastAsia="宋体" w:cs="宋体"/>
                <w:snapToGrid w:val="0"/>
                <w:color w:val="auto"/>
                <w:kern w:val="0"/>
                <w:sz w:val="22"/>
                <w:szCs w:val="22"/>
                <w:highlight w:val="none"/>
              </w:rPr>
              <w:t>分。</w:t>
            </w:r>
          </w:p>
          <w:p w14:paraId="7AFE2671">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2.提供投标人基本账户在本项目招标公告发布之日起至投标截止时间期间出现过至少连续3日不少于</w:t>
            </w:r>
            <w:r>
              <w:rPr>
                <w:rFonts w:hint="eastAsia" w:ascii="宋体" w:hAnsi="宋体" w:eastAsia="宋体" w:cs="宋体"/>
                <w:snapToGrid w:val="0"/>
                <w:color w:val="auto"/>
                <w:kern w:val="0"/>
                <w:sz w:val="22"/>
                <w:szCs w:val="22"/>
                <w:highlight w:val="none"/>
                <w:u w:val="single"/>
                <w:lang w:val="en-US" w:eastAsia="zh-CN"/>
              </w:rPr>
              <w:t>100</w:t>
            </w:r>
            <w:r>
              <w:rPr>
                <w:rFonts w:hint="eastAsia" w:ascii="宋体" w:hAnsi="宋体" w:eastAsia="宋体" w:cs="宋体"/>
                <w:snapToGrid w:val="0"/>
                <w:color w:val="auto"/>
                <w:kern w:val="0"/>
                <w:sz w:val="22"/>
                <w:szCs w:val="22"/>
                <w:highlight w:val="none"/>
              </w:rPr>
              <w:t>万元存款余额资金流水证明的，得</w:t>
            </w:r>
            <w:r>
              <w:rPr>
                <w:rFonts w:hint="eastAsia" w:ascii="宋体" w:hAnsi="宋体" w:eastAsia="宋体" w:cs="宋体"/>
                <w:snapToGrid w:val="0"/>
                <w:color w:val="auto"/>
                <w:kern w:val="0"/>
                <w:sz w:val="22"/>
                <w:szCs w:val="22"/>
                <w:highlight w:val="none"/>
                <w:lang w:val="en-US" w:eastAsia="zh-CN"/>
              </w:rPr>
              <w:t>4</w:t>
            </w:r>
            <w:r>
              <w:rPr>
                <w:rFonts w:hint="eastAsia" w:ascii="宋体" w:hAnsi="宋体" w:eastAsia="宋体" w:cs="宋体"/>
                <w:snapToGrid w:val="0"/>
                <w:color w:val="auto"/>
                <w:kern w:val="0"/>
                <w:sz w:val="22"/>
                <w:szCs w:val="22"/>
                <w:highlight w:val="none"/>
              </w:rPr>
              <w:t>分。</w:t>
            </w:r>
          </w:p>
          <w:p w14:paraId="21993F0C">
            <w:pPr>
              <w:wordWrap w:val="0"/>
              <w:adjustRightInd w:val="0"/>
              <w:snapToGrid w:val="0"/>
              <w:spacing w:line="400" w:lineRule="exact"/>
              <w:jc w:val="left"/>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rPr>
              <w:t>3.未提供以上证明的，不予计分。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6041159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1.需附在有效期内的有关证明彩色扫描件，</w:t>
            </w:r>
            <w:r>
              <w:rPr>
                <w:rFonts w:hint="eastAsia" w:ascii="宋体" w:hAnsi="宋体" w:eastAsia="宋体" w:cs="宋体"/>
                <w:b/>
                <w:bCs/>
                <w:color w:val="auto"/>
                <w:sz w:val="22"/>
                <w:szCs w:val="22"/>
                <w:highlight w:val="none"/>
              </w:rPr>
              <w:t>同时提供原件供核对。</w:t>
            </w:r>
          </w:p>
          <w:p w14:paraId="61E9BDA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2.银行授信证明有以下情形之一的，视为无效，不予计分：</w:t>
            </w:r>
          </w:p>
          <w:p w14:paraId="5C1670E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①未提供授信证明原件的；</w:t>
            </w:r>
          </w:p>
          <w:p w14:paraId="59BE7656">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②授信证明不在有效期内的；</w:t>
            </w:r>
          </w:p>
          <w:p w14:paraId="4C6AE2B9">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③授信额度不符合要求的；</w:t>
            </w:r>
          </w:p>
          <w:p w14:paraId="512078D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3.存款余额资金流水证明有以下情形之一的，视为无效，不予计分：</w:t>
            </w:r>
          </w:p>
          <w:p w14:paraId="0FBF6E6A">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①未提供存款证明原件的；</w:t>
            </w:r>
          </w:p>
          <w:p w14:paraId="6EE0502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②存款账户不是基本账户的；</w:t>
            </w:r>
          </w:p>
          <w:p w14:paraId="3B3958FA">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③存款时间不符合要求的；</w:t>
            </w:r>
          </w:p>
          <w:p w14:paraId="6207AB73">
            <w:pPr>
              <w:wordWrap w:val="0"/>
              <w:adjustRightInd w:val="0"/>
              <w:snapToGrid w:val="0"/>
              <w:spacing w:line="312" w:lineRule="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color w:val="auto"/>
                <w:sz w:val="22"/>
                <w:szCs w:val="22"/>
                <w:highlight w:val="none"/>
              </w:rPr>
              <w:t>④存款额度不符合要求的。</w:t>
            </w:r>
          </w:p>
        </w:tc>
      </w:tr>
      <w:tr w14:paraId="083F5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8" w:hRule="atLeast"/>
          <w:jc w:val="center"/>
        </w:trPr>
        <w:tc>
          <w:tcPr>
            <w:tcW w:w="1491" w:type="dxa"/>
            <w:vMerge w:val="restart"/>
            <w:tcBorders>
              <w:top w:val="single" w:color="auto" w:sz="4" w:space="0"/>
              <w:left w:val="single" w:color="auto" w:sz="4" w:space="0"/>
              <w:right w:val="single" w:color="auto" w:sz="4" w:space="0"/>
            </w:tcBorders>
            <w:noWrap w:val="0"/>
            <w:vAlign w:val="center"/>
          </w:tcPr>
          <w:p w14:paraId="019BA896">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trike w:val="0"/>
                <w:dstrike w:val="0"/>
                <w:color w:val="auto"/>
                <w:sz w:val="22"/>
                <w:szCs w:val="22"/>
                <w:highlight w:val="none"/>
              </w:rPr>
            </w:pPr>
            <w:r>
              <w:rPr>
                <w:rFonts w:hint="eastAsia" w:ascii="宋体" w:hAnsi="宋体" w:eastAsia="宋体" w:cs="宋体"/>
                <w:strike w:val="0"/>
                <w:dstrike w:val="0"/>
                <w:color w:val="auto"/>
                <w:sz w:val="22"/>
                <w:szCs w:val="22"/>
                <w:highlight w:val="none"/>
              </w:rPr>
              <w:t>招标人</w:t>
            </w:r>
          </w:p>
          <w:p w14:paraId="7C6AD12A">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trike w:val="0"/>
                <w:dstrike w:val="0"/>
                <w:color w:val="auto"/>
                <w:sz w:val="22"/>
                <w:szCs w:val="22"/>
                <w:highlight w:val="none"/>
              </w:rPr>
            </w:pPr>
            <w:r>
              <w:rPr>
                <w:rFonts w:hint="eastAsia" w:ascii="宋体" w:hAnsi="宋体" w:eastAsia="宋体" w:cs="宋体"/>
                <w:strike w:val="0"/>
                <w:dstrike w:val="0"/>
                <w:color w:val="auto"/>
                <w:sz w:val="22"/>
                <w:szCs w:val="22"/>
                <w:highlight w:val="none"/>
              </w:rPr>
              <w:t>自选项</w:t>
            </w:r>
          </w:p>
          <w:p w14:paraId="1892ED3A">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trike w:val="0"/>
                <w:dstrike w:val="0"/>
                <w:color w:val="auto"/>
                <w:sz w:val="22"/>
                <w:szCs w:val="22"/>
                <w:highlight w:val="none"/>
              </w:rPr>
              <w:t>（</w:t>
            </w:r>
            <w:r>
              <w:rPr>
                <w:rFonts w:hint="eastAsia" w:ascii="宋体" w:hAnsi="宋体" w:eastAsia="宋体" w:cs="宋体"/>
                <w:strike w:val="0"/>
                <w:dstrike w:val="0"/>
                <w:color w:val="auto"/>
                <w:sz w:val="22"/>
                <w:szCs w:val="22"/>
                <w:highlight w:val="none"/>
                <w:lang w:val="en-US" w:eastAsia="zh-CN"/>
              </w:rPr>
              <w:t>25</w:t>
            </w:r>
            <w:r>
              <w:rPr>
                <w:rFonts w:hint="eastAsia" w:ascii="宋体" w:hAnsi="宋体" w:eastAsia="宋体" w:cs="宋体"/>
                <w:strike w:val="0"/>
                <w:dstrike w:val="0"/>
                <w:color w:val="auto"/>
                <w:sz w:val="22"/>
                <w:szCs w:val="22"/>
                <w:highlight w:val="none"/>
              </w:rPr>
              <w:t>分</w:t>
            </w:r>
            <w:r>
              <w:rPr>
                <w:rFonts w:hint="eastAsia" w:ascii="宋体" w:hAnsi="宋体" w:eastAsia="宋体" w:cs="宋体"/>
                <w:strike w:val="0"/>
                <w:dstrike w:val="0"/>
                <w:color w:val="auto"/>
                <w:sz w:val="22"/>
                <w:szCs w:val="22"/>
                <w:highlight w:val="none"/>
                <w:lang w:eastAsia="zh-CN"/>
              </w:rPr>
              <w:t>）</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2622452E">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color w:val="auto"/>
                <w:sz w:val="22"/>
                <w:szCs w:val="22"/>
                <w:highlight w:val="none"/>
              </w:rPr>
              <w:t>企业连续</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年或</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年以上(其中必须有202</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年度)获得纳税信用A级纳税人的，得</w:t>
            </w:r>
            <w:r>
              <w:rPr>
                <w:rFonts w:hint="eastAsia" w:ascii="宋体" w:hAnsi="宋体" w:eastAsia="宋体" w:cs="宋体"/>
                <w:color w:val="auto"/>
                <w:sz w:val="22"/>
                <w:szCs w:val="22"/>
                <w:highlight w:val="none"/>
                <w:u w:val="single"/>
              </w:rPr>
              <w:t>5</w:t>
            </w:r>
            <w:r>
              <w:rPr>
                <w:rFonts w:hint="eastAsia" w:ascii="宋体" w:hAnsi="宋体" w:eastAsia="宋体" w:cs="宋体"/>
                <w:color w:val="auto"/>
                <w:sz w:val="22"/>
                <w:szCs w:val="22"/>
                <w:highlight w:val="none"/>
              </w:rPr>
              <w:t>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2E3CB03">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1.必须提供企业纳税信用A级纳税人证明材料（或证书）及国家税务总局网上查询截图，否则不得分。</w:t>
            </w:r>
          </w:p>
          <w:p w14:paraId="10B85FB0">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color w:val="auto"/>
                <w:sz w:val="22"/>
                <w:szCs w:val="22"/>
                <w:highlight w:val="none"/>
              </w:rPr>
              <w:t>2.只计算投标人自身（不计算投标人的分公司、子公司及分支机构）。</w:t>
            </w:r>
          </w:p>
        </w:tc>
      </w:tr>
      <w:tr w14:paraId="239B4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jc w:val="center"/>
        </w:trPr>
        <w:tc>
          <w:tcPr>
            <w:tcW w:w="1491" w:type="dxa"/>
            <w:vMerge w:val="continue"/>
            <w:tcBorders>
              <w:left w:val="single" w:color="auto" w:sz="4" w:space="0"/>
              <w:right w:val="single" w:color="auto" w:sz="4" w:space="0"/>
            </w:tcBorders>
            <w:noWrap w:val="0"/>
            <w:vAlign w:val="center"/>
          </w:tcPr>
          <w:p w14:paraId="7DF9C02D">
            <w:pPr>
              <w:pStyle w:val="5"/>
              <w:keepNext w:val="0"/>
              <w:keepLines w:val="0"/>
              <w:pageBreakBefore w:val="0"/>
              <w:widowControl w:val="0"/>
              <w:kinsoku/>
              <w:wordWrap w:val="0"/>
              <w:overflowPunct/>
              <w:topLinePunct w:val="0"/>
              <w:autoSpaceDE/>
              <w:autoSpaceDN/>
              <w:bidi w:val="0"/>
              <w:adjustRightInd w:val="0"/>
              <w:snapToGrid w:val="0"/>
              <w:spacing w:after="0" w:line="288" w:lineRule="auto"/>
              <w:jc w:val="center"/>
              <w:textAlignment w:val="auto"/>
              <w:rPr>
                <w:rFonts w:hint="eastAsia" w:ascii="宋体" w:hAnsi="宋体" w:eastAsia="宋体" w:cs="宋体"/>
                <w:snapToGrid w:val="0"/>
                <w:color w:val="auto"/>
                <w:kern w:val="0"/>
                <w:sz w:val="22"/>
                <w:szCs w:val="22"/>
                <w:highlight w:val="none"/>
                <w:lang w:val="en-US" w:eastAsia="zh-CN" w:bidi="ar"/>
              </w:rPr>
            </w:pPr>
          </w:p>
        </w:tc>
        <w:tc>
          <w:tcPr>
            <w:tcW w:w="38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03BA5D4">
            <w:pPr>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1.企业近年来（202</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 xml:space="preserve">年1月1日至今）获得过县（市、区）级行政主管部门或以上人民政府、人民武装部颁发的“民兵建设先进单位（或企业）”证书的得 </w:t>
            </w:r>
            <w:r>
              <w:rPr>
                <w:rFonts w:hint="eastAsia" w:ascii="宋体" w:hAnsi="宋体" w:eastAsia="宋体" w:cs="宋体"/>
                <w:color w:val="auto"/>
                <w:sz w:val="22"/>
                <w:szCs w:val="22"/>
                <w:highlight w:val="none"/>
                <w:u w:val="single"/>
                <w:lang w:val="en-US" w:eastAsia="zh-CN"/>
              </w:rPr>
              <w:t>5</w:t>
            </w:r>
            <w:r>
              <w:rPr>
                <w:rFonts w:hint="eastAsia" w:ascii="宋体" w:hAnsi="宋体" w:eastAsia="宋体" w:cs="宋体"/>
                <w:color w:val="auto"/>
                <w:sz w:val="22"/>
                <w:szCs w:val="22"/>
                <w:highlight w:val="none"/>
              </w:rPr>
              <w:t>分；</w:t>
            </w:r>
          </w:p>
          <w:p w14:paraId="53ADB93F">
            <w:pPr>
              <w:spacing w:line="360" w:lineRule="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color w:val="auto"/>
                <w:sz w:val="22"/>
                <w:szCs w:val="22"/>
                <w:highlight w:val="none"/>
              </w:rPr>
              <w:t>2.其他情形的，不予计分。</w:t>
            </w:r>
          </w:p>
        </w:tc>
        <w:tc>
          <w:tcPr>
            <w:tcW w:w="50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207674">
            <w:pPr>
              <w:wordWrap w:val="0"/>
              <w:spacing w:after="120"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1．须提供有关证书彩色扫描件，</w:t>
            </w:r>
            <w:r>
              <w:rPr>
                <w:rFonts w:hint="eastAsia" w:ascii="宋体" w:hAnsi="宋体" w:eastAsia="宋体" w:cs="宋体"/>
                <w:b/>
                <w:bCs/>
                <w:color w:val="auto"/>
                <w:sz w:val="22"/>
                <w:szCs w:val="22"/>
                <w:highlight w:val="none"/>
              </w:rPr>
              <w:t>同时提供原件供核对</w:t>
            </w:r>
            <w:r>
              <w:rPr>
                <w:rFonts w:hint="eastAsia" w:ascii="宋体" w:hAnsi="宋体" w:eastAsia="宋体" w:cs="宋体"/>
                <w:color w:val="auto"/>
                <w:sz w:val="22"/>
                <w:szCs w:val="22"/>
                <w:highlight w:val="none"/>
              </w:rPr>
              <w:t>（证书为电子证书的除外）。</w:t>
            </w:r>
          </w:p>
          <w:p w14:paraId="0B45648B">
            <w:pPr>
              <w:wordWrap w:val="0"/>
              <w:spacing w:after="120" w:line="360" w:lineRule="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color w:val="auto"/>
                <w:sz w:val="22"/>
                <w:szCs w:val="22"/>
                <w:highlight w:val="none"/>
              </w:rPr>
              <w:t>2．未提供原件的，颁发机构、时间不符合要求的，按第 2 项标准处理。</w:t>
            </w:r>
          </w:p>
        </w:tc>
      </w:tr>
      <w:tr w14:paraId="2DE5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1491" w:type="dxa"/>
            <w:vMerge w:val="continue"/>
            <w:tcBorders>
              <w:left w:val="single" w:color="auto" w:sz="4" w:space="0"/>
              <w:right w:val="single" w:color="auto" w:sz="4" w:space="0"/>
            </w:tcBorders>
            <w:noWrap w:val="0"/>
            <w:vAlign w:val="center"/>
          </w:tcPr>
          <w:p w14:paraId="15A2A45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BCEEF68">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投标人从202</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年度</w:t>
            </w:r>
            <w:r>
              <w:rPr>
                <w:rFonts w:hint="eastAsia" w:asciiTheme="minorEastAsia" w:hAnsiTheme="minorEastAsia" w:eastAsiaTheme="minorEastAsia" w:cstheme="minorEastAsia"/>
                <w:color w:val="auto"/>
                <w:kern w:val="0"/>
                <w:sz w:val="22"/>
                <w:szCs w:val="22"/>
                <w:highlight w:val="none"/>
              </w:rPr>
              <w:t>~</w:t>
            </w:r>
            <w:r>
              <w:rPr>
                <w:rFonts w:hint="eastAsia" w:asciiTheme="minorEastAsia" w:hAnsiTheme="minorEastAsia" w:eastAsiaTheme="minorEastAsia" w:cstheme="minorEastAsia"/>
                <w:color w:val="auto"/>
                <w:sz w:val="22"/>
                <w:szCs w:val="22"/>
                <w:highlight w:val="none"/>
              </w:rPr>
              <w:t>至今参与了结对帮扶“百千万工程”等典型项目：</w:t>
            </w:r>
          </w:p>
          <w:p w14:paraId="624812D8">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．纯公益帮扶项目已完工，大于20万元以上的得</w:t>
            </w:r>
            <w:r>
              <w:rPr>
                <w:rFonts w:hint="eastAsia" w:asciiTheme="minorEastAsia" w:hAnsiTheme="minorEastAsia" w:eastAsiaTheme="minorEastAsia" w:cstheme="minorEastAsia"/>
                <w:color w:val="auto"/>
                <w:sz w:val="22"/>
                <w:szCs w:val="22"/>
                <w:highlight w:val="none"/>
                <w:u w:val="single"/>
                <w:lang w:val="en-US" w:eastAsia="zh-CN"/>
              </w:rPr>
              <w:t>5</w:t>
            </w:r>
            <w:r>
              <w:rPr>
                <w:rFonts w:hint="eastAsia" w:asciiTheme="minorEastAsia" w:hAnsiTheme="minorEastAsia" w:eastAsiaTheme="minorEastAsia" w:cstheme="minorEastAsia"/>
                <w:color w:val="auto"/>
                <w:sz w:val="22"/>
                <w:szCs w:val="22"/>
                <w:highlight w:val="none"/>
              </w:rPr>
              <w:t>分；</w:t>
            </w:r>
          </w:p>
          <w:p w14:paraId="0F557AFB">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2</w:t>
            </w:r>
            <w:r>
              <w:rPr>
                <w:rFonts w:hint="eastAsia" w:asciiTheme="minorEastAsia" w:hAnsiTheme="minorEastAsia" w:eastAsiaTheme="minorEastAsia" w:cstheme="minorEastAsia"/>
                <w:color w:val="auto"/>
                <w:sz w:val="22"/>
                <w:szCs w:val="22"/>
                <w:highlight w:val="none"/>
              </w:rPr>
              <w:t>．帮扶项目已完工，大于5万元、小于20万元(含20万元)的得</w:t>
            </w:r>
            <w:r>
              <w:rPr>
                <w:rFonts w:hint="eastAsia" w:asciiTheme="minorEastAsia" w:hAnsiTheme="minorEastAsia" w:eastAsiaTheme="minorEastAsia" w:cstheme="minorEastAsia"/>
                <w:color w:val="auto"/>
                <w:sz w:val="22"/>
                <w:szCs w:val="22"/>
                <w:highlight w:val="none"/>
                <w:u w:val="single"/>
                <w:lang w:val="en-US" w:eastAsia="zh-CN"/>
              </w:rPr>
              <w:t>2</w:t>
            </w:r>
            <w:r>
              <w:rPr>
                <w:rFonts w:hint="eastAsia" w:asciiTheme="minorEastAsia" w:hAnsiTheme="minorEastAsia" w:eastAsiaTheme="minorEastAsia" w:cstheme="minorEastAsia"/>
                <w:color w:val="auto"/>
                <w:sz w:val="22"/>
                <w:szCs w:val="22"/>
                <w:highlight w:val="none"/>
              </w:rPr>
              <w:t>分；</w:t>
            </w:r>
          </w:p>
          <w:p w14:paraId="7D4886CB">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.其他不计</w:t>
            </w:r>
          </w:p>
          <w:p w14:paraId="36491F9A">
            <w:pPr>
              <w:pStyle w:val="2"/>
              <w:rPr>
                <w:rFonts w:hint="default" w:eastAsiaTheme="minorEastAsia"/>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b/>
                <w:bCs/>
                <w:color w:val="auto"/>
                <w:sz w:val="22"/>
                <w:szCs w:val="22"/>
                <w:highlight w:val="none"/>
                <w:lang w:val="en-US" w:eastAsia="zh-CN"/>
              </w:rPr>
              <w:t>.本项最高得分5分；</w:t>
            </w:r>
          </w:p>
          <w:p w14:paraId="3414A027">
            <w:pPr>
              <w:wordWrap w:val="0"/>
              <w:spacing w:line="360" w:lineRule="auto"/>
              <w:rPr>
                <w:rFonts w:hint="eastAsia" w:ascii="宋体" w:hAnsi="宋体" w:eastAsia="宋体" w:cs="宋体"/>
                <w:snapToGrid w:val="0"/>
                <w:color w:val="auto"/>
                <w:kern w:val="0"/>
                <w:sz w:val="22"/>
                <w:szCs w:val="22"/>
                <w:highlight w:val="none"/>
                <w:lang w:val="en-US" w:eastAsia="zh-CN" w:bidi="ar-SA"/>
              </w:rPr>
            </w:pPr>
          </w:p>
        </w:tc>
        <w:tc>
          <w:tcPr>
            <w:tcW w:w="50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5918E6">
            <w:pPr>
              <w:wordWrap w:val="0"/>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1.需提供建设主管部门出具的项目已录入“全省百千万工程”建筑业企业与乡镇结对帮扶项目信息库的证明（</w:t>
            </w:r>
            <w:r>
              <w:rPr>
                <w:rFonts w:hint="eastAsia" w:asciiTheme="minorEastAsia" w:hAnsiTheme="minorEastAsia" w:eastAsiaTheme="minorEastAsia" w:cstheme="minorEastAsia"/>
                <w:color w:val="auto"/>
                <w:kern w:val="0"/>
                <w:sz w:val="22"/>
                <w:szCs w:val="22"/>
                <w:highlight w:val="none"/>
              </w:rPr>
              <w:t>证明开具时间为</w:t>
            </w:r>
            <w:r>
              <w:rPr>
                <w:rFonts w:hint="eastAsia" w:asciiTheme="minorEastAsia" w:hAnsiTheme="minorEastAsia" w:eastAsiaTheme="minorEastAsia" w:cstheme="minorEastAsia"/>
                <w:color w:val="auto"/>
                <w:sz w:val="22"/>
                <w:szCs w:val="22"/>
                <w:highlight w:val="none"/>
              </w:rPr>
              <w:t>从202</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年1月1日</w:t>
            </w:r>
            <w:r>
              <w:rPr>
                <w:rFonts w:hint="eastAsia" w:asciiTheme="minorEastAsia" w:hAnsiTheme="minorEastAsia" w:eastAsiaTheme="minorEastAsia" w:cstheme="minorEastAsia"/>
                <w:color w:val="auto"/>
                <w:kern w:val="0"/>
                <w:sz w:val="22"/>
                <w:szCs w:val="22"/>
                <w:highlight w:val="none"/>
              </w:rPr>
              <w:t>~</w:t>
            </w:r>
            <w:r>
              <w:rPr>
                <w:rFonts w:hint="eastAsia" w:asciiTheme="minorEastAsia" w:hAnsiTheme="minorEastAsia" w:eastAsiaTheme="minorEastAsia" w:cstheme="minorEastAsia"/>
                <w:color w:val="auto"/>
                <w:sz w:val="22"/>
                <w:szCs w:val="22"/>
                <w:highlight w:val="none"/>
              </w:rPr>
              <w:t>至今）。</w:t>
            </w:r>
          </w:p>
          <w:p w14:paraId="4DE60997">
            <w:pPr>
              <w:wordWrap w:val="0"/>
              <w:spacing w:line="360" w:lineRule="auto"/>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color w:val="auto"/>
                <w:sz w:val="22"/>
                <w:szCs w:val="22"/>
                <w:highlight w:val="none"/>
              </w:rPr>
              <w:t>2</w:t>
            </w:r>
            <w:r>
              <w:rPr>
                <w:rFonts w:hint="eastAsia" w:asciiTheme="minorEastAsia" w:hAnsiTheme="minorEastAsia" w:eastAsiaTheme="minorEastAsia" w:cstheme="minorEastAsia"/>
                <w:color w:val="auto"/>
                <w:sz w:val="22"/>
                <w:szCs w:val="22"/>
                <w:highlight w:val="none"/>
                <w:lang w:val="en-US" w:eastAsia="zh-CN"/>
              </w:rPr>
              <w:t>.</w:t>
            </w:r>
            <w:r>
              <w:rPr>
                <w:rFonts w:hint="eastAsia" w:asciiTheme="minorEastAsia" w:hAnsiTheme="minorEastAsia" w:eastAsiaTheme="minorEastAsia" w:cstheme="minorEastAsia"/>
                <w:b/>
                <w:bCs/>
                <w:color w:val="auto"/>
                <w:sz w:val="22"/>
                <w:szCs w:val="22"/>
                <w:highlight w:val="none"/>
              </w:rPr>
              <w:t>须提供有关证明彩色扫描件，同时提供原件供核对。</w:t>
            </w:r>
          </w:p>
          <w:p w14:paraId="7410A095">
            <w:pPr>
              <w:wordWrap w:val="0"/>
              <w:spacing w:line="360" w:lineRule="auto"/>
              <w:rPr>
                <w:rFonts w:hint="eastAsia" w:ascii="宋体" w:hAnsi="宋体" w:eastAsia="宋体" w:cs="宋体"/>
                <w:snapToGrid w:val="0"/>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3．</w:t>
            </w:r>
            <w:r>
              <w:rPr>
                <w:rFonts w:hint="eastAsia" w:asciiTheme="minorEastAsia" w:hAnsiTheme="minorEastAsia" w:eastAsiaTheme="minorEastAsia" w:cstheme="minorEastAsia"/>
                <w:color w:val="auto"/>
                <w:kern w:val="0"/>
                <w:sz w:val="22"/>
                <w:szCs w:val="22"/>
                <w:highlight w:val="none"/>
              </w:rPr>
              <w:t>未提供原件的；颁发机构、证明开具时间不符合规定的，不予得分</w:t>
            </w:r>
            <w:r>
              <w:rPr>
                <w:rFonts w:hint="eastAsia" w:asciiTheme="minorEastAsia" w:hAnsiTheme="minorEastAsia" w:eastAsiaTheme="minorEastAsia" w:cstheme="minorEastAsia"/>
                <w:color w:val="auto"/>
                <w:sz w:val="22"/>
                <w:szCs w:val="22"/>
                <w:highlight w:val="none"/>
              </w:rPr>
              <w:t>。</w:t>
            </w:r>
          </w:p>
        </w:tc>
      </w:tr>
      <w:tr w14:paraId="5077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1491" w:type="dxa"/>
            <w:vMerge w:val="continue"/>
            <w:tcBorders>
              <w:left w:val="single" w:color="auto" w:sz="4" w:space="0"/>
              <w:right w:val="single" w:color="auto" w:sz="4" w:space="0"/>
            </w:tcBorders>
            <w:noWrap w:val="0"/>
            <w:vAlign w:val="center"/>
          </w:tcPr>
          <w:p w14:paraId="619368F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771EB130">
            <w:pPr>
              <w:wordWrap w:val="0"/>
              <w:adjustRightInd w:val="0"/>
              <w:snapToGrid w:val="0"/>
              <w:spacing w:line="240" w:lineRule="auto"/>
              <w:rPr>
                <w:rFonts w:hint="eastAsia" w:ascii="宋体" w:hAnsi="宋体" w:eastAsia="宋体" w:cs="宋体"/>
                <w:snapToGrid w:val="0"/>
                <w:color w:val="auto"/>
                <w:kern w:val="0"/>
                <w:sz w:val="22"/>
                <w:szCs w:val="22"/>
                <w:highlight w:val="none"/>
                <w:lang w:val="en-US" w:eastAsia="zh-CN"/>
              </w:rPr>
            </w:pPr>
            <w:r>
              <w:rPr>
                <w:rFonts w:hint="eastAsia" w:asciiTheme="minorEastAsia" w:hAnsiTheme="minorEastAsia" w:eastAsiaTheme="minorEastAsia" w:cstheme="minorEastAsia"/>
                <w:sz w:val="22"/>
                <w:szCs w:val="22"/>
                <w:highlight w:val="none"/>
              </w:rPr>
              <w:t>投标人从202</w:t>
            </w:r>
            <w:r>
              <w:rPr>
                <w:rFonts w:hint="eastAsia" w:asciiTheme="minorEastAsia" w:hAnsiTheme="minorEastAsia" w:eastAsiaTheme="minorEastAsia" w:cstheme="minorEastAsia"/>
                <w:sz w:val="22"/>
                <w:szCs w:val="22"/>
                <w:highlight w:val="none"/>
                <w:lang w:val="en-US" w:eastAsia="zh-CN"/>
              </w:rPr>
              <w:t>3</w:t>
            </w:r>
            <w:r>
              <w:rPr>
                <w:rFonts w:hint="eastAsia" w:asciiTheme="minorEastAsia" w:hAnsiTheme="minorEastAsia" w:eastAsiaTheme="minorEastAsia" w:cstheme="minorEastAsia"/>
                <w:sz w:val="22"/>
                <w:szCs w:val="22"/>
                <w:highlight w:val="none"/>
              </w:rPr>
              <w:t>年1月1日至今获得过县（市、区）建设主管部门颁发的“百千万工程”工作相关表扬信的，得</w:t>
            </w:r>
            <w:r>
              <w:rPr>
                <w:rFonts w:hint="eastAsia" w:asciiTheme="minorEastAsia" w:hAnsiTheme="minorEastAsia" w:eastAsiaTheme="minorEastAsia" w:cstheme="minorEastAsia"/>
                <w:sz w:val="22"/>
                <w:szCs w:val="22"/>
                <w:highlight w:val="none"/>
                <w:u w:val="single"/>
              </w:rPr>
              <w:t>5</w:t>
            </w:r>
            <w:r>
              <w:rPr>
                <w:rFonts w:hint="eastAsia" w:asciiTheme="minorEastAsia" w:hAnsiTheme="minorEastAsia" w:eastAsiaTheme="minorEastAsia" w:cstheme="minorEastAsia"/>
                <w:sz w:val="22"/>
                <w:szCs w:val="22"/>
                <w:highlight w:val="none"/>
              </w:rPr>
              <w:t>分，满分得</w:t>
            </w:r>
            <w:r>
              <w:rPr>
                <w:rFonts w:hint="eastAsia" w:asciiTheme="minorEastAsia" w:hAnsiTheme="minorEastAsia" w:eastAsiaTheme="minorEastAsia" w:cstheme="minorEastAsia"/>
                <w:sz w:val="22"/>
                <w:szCs w:val="22"/>
                <w:highlight w:val="none"/>
                <w:u w:val="single"/>
              </w:rPr>
              <w:t>5</w:t>
            </w:r>
            <w:r>
              <w:rPr>
                <w:rFonts w:hint="eastAsia" w:asciiTheme="minorEastAsia" w:hAnsiTheme="minorEastAsia" w:eastAsiaTheme="minorEastAsia" w:cstheme="minorEastAsia"/>
                <w:sz w:val="22"/>
                <w:szCs w:val="22"/>
                <w:highlight w:val="none"/>
              </w:rPr>
              <w:t>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17A5C02">
            <w:pPr>
              <w:wordWrap w:val="0"/>
              <w:spacing w:after="120" w:line="288"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t>1．须提供有关证书彩色扫描件，</w:t>
            </w:r>
            <w:r>
              <w:rPr>
                <w:rFonts w:hint="eastAsia" w:asciiTheme="minorEastAsia" w:hAnsiTheme="minorEastAsia" w:eastAsiaTheme="minorEastAsia" w:cstheme="minorEastAsia"/>
                <w:b/>
                <w:bCs/>
                <w:sz w:val="22"/>
                <w:szCs w:val="22"/>
                <w:highlight w:val="none"/>
              </w:rPr>
              <w:t>同时提供原件供核对</w:t>
            </w:r>
            <w:r>
              <w:rPr>
                <w:rFonts w:hint="eastAsia" w:asciiTheme="minorEastAsia" w:hAnsiTheme="minorEastAsia" w:eastAsiaTheme="minorEastAsia" w:cstheme="minorEastAsia"/>
                <w:sz w:val="22"/>
                <w:szCs w:val="22"/>
                <w:highlight w:val="none"/>
              </w:rPr>
              <w:t>（证书为电子证书的除外）。</w:t>
            </w:r>
          </w:p>
          <w:p w14:paraId="0B516B9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b w:val="0"/>
                <w:bCs w:val="0"/>
                <w:color w:val="auto"/>
                <w:sz w:val="22"/>
                <w:szCs w:val="22"/>
                <w:highlight w:val="none"/>
                <w:lang w:eastAsia="zh-CN"/>
              </w:rPr>
            </w:pPr>
            <w:r>
              <w:rPr>
                <w:rFonts w:hint="eastAsia" w:asciiTheme="minorEastAsia" w:hAnsiTheme="minorEastAsia" w:eastAsiaTheme="minorEastAsia" w:cstheme="minorEastAsia"/>
                <w:sz w:val="22"/>
                <w:szCs w:val="22"/>
                <w:highlight w:val="none"/>
              </w:rPr>
              <w:t>2．未提供原件的，颁发机构、时间不符合要求的，按第 2 项标准处理</w:t>
            </w:r>
            <w:r>
              <w:rPr>
                <w:rFonts w:hint="eastAsia" w:asciiTheme="minorEastAsia" w:hAnsiTheme="minorEastAsia" w:eastAsiaTheme="minorEastAsia" w:cstheme="minorEastAsia"/>
                <w:sz w:val="22"/>
                <w:szCs w:val="22"/>
                <w:highlight w:val="none"/>
                <w:lang w:eastAsia="zh-CN"/>
              </w:rPr>
              <w:t>。</w:t>
            </w:r>
          </w:p>
        </w:tc>
      </w:tr>
      <w:tr w14:paraId="7E6DE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4" w:hRule="atLeast"/>
          <w:jc w:val="center"/>
        </w:trPr>
        <w:tc>
          <w:tcPr>
            <w:tcW w:w="1491" w:type="dxa"/>
            <w:tcBorders>
              <w:left w:val="single" w:color="auto" w:sz="4" w:space="0"/>
              <w:right w:val="single" w:color="auto" w:sz="4" w:space="0"/>
            </w:tcBorders>
            <w:noWrap w:val="0"/>
            <w:vAlign w:val="center"/>
          </w:tcPr>
          <w:p w14:paraId="3D5A3AF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2"/>
                <w:szCs w:val="22"/>
                <w:highlight w:val="none"/>
                <w:lang w:val="en-US" w:eastAsia="zh-CN"/>
              </w:rPr>
            </w:pP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608300C">
            <w:pPr>
              <w:wordWrap w:val="0"/>
              <w:adjustRightInd w:val="0"/>
              <w:snapToGrid w:val="0"/>
              <w:spacing w:line="24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lang w:val="en-US" w:eastAsia="zh-CN"/>
              </w:rPr>
              <w:t>1.</w:t>
            </w:r>
            <w:r>
              <w:rPr>
                <w:rFonts w:hint="eastAsia" w:ascii="宋体" w:hAnsi="宋体" w:eastAsia="宋体" w:cs="宋体"/>
                <w:snapToGrid w:val="0"/>
                <w:color w:val="auto"/>
                <w:kern w:val="0"/>
                <w:sz w:val="22"/>
                <w:szCs w:val="22"/>
                <w:highlight w:val="none"/>
              </w:rPr>
              <w:t>企业近</w:t>
            </w:r>
            <w:r>
              <w:rPr>
                <w:rFonts w:hint="eastAsia" w:ascii="宋体" w:hAnsi="宋体" w:eastAsia="宋体" w:cs="宋体"/>
                <w:snapToGrid w:val="0"/>
                <w:color w:val="auto"/>
                <w:kern w:val="0"/>
                <w:sz w:val="22"/>
                <w:szCs w:val="22"/>
                <w:highlight w:val="none"/>
                <w:lang w:val="en-US" w:eastAsia="zh-CN"/>
              </w:rPr>
              <w:t>年来</w:t>
            </w:r>
            <w:r>
              <w:rPr>
                <w:rFonts w:hint="eastAsia" w:ascii="宋体" w:hAnsi="宋体" w:eastAsia="宋体" w:cs="宋体"/>
                <w:snapToGrid w:val="0"/>
                <w:color w:val="auto"/>
                <w:kern w:val="0"/>
                <w:sz w:val="22"/>
                <w:szCs w:val="22"/>
                <w:highlight w:val="none"/>
              </w:rPr>
              <w:t>（</w:t>
            </w:r>
            <w:r>
              <w:rPr>
                <w:rFonts w:hint="eastAsia" w:asciiTheme="minorEastAsia" w:hAnsiTheme="minorEastAsia" w:eastAsiaTheme="minorEastAsia" w:cstheme="minorEastAsia"/>
                <w:sz w:val="22"/>
                <w:szCs w:val="22"/>
                <w:highlight w:val="none"/>
              </w:rPr>
              <w:t>202</w:t>
            </w:r>
            <w:r>
              <w:rPr>
                <w:rFonts w:hint="eastAsia" w:asciiTheme="minorEastAsia" w:hAnsiTheme="minorEastAsia" w:eastAsiaTheme="minorEastAsia" w:cstheme="minorEastAsia"/>
                <w:sz w:val="22"/>
                <w:szCs w:val="22"/>
                <w:highlight w:val="none"/>
                <w:lang w:val="en-US" w:eastAsia="zh-CN"/>
              </w:rPr>
              <w:t>3</w:t>
            </w:r>
            <w:r>
              <w:rPr>
                <w:rFonts w:hint="eastAsia" w:asciiTheme="minorEastAsia" w:hAnsiTheme="minorEastAsia" w:eastAsiaTheme="minorEastAsia" w:cstheme="minorEastAsia"/>
                <w:sz w:val="22"/>
                <w:szCs w:val="22"/>
                <w:highlight w:val="none"/>
              </w:rPr>
              <w:t>年1月1日</w:t>
            </w:r>
          </w:p>
          <w:p w14:paraId="00F9CAD3">
            <w:pPr>
              <w:wordWrap w:val="0"/>
              <w:adjustRightInd w:val="0"/>
              <w:snapToGrid w:val="0"/>
              <w:spacing w:line="24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至今）获得过“ 中国建筑业协会 ”颁发 AAA 级</w:t>
            </w:r>
            <w:r>
              <w:rPr>
                <w:rFonts w:hint="eastAsia" w:ascii="宋体" w:hAnsi="宋体" w:eastAsia="宋体" w:cs="宋体"/>
                <w:snapToGrid w:val="0"/>
                <w:color w:val="auto"/>
                <w:kern w:val="0"/>
                <w:sz w:val="22"/>
                <w:szCs w:val="22"/>
                <w:highlight w:val="none"/>
                <w:lang w:val="en-US" w:eastAsia="zh-CN"/>
              </w:rPr>
              <w:t>信用企业</w:t>
            </w:r>
            <w:r>
              <w:rPr>
                <w:rFonts w:hint="eastAsia" w:ascii="宋体" w:hAnsi="宋体" w:eastAsia="宋体" w:cs="宋体"/>
                <w:snapToGrid w:val="0"/>
                <w:color w:val="auto"/>
                <w:kern w:val="0"/>
                <w:sz w:val="22"/>
                <w:szCs w:val="22"/>
                <w:highlight w:val="none"/>
              </w:rPr>
              <w:t>证书的得</w:t>
            </w:r>
            <w:r>
              <w:rPr>
                <w:rFonts w:hint="eastAsia" w:ascii="宋体" w:hAnsi="宋体" w:eastAsia="宋体" w:cs="宋体"/>
                <w:snapToGrid w:val="0"/>
                <w:color w:val="auto"/>
                <w:kern w:val="0"/>
                <w:sz w:val="22"/>
                <w:szCs w:val="22"/>
                <w:highlight w:val="none"/>
                <w:u w:val="single"/>
              </w:rPr>
              <w:t xml:space="preserve"> </w:t>
            </w:r>
            <w:r>
              <w:rPr>
                <w:rFonts w:hint="eastAsia" w:ascii="宋体" w:hAnsi="宋体" w:eastAsia="宋体" w:cs="宋体"/>
                <w:snapToGrid w:val="0"/>
                <w:color w:val="auto"/>
                <w:kern w:val="0"/>
                <w:sz w:val="22"/>
                <w:szCs w:val="22"/>
                <w:highlight w:val="none"/>
                <w:u w:val="single"/>
                <w:lang w:val="en-US" w:eastAsia="zh-CN"/>
              </w:rPr>
              <w:t>5</w:t>
            </w:r>
            <w:r>
              <w:rPr>
                <w:rFonts w:hint="eastAsia" w:ascii="宋体" w:hAnsi="宋体" w:eastAsia="宋体" w:cs="宋体"/>
                <w:snapToGrid w:val="0"/>
                <w:color w:val="auto"/>
                <w:kern w:val="0"/>
                <w:sz w:val="22"/>
                <w:szCs w:val="22"/>
                <w:highlight w:val="none"/>
              </w:rPr>
              <w:t>分；</w:t>
            </w:r>
          </w:p>
          <w:p w14:paraId="10BFDF9B">
            <w:pPr>
              <w:wordWrap w:val="0"/>
              <w:adjustRightInd w:val="0"/>
              <w:snapToGrid w:val="0"/>
              <w:spacing w:line="240" w:lineRule="auto"/>
              <w:rPr>
                <w:rFonts w:hint="eastAsia" w:ascii="宋体" w:hAnsi="宋体" w:eastAsia="宋体" w:cs="宋体"/>
                <w:sz w:val="22"/>
                <w:szCs w:val="22"/>
                <w:highlight w:val="none"/>
              </w:rPr>
            </w:pPr>
            <w:r>
              <w:rPr>
                <w:rFonts w:hint="eastAsia" w:ascii="宋体" w:hAnsi="宋体" w:eastAsia="宋体" w:cs="宋体"/>
                <w:snapToGrid w:val="0"/>
                <w:color w:val="auto"/>
                <w:kern w:val="0"/>
                <w:sz w:val="22"/>
                <w:szCs w:val="22"/>
                <w:highlight w:val="none"/>
                <w:lang w:val="en-US" w:eastAsia="zh-CN"/>
              </w:rPr>
              <w:t>2.</w:t>
            </w:r>
            <w:r>
              <w:rPr>
                <w:rFonts w:hint="eastAsia" w:ascii="宋体" w:hAnsi="宋体" w:eastAsia="宋体" w:cs="宋体"/>
                <w:snapToGrid w:val="0"/>
                <w:color w:val="auto"/>
                <w:kern w:val="0"/>
                <w:sz w:val="22"/>
                <w:szCs w:val="22"/>
                <w:highlight w:val="none"/>
              </w:rPr>
              <w:t>其他情形的，不予计分。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42DA638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b/>
                <w:bCs/>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w:t>
            </w:r>
            <w:r>
              <w:rPr>
                <w:rFonts w:hint="eastAsia" w:ascii="宋体" w:hAnsi="宋体" w:eastAsia="宋体" w:cs="宋体"/>
                <w:snapToGrid w:val="0"/>
                <w:color w:val="auto"/>
                <w:kern w:val="0"/>
                <w:sz w:val="22"/>
                <w:szCs w:val="22"/>
                <w:highlight w:val="none"/>
                <w:lang w:eastAsia="zh-CN"/>
              </w:rPr>
              <w:t>.</w:t>
            </w:r>
            <w:r>
              <w:rPr>
                <w:rFonts w:hint="eastAsia" w:ascii="宋体" w:hAnsi="宋体" w:eastAsia="宋体" w:cs="宋体"/>
                <w:snapToGrid w:val="0"/>
                <w:color w:val="auto"/>
                <w:kern w:val="0"/>
                <w:sz w:val="22"/>
                <w:szCs w:val="22"/>
                <w:highlight w:val="none"/>
              </w:rPr>
              <w:t>证书由“ 中国建筑业协会 ”颁发，须提供有关证书彩色扫描件，</w:t>
            </w:r>
            <w:r>
              <w:rPr>
                <w:rFonts w:hint="eastAsia" w:ascii="宋体" w:hAnsi="宋体" w:eastAsia="宋体" w:cs="宋体"/>
                <w:b/>
                <w:bCs/>
                <w:snapToGrid w:val="0"/>
                <w:color w:val="auto"/>
                <w:kern w:val="0"/>
                <w:sz w:val="22"/>
                <w:szCs w:val="22"/>
                <w:highlight w:val="none"/>
              </w:rPr>
              <w:t>同时提供原件核对（证书为电子证书的除外）。</w:t>
            </w:r>
          </w:p>
          <w:p w14:paraId="62B51A0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宋体" w:hAnsi="宋体" w:eastAsia="宋体" w:cs="宋体"/>
                <w:sz w:val="22"/>
                <w:szCs w:val="22"/>
                <w:highlight w:val="none"/>
              </w:rPr>
            </w:pPr>
            <w:r>
              <w:rPr>
                <w:rFonts w:hint="eastAsia" w:ascii="宋体" w:hAnsi="宋体" w:eastAsia="宋体" w:cs="宋体"/>
                <w:snapToGrid w:val="0"/>
                <w:color w:val="auto"/>
                <w:kern w:val="0"/>
                <w:sz w:val="22"/>
                <w:szCs w:val="22"/>
                <w:highlight w:val="none"/>
              </w:rPr>
              <w:t xml:space="preserve">2 </w:t>
            </w:r>
            <w:r>
              <w:rPr>
                <w:rFonts w:hint="eastAsia" w:ascii="宋体" w:hAnsi="宋体" w:eastAsia="宋体" w:cs="宋体"/>
                <w:snapToGrid w:val="0"/>
                <w:color w:val="auto"/>
                <w:kern w:val="0"/>
                <w:sz w:val="22"/>
                <w:szCs w:val="22"/>
                <w:highlight w:val="none"/>
                <w:lang w:val="en-US" w:eastAsia="zh-CN"/>
              </w:rPr>
              <w:t>.</w:t>
            </w:r>
            <w:r>
              <w:rPr>
                <w:rFonts w:hint="eastAsia" w:ascii="宋体" w:hAnsi="宋体" w:eastAsia="宋体" w:cs="宋体"/>
                <w:snapToGrid w:val="0"/>
                <w:color w:val="auto"/>
                <w:kern w:val="0"/>
                <w:sz w:val="22"/>
                <w:szCs w:val="22"/>
                <w:highlight w:val="none"/>
              </w:rPr>
              <w:t>未提供原件的，</w:t>
            </w:r>
            <w:r>
              <w:rPr>
                <w:rFonts w:hint="eastAsia" w:ascii="宋体" w:hAnsi="宋体" w:eastAsia="宋体" w:cs="宋体"/>
                <w:snapToGrid w:val="0"/>
                <w:color w:val="auto"/>
                <w:kern w:val="0"/>
                <w:sz w:val="22"/>
                <w:szCs w:val="22"/>
                <w:highlight w:val="none"/>
                <w:lang w:val="en-US" w:eastAsia="zh-CN"/>
              </w:rPr>
              <w:t>证书不在有效期内的，</w:t>
            </w:r>
            <w:r>
              <w:rPr>
                <w:rFonts w:hint="eastAsia" w:ascii="宋体" w:hAnsi="宋体" w:eastAsia="宋体" w:cs="宋体"/>
                <w:snapToGrid w:val="0"/>
                <w:color w:val="auto"/>
                <w:kern w:val="0"/>
                <w:sz w:val="22"/>
                <w:szCs w:val="22"/>
                <w:highlight w:val="none"/>
              </w:rPr>
              <w:t>颁发机构不符合要求的，按第2项标准处理。</w:t>
            </w:r>
          </w:p>
        </w:tc>
      </w:tr>
      <w:tr w14:paraId="47C95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11D6A432">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left"/>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lang w:eastAsia="zh-CN"/>
              </w:rPr>
              <w:t>技术部分（施工组织设计），满分：</w:t>
            </w:r>
            <w:r>
              <w:rPr>
                <w:rFonts w:hint="eastAsia" w:ascii="宋体" w:hAnsi="宋体" w:eastAsia="宋体" w:cs="宋体"/>
                <w:b/>
                <w:bCs/>
                <w:caps w:val="0"/>
                <w:smallCaps w:val="0"/>
                <w:snapToGrid w:val="0"/>
                <w:color w:val="auto"/>
                <w:spacing w:val="0"/>
                <w:kern w:val="0"/>
                <w:sz w:val="22"/>
                <w:szCs w:val="22"/>
                <w:highlight w:val="none"/>
                <w:u w:val="single"/>
                <w:lang w:val="en-US" w:eastAsia="zh-CN"/>
              </w:rPr>
              <w:t xml:space="preserve">  20  </w:t>
            </w:r>
            <w:r>
              <w:rPr>
                <w:rFonts w:hint="eastAsia" w:ascii="宋体" w:hAnsi="宋体" w:eastAsia="宋体" w:cs="宋体"/>
                <w:b/>
                <w:bCs/>
                <w:caps w:val="0"/>
                <w:smallCaps w:val="0"/>
                <w:snapToGrid w:val="0"/>
                <w:color w:val="auto"/>
                <w:spacing w:val="0"/>
                <w:kern w:val="0"/>
                <w:sz w:val="22"/>
                <w:szCs w:val="22"/>
                <w:highlight w:val="none"/>
                <w:lang w:val="en-US" w:eastAsia="zh-CN"/>
              </w:rPr>
              <w:t>分。</w:t>
            </w:r>
          </w:p>
        </w:tc>
      </w:tr>
      <w:tr w14:paraId="6C61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9F6191F">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rPr>
              <w:t>评分因素</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34FD14D">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rPr>
            </w:pPr>
            <w:r>
              <w:rPr>
                <w:rFonts w:hint="eastAsia" w:ascii="宋体" w:hAnsi="宋体" w:eastAsia="宋体" w:cs="宋体"/>
                <w:b/>
                <w:bCs/>
                <w:caps w:val="0"/>
                <w:smallCaps w:val="0"/>
                <w:snapToGrid w:val="0"/>
                <w:color w:val="auto"/>
                <w:spacing w:val="0"/>
                <w:kern w:val="0"/>
                <w:sz w:val="22"/>
                <w:szCs w:val="22"/>
                <w:highlight w:val="none"/>
              </w:rPr>
              <w:t>评分标准</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DE5B26F">
            <w:pPr>
              <w:pStyle w:val="5"/>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2"/>
                <w:szCs w:val="22"/>
                <w:highlight w:val="none"/>
                <w:lang w:eastAsia="zh-CN"/>
              </w:rPr>
            </w:pPr>
            <w:r>
              <w:rPr>
                <w:rFonts w:hint="eastAsia" w:ascii="宋体" w:hAnsi="宋体" w:eastAsia="宋体" w:cs="宋体"/>
                <w:b/>
                <w:bCs/>
                <w:caps w:val="0"/>
                <w:smallCaps w:val="0"/>
                <w:snapToGrid w:val="0"/>
                <w:color w:val="auto"/>
                <w:spacing w:val="0"/>
                <w:kern w:val="0"/>
                <w:sz w:val="22"/>
                <w:szCs w:val="22"/>
                <w:highlight w:val="none"/>
                <w:lang w:eastAsia="zh-CN"/>
              </w:rPr>
              <w:t>备注</w:t>
            </w:r>
          </w:p>
        </w:tc>
      </w:tr>
      <w:tr w14:paraId="25B26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7"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4EC4B3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 xml:space="preserve"> 总体概述</w:t>
            </w:r>
          </w:p>
          <w:p w14:paraId="7333D43A">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6F62EC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43B3257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56D845F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3FD7098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3D54074">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【优】对项目总体有深刻认识，表述清晰、完整、严谨、合理，措施先进、具体、有效、成熟，采用了新技术、新工艺、新材料、新设备；施工段划分呼应总体表述，划分清晰、合理，符合规范要求。</w:t>
            </w:r>
          </w:p>
          <w:p w14:paraId="12153FF5">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【良】对项目总体有一定认识，表述清晰、完整，措施具体有效；施工段划分呼应总体表述，划分清晰，符合规范要求。</w:t>
            </w:r>
          </w:p>
          <w:p w14:paraId="5EBA7D58">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【中】对项目总体有认识，有一定的措施但部分不具体；施工段划分较合理，符合规范要求。</w:t>
            </w:r>
          </w:p>
          <w:p w14:paraId="5C73A9B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【差】对项目认识不足，表述不清晰，措施不具体；施工段划分不合理。</w:t>
            </w:r>
          </w:p>
        </w:tc>
      </w:tr>
      <w:tr w14:paraId="037B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4426F8C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施工总进</w:t>
            </w:r>
          </w:p>
          <w:p w14:paraId="3DAB3C6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度计划及</w:t>
            </w:r>
          </w:p>
          <w:p w14:paraId="6FB92D0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保证措施</w:t>
            </w:r>
          </w:p>
          <w:p w14:paraId="6780E20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55E9097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2BB77EA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6971F76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058DCEF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08EE883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经济赔偿合理。</w:t>
            </w:r>
          </w:p>
          <w:p w14:paraId="2EA5956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经济赔偿较合理。</w:t>
            </w:r>
          </w:p>
          <w:p w14:paraId="6207766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【中】关键线路基本准确，计划编制基本合理。关键节点的控制措施基本可行。人、材、机需求和进场计划与进度计划相呼应，基本满足施工需要，调配投入计划基本合理。进度违约责任承诺具体。</w:t>
            </w:r>
          </w:p>
          <w:p w14:paraId="6FD8C0F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snapToGrid w:val="0"/>
                <w:color w:val="auto"/>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【差】关键线路不准确，计划编制不合理。关键节点的控制不可行。人、材、机需求和进场计划与进度计划不相呼应，不能满足施工需要。没有违约责任承诺。</w:t>
            </w:r>
          </w:p>
        </w:tc>
      </w:tr>
      <w:tr w14:paraId="0D76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1"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871ECF0">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质量</w:t>
            </w:r>
          </w:p>
          <w:p w14:paraId="1FBF3AEC">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保证措施</w:t>
            </w:r>
          </w:p>
          <w:p w14:paraId="1277B614">
            <w:pPr>
              <w:pStyle w:val="27"/>
              <w:wordWrap w:val="0"/>
              <w:spacing w:line="400" w:lineRule="exact"/>
              <w:jc w:val="center"/>
              <w:rPr>
                <w:rFonts w:hint="eastAsia" w:ascii="宋体" w:hAnsi="宋体" w:eastAsia="宋体" w:cs="宋体"/>
                <w:caps w:val="0"/>
                <w:smallCaps w:val="0"/>
                <w:snapToGrid w:val="0"/>
                <w:color w:val="auto"/>
                <w:spacing w:val="0"/>
                <w:kern w:val="0"/>
                <w:sz w:val="22"/>
                <w:szCs w:val="22"/>
                <w:highlight w:val="none"/>
                <w:lang w:eastAsia="zh-CN"/>
              </w:rPr>
            </w:pPr>
            <w:r>
              <w:rPr>
                <w:rFonts w:hint="eastAsia" w:eastAsia="宋体"/>
                <w:snapToGrid w:val="0"/>
                <w:color w:val="auto"/>
                <w:kern w:val="0"/>
                <w:sz w:val="22"/>
                <w:szCs w:val="22"/>
                <w:highlight w:val="none"/>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4 </w:t>
            </w:r>
            <w:r>
              <w:rPr>
                <w:rFonts w:hint="eastAsia" w:eastAsia="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2007839E">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【优】得该项评分因素分值的90%～100%（含90%）。</w:t>
            </w:r>
          </w:p>
          <w:p w14:paraId="0DDE4CE8">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【良】得该项评分因素分值的80%～90%（含80%）。</w:t>
            </w:r>
          </w:p>
          <w:p w14:paraId="226B370B">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【中】得该项评分因素分值的70%～80%（含70%）。</w:t>
            </w:r>
          </w:p>
          <w:p w14:paraId="0860C7AB">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FF594C8">
            <w:pPr>
              <w:pStyle w:val="5"/>
              <w:wordWrap w:val="0"/>
              <w:spacing w:after="0" w:line="400" w:lineRule="exact"/>
              <w:rPr>
                <w:rFonts w:ascii="Times New Roman"/>
                <w:snapToGrid w:val="0"/>
                <w:color w:val="auto"/>
                <w:kern w:val="0"/>
                <w:sz w:val="22"/>
                <w:szCs w:val="22"/>
                <w:highlight w:val="none"/>
              </w:rPr>
            </w:pPr>
            <w:r>
              <w:rPr>
                <w:rFonts w:ascii="Times New Roman"/>
                <w:snapToGrid w:val="0"/>
                <w:color w:val="auto"/>
                <w:kern w:val="0"/>
                <w:sz w:val="22"/>
                <w:szCs w:val="22"/>
                <w:highlight w:val="none"/>
              </w:rPr>
              <w:t>【优】应用新技术、新工艺、新材料、新设备，针对项目实际提出先进、可行、具体的保证措施。超过招标文件的质量要求。</w:t>
            </w:r>
          </w:p>
          <w:p w14:paraId="5D7DABA4">
            <w:pPr>
              <w:pStyle w:val="5"/>
              <w:wordWrap w:val="0"/>
              <w:spacing w:after="0" w:line="400" w:lineRule="exact"/>
              <w:rPr>
                <w:rFonts w:hint="default" w:ascii="Times New Roman"/>
                <w:b/>
                <w:bCs/>
                <w:snapToGrid w:val="0"/>
                <w:color w:val="auto"/>
                <w:kern w:val="0"/>
                <w:sz w:val="22"/>
                <w:szCs w:val="22"/>
                <w:highlight w:val="none"/>
              </w:rPr>
            </w:pPr>
            <w:r>
              <w:rPr>
                <w:rFonts w:ascii="Times New Roman"/>
                <w:snapToGrid w:val="0"/>
                <w:color w:val="auto"/>
                <w:kern w:val="0"/>
                <w:sz w:val="22"/>
                <w:szCs w:val="22"/>
                <w:highlight w:val="none"/>
              </w:rPr>
              <w:t>【良】针对项目实际提出先进、可行、具体的保证措施。满足招标文件的质量要求。</w:t>
            </w:r>
          </w:p>
          <w:p w14:paraId="47C950B5">
            <w:pPr>
              <w:pStyle w:val="5"/>
              <w:wordWrap w:val="0"/>
              <w:spacing w:after="0" w:line="400" w:lineRule="exact"/>
              <w:rPr>
                <w:rFonts w:hint="eastAsia" w:ascii="Times New Roman" w:eastAsia="宋体"/>
                <w:snapToGrid w:val="0"/>
                <w:color w:val="auto"/>
                <w:kern w:val="0"/>
                <w:sz w:val="22"/>
                <w:szCs w:val="22"/>
                <w:highlight w:val="none"/>
                <w:lang w:eastAsia="zh-CN"/>
              </w:rPr>
            </w:pPr>
            <w:r>
              <w:rPr>
                <w:rFonts w:ascii="Times New Roman"/>
                <w:snapToGrid w:val="0"/>
                <w:color w:val="auto"/>
                <w:kern w:val="0"/>
                <w:sz w:val="22"/>
                <w:szCs w:val="22"/>
                <w:highlight w:val="none"/>
              </w:rPr>
              <w:t>【中】具体措施可行。满足招标文件的质量要求</w:t>
            </w:r>
            <w:r>
              <w:rPr>
                <w:rFonts w:hint="eastAsia" w:ascii="Times New Roman" w:eastAsia="宋体"/>
                <w:snapToGrid w:val="0"/>
                <w:color w:val="auto"/>
                <w:kern w:val="0"/>
                <w:sz w:val="22"/>
                <w:szCs w:val="22"/>
                <w:highlight w:val="none"/>
                <w:lang w:eastAsia="zh-CN"/>
              </w:rPr>
              <w:t>。</w:t>
            </w:r>
          </w:p>
          <w:p w14:paraId="59C3D929">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【差】措施不可行，没有质量违约责任承诺。</w:t>
            </w:r>
          </w:p>
        </w:tc>
      </w:tr>
      <w:tr w14:paraId="7D45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8"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4309F9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w:t>
            </w:r>
          </w:p>
          <w:p w14:paraId="10E0DBE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技术措施</w:t>
            </w:r>
          </w:p>
          <w:p w14:paraId="7A2152B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2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D6A5A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46B998B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7813884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45B4BB1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03F18B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经济赔偿合理。</w:t>
            </w:r>
          </w:p>
          <w:p w14:paraId="417C0F7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宋体" w:hAnsi="宋体" w:eastAsia="宋体" w:cs="宋体"/>
                <w:b/>
                <w:bCs/>
                <w:caps w:val="0"/>
                <w:smallCaps w:val="0"/>
                <w:strike w:val="0"/>
                <w:dstrike w:val="0"/>
                <w:snapToGrid w:val="0"/>
                <w:color w:val="auto"/>
                <w:spacing w:val="0"/>
                <w:kern w:val="0"/>
                <w:sz w:val="22"/>
                <w:szCs w:val="22"/>
                <w:highlight w:val="none"/>
                <w:lang w:val="en-US" w:eastAsia="zh-CN" w:bidi="ar-SA"/>
              </w:rPr>
              <w:t>经济赔偿较合理。</w:t>
            </w:r>
          </w:p>
          <w:p w14:paraId="44507D0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1AB9CBE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【差】对项目关键技术有表述，对重点、难点有建议，解决方案不可行。采用的新技术针对性不强或验证材料不可靠，对节约投资、工期没有具体收益。无违约责任承诺。</w:t>
            </w:r>
          </w:p>
        </w:tc>
      </w:tr>
      <w:tr w14:paraId="7761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3"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0644BF9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绿色施工、</w:t>
            </w:r>
          </w:p>
          <w:p w14:paraId="6C81D19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安全防护、</w:t>
            </w:r>
          </w:p>
          <w:p w14:paraId="638C625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文明施工</w:t>
            </w:r>
          </w:p>
          <w:p w14:paraId="78E2CFA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措施计划</w:t>
            </w:r>
          </w:p>
          <w:p w14:paraId="0AEC977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2ADD8CA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5EE1FBD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0DFD8EA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1B36B2C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2687ED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【优】针对项目实际情况，有先进、具体、完整、可行的措施，采用规范准确、清晰。</w:t>
            </w:r>
          </w:p>
          <w:p w14:paraId="14A6ED7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【良】针对项目实际情况，有合理的措施且具体、完整，采用规范准确。</w:t>
            </w:r>
          </w:p>
          <w:p w14:paraId="72D94C8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【中】有基本合理的措施，采用规范准确。</w:t>
            </w:r>
          </w:p>
          <w:p w14:paraId="06B16B6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【差】措施不力，采用规范不正确。</w:t>
            </w:r>
          </w:p>
        </w:tc>
      </w:tr>
      <w:tr w14:paraId="6CB4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8"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62956FD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施工平面</w:t>
            </w:r>
          </w:p>
          <w:p w14:paraId="25BBEE0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布置和临时设施布置</w:t>
            </w:r>
          </w:p>
          <w:p w14:paraId="1D6C6A0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2"/>
                <w:szCs w:val="22"/>
                <w:highlight w:val="none"/>
                <w:lang w:eastAsia="zh-CN"/>
              </w:rPr>
            </w:pPr>
            <w:r>
              <w:rPr>
                <w:rFonts w:hint="eastAsia" w:ascii="宋体" w:hAnsi="宋体" w:eastAsia="宋体" w:cs="宋体"/>
                <w:caps w:val="0"/>
                <w:smallCaps w:val="0"/>
                <w:snapToGrid w:val="0"/>
                <w:color w:val="auto"/>
                <w:spacing w:val="0"/>
                <w:kern w:val="0"/>
                <w:sz w:val="22"/>
                <w:szCs w:val="22"/>
                <w:highlight w:val="none"/>
                <w:lang w:val="en-US" w:eastAsia="zh-CN" w:bidi="ar-SA"/>
              </w:rPr>
              <w:t>（</w:t>
            </w:r>
            <w:r>
              <w:rPr>
                <w:rFonts w:hint="eastAsia" w:ascii="宋体" w:hAnsi="宋体" w:eastAsia="宋体" w:cs="宋体"/>
                <w:caps w:val="0"/>
                <w:smallCaps w:val="0"/>
                <w:snapToGrid w:val="0"/>
                <w:color w:val="auto"/>
                <w:spacing w:val="0"/>
                <w:kern w:val="0"/>
                <w:sz w:val="22"/>
                <w:szCs w:val="22"/>
                <w:highlight w:val="none"/>
                <w:u w:val="single"/>
                <w:lang w:val="en-US" w:eastAsia="zh-CN" w:bidi="ar-SA"/>
              </w:rPr>
              <w:t xml:space="preserve"> 2 </w:t>
            </w:r>
            <w:r>
              <w:rPr>
                <w:rFonts w:hint="eastAsia" w:ascii="宋体" w:hAnsi="宋体" w:eastAsia="宋体" w:cs="宋体"/>
                <w:caps w:val="0"/>
                <w:smallCaps w:val="0"/>
                <w:snapToGrid w:val="0"/>
                <w:color w:val="auto"/>
                <w:spacing w:val="0"/>
                <w:kern w:val="0"/>
                <w:sz w:val="22"/>
                <w:szCs w:val="22"/>
                <w:highlight w:val="none"/>
                <w:lang w:val="en-US" w:eastAsia="zh-CN" w:bidi="ar-SA"/>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19AAB17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【优】得该项评分因素分值的90%～100%（含90%）。</w:t>
            </w:r>
          </w:p>
          <w:p w14:paraId="24A2C3A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【良】得该项评分因素分值的80%～90%（含80%）。</w:t>
            </w:r>
          </w:p>
          <w:p w14:paraId="23E105B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【中】得该项评分因素分值的70%～80%（含70%）。</w:t>
            </w:r>
          </w:p>
          <w:p w14:paraId="3A880DA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3B0E8C0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【优】总体布置有针对性、合理，较好满足施工需要，符合绿色施工、安全防护、文明施工要求。</w:t>
            </w:r>
          </w:p>
          <w:p w14:paraId="652713E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【良】总体布置合理，能满足施工需要，基本符合绿色施工、安全防护、文明施工要求。</w:t>
            </w:r>
          </w:p>
          <w:p w14:paraId="657291C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lang w:val="en-US" w:eastAsia="zh-CN" w:bidi="ar-SA"/>
              </w:rPr>
            </w:pPr>
            <w:r>
              <w:rPr>
                <w:rFonts w:hint="eastAsia" w:ascii="宋体" w:hAnsi="宋体" w:eastAsia="宋体" w:cs="宋体"/>
                <w:caps w:val="0"/>
                <w:smallCaps w:val="0"/>
                <w:snapToGrid w:val="0"/>
                <w:color w:val="auto"/>
                <w:spacing w:val="0"/>
                <w:kern w:val="0"/>
                <w:sz w:val="22"/>
                <w:szCs w:val="22"/>
                <w:highlight w:val="none"/>
                <w:lang w:val="en-US" w:eastAsia="zh-CN" w:bidi="ar-SA"/>
              </w:rPr>
              <w:t>【中】总体布置基本合理，基本满足施工需要。</w:t>
            </w:r>
          </w:p>
          <w:p w14:paraId="63EE77B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2"/>
                <w:szCs w:val="22"/>
                <w:highlight w:val="none"/>
              </w:rPr>
            </w:pPr>
            <w:r>
              <w:rPr>
                <w:rFonts w:hint="eastAsia" w:ascii="宋体" w:hAnsi="宋体" w:eastAsia="宋体" w:cs="宋体"/>
                <w:caps w:val="0"/>
                <w:smallCaps w:val="0"/>
                <w:snapToGrid w:val="0"/>
                <w:color w:val="auto"/>
                <w:spacing w:val="0"/>
                <w:kern w:val="0"/>
                <w:sz w:val="22"/>
                <w:szCs w:val="22"/>
                <w:highlight w:val="none"/>
                <w:lang w:val="en-US" w:eastAsia="zh-CN" w:bidi="ar-SA"/>
              </w:rPr>
              <w:t>【差】总体布置不合理，不符合绿色施工、安全防护、文明施工要求。</w:t>
            </w:r>
          </w:p>
        </w:tc>
      </w:tr>
      <w:tr w14:paraId="53AF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7" w:hRule="atLeast"/>
          <w:jc w:val="center"/>
        </w:trPr>
        <w:tc>
          <w:tcPr>
            <w:tcW w:w="1491" w:type="dxa"/>
            <w:tcBorders>
              <w:top w:val="single" w:color="auto" w:sz="4" w:space="0"/>
              <w:left w:val="single" w:color="auto" w:sz="4" w:space="0"/>
              <w:bottom w:val="single" w:color="auto" w:sz="4" w:space="0"/>
              <w:right w:val="single" w:color="auto" w:sz="4" w:space="0"/>
            </w:tcBorders>
            <w:noWrap w:val="0"/>
            <w:vAlign w:val="center"/>
          </w:tcPr>
          <w:p w14:paraId="2B6196E3">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项目</w:t>
            </w:r>
          </w:p>
          <w:p w14:paraId="1931B2B7">
            <w:pPr>
              <w:pStyle w:val="27"/>
              <w:wordWrap w:val="0"/>
              <w:spacing w:line="400" w:lineRule="exact"/>
              <w:jc w:val="center"/>
              <w:rPr>
                <w:rFonts w:eastAsia="宋体"/>
                <w:snapToGrid w:val="0"/>
                <w:color w:val="auto"/>
                <w:kern w:val="0"/>
                <w:sz w:val="22"/>
                <w:szCs w:val="22"/>
                <w:highlight w:val="none"/>
              </w:rPr>
            </w:pPr>
            <w:r>
              <w:rPr>
                <w:rFonts w:hint="eastAsia" w:eastAsia="宋体"/>
                <w:snapToGrid w:val="0"/>
                <w:color w:val="auto"/>
                <w:kern w:val="0"/>
                <w:sz w:val="22"/>
                <w:szCs w:val="22"/>
                <w:highlight w:val="none"/>
              </w:rPr>
              <w:t>管理机构</w:t>
            </w:r>
          </w:p>
          <w:p w14:paraId="0EC815FA">
            <w:pPr>
              <w:pStyle w:val="27"/>
              <w:wordWrap w:val="0"/>
              <w:spacing w:line="400" w:lineRule="exact"/>
              <w:jc w:val="center"/>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w:t>
            </w:r>
            <w:r>
              <w:rPr>
                <w:rFonts w:hint="eastAsia" w:eastAsia="宋体"/>
                <w:snapToGrid w:val="0"/>
                <w:color w:val="auto"/>
                <w:kern w:val="0"/>
                <w:sz w:val="22"/>
                <w:szCs w:val="22"/>
                <w:highlight w:val="none"/>
                <w:u w:val="single"/>
              </w:rPr>
              <w:t xml:space="preserve"> 3 </w:t>
            </w:r>
            <w:r>
              <w:rPr>
                <w:rFonts w:hint="eastAsia" w:eastAsia="宋体"/>
                <w:snapToGrid w:val="0"/>
                <w:color w:val="auto"/>
                <w:kern w:val="0"/>
                <w:sz w:val="22"/>
                <w:szCs w:val="22"/>
                <w:highlight w:val="none"/>
              </w:rPr>
              <w:t>分）</w:t>
            </w:r>
          </w:p>
        </w:tc>
        <w:tc>
          <w:tcPr>
            <w:tcW w:w="3868" w:type="dxa"/>
            <w:gridSpan w:val="2"/>
            <w:tcBorders>
              <w:top w:val="single" w:color="auto" w:sz="4" w:space="0"/>
              <w:left w:val="single" w:color="auto" w:sz="4" w:space="0"/>
              <w:bottom w:val="single" w:color="auto" w:sz="4" w:space="0"/>
              <w:right w:val="single" w:color="auto" w:sz="4" w:space="0"/>
            </w:tcBorders>
            <w:noWrap w:val="0"/>
            <w:vAlign w:val="center"/>
          </w:tcPr>
          <w:p w14:paraId="34F47295">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【优】得该项评分因素分值的90%～100%（含90%）。</w:t>
            </w:r>
          </w:p>
          <w:p w14:paraId="21C01A3F">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【良】得该项评分因素分值的80%～90%（含80%）。</w:t>
            </w:r>
          </w:p>
          <w:p w14:paraId="0CE6CB42">
            <w:pPr>
              <w:pStyle w:val="26"/>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【中】得该项评分因素分值的70%～80%（含70%）。</w:t>
            </w:r>
          </w:p>
          <w:p w14:paraId="6255D4DE">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【差】得该项评分因素分值的60～70%（含60%）。</w:t>
            </w:r>
          </w:p>
        </w:tc>
        <w:tc>
          <w:tcPr>
            <w:tcW w:w="5065" w:type="dxa"/>
            <w:tcBorders>
              <w:top w:val="single" w:color="auto" w:sz="4" w:space="0"/>
              <w:left w:val="single" w:color="auto" w:sz="4" w:space="0"/>
              <w:bottom w:val="single" w:color="auto" w:sz="4" w:space="0"/>
              <w:right w:val="single" w:color="auto" w:sz="4" w:space="0"/>
            </w:tcBorders>
            <w:noWrap w:val="0"/>
            <w:vAlign w:val="center"/>
          </w:tcPr>
          <w:p w14:paraId="107FF9CF">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【优】组织机构形式合理，有完善的指挥系统，生产及质量、绿色施工、安全、文明施工、创优达标监控系统、联络协调系统，项目管理人员内高级职称人员20%（含20%）以上、中级职称人员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60%（含60%）以上。</w:t>
            </w:r>
          </w:p>
          <w:p w14:paraId="22B3AF54">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【良】组织机构形式合理，指挥系统，生产及质量、绿色施工、安全、文明施工、创优达标监控系统、联络协调系统齐全，项目管理人员内高级职称人员15%～20%（含15%）、中级职称</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人员50%～60%（含50%）。</w:t>
            </w:r>
          </w:p>
          <w:p w14:paraId="71B3578F">
            <w:pPr>
              <w:pStyle w:val="28"/>
              <w:wordWrap w:val="0"/>
              <w:spacing w:line="400" w:lineRule="exact"/>
              <w:rPr>
                <w:rFonts w:eastAsia="宋体"/>
                <w:snapToGrid w:val="0"/>
                <w:color w:val="auto"/>
                <w:kern w:val="0"/>
                <w:sz w:val="22"/>
                <w:szCs w:val="22"/>
                <w:highlight w:val="none"/>
              </w:rPr>
            </w:pPr>
            <w:r>
              <w:rPr>
                <w:rFonts w:hint="eastAsia" w:eastAsia="宋体"/>
                <w:snapToGrid w:val="0"/>
                <w:color w:val="auto"/>
                <w:kern w:val="0"/>
                <w:sz w:val="22"/>
                <w:szCs w:val="22"/>
                <w:highlight w:val="none"/>
              </w:rPr>
              <w:t>【中】组织机构形式基本合理，有指挥系统，生产及质量、绿色施工、安全、文明施工、创优达标监控系统、联络协调系统，项目管理人员内高级职称人员10%～15%（含10%）、中级职称人员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40%～50%（含40%）。</w:t>
            </w:r>
          </w:p>
          <w:p w14:paraId="36C01698">
            <w:pPr>
              <w:pStyle w:val="28"/>
              <w:wordWrap w:val="0"/>
              <w:spacing w:line="400" w:lineRule="exact"/>
              <w:rPr>
                <w:rFonts w:hint="eastAsia" w:ascii="宋体" w:hAnsi="宋体" w:eastAsia="宋体" w:cs="宋体"/>
                <w:caps w:val="0"/>
                <w:smallCaps w:val="0"/>
                <w:snapToGrid w:val="0"/>
                <w:color w:val="auto"/>
                <w:spacing w:val="0"/>
                <w:kern w:val="0"/>
                <w:sz w:val="22"/>
                <w:szCs w:val="22"/>
                <w:highlight w:val="none"/>
              </w:rPr>
            </w:pPr>
            <w:r>
              <w:rPr>
                <w:rFonts w:hint="eastAsia" w:eastAsia="宋体"/>
                <w:snapToGrid w:val="0"/>
                <w:color w:val="auto"/>
                <w:kern w:val="0"/>
                <w:sz w:val="22"/>
                <w:szCs w:val="22"/>
                <w:highlight w:val="none"/>
              </w:rPr>
              <w:t>【差】组织机构形式合理，指挥系统，生产及质量、绿色施工、安全、文明施工、创优达标监控系统、联络协调系统不齐全，项目管理人员内高级职称人员10%以下、中级职称人员</w:t>
            </w:r>
            <w:r>
              <w:rPr>
                <w:rFonts w:hint="eastAsia" w:eastAsia="宋体"/>
                <w:b/>
                <w:bCs/>
                <w:snapToGrid w:val="0"/>
                <w:color w:val="auto"/>
                <w:kern w:val="0"/>
                <w:sz w:val="22"/>
                <w:szCs w:val="22"/>
                <w:highlight w:val="none"/>
              </w:rPr>
              <w:t>及以上职称</w:t>
            </w:r>
            <w:r>
              <w:rPr>
                <w:rFonts w:hint="eastAsia" w:eastAsia="宋体"/>
                <w:snapToGrid w:val="0"/>
                <w:color w:val="auto"/>
                <w:kern w:val="0"/>
                <w:sz w:val="22"/>
                <w:szCs w:val="22"/>
                <w:highlight w:val="none"/>
              </w:rPr>
              <w:t>40%以下。</w:t>
            </w:r>
          </w:p>
        </w:tc>
      </w:tr>
      <w:tr w14:paraId="196A1D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8" w:hRule="exact"/>
          <w:jc w:val="center"/>
        </w:trPr>
        <w:tc>
          <w:tcPr>
            <w:tcW w:w="10424"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4EE34843">
            <w:pPr>
              <w:wordWrap w:val="0"/>
              <w:adjustRightInd w:val="0"/>
              <w:snapToGrid w:val="0"/>
              <w:spacing w:line="400" w:lineRule="exact"/>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投标报价部分，满分：100分。</w:t>
            </w:r>
          </w:p>
        </w:tc>
      </w:tr>
      <w:tr w14:paraId="29320A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4" w:hRule="exac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7151DCBB">
            <w:pPr>
              <w:wordWrap w:val="0"/>
              <w:adjustRightInd w:val="0"/>
              <w:snapToGrid w:val="0"/>
              <w:spacing w:line="44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评分事项</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05294EC3">
            <w:pPr>
              <w:wordWrap w:val="0"/>
              <w:adjustRightInd w:val="0"/>
              <w:snapToGrid w:val="0"/>
              <w:spacing w:line="44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评分方法</w:t>
            </w:r>
          </w:p>
        </w:tc>
      </w:tr>
      <w:tr w14:paraId="663D5B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77" w:hRule="atLeas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07019414">
            <w:pPr>
              <w:jc w:val="center"/>
              <w:rPr>
                <w:rFonts w:hint="eastAsia" w:ascii="宋体" w:hAnsi="宋体" w:eastAsia="宋体" w:cs="宋体"/>
                <w:snapToGrid w:val="0"/>
                <w:color w:val="auto"/>
                <w:kern w:val="0"/>
                <w:sz w:val="22"/>
                <w:szCs w:val="22"/>
                <w:highlight w:val="none"/>
              </w:rPr>
            </w:pPr>
            <w:r>
              <w:rPr>
                <w:rFonts w:hint="eastAsia" w:ascii="宋体" w:hAnsi="宋体" w:eastAsia="宋体" w:cs="宋体"/>
                <w:color w:val="auto"/>
                <w:sz w:val="22"/>
                <w:szCs w:val="22"/>
                <w:highlight w:val="none"/>
              </w:rPr>
              <w:t>评标基准价D</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789BE193">
            <w:pPr>
              <w:numPr>
                <w:ilvl w:val="0"/>
                <w:numId w:val="1"/>
              </w:numPr>
              <w:wordWrap w:val="0"/>
              <w:adjustRightInd w:val="0"/>
              <w:snapToGrid w:val="0"/>
              <w:spacing w:line="40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rPr>
              <w:t>确定最高投标限价下浮系数n：用1～21号球分别代表一个下浮系数，由评委代表从这21个号码中随机抽取</w:t>
            </w:r>
            <w:r>
              <w:rPr>
                <w:rFonts w:hint="eastAsia" w:ascii="宋体" w:hAnsi="宋体" w:eastAsia="宋体" w:cs="宋体"/>
                <w:snapToGrid w:val="0"/>
                <w:color w:val="auto"/>
                <w:kern w:val="0"/>
                <w:sz w:val="22"/>
                <w:szCs w:val="22"/>
                <w:highlight w:val="none"/>
                <w:u w:val="single"/>
              </w:rPr>
              <w:t xml:space="preserve"> </w:t>
            </w:r>
            <w:r>
              <w:rPr>
                <w:rFonts w:hint="eastAsia" w:hAnsi="宋体" w:cs="宋体"/>
                <w:snapToGrid w:val="0"/>
                <w:color w:val="auto"/>
                <w:kern w:val="0"/>
                <w:sz w:val="22"/>
                <w:szCs w:val="22"/>
                <w:highlight w:val="none"/>
                <w:u w:val="single"/>
                <w:lang w:val="en-US" w:eastAsia="zh-CN"/>
              </w:rPr>
              <w:t>3</w:t>
            </w:r>
            <w:r>
              <w:rPr>
                <w:rFonts w:hint="eastAsia" w:ascii="宋体" w:hAnsi="宋体" w:eastAsia="宋体" w:cs="宋体"/>
                <w:snapToGrid w:val="0"/>
                <w:color w:val="auto"/>
                <w:kern w:val="0"/>
                <w:sz w:val="22"/>
                <w:szCs w:val="22"/>
                <w:highlight w:val="none"/>
                <w:u w:val="single"/>
              </w:rPr>
              <w:t xml:space="preserve"> </w:t>
            </w:r>
            <w:r>
              <w:rPr>
                <w:rFonts w:hint="eastAsia" w:ascii="宋体" w:hAnsi="宋体" w:eastAsia="宋体" w:cs="宋体"/>
                <w:snapToGrid w:val="0"/>
                <w:color w:val="auto"/>
                <w:kern w:val="0"/>
                <w:sz w:val="22"/>
                <w:szCs w:val="22"/>
                <w:highlight w:val="none"/>
              </w:rPr>
              <w:t>次，每次抽取1个号码，抽出的号球不参与下次抽取。所抽取的</w:t>
            </w:r>
            <w:r>
              <w:rPr>
                <w:rFonts w:hint="eastAsia" w:hAnsi="宋体" w:cs="宋体"/>
                <w:snapToGrid w:val="0"/>
                <w:color w:val="auto"/>
                <w:kern w:val="0"/>
                <w:sz w:val="22"/>
                <w:szCs w:val="22"/>
                <w:highlight w:val="none"/>
                <w:lang w:val="en-US" w:eastAsia="zh-CN"/>
              </w:rPr>
              <w:t>3</w:t>
            </w:r>
            <w:r>
              <w:rPr>
                <w:rFonts w:hint="eastAsia" w:ascii="宋体" w:hAnsi="宋体" w:eastAsia="宋体" w:cs="宋体"/>
                <w:snapToGrid w:val="0"/>
                <w:color w:val="auto"/>
                <w:kern w:val="0"/>
                <w:sz w:val="22"/>
                <w:szCs w:val="22"/>
                <w:highlight w:val="none"/>
              </w:rPr>
              <w:t>个号码对应下浮系数的算术平均值作为最高投标限价下浮系数n。具体号码对应的下浮系数详见下表：</w:t>
            </w:r>
          </w:p>
          <w:tbl>
            <w:tblPr>
              <w:tblStyle w:val="14"/>
              <w:tblW w:w="0" w:type="auto"/>
              <w:jc w:val="center"/>
              <w:tblLayout w:type="fixed"/>
              <w:tblCellMar>
                <w:top w:w="0" w:type="dxa"/>
                <w:left w:w="108" w:type="dxa"/>
                <w:bottom w:w="0" w:type="dxa"/>
                <w:right w:w="108" w:type="dxa"/>
              </w:tblCellMar>
            </w:tblPr>
            <w:tblGrid>
              <w:gridCol w:w="1465"/>
              <w:gridCol w:w="794"/>
              <w:gridCol w:w="830"/>
              <w:gridCol w:w="864"/>
              <w:gridCol w:w="848"/>
              <w:gridCol w:w="882"/>
              <w:gridCol w:w="829"/>
              <w:gridCol w:w="819"/>
            </w:tblGrid>
            <w:tr w14:paraId="4BFF4480">
              <w:tblPrEx>
                <w:tblCellMar>
                  <w:top w:w="0" w:type="dxa"/>
                  <w:left w:w="108" w:type="dxa"/>
                  <w:bottom w:w="0" w:type="dxa"/>
                  <w:right w:w="108" w:type="dxa"/>
                </w:tblCellMar>
              </w:tblPrEx>
              <w:trPr>
                <w:trHeight w:val="248"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09D16B1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D566F6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4E1BBB2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5F89D5A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3</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AA7FF5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4</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D0A8C41">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5</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0A78A6DC">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6</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7E28F5AC">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7</w:t>
                  </w:r>
                </w:p>
              </w:tc>
            </w:tr>
            <w:tr w14:paraId="305AAC0D">
              <w:tblPrEx>
                <w:tblCellMar>
                  <w:top w:w="0" w:type="dxa"/>
                  <w:left w:w="108" w:type="dxa"/>
                  <w:bottom w:w="0" w:type="dxa"/>
                  <w:right w:w="108" w:type="dxa"/>
                </w:tblCellMar>
              </w:tblPrEx>
              <w:trPr>
                <w:trHeight w:val="475"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24CC9318">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A512ABA">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350A15C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1.1</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6A0F514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1.2</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FC5EF5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1.3</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9ACDBC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1.4</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6817863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EF62A9B">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1.6</w:t>
                  </w:r>
                </w:p>
              </w:tc>
            </w:tr>
            <w:tr w14:paraId="4C97E2E6">
              <w:tblPrEx>
                <w:tblCellMar>
                  <w:top w:w="0" w:type="dxa"/>
                  <w:left w:w="108" w:type="dxa"/>
                  <w:bottom w:w="0" w:type="dxa"/>
                  <w:right w:w="108" w:type="dxa"/>
                </w:tblCellMar>
              </w:tblPrEx>
              <w:trPr>
                <w:trHeight w:val="515"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4F8CA7AF">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8636AF9">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8</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70914681">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9</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4923A9D">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57911D2B">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11</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AF21244">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12</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CAD09C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13</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C3DD023">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14</w:t>
                  </w:r>
                </w:p>
              </w:tc>
            </w:tr>
            <w:tr w14:paraId="33CDB21A">
              <w:tblPrEx>
                <w:tblCellMar>
                  <w:top w:w="0" w:type="dxa"/>
                  <w:left w:w="108" w:type="dxa"/>
                  <w:bottom w:w="0" w:type="dxa"/>
                  <w:right w:w="108" w:type="dxa"/>
                </w:tblCellMar>
              </w:tblPrEx>
              <w:trPr>
                <w:trHeight w:val="43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48D405D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23940D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1.7</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425B0BDE">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1.8</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2C3545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1.9</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D9C0F3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F7E6007">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2.1</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6084DD71">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2.2</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05EDAA6">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2.3</w:t>
                  </w:r>
                </w:p>
              </w:tc>
            </w:tr>
            <w:tr w14:paraId="08886A4B">
              <w:tblPrEx>
                <w:tblCellMar>
                  <w:top w:w="0" w:type="dxa"/>
                  <w:left w:w="108" w:type="dxa"/>
                  <w:bottom w:w="0" w:type="dxa"/>
                  <w:right w:w="108" w:type="dxa"/>
                </w:tblCellMar>
              </w:tblPrEx>
              <w:trPr>
                <w:trHeight w:val="47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6C938F2B">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C7DA5D5">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15</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AADC8E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16</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C46356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17</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FE6FD2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18</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76A584E">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19</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2CB98248">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20</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62A60AE7">
                  <w:pPr>
                    <w:wordWrap w:val="0"/>
                    <w:adjustRightInd w:val="0"/>
                    <w:snapToGrid w:val="0"/>
                    <w:spacing w:line="400" w:lineRule="exact"/>
                    <w:jc w:val="center"/>
                    <w:rPr>
                      <w:rFonts w:hint="eastAsia" w:ascii="宋体" w:hAnsi="宋体" w:eastAsia="宋体" w:cs="宋体"/>
                      <w:b/>
                      <w:bCs/>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21</w:t>
                  </w:r>
                </w:p>
              </w:tc>
            </w:tr>
            <w:tr w14:paraId="1D1D8002">
              <w:tblPrEx>
                <w:tblCellMar>
                  <w:top w:w="0" w:type="dxa"/>
                  <w:left w:w="108" w:type="dxa"/>
                  <w:bottom w:w="0" w:type="dxa"/>
                  <w:right w:w="108" w:type="dxa"/>
                </w:tblCellMar>
              </w:tblPrEx>
              <w:trPr>
                <w:trHeight w:val="510" w:hRule="atLeast"/>
                <w:jc w:val="center"/>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1876523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5995ADB">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2.4</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D436B7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2.5</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B83B293">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2.6</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7413FF59">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2.7</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3DA7520">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2.8</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9EE272D">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2.9</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064D9440">
                  <w:pPr>
                    <w:wordWrap w:val="0"/>
                    <w:adjustRightInd w:val="0"/>
                    <w:snapToGrid w:val="0"/>
                    <w:spacing w:line="400" w:lineRule="exact"/>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3.0</w:t>
                  </w:r>
                </w:p>
              </w:tc>
            </w:tr>
          </w:tbl>
          <w:p w14:paraId="382953F3">
            <w:pPr>
              <w:wordWrap w:val="0"/>
              <w:adjustRightInd w:val="0"/>
              <w:snapToGrid w:val="0"/>
              <w:spacing w:line="400" w:lineRule="exact"/>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（2）评标基准价D＝最高投标限价×（1－n）</w:t>
            </w:r>
          </w:p>
        </w:tc>
      </w:tr>
      <w:tr w14:paraId="5BAB61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86" w:hRule="atLeast"/>
          <w:jc w:val="center"/>
        </w:trPr>
        <w:tc>
          <w:tcPr>
            <w:tcW w:w="1659" w:type="dxa"/>
            <w:gridSpan w:val="2"/>
            <w:tcBorders>
              <w:top w:val="single" w:color="auto" w:sz="4" w:space="0"/>
              <w:left w:val="single" w:color="auto" w:sz="4" w:space="0"/>
              <w:bottom w:val="single" w:color="auto" w:sz="4" w:space="0"/>
              <w:right w:val="single" w:color="auto" w:sz="4" w:space="0"/>
            </w:tcBorders>
            <w:noWrap w:val="0"/>
            <w:vAlign w:val="center"/>
          </w:tcPr>
          <w:p w14:paraId="4D26BCA4">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w:t>
            </w:r>
          </w:p>
          <w:p w14:paraId="194373B5">
            <w:pPr>
              <w:jc w:val="center"/>
              <w:rPr>
                <w:rFonts w:hint="eastAsia" w:ascii="宋体" w:hAnsi="宋体" w:eastAsia="宋体" w:cs="宋体"/>
                <w:snapToGrid w:val="0"/>
                <w:color w:val="auto"/>
                <w:kern w:val="0"/>
                <w:sz w:val="22"/>
                <w:szCs w:val="22"/>
                <w:highlight w:val="none"/>
              </w:rPr>
            </w:pPr>
            <w:r>
              <w:rPr>
                <w:rFonts w:hint="eastAsia" w:ascii="宋体" w:hAnsi="宋体" w:eastAsia="宋体" w:cs="宋体"/>
                <w:color w:val="auto"/>
                <w:sz w:val="22"/>
                <w:szCs w:val="22"/>
                <w:highlight w:val="none"/>
              </w:rPr>
              <w:t>得分N</w:t>
            </w:r>
          </w:p>
        </w:tc>
        <w:tc>
          <w:tcPr>
            <w:tcW w:w="8765" w:type="dxa"/>
            <w:gridSpan w:val="2"/>
            <w:tcBorders>
              <w:top w:val="single" w:color="auto" w:sz="4" w:space="0"/>
              <w:left w:val="single" w:color="auto" w:sz="4" w:space="0"/>
              <w:bottom w:val="single" w:color="auto" w:sz="4" w:space="0"/>
              <w:right w:val="single" w:color="auto" w:sz="4" w:space="0"/>
            </w:tcBorders>
            <w:noWrap w:val="0"/>
            <w:vAlign w:val="center"/>
          </w:tcPr>
          <w:p w14:paraId="0B5C54CE">
            <w:pPr>
              <w:wordWrap w:val="0"/>
              <w:adjustRightInd w:val="0"/>
              <w:snapToGrid w:val="0"/>
              <w:spacing w:line="400" w:lineRule="exact"/>
              <w:ind w:firstLine="440" w:firstLineChars="2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采用内插法计算某投标人的投标报价得分N，即当投标人的投标总价等于评标基准价时得100分，每高于评标基准价一个百分点扣1 分，每低于评标基准价一个百分点扣0.5分，扣完为止。公式如下：</w:t>
            </w:r>
          </w:p>
          <w:p w14:paraId="40D8946D">
            <w:pPr>
              <w:wordWrap w:val="0"/>
              <w:adjustRightInd w:val="0"/>
              <w:snapToGrid w:val="0"/>
              <w:spacing w:line="400" w:lineRule="exact"/>
              <w:ind w:firstLine="440" w:firstLineChars="200"/>
              <w:jc w:val="lef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N＝100－（| Di－D | ÷D）×100×E</w:t>
            </w:r>
          </w:p>
          <w:p w14:paraId="2F9ECC02">
            <w:pP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式中：D为评标基准价；Di为某投标人的投标总价；E为扣分因子，当Di＞D时，E＝1 ；当Di＜D时，E＝0.5。</w:t>
            </w:r>
          </w:p>
        </w:tc>
      </w:tr>
    </w:tbl>
    <w:p w14:paraId="37B21C64">
      <w:pPr>
        <w:spacing w:before="155" w:line="211" w:lineRule="auto"/>
        <w:ind w:firstLine="470" w:firstLineChars="200"/>
        <w:outlineLvl w:val="9"/>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15.5.2  </w:t>
      </w:r>
      <w:r>
        <w:rPr>
          <w:rFonts w:hint="eastAsia" w:ascii="宋体" w:hAnsi="宋体" w:eastAsia="宋体" w:cs="宋体"/>
          <w:color w:val="auto"/>
          <w:spacing w:val="-3"/>
          <w:sz w:val="24"/>
          <w:szCs w:val="24"/>
          <w:highlight w:val="none"/>
        </w:rPr>
        <w:t>否决投标说明</w:t>
      </w:r>
      <w:bookmarkEnd w:id="127"/>
      <w:bookmarkEnd w:id="128"/>
      <w:bookmarkEnd w:id="129"/>
      <w:bookmarkEnd w:id="130"/>
    </w:p>
    <w:p w14:paraId="3A277E6B">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详细评审阶段否决投标的全部条件，在本章第四节“否决投标条件 ”第1条至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78A719F9">
      <w:pPr>
        <w:spacing w:before="59" w:line="330" w:lineRule="auto"/>
        <w:ind w:left="10" w:right="195" w:firstLine="48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注：投标人在详细评审阶段根据评分方法提供的佐证材料，其合法性、有效性和准确性不符合要求的，有关量化因素（或评分因素）的折算、调整（或评分）按相应</w:t>
      </w:r>
      <w:r>
        <w:rPr>
          <w:rFonts w:hint="eastAsia" w:ascii="宋体" w:hAnsi="宋体" w:eastAsia="宋体" w:cs="宋体"/>
          <w:b/>
          <w:bCs/>
          <w:color w:val="auto"/>
          <w:spacing w:val="-3"/>
          <w:sz w:val="24"/>
          <w:szCs w:val="24"/>
          <w:highlight w:val="none"/>
        </w:rPr>
        <w:t>量化标准（或评分标准）处理，但不否决投标。</w:t>
      </w:r>
    </w:p>
    <w:p w14:paraId="670ADD53">
      <w:pPr>
        <w:spacing w:before="78" w:line="220" w:lineRule="auto"/>
        <w:ind w:left="496"/>
        <w:outlineLvl w:val="2"/>
        <w:rPr>
          <w:rFonts w:hint="eastAsia" w:ascii="宋体" w:hAnsi="宋体" w:eastAsia="宋体" w:cs="宋体"/>
          <w:color w:val="auto"/>
          <w:sz w:val="24"/>
          <w:szCs w:val="24"/>
          <w:highlight w:val="none"/>
        </w:rPr>
      </w:pPr>
      <w:bookmarkStart w:id="131" w:name="bookmark137"/>
      <w:bookmarkEnd w:id="131"/>
      <w:bookmarkStart w:id="132" w:name="bookmark138"/>
      <w:bookmarkEnd w:id="132"/>
      <w:bookmarkStart w:id="133" w:name="_Toc20825"/>
      <w:bookmarkStart w:id="134" w:name="_Toc16384"/>
      <w:bookmarkStart w:id="135" w:name="_Toc1899"/>
      <w:r>
        <w:rPr>
          <w:rFonts w:hint="eastAsia" w:ascii="宋体" w:hAnsi="宋体" w:eastAsia="宋体" w:cs="宋体"/>
          <w:b/>
          <w:bCs/>
          <w:color w:val="auto"/>
          <w:spacing w:val="-7"/>
          <w:sz w:val="24"/>
          <w:szCs w:val="24"/>
          <w:highlight w:val="none"/>
        </w:rPr>
        <w:t>16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7"/>
          <w:sz w:val="24"/>
          <w:szCs w:val="24"/>
          <w:highlight w:val="none"/>
        </w:rPr>
        <w:t>．中标候选人公示</w:t>
      </w:r>
      <w:bookmarkEnd w:id="133"/>
      <w:bookmarkEnd w:id="134"/>
      <w:bookmarkEnd w:id="135"/>
    </w:p>
    <w:p w14:paraId="223AFD79">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16.1  招标人自收到评标委员会提交的书面评标报告和中标候选人名单之日起 3  日 内，将评标结果（即中标候选人名单）、中标候选人投标文件（指商务标书分册）、评标过程（评标专家姓名用代码标记）一并在广东省招标投标监管网（http://zbtb.gd.gov.c n）、全国公共资源交易平台（广东省 ·韶关市）（https://ygp.gdzwfw.gov.cn/ggzy-porta l/#/440200/index）进行公示，公示期不得少于 3 天。</w:t>
      </w:r>
    </w:p>
    <w:p w14:paraId="02AC4D6D">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16.2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ADD5D5F">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16.3 中标候选人公示期满无异议（投诉）后，招标人确定第一中标候选人为中标人，并在中标人确定之日起 7日内向中标人发出中标通知书。在中标通知书发出后5个工作日内，韶关市公共资源交易中心将投标保证金（或银行保函）退还给中标候选人以外的投标人。</w:t>
      </w:r>
    </w:p>
    <w:p w14:paraId="2C8F5333">
      <w:pPr>
        <w:keepNext w:val="0"/>
        <w:keepLines w:val="0"/>
        <w:pageBreakBefore w:val="0"/>
        <w:widowControl/>
        <w:kinsoku w:val="0"/>
        <w:wordWrap/>
        <w:overflowPunct/>
        <w:topLinePunct w:val="0"/>
        <w:autoSpaceDE w:val="0"/>
        <w:autoSpaceDN w:val="0"/>
        <w:bidi w:val="0"/>
        <w:adjustRightInd w:val="0"/>
        <w:snapToGrid w:val="0"/>
        <w:spacing w:before="150" w:line="332" w:lineRule="auto"/>
        <w:ind w:left="11" w:right="193" w:firstLine="561"/>
        <w:textAlignment w:val="baseline"/>
        <w:rPr>
          <w:rFonts w:hint="eastAsia" w:ascii="宋体" w:hAnsi="宋体" w:eastAsia="宋体" w:cs="宋体"/>
          <w:color w:val="auto"/>
          <w:spacing w:val="-5"/>
          <w:sz w:val="24"/>
          <w:szCs w:val="24"/>
          <w:highlight w:val="none"/>
        </w:rPr>
        <w:sectPr>
          <w:headerReference r:id="rId9" w:type="default"/>
          <w:footerReference r:id="rId10" w:type="default"/>
          <w:pgSz w:w="11906" w:h="16839"/>
          <w:pgMar w:top="1440" w:right="1253" w:bottom="1440" w:left="1253" w:header="0" w:footer="1020" w:gutter="0"/>
          <w:pgBorders>
            <w:top w:val="none" w:sz="0" w:space="0"/>
            <w:left w:val="none" w:sz="0" w:space="0"/>
            <w:bottom w:val="none" w:sz="0" w:space="0"/>
            <w:right w:val="none" w:sz="0" w:space="0"/>
          </w:pgBorders>
          <w:cols w:space="720" w:num="1"/>
          <w:rtlGutter w:val="0"/>
          <w:docGrid w:linePitch="0" w:charSpace="0"/>
        </w:sectPr>
      </w:pPr>
    </w:p>
    <w:p w14:paraId="5C1476C7">
      <w:pPr>
        <w:spacing w:before="78" w:line="220" w:lineRule="auto"/>
        <w:ind w:left="9"/>
        <w:jc w:val="center"/>
        <w:outlineLvl w:val="1"/>
        <w:rPr>
          <w:rFonts w:hint="eastAsia" w:ascii="宋体" w:hAnsi="宋体" w:eastAsia="宋体" w:cs="宋体"/>
          <w:color w:val="auto"/>
          <w:sz w:val="24"/>
          <w:szCs w:val="24"/>
          <w:highlight w:val="none"/>
        </w:rPr>
      </w:pPr>
      <w:bookmarkStart w:id="136" w:name="_Toc25567"/>
      <w:r>
        <w:rPr>
          <w:rFonts w:hint="eastAsia" w:ascii="宋体" w:hAnsi="宋体" w:eastAsia="宋体" w:cs="宋体"/>
          <w:b/>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否决投标条件</w:t>
      </w:r>
      <w:bookmarkEnd w:id="136"/>
    </w:p>
    <w:p w14:paraId="2637533F">
      <w:pPr>
        <w:pStyle w:val="5"/>
        <w:spacing w:line="256" w:lineRule="auto"/>
        <w:rPr>
          <w:rFonts w:hint="eastAsia" w:ascii="宋体" w:hAnsi="宋体" w:eastAsia="宋体" w:cs="宋体"/>
          <w:color w:val="auto"/>
          <w:highlight w:val="none"/>
        </w:rPr>
      </w:pPr>
    </w:p>
    <w:p w14:paraId="16FA277C">
      <w:pPr>
        <w:spacing w:before="78" w:line="330" w:lineRule="auto"/>
        <w:ind w:left="10" w:right="65"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本节所集中列示的否决投标条件，是本章第三节“投标人须知正文</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3"/>
          <w:sz w:val="24"/>
          <w:szCs w:val="24"/>
          <w:highlight w:val="none"/>
        </w:rPr>
        <w:t>”的组成部分，</w:t>
      </w:r>
      <w:r>
        <w:rPr>
          <w:rFonts w:hint="eastAsia" w:ascii="宋体" w:hAnsi="宋体" w:eastAsia="宋体" w:cs="宋体"/>
          <w:color w:val="auto"/>
          <w:spacing w:val="-2"/>
          <w:sz w:val="24"/>
          <w:szCs w:val="24"/>
          <w:highlight w:val="none"/>
        </w:rPr>
        <w:t>是对本章第三节所规定的否决投标条件的总</w:t>
      </w:r>
      <w:r>
        <w:rPr>
          <w:rFonts w:hint="eastAsia" w:ascii="宋体" w:hAnsi="宋体" w:eastAsia="宋体" w:cs="宋体"/>
          <w:color w:val="auto"/>
          <w:spacing w:val="-3"/>
          <w:sz w:val="24"/>
          <w:szCs w:val="24"/>
          <w:highlight w:val="none"/>
        </w:rPr>
        <w:t>结和补充。</w:t>
      </w:r>
      <w:r>
        <w:rPr>
          <w:rFonts w:hint="eastAsia" w:ascii="宋体" w:hAnsi="宋体" w:eastAsia="宋体" w:cs="宋体"/>
          <w:b/>
          <w:bCs/>
          <w:color w:val="auto"/>
          <w:spacing w:val="-3"/>
          <w:sz w:val="24"/>
          <w:szCs w:val="24"/>
          <w:highlight w:val="none"/>
        </w:rPr>
        <w:t>投标人未有列入本节情形的，评</w:t>
      </w:r>
      <w:r>
        <w:rPr>
          <w:rFonts w:hint="eastAsia" w:ascii="宋体" w:hAnsi="宋体" w:eastAsia="宋体" w:cs="宋体"/>
          <w:b/>
          <w:bCs/>
          <w:color w:val="auto"/>
          <w:spacing w:val="-2"/>
          <w:sz w:val="24"/>
          <w:szCs w:val="24"/>
          <w:highlight w:val="none"/>
        </w:rPr>
        <w:t>标时一律不得否决其投标。</w:t>
      </w:r>
      <w:r>
        <w:rPr>
          <w:rFonts w:hint="eastAsia" w:ascii="宋体" w:hAnsi="宋体" w:eastAsia="宋体" w:cs="宋体"/>
          <w:color w:val="auto"/>
          <w:spacing w:val="-2"/>
          <w:sz w:val="24"/>
          <w:szCs w:val="24"/>
          <w:highlight w:val="none"/>
        </w:rPr>
        <w:t>本节所称“规定</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”均指招标文件的规</w:t>
      </w:r>
      <w:r>
        <w:rPr>
          <w:rFonts w:hint="eastAsia" w:ascii="宋体" w:hAnsi="宋体" w:eastAsia="宋体" w:cs="宋体"/>
          <w:color w:val="auto"/>
          <w:spacing w:val="-3"/>
          <w:sz w:val="24"/>
          <w:szCs w:val="24"/>
          <w:highlight w:val="none"/>
        </w:rPr>
        <w:t>定。</w:t>
      </w:r>
    </w:p>
    <w:p w14:paraId="3B6FE9A6">
      <w:pPr>
        <w:spacing w:before="34" w:line="220" w:lineRule="auto"/>
        <w:ind w:left="495"/>
        <w:outlineLvl w:val="2"/>
        <w:rPr>
          <w:rFonts w:hint="eastAsia" w:ascii="宋体" w:hAnsi="宋体" w:eastAsia="宋体" w:cs="宋体"/>
          <w:color w:val="auto"/>
          <w:sz w:val="24"/>
          <w:szCs w:val="24"/>
          <w:highlight w:val="none"/>
        </w:rPr>
      </w:pPr>
      <w:bookmarkStart w:id="137" w:name="_Toc24603"/>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．资格评审环节</w:t>
      </w:r>
      <w:bookmarkEnd w:id="137"/>
    </w:p>
    <w:p w14:paraId="51ABE522">
      <w:pPr>
        <w:spacing w:before="150" w:line="280" w:lineRule="auto"/>
        <w:ind w:right="200" w:firstLine="492"/>
        <w:rPr>
          <w:rFonts w:hint="eastAsia" w:ascii="宋体" w:hAnsi="宋体" w:eastAsia="宋体" w:cs="宋体"/>
          <w:color w:val="auto"/>
          <w:spacing w:val="-3"/>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投标人有下列情形之一的，评标委员会应否决其投标。被否决的投标人，不进入形</w:t>
      </w:r>
      <w:r>
        <w:rPr>
          <w:rFonts w:hint="eastAsia" w:ascii="宋体" w:hAnsi="宋体" w:eastAsia="宋体" w:cs="宋体"/>
          <w:color w:val="auto"/>
          <w:spacing w:val="-3"/>
          <w:sz w:val="24"/>
          <w:szCs w:val="24"/>
          <w:highlight w:val="none"/>
        </w:rPr>
        <w:t>式评审环节。</w:t>
      </w:r>
    </w:p>
    <w:p w14:paraId="5A5D99B5">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（1）有本章第三节第 2.4 条“禁止投标条款 ”规定的任何一种情形；</w:t>
      </w:r>
    </w:p>
    <w:p w14:paraId="128D62E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（2）投标人资质不符合规定的；</w:t>
      </w:r>
    </w:p>
    <w:p w14:paraId="19664B7F">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28A1098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660246F1">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240"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（4）拟派项目经理、项目技术负责人、专职安全员的条件不符合规定的；拟派专职安全员数量不符合规定的；项目技术负责人未在投标文件《项目技术负责人简历表》中签字确认。</w:t>
      </w:r>
    </w:p>
    <w:p w14:paraId="67723322">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温馨提示：建造师打印电子证书后，应在个人签名处手写本人签名，未手写签名或与签名图像笔迹不一致的，该电子证书无效。</w:t>
      </w:r>
    </w:p>
    <w:p w14:paraId="4935AD7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建造师注册证书不在使用有效期内的）；擅自修改、遗漏《项目经理任职声明》实质性内容的；</w:t>
      </w:r>
    </w:p>
    <w:p w14:paraId="5D58D1E1">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注：投标人已经工商变更，但其员工执业资格注册证书的注册单位名称未完成变更的，不得否决其投标。</w:t>
      </w:r>
    </w:p>
    <w:p w14:paraId="6CDD950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鉴于目前继续教育开展的实际情况，建筑和市政工程施工现场专业人员（例如：施工员、质量员、材料员、资料员）的岗位证书或培训证书不审查其证书的有效期。</w:t>
      </w:r>
    </w:p>
    <w:p w14:paraId="4B23118B">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（6）招标文件规定不接受联合体投标，但以联合体投标的；</w:t>
      </w:r>
    </w:p>
    <w:p w14:paraId="1E3DF65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）投标人为外省建筑企业，但未提供“进粤企业和人员诚信信息登记平台 ”企业和拟派人员信息情况打印页或网页截图的。</w:t>
      </w:r>
    </w:p>
    <w:p w14:paraId="62EEE4F7">
      <w:pPr>
        <w:spacing w:before="154" w:line="221" w:lineRule="auto"/>
        <w:ind w:left="477"/>
        <w:outlineLvl w:val="2"/>
        <w:rPr>
          <w:rFonts w:hint="eastAsia" w:ascii="宋体" w:hAnsi="宋体" w:eastAsia="宋体" w:cs="宋体"/>
          <w:color w:val="auto"/>
          <w:sz w:val="24"/>
          <w:szCs w:val="24"/>
          <w:highlight w:val="none"/>
        </w:rPr>
      </w:pPr>
      <w:bookmarkStart w:id="138" w:name="_Toc29843"/>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．形式评审环节</w:t>
      </w:r>
      <w:bookmarkEnd w:id="138"/>
    </w:p>
    <w:p w14:paraId="053CEC5E">
      <w:pPr>
        <w:keepNext w:val="0"/>
        <w:keepLines w:val="0"/>
        <w:pageBreakBefore w:val="0"/>
        <w:widowControl/>
        <w:kinsoku w:val="0"/>
        <w:wordWrap/>
        <w:overflowPunct/>
        <w:topLinePunct w:val="0"/>
        <w:autoSpaceDE w:val="0"/>
        <w:autoSpaceDN w:val="0"/>
        <w:bidi w:val="0"/>
        <w:adjustRightInd w:val="0"/>
        <w:snapToGrid w:val="0"/>
        <w:spacing w:line="360" w:lineRule="auto"/>
        <w:ind w:right="20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投标人有下列情形之一的，评标委员会应否决其投标。被否决的投标人，不进入响应性评审环节。</w:t>
      </w:r>
    </w:p>
    <w:p w14:paraId="18B6E674">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（1）各分册没按招标文件规定加盖电子印章；</w:t>
      </w:r>
    </w:p>
    <w:p w14:paraId="74AD0720">
      <w:pPr>
        <w:keepNext w:val="0"/>
        <w:keepLines w:val="0"/>
        <w:pageBreakBefore w:val="0"/>
        <w:widowControl/>
        <w:kinsoku w:val="0"/>
        <w:wordWrap/>
        <w:overflowPunct/>
        <w:topLinePunct w:val="0"/>
        <w:autoSpaceDE w:val="0"/>
        <w:autoSpaceDN w:val="0"/>
        <w:bidi w:val="0"/>
        <w:adjustRightInd w:val="0"/>
        <w:snapToGrid w:val="0"/>
        <w:spacing w:line="360" w:lineRule="auto"/>
        <w:ind w:left="1" w:right="200" w:firstLine="49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（2）本章第三节第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10.2.2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10.3.2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10.4.3</w:t>
      </w:r>
      <w:r>
        <w:rPr>
          <w:rFonts w:hint="eastAsia" w:ascii="宋体" w:hAnsi="宋体" w:eastAsia="宋体" w:cs="宋体"/>
          <w:color w:val="auto"/>
          <w:spacing w:val="-8"/>
          <w:sz w:val="24"/>
          <w:szCs w:val="24"/>
          <w:highlight w:val="none"/>
        </w:rPr>
        <w:t xml:space="preserve"> 目中规定的“所有投标人</w:t>
      </w:r>
      <w:r>
        <w:rPr>
          <w:rFonts w:hint="eastAsia" w:ascii="宋体" w:hAnsi="宋体" w:eastAsia="宋体" w:cs="宋体"/>
          <w:color w:val="auto"/>
          <w:spacing w:val="-1"/>
          <w:sz w:val="24"/>
          <w:szCs w:val="24"/>
          <w:highlight w:val="none"/>
        </w:rPr>
        <w:t>均应提供</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”的组成内容（包括该组成内容的所附资料）中，</w:t>
      </w:r>
      <w:r>
        <w:rPr>
          <w:rFonts w:hint="eastAsia" w:ascii="宋体" w:hAnsi="宋体" w:eastAsia="宋体" w:cs="宋体"/>
          <w:color w:val="auto"/>
          <w:spacing w:val="-2"/>
          <w:sz w:val="24"/>
          <w:szCs w:val="24"/>
          <w:highlight w:val="none"/>
        </w:rPr>
        <w:t>任何一项有缺漏的；</w:t>
      </w:r>
    </w:p>
    <w:p w14:paraId="5933D0A3">
      <w:pPr>
        <w:keepNext w:val="0"/>
        <w:keepLines w:val="0"/>
        <w:pageBreakBefore w:val="0"/>
        <w:widowControl/>
        <w:kinsoku w:val="0"/>
        <w:wordWrap/>
        <w:overflowPunct/>
        <w:topLinePunct w:val="0"/>
        <w:autoSpaceDE w:val="0"/>
        <w:autoSpaceDN w:val="0"/>
        <w:bidi w:val="0"/>
        <w:adjustRightInd w:val="0"/>
        <w:snapToGrid w:val="0"/>
        <w:spacing w:line="360" w:lineRule="auto"/>
        <w:ind w:left="8" w:right="200" w:firstLine="4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（3）关键字迹模糊、无法辨认，且该种过错将导致评标委员会无法判断投标文件是</w:t>
      </w:r>
      <w:r>
        <w:rPr>
          <w:rFonts w:hint="eastAsia" w:ascii="宋体" w:hAnsi="宋体" w:eastAsia="宋体" w:cs="宋体"/>
          <w:color w:val="auto"/>
          <w:spacing w:val="-2"/>
          <w:sz w:val="24"/>
          <w:szCs w:val="24"/>
          <w:highlight w:val="none"/>
        </w:rPr>
        <w:t>否响应招标文件实质性要求的；有涂改、行间插字或删除，但未加盖单位章或由投标人</w:t>
      </w:r>
      <w:r>
        <w:rPr>
          <w:rFonts w:hint="eastAsia" w:ascii="宋体" w:hAnsi="宋体" w:eastAsia="宋体" w:cs="宋体"/>
          <w:color w:val="auto"/>
          <w:spacing w:val="-1"/>
          <w:sz w:val="24"/>
          <w:szCs w:val="24"/>
          <w:highlight w:val="none"/>
        </w:rPr>
        <w:t>的法定代表人或其委托代理人签字确认的；</w:t>
      </w:r>
    </w:p>
    <w:p w14:paraId="54158009">
      <w:pPr>
        <w:keepNext w:val="0"/>
        <w:keepLines w:val="0"/>
        <w:pageBreakBefore w:val="0"/>
        <w:widowControl/>
        <w:kinsoku w:val="0"/>
        <w:wordWrap/>
        <w:overflowPunct/>
        <w:topLinePunct w:val="0"/>
        <w:autoSpaceDE w:val="0"/>
        <w:autoSpaceDN w:val="0"/>
        <w:bidi w:val="0"/>
        <w:adjustRightInd w:val="0"/>
        <w:snapToGrid w:val="0"/>
        <w:spacing w:line="360" w:lineRule="auto"/>
        <w:ind w:left="43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（4）投标文件未按规定签字、盖章的。</w:t>
      </w:r>
    </w:p>
    <w:p w14:paraId="39AD0DAE">
      <w:pPr>
        <w:spacing w:before="227" w:line="221" w:lineRule="auto"/>
        <w:ind w:left="475"/>
        <w:outlineLvl w:val="2"/>
        <w:rPr>
          <w:rFonts w:hint="eastAsia" w:ascii="宋体" w:hAnsi="宋体" w:eastAsia="宋体" w:cs="宋体"/>
          <w:color w:val="auto"/>
          <w:sz w:val="24"/>
          <w:szCs w:val="24"/>
          <w:highlight w:val="none"/>
        </w:rPr>
      </w:pPr>
      <w:bookmarkStart w:id="139" w:name="_Toc8663"/>
      <w:r>
        <w:rPr>
          <w:rFonts w:hint="eastAsia" w:ascii="宋体" w:hAnsi="宋体" w:eastAsia="宋体" w:cs="宋体"/>
          <w:b/>
          <w:bCs/>
          <w:color w:val="auto"/>
          <w:spacing w:val="-6"/>
          <w:sz w:val="24"/>
          <w:szCs w:val="24"/>
          <w:highlight w:val="none"/>
        </w:rPr>
        <w:t>3</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6"/>
          <w:sz w:val="24"/>
          <w:szCs w:val="24"/>
          <w:highlight w:val="none"/>
        </w:rPr>
        <w:t>．响应性评审环节</w:t>
      </w:r>
      <w:bookmarkEnd w:id="139"/>
    </w:p>
    <w:p w14:paraId="4686AB01">
      <w:pPr>
        <w:spacing w:before="151" w:line="327" w:lineRule="auto"/>
        <w:ind w:left="1" w:right="200"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投标人有下列情形之一的，评标委员会应否决其投标。被否决的投标人，不进入详细评审阶段。</w:t>
      </w:r>
    </w:p>
    <w:p w14:paraId="3A367586">
      <w:pPr>
        <w:spacing w:before="31" w:line="279" w:lineRule="auto"/>
        <w:ind w:left="40" w:right="200" w:firstLine="45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（1）承诺的投标有效期短于规定的；质量标准低于规定的；工期超出规定的；擅</w:t>
      </w:r>
      <w:r>
        <w:rPr>
          <w:rFonts w:hint="eastAsia" w:ascii="宋体" w:hAnsi="宋体" w:eastAsia="宋体" w:cs="宋体"/>
          <w:color w:val="auto"/>
          <w:spacing w:val="-2"/>
          <w:sz w:val="24"/>
          <w:szCs w:val="24"/>
          <w:highlight w:val="none"/>
        </w:rPr>
        <w:t>自修改、遗漏《投标函》《各项承诺一览表》实质性内容的；</w:t>
      </w:r>
    </w:p>
    <w:p w14:paraId="7740EF66">
      <w:pPr>
        <w:spacing w:before="157" w:line="278" w:lineRule="auto"/>
        <w:ind w:left="2" w:right="200" w:firstLine="48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（2）编制《投标总价》的造价工程师，其注册证书不是</w:t>
      </w:r>
      <w:r>
        <w:rPr>
          <w:rFonts w:hint="eastAsia" w:ascii="宋体" w:hAnsi="宋体" w:eastAsia="宋体" w:cs="宋体"/>
          <w:b/>
          <w:bCs/>
          <w:color w:val="auto"/>
          <w:spacing w:val="1"/>
          <w:sz w:val="24"/>
          <w:szCs w:val="24"/>
          <w:highlight w:val="none"/>
        </w:rPr>
        <w:t>住建部门</w:t>
      </w:r>
      <w:r>
        <w:rPr>
          <w:rFonts w:hint="eastAsia" w:ascii="宋体" w:hAnsi="宋体" w:eastAsia="宋体" w:cs="宋体"/>
          <w:color w:val="auto"/>
          <w:spacing w:val="1"/>
          <w:sz w:val="24"/>
          <w:szCs w:val="24"/>
          <w:highlight w:val="none"/>
        </w:rPr>
        <w:t>颁发的；其注册</w:t>
      </w:r>
      <w:r>
        <w:rPr>
          <w:rFonts w:hint="eastAsia" w:ascii="宋体" w:hAnsi="宋体" w:eastAsia="宋体" w:cs="宋体"/>
          <w:color w:val="auto"/>
          <w:sz w:val="24"/>
          <w:szCs w:val="24"/>
          <w:highlight w:val="none"/>
        </w:rPr>
        <w:t>单位与投标人（或造价咨询人）不一致的；</w:t>
      </w:r>
      <w:r>
        <w:rPr>
          <w:rFonts w:hint="eastAsia" w:ascii="宋体" w:hAnsi="宋体" w:eastAsia="宋体" w:cs="宋体"/>
          <w:color w:val="auto"/>
          <w:spacing w:val="-1"/>
          <w:sz w:val="24"/>
          <w:szCs w:val="24"/>
          <w:highlight w:val="none"/>
        </w:rPr>
        <w:t>其注册证书不在有效期内的。</w:t>
      </w:r>
    </w:p>
    <w:p w14:paraId="5077F36E">
      <w:pPr>
        <w:spacing w:before="156" w:line="329" w:lineRule="auto"/>
        <w:ind w:right="200" w:firstLine="480"/>
        <w:jc w:val="both"/>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注：投标人（或造价咨询人）已经工商变更，但其员工的执业资格注</w:t>
      </w:r>
      <w:r>
        <w:rPr>
          <w:rFonts w:hint="eastAsia" w:ascii="宋体" w:hAnsi="宋体" w:eastAsia="宋体" w:cs="宋体"/>
          <w:b/>
          <w:bCs/>
          <w:color w:val="auto"/>
          <w:spacing w:val="-5"/>
          <w:sz w:val="24"/>
          <w:szCs w:val="24"/>
          <w:highlight w:val="none"/>
        </w:rPr>
        <w:t>册证书的注册单位名称未完成变更的，不得否决其投标。此条与 10.3.1 中的造价工程师执业（含二级造价工程师）指引相一致。</w:t>
      </w:r>
    </w:p>
    <w:p w14:paraId="2A683A42">
      <w:pPr>
        <w:spacing w:before="78" w:line="299" w:lineRule="auto"/>
        <w:ind w:left="2" w:right="81"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（3）投标人委托造价咨询单位编制《投标总价》，但未在《投标总价扉页》“投标人</w:t>
      </w:r>
      <w:r>
        <w:rPr>
          <w:rFonts w:hint="eastAsia" w:ascii="宋体" w:hAnsi="宋体" w:eastAsia="宋体" w:cs="宋体"/>
          <w:color w:val="auto"/>
          <w:spacing w:val="-86"/>
          <w:sz w:val="24"/>
          <w:szCs w:val="24"/>
          <w:highlight w:val="none"/>
        </w:rPr>
        <w:t xml:space="preserve"> </w:t>
      </w:r>
      <w:r>
        <w:rPr>
          <w:rFonts w:hint="eastAsia" w:ascii="宋体" w:hAnsi="宋体" w:eastAsia="宋体" w:cs="宋体"/>
          <w:color w:val="auto"/>
          <w:spacing w:val="1"/>
          <w:sz w:val="24"/>
          <w:szCs w:val="24"/>
          <w:highlight w:val="none"/>
        </w:rPr>
        <w:t>”栏目加盖造价咨询人公章的；未提</w:t>
      </w:r>
      <w:r>
        <w:rPr>
          <w:rFonts w:hint="eastAsia" w:ascii="宋体" w:hAnsi="宋体" w:eastAsia="宋体" w:cs="宋体"/>
          <w:color w:val="auto"/>
          <w:sz w:val="24"/>
          <w:szCs w:val="24"/>
          <w:highlight w:val="none"/>
        </w:rPr>
        <w:t>供造价咨询人的营业执照副本彩</w:t>
      </w:r>
      <w:r>
        <w:rPr>
          <w:rFonts w:hint="eastAsia" w:ascii="宋体" w:hAnsi="宋体" w:eastAsia="宋体" w:cs="宋体"/>
          <w:color w:val="auto"/>
          <w:spacing w:val="-3"/>
          <w:sz w:val="24"/>
          <w:szCs w:val="24"/>
          <w:highlight w:val="none"/>
        </w:rPr>
        <w:t>色扫描件；</w:t>
      </w:r>
    </w:p>
    <w:p w14:paraId="3D7914BD">
      <w:pPr>
        <w:spacing w:before="151" w:line="360" w:lineRule="auto"/>
        <w:ind w:right="2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（4）出现两个或两个以上投标总价的（同一个投标总价大、小写不一致的除外</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投标总价超出</w:t>
      </w:r>
      <w:r>
        <w:rPr>
          <w:rFonts w:hint="eastAsia" w:ascii="宋体" w:hAnsi="宋体" w:eastAsia="宋体" w:cs="宋体"/>
          <w:b/>
          <w:bCs/>
          <w:color w:val="auto"/>
          <w:spacing w:val="-2"/>
          <w:sz w:val="24"/>
          <w:szCs w:val="24"/>
          <w:highlight w:val="none"/>
          <w:lang w:eastAsia="zh-CN"/>
        </w:rPr>
        <w:t>最高投标限价</w:t>
      </w:r>
      <w:r>
        <w:rPr>
          <w:rFonts w:hint="eastAsia" w:ascii="宋体" w:hAnsi="宋体" w:eastAsia="宋体" w:cs="宋体"/>
          <w:color w:val="auto"/>
          <w:spacing w:val="-2"/>
          <w:sz w:val="24"/>
          <w:szCs w:val="24"/>
          <w:highlight w:val="none"/>
        </w:rPr>
        <w:t>的；</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少于规定的；暂列金额、暂估</w:t>
      </w:r>
      <w:r>
        <w:rPr>
          <w:rFonts w:hint="eastAsia" w:ascii="宋体" w:hAnsi="宋体" w:eastAsia="宋体" w:cs="宋体"/>
          <w:color w:val="auto"/>
          <w:spacing w:val="-3"/>
          <w:sz w:val="24"/>
          <w:szCs w:val="24"/>
          <w:highlight w:val="none"/>
        </w:rPr>
        <w:t>价未按照招标工程量清单统一报价的；投标总价下浮率超过</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3"/>
          <w:sz w:val="24"/>
          <w:szCs w:val="24"/>
          <w:highlight w:val="none"/>
        </w:rPr>
        <w:t>15%，又未提供相应书面说</w:t>
      </w:r>
      <w:r>
        <w:rPr>
          <w:rFonts w:hint="eastAsia" w:ascii="宋体" w:hAnsi="宋体" w:eastAsia="宋体" w:cs="宋体"/>
          <w:color w:val="auto"/>
          <w:spacing w:val="-2"/>
          <w:sz w:val="24"/>
          <w:szCs w:val="24"/>
          <w:highlight w:val="none"/>
        </w:rPr>
        <w:t>明和佐证材料或提供的书面说明和佐证材料不能令人信服，被评标委员会认定以低于成</w:t>
      </w:r>
      <w:r>
        <w:rPr>
          <w:rFonts w:hint="eastAsia" w:ascii="宋体" w:hAnsi="宋体" w:eastAsia="宋体" w:cs="宋体"/>
          <w:color w:val="auto"/>
          <w:sz w:val="24"/>
          <w:szCs w:val="24"/>
          <w:highlight w:val="none"/>
        </w:rPr>
        <w:t>本报价竞标的；擅自修改、增减招标工程量清单</w:t>
      </w:r>
      <w:r>
        <w:rPr>
          <w:rFonts w:hint="eastAsia" w:ascii="宋体" w:hAnsi="宋体" w:eastAsia="宋体" w:cs="宋体"/>
          <w:color w:val="auto"/>
          <w:spacing w:val="-1"/>
          <w:sz w:val="24"/>
          <w:szCs w:val="24"/>
          <w:highlight w:val="none"/>
        </w:rPr>
        <w:t>项目（包括措施项目）的；</w:t>
      </w:r>
    </w:p>
    <w:p w14:paraId="7BE05ED8">
      <w:pPr>
        <w:spacing w:before="156" w:line="299" w:lineRule="auto"/>
        <w:ind w:right="81" w:firstLine="49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（5）在施工组织设计评审中，评标委员会认定质量、进度保障措施与国家和省市</w:t>
      </w:r>
      <w:r>
        <w:rPr>
          <w:rFonts w:hint="eastAsia" w:ascii="宋体" w:hAnsi="宋体" w:eastAsia="宋体" w:cs="宋体"/>
          <w:color w:val="auto"/>
          <w:spacing w:val="-3"/>
          <w:sz w:val="24"/>
          <w:szCs w:val="24"/>
          <w:highlight w:val="none"/>
        </w:rPr>
        <w:t>现行有关规范、规定、标准有重大偏差，</w:t>
      </w:r>
      <w:r>
        <w:rPr>
          <w:rFonts w:hint="eastAsia" w:ascii="宋体" w:hAnsi="宋体" w:eastAsia="宋体" w:cs="宋体"/>
          <w:b/>
          <w:bCs/>
          <w:color w:val="auto"/>
          <w:spacing w:val="-3"/>
          <w:sz w:val="24"/>
          <w:szCs w:val="24"/>
          <w:highlight w:val="none"/>
        </w:rPr>
        <w:t>且该种过错将导致工程质量、进度管理目标无</w:t>
      </w:r>
      <w:r>
        <w:rPr>
          <w:rFonts w:hint="eastAsia" w:ascii="宋体" w:hAnsi="宋体" w:eastAsia="宋体" w:cs="宋体"/>
          <w:b/>
          <w:bCs/>
          <w:color w:val="auto"/>
          <w:spacing w:val="-4"/>
          <w:sz w:val="24"/>
          <w:szCs w:val="24"/>
          <w:highlight w:val="none"/>
        </w:rPr>
        <w:t>法实现的</w:t>
      </w:r>
      <w:r>
        <w:rPr>
          <w:rFonts w:hint="eastAsia" w:ascii="宋体" w:hAnsi="宋体" w:eastAsia="宋体" w:cs="宋体"/>
          <w:color w:val="auto"/>
          <w:spacing w:val="-4"/>
          <w:sz w:val="24"/>
          <w:szCs w:val="24"/>
          <w:highlight w:val="none"/>
        </w:rPr>
        <w:t>。</w:t>
      </w:r>
    </w:p>
    <w:p w14:paraId="1F2CAFD7">
      <w:pPr>
        <w:spacing w:before="151" w:line="221" w:lineRule="auto"/>
        <w:ind w:left="476"/>
        <w:outlineLvl w:val="2"/>
        <w:rPr>
          <w:rFonts w:hint="eastAsia" w:ascii="宋体" w:hAnsi="宋体" w:eastAsia="宋体" w:cs="宋体"/>
          <w:color w:val="auto"/>
          <w:sz w:val="24"/>
          <w:szCs w:val="24"/>
          <w:highlight w:val="none"/>
        </w:rPr>
      </w:pPr>
      <w:bookmarkStart w:id="140" w:name="_Toc1909"/>
      <w:r>
        <w:rPr>
          <w:rFonts w:hint="eastAsia" w:ascii="宋体" w:hAnsi="宋体" w:eastAsia="宋体" w:cs="宋体"/>
          <w:b/>
          <w:bCs/>
          <w:color w:val="auto"/>
          <w:spacing w:val="-11"/>
          <w:sz w:val="24"/>
          <w:szCs w:val="24"/>
          <w:highlight w:val="none"/>
        </w:rPr>
        <w:t>4</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11"/>
          <w:sz w:val="24"/>
          <w:szCs w:val="24"/>
          <w:highlight w:val="none"/>
        </w:rPr>
        <w:t>．其他</w:t>
      </w:r>
      <w:bookmarkEnd w:id="140"/>
    </w:p>
    <w:p w14:paraId="4300F4C0">
      <w:pPr>
        <w:spacing w:before="153" w:line="326" w:lineRule="auto"/>
        <w:ind w:firstLine="47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在任何评标环节（或阶段</w:t>
      </w:r>
      <w:r>
        <w:rPr>
          <w:rFonts w:hint="eastAsia" w:ascii="宋体" w:hAnsi="宋体" w:eastAsia="宋体" w:cs="宋体"/>
          <w:color w:val="auto"/>
          <w:spacing w:val="-36"/>
          <w:sz w:val="24"/>
          <w:szCs w:val="24"/>
          <w:highlight w:val="none"/>
        </w:rPr>
        <w:t>），</w:t>
      </w:r>
      <w:r>
        <w:rPr>
          <w:rFonts w:hint="eastAsia" w:ascii="宋体" w:hAnsi="宋体" w:eastAsia="宋体" w:cs="宋体"/>
          <w:color w:val="auto"/>
          <w:spacing w:val="-4"/>
          <w:sz w:val="24"/>
          <w:szCs w:val="24"/>
          <w:highlight w:val="none"/>
        </w:rPr>
        <w:t>投标人有下列情形之一的，评标委员会应否</w:t>
      </w:r>
      <w:r>
        <w:rPr>
          <w:rFonts w:hint="eastAsia" w:ascii="宋体" w:hAnsi="宋体" w:eastAsia="宋体" w:cs="宋体"/>
          <w:color w:val="auto"/>
          <w:spacing w:val="-5"/>
          <w:sz w:val="24"/>
          <w:szCs w:val="24"/>
          <w:highlight w:val="none"/>
        </w:rPr>
        <w:t>决其投标。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被否决的投标人，不进入下一环节（或阶段）。</w:t>
      </w:r>
    </w:p>
    <w:p w14:paraId="780DC4D6">
      <w:pPr>
        <w:spacing w:before="33"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（1）不按评标委员会要求澄清、说明或补正的；</w:t>
      </w:r>
    </w:p>
    <w:p w14:paraId="1BD88C6E">
      <w:pPr>
        <w:spacing w:before="154"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（2）有下列情形之一，被评标委员会认定属于串通投标的：</w:t>
      </w:r>
    </w:p>
    <w:p w14:paraId="1240E213">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①不同投标人的投标文件两处以上（含两处）错、漏一致；</w:t>
      </w:r>
    </w:p>
    <w:p w14:paraId="00F333AB">
      <w:pPr>
        <w:keepNext w:val="0"/>
        <w:keepLines w:val="0"/>
        <w:pageBreakBefore w:val="0"/>
        <w:widowControl/>
        <w:kinsoku w:val="0"/>
        <w:wordWrap/>
        <w:overflowPunct/>
        <w:topLinePunct w:val="0"/>
        <w:autoSpaceDE w:val="0"/>
        <w:autoSpaceDN w:val="0"/>
        <w:bidi w:val="0"/>
        <w:adjustRightInd w:val="0"/>
        <w:snapToGrid w:val="0"/>
        <w:spacing w:before="156" w:line="278" w:lineRule="auto"/>
        <w:ind w:right="21"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②不同投标人的投标总价相近且各分项报价、综合单价分析表内容混乱不能相互对</w:t>
      </w:r>
      <w:r>
        <w:rPr>
          <w:rFonts w:hint="eastAsia" w:ascii="宋体" w:hAnsi="宋体" w:eastAsia="宋体" w:cs="宋体"/>
          <w:color w:val="auto"/>
          <w:spacing w:val="-6"/>
          <w:sz w:val="24"/>
          <w:szCs w:val="24"/>
          <w:highlight w:val="none"/>
        </w:rPr>
        <w:t>应、乱调乱压或乱抬的，而在询标时没有合理的解释或者不能提供计算依据和</w:t>
      </w:r>
      <w:r>
        <w:rPr>
          <w:rFonts w:hint="eastAsia" w:ascii="宋体" w:hAnsi="宋体" w:eastAsia="宋体" w:cs="宋体"/>
          <w:color w:val="auto"/>
          <w:spacing w:val="-7"/>
          <w:sz w:val="24"/>
          <w:szCs w:val="24"/>
          <w:highlight w:val="none"/>
        </w:rPr>
        <w:t>报价依据；</w:t>
      </w:r>
    </w:p>
    <w:p w14:paraId="3F875C43">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③不同投标人的投标各项报价存在异常一致</w:t>
      </w:r>
      <w:r>
        <w:rPr>
          <w:rFonts w:hint="eastAsia" w:ascii="宋体" w:hAnsi="宋体" w:eastAsia="宋体" w:cs="宋体"/>
          <w:color w:val="auto"/>
          <w:spacing w:val="-1"/>
          <w:sz w:val="24"/>
          <w:szCs w:val="24"/>
          <w:highlight w:val="none"/>
        </w:rPr>
        <w:t>或者呈规律性变化；</w:t>
      </w:r>
    </w:p>
    <w:p w14:paraId="46E9D77B">
      <w:pPr>
        <w:keepNext w:val="0"/>
        <w:keepLines w:val="0"/>
        <w:pageBreakBefore w:val="0"/>
        <w:widowControl/>
        <w:kinsoku w:val="0"/>
        <w:wordWrap/>
        <w:overflowPunct/>
        <w:topLinePunct w:val="0"/>
        <w:autoSpaceDE w:val="0"/>
        <w:autoSpaceDN w:val="0"/>
        <w:bidi w:val="0"/>
        <w:adjustRightInd w:val="0"/>
        <w:snapToGrid w:val="0"/>
        <w:spacing w:before="156"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④不同投标人的投标文件由同一单位或者同一个人编制；</w:t>
      </w:r>
    </w:p>
    <w:p w14:paraId="09D8E95C">
      <w:pPr>
        <w:keepNext w:val="0"/>
        <w:keepLines w:val="0"/>
        <w:pageBreakBefore w:val="0"/>
        <w:widowControl/>
        <w:kinsoku w:val="0"/>
        <w:wordWrap/>
        <w:overflowPunct/>
        <w:topLinePunct w:val="0"/>
        <w:autoSpaceDE w:val="0"/>
        <w:autoSpaceDN w:val="0"/>
        <w:bidi w:val="0"/>
        <w:adjustRightInd w:val="0"/>
        <w:snapToGrid w:val="0"/>
        <w:spacing w:before="157" w:line="280" w:lineRule="auto"/>
        <w:ind w:left="1" w:right="81"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⑤不同投标人的投标文件中投标资料（包括电子资料）相互混装或项目班子成员出</w:t>
      </w:r>
      <w:r>
        <w:rPr>
          <w:rFonts w:hint="eastAsia" w:ascii="宋体" w:hAnsi="宋体" w:eastAsia="宋体" w:cs="宋体"/>
          <w:color w:val="auto"/>
          <w:spacing w:val="-3"/>
          <w:sz w:val="24"/>
          <w:szCs w:val="24"/>
          <w:highlight w:val="none"/>
        </w:rPr>
        <w:t>现同一人；</w:t>
      </w:r>
    </w:p>
    <w:p w14:paraId="510230E6">
      <w:pPr>
        <w:keepNext w:val="0"/>
        <w:keepLines w:val="0"/>
        <w:pageBreakBefore w:val="0"/>
        <w:widowControl/>
        <w:kinsoku w:val="0"/>
        <w:wordWrap/>
        <w:overflowPunct/>
        <w:topLinePunct w:val="0"/>
        <w:autoSpaceDE w:val="0"/>
        <w:autoSpaceDN w:val="0"/>
        <w:bidi w:val="0"/>
        <w:adjustRightInd w:val="0"/>
        <w:snapToGrid w:val="0"/>
        <w:spacing w:before="152" w:line="279" w:lineRule="auto"/>
        <w:ind w:left="3" w:right="8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⑥不同投标人的投标文件由同一电脑编制或同一台附属设备打印，或投标报价用同</w:t>
      </w:r>
      <w:r>
        <w:rPr>
          <w:rFonts w:hint="eastAsia" w:ascii="宋体" w:hAnsi="宋体" w:eastAsia="宋体" w:cs="宋体"/>
          <w:color w:val="auto"/>
          <w:spacing w:val="-1"/>
          <w:sz w:val="24"/>
          <w:szCs w:val="24"/>
          <w:highlight w:val="none"/>
        </w:rPr>
        <w:t>一个预算编制软件密码锁制作或出自同一电子文档；</w:t>
      </w:r>
    </w:p>
    <w:p w14:paraId="5A36E25E">
      <w:pPr>
        <w:keepNext w:val="0"/>
        <w:keepLines w:val="0"/>
        <w:pageBreakBefore w:val="0"/>
        <w:widowControl/>
        <w:kinsoku w:val="0"/>
        <w:wordWrap/>
        <w:overflowPunct/>
        <w:topLinePunct w:val="0"/>
        <w:autoSpaceDE w:val="0"/>
        <w:autoSpaceDN w:val="0"/>
        <w:bidi w:val="0"/>
        <w:adjustRightInd w:val="0"/>
        <w:snapToGrid w:val="0"/>
        <w:spacing w:before="155"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⑦不同投标人的投标保证由同一企业或同一账户资金缴纳；</w:t>
      </w:r>
    </w:p>
    <w:p w14:paraId="5239CFAB">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⑧不同投标人委托同一个人或注册在同一家企业的注册人员或同一家企业为其投</w:t>
      </w:r>
      <w:r>
        <w:rPr>
          <w:rFonts w:hint="eastAsia" w:ascii="宋体" w:hAnsi="宋体" w:eastAsia="宋体" w:cs="宋体"/>
          <w:color w:val="auto"/>
          <w:spacing w:val="-2"/>
          <w:sz w:val="24"/>
          <w:szCs w:val="24"/>
          <w:highlight w:val="none"/>
        </w:rPr>
        <w:t>标提供投标咨询、商务报价、技术咨询（招标项目本身要求采用专有技术的除外）等服</w:t>
      </w:r>
      <w:r>
        <w:rPr>
          <w:rFonts w:hint="eastAsia" w:ascii="宋体" w:hAnsi="宋体" w:eastAsia="宋体" w:cs="宋体"/>
          <w:color w:val="auto"/>
          <w:spacing w:val="-6"/>
          <w:sz w:val="24"/>
          <w:szCs w:val="24"/>
          <w:highlight w:val="none"/>
        </w:rPr>
        <w:t>务。</w:t>
      </w:r>
    </w:p>
    <w:p w14:paraId="49CBF401">
      <w:pPr>
        <w:keepNext w:val="0"/>
        <w:keepLines w:val="0"/>
        <w:pageBreakBefore w:val="0"/>
        <w:widowControl/>
        <w:kinsoku w:val="0"/>
        <w:wordWrap/>
        <w:overflowPunct/>
        <w:topLinePunct w:val="0"/>
        <w:autoSpaceDE w:val="0"/>
        <w:autoSpaceDN w:val="0"/>
        <w:bidi w:val="0"/>
        <w:adjustRightInd w:val="0"/>
        <w:snapToGrid w:val="0"/>
        <w:spacing w:line="299" w:lineRule="auto"/>
        <w:textAlignment w:val="baseline"/>
        <w:rPr>
          <w:rFonts w:hint="eastAsia" w:ascii="宋体" w:hAnsi="宋体" w:eastAsia="宋体" w:cs="宋体"/>
          <w:color w:val="auto"/>
          <w:sz w:val="24"/>
          <w:szCs w:val="24"/>
          <w:highlight w:val="none"/>
        </w:rPr>
        <w:sectPr>
          <w:headerReference r:id="rId11" w:type="default"/>
          <w:footerReference r:id="rId12" w:type="default"/>
          <w:pgSz w:w="11906" w:h="16839"/>
          <w:pgMar w:top="1440" w:right="946" w:bottom="1440" w:left="1080" w:header="0" w:footer="1023" w:gutter="0"/>
          <w:pgBorders>
            <w:top w:val="none" w:sz="0" w:space="0"/>
            <w:left w:val="none" w:sz="0" w:space="0"/>
            <w:bottom w:val="none" w:sz="0" w:space="0"/>
            <w:right w:val="none" w:sz="0" w:space="0"/>
          </w:pgBorders>
          <w:cols w:space="720" w:num="1"/>
        </w:sectPr>
      </w:pPr>
    </w:p>
    <w:p w14:paraId="477FF410">
      <w:pPr>
        <w:spacing w:before="78" w:line="219" w:lineRule="auto"/>
        <w:ind w:left="3525"/>
        <w:outlineLvl w:val="0"/>
        <w:rPr>
          <w:rFonts w:hint="eastAsia" w:ascii="宋体" w:hAnsi="宋体" w:eastAsia="宋体" w:cs="宋体"/>
          <w:color w:val="auto"/>
          <w:sz w:val="24"/>
          <w:szCs w:val="24"/>
          <w:highlight w:val="none"/>
        </w:rPr>
      </w:pPr>
      <w:bookmarkStart w:id="141" w:name="bookmark57"/>
      <w:bookmarkEnd w:id="141"/>
      <w:bookmarkStart w:id="142" w:name="_Toc17933"/>
      <w:r>
        <w:rPr>
          <w:rFonts w:hint="eastAsia" w:ascii="宋体" w:hAnsi="宋体" w:eastAsia="宋体" w:cs="宋体"/>
          <w:b/>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
          <w:bCs/>
          <w:color w:val="auto"/>
          <w:spacing w:val="-7"/>
          <w:sz w:val="24"/>
          <w:szCs w:val="24"/>
          <w:highlight w:val="none"/>
        </w:rPr>
        <w:t>中标人须知</w:t>
      </w:r>
      <w:bookmarkEnd w:id="142"/>
    </w:p>
    <w:p w14:paraId="0D76B119">
      <w:pPr>
        <w:spacing w:before="78" w:line="219" w:lineRule="auto"/>
        <w:ind w:left="582"/>
        <w:outlineLvl w:val="2"/>
        <w:rPr>
          <w:rFonts w:hint="eastAsia" w:ascii="宋体" w:hAnsi="宋体" w:eastAsia="宋体" w:cs="宋体"/>
          <w:color w:val="auto"/>
          <w:sz w:val="24"/>
          <w:szCs w:val="24"/>
          <w:highlight w:val="none"/>
        </w:rPr>
      </w:pPr>
      <w:bookmarkStart w:id="143" w:name="_Toc21728"/>
      <w:r>
        <w:rPr>
          <w:rFonts w:hint="eastAsia" w:ascii="宋体" w:hAnsi="宋体" w:eastAsia="宋体" w:cs="宋体"/>
          <w:b/>
          <w:bCs/>
          <w:color w:val="auto"/>
          <w:spacing w:val="-9"/>
          <w:sz w:val="24"/>
          <w:szCs w:val="24"/>
          <w:highlight w:val="none"/>
        </w:rPr>
        <w:t>1</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9"/>
          <w:sz w:val="24"/>
          <w:szCs w:val="24"/>
          <w:highlight w:val="none"/>
        </w:rPr>
        <w:t>．中标通知书</w:t>
      </w:r>
      <w:bookmarkEnd w:id="143"/>
    </w:p>
    <w:p w14:paraId="32F31BA3">
      <w:pPr>
        <w:spacing w:before="152" w:line="332" w:lineRule="auto"/>
        <w:ind w:left="17" w:firstLine="55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招标人确定第一中标候选人为中标人，并在中标人确定之日起</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1"/>
          <w:sz w:val="24"/>
          <w:szCs w:val="24"/>
          <w:highlight w:val="none"/>
        </w:rPr>
        <w:t>7日内向中</w:t>
      </w:r>
      <w:r>
        <w:rPr>
          <w:rFonts w:hint="eastAsia" w:ascii="宋体" w:hAnsi="宋体" w:eastAsia="宋体" w:cs="宋体"/>
          <w:color w:val="auto"/>
          <w:sz w:val="24"/>
          <w:szCs w:val="24"/>
          <w:highlight w:val="none"/>
        </w:rPr>
        <w:t>标人发</w:t>
      </w:r>
      <w:r>
        <w:rPr>
          <w:rFonts w:hint="eastAsia" w:ascii="宋体" w:hAnsi="宋体" w:eastAsia="宋体" w:cs="宋体"/>
          <w:color w:val="auto"/>
          <w:spacing w:val="-3"/>
          <w:sz w:val="24"/>
          <w:szCs w:val="24"/>
          <w:highlight w:val="none"/>
        </w:rPr>
        <w:t>出中标通知书，中标人必须按韶关市公共资源交易中心的规定办理相关手续后方可领取。</w:t>
      </w:r>
      <w:r>
        <w:rPr>
          <w:rFonts w:hint="eastAsia" w:ascii="宋体" w:hAnsi="宋体" w:eastAsia="宋体" w:cs="宋体"/>
          <w:color w:val="auto"/>
          <w:spacing w:val="-2"/>
          <w:sz w:val="24"/>
          <w:szCs w:val="24"/>
          <w:highlight w:val="none"/>
        </w:rPr>
        <w:t>中标通知书对招标人和中标人均具有法律约束力。中标通知书发出后，招标人改变中标</w:t>
      </w:r>
      <w:r>
        <w:rPr>
          <w:rFonts w:hint="eastAsia" w:ascii="宋体" w:hAnsi="宋体" w:eastAsia="宋体" w:cs="宋体"/>
          <w:color w:val="auto"/>
          <w:spacing w:val="-1"/>
          <w:sz w:val="24"/>
          <w:szCs w:val="24"/>
          <w:highlight w:val="none"/>
        </w:rPr>
        <w:t>结果和中标人放弃中标的，应当承担法律责任。</w:t>
      </w:r>
    </w:p>
    <w:p w14:paraId="013B0F34">
      <w:pPr>
        <w:pStyle w:val="5"/>
        <w:spacing w:line="394" w:lineRule="auto"/>
        <w:rPr>
          <w:rFonts w:hint="eastAsia" w:ascii="宋体" w:hAnsi="宋体" w:eastAsia="宋体" w:cs="宋体"/>
          <w:color w:val="auto"/>
          <w:highlight w:val="none"/>
        </w:rPr>
      </w:pPr>
    </w:p>
    <w:p w14:paraId="05CE895D">
      <w:pPr>
        <w:spacing w:before="78" w:line="221" w:lineRule="auto"/>
        <w:ind w:left="572"/>
        <w:outlineLvl w:val="2"/>
        <w:rPr>
          <w:rFonts w:hint="eastAsia" w:ascii="宋体" w:hAnsi="宋体" w:eastAsia="宋体" w:cs="宋体"/>
          <w:color w:val="auto"/>
          <w:sz w:val="24"/>
          <w:szCs w:val="24"/>
          <w:highlight w:val="none"/>
        </w:rPr>
      </w:pPr>
      <w:bookmarkStart w:id="144" w:name="_Toc15811"/>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．中标结果公示</w:t>
      </w:r>
      <w:bookmarkEnd w:id="144"/>
    </w:p>
    <w:p w14:paraId="3A691EA9">
      <w:pPr>
        <w:spacing w:before="115" w:line="316" w:lineRule="auto"/>
        <w:ind w:left="2" w:right="203" w:firstLine="595"/>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中标通知书发出后</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2"/>
          <w:sz w:val="24"/>
          <w:szCs w:val="24"/>
          <w:highlight w:val="none"/>
        </w:rPr>
        <w:t>15日内，招标人应将中标结果在广东省招标投标</w:t>
      </w:r>
      <w:r>
        <w:rPr>
          <w:rFonts w:hint="eastAsia" w:ascii="宋体" w:hAnsi="宋体" w:eastAsia="宋体" w:cs="宋体"/>
          <w:color w:val="auto"/>
          <w:spacing w:val="-3"/>
          <w:sz w:val="24"/>
          <w:szCs w:val="24"/>
          <w:highlight w:val="none"/>
        </w:rPr>
        <w:t>监管网（http:</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//zbtb.gd.gov.cn）、全国公共资源交易平台（广东省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34"/>
          <w:sz w:val="24"/>
          <w:szCs w:val="24"/>
          <w:highlight w:val="none"/>
        </w:rPr>
        <w:t>）（</w:t>
      </w:r>
      <w:r>
        <w:rPr>
          <w:rFonts w:hint="eastAsia" w:ascii="宋体" w:hAnsi="宋体" w:eastAsia="宋体" w:cs="宋体"/>
          <w:color w:val="auto"/>
          <w:spacing w:val="-2"/>
          <w:sz w:val="24"/>
          <w:szCs w:val="24"/>
          <w:highlight w:val="none"/>
        </w:rPr>
        <w:t>https://ygp.</w:t>
      </w:r>
      <w:r>
        <w:rPr>
          <w:rFonts w:hint="eastAsia" w:ascii="宋体" w:hAnsi="宋体" w:eastAsia="宋体" w:cs="宋体"/>
          <w:color w:val="auto"/>
          <w:spacing w:val="-3"/>
          <w:sz w:val="24"/>
          <w:szCs w:val="24"/>
          <w:highlight w:val="none"/>
        </w:rPr>
        <w:t>gdzwfw.gov.</w:t>
      </w:r>
      <w:r>
        <w:rPr>
          <w:rFonts w:hint="eastAsia" w:ascii="宋体" w:hAnsi="宋体" w:eastAsia="宋体" w:cs="宋体"/>
          <w:color w:val="auto"/>
          <w:sz w:val="24"/>
          <w:szCs w:val="24"/>
          <w:highlight w:val="none"/>
        </w:rPr>
        <w:t xml:space="preserve"> cn/ggzy-portal/#/440200/index）进行公示。</w:t>
      </w:r>
    </w:p>
    <w:p w14:paraId="48284D2A">
      <w:pPr>
        <w:pStyle w:val="5"/>
        <w:spacing w:line="475" w:lineRule="auto"/>
        <w:rPr>
          <w:rFonts w:hint="eastAsia" w:ascii="宋体" w:hAnsi="宋体" w:eastAsia="宋体" w:cs="宋体"/>
          <w:color w:val="auto"/>
          <w:highlight w:val="none"/>
        </w:rPr>
      </w:pPr>
    </w:p>
    <w:p w14:paraId="7F9996BC">
      <w:pPr>
        <w:spacing w:before="79" w:line="221" w:lineRule="auto"/>
        <w:ind w:left="570"/>
        <w:outlineLvl w:val="2"/>
        <w:rPr>
          <w:rFonts w:hint="eastAsia" w:ascii="宋体" w:hAnsi="宋体" w:eastAsia="宋体" w:cs="宋体"/>
          <w:color w:val="auto"/>
          <w:sz w:val="24"/>
          <w:szCs w:val="24"/>
          <w:highlight w:val="none"/>
        </w:rPr>
      </w:pPr>
      <w:bookmarkStart w:id="145" w:name="_Toc9075"/>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．履约保证</w:t>
      </w:r>
      <w:bookmarkEnd w:id="145"/>
    </w:p>
    <w:p w14:paraId="2A654F72">
      <w:pPr>
        <w:keepNext w:val="0"/>
        <w:keepLines w:val="0"/>
        <w:pageBreakBefore w:val="0"/>
        <w:widowControl/>
        <w:kinsoku w:val="0"/>
        <w:wordWrap/>
        <w:overflowPunct/>
        <w:topLinePunct w:val="0"/>
        <w:autoSpaceDE w:val="0"/>
        <w:autoSpaceDN w:val="0"/>
        <w:bidi w:val="0"/>
        <w:adjustRightInd w:val="0"/>
        <w:snapToGrid w:val="0"/>
        <w:spacing w:before="153" w:line="312" w:lineRule="auto"/>
        <w:ind w:firstLine="47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3.1</w:t>
      </w:r>
      <w:r>
        <w:rPr>
          <w:rFonts w:hint="eastAsia" w:ascii="宋体" w:hAnsi="宋体" w:eastAsia="宋体" w:cs="宋体"/>
          <w:b/>
          <w:bCs/>
          <w:color w:val="auto"/>
          <w:spacing w:val="17"/>
          <w:sz w:val="24"/>
          <w:szCs w:val="24"/>
          <w:highlight w:val="none"/>
        </w:rPr>
        <w:t xml:space="preserve">  </w:t>
      </w:r>
      <w:r>
        <w:rPr>
          <w:rFonts w:hint="eastAsia" w:ascii="宋体" w:hAnsi="宋体" w:eastAsia="宋体" w:cs="宋体"/>
          <w:color w:val="auto"/>
          <w:spacing w:val="-3"/>
          <w:sz w:val="24"/>
          <w:szCs w:val="24"/>
          <w:highlight w:val="none"/>
        </w:rPr>
        <w:t>中标人须在领取中标通知书之日起</w:t>
      </w:r>
      <w:r>
        <w:rPr>
          <w:rFonts w:hint="eastAsia" w:ascii="宋体" w:hAnsi="宋体" w:eastAsia="宋体" w:cs="宋体"/>
          <w:color w:val="auto"/>
          <w:spacing w:val="-3"/>
          <w:sz w:val="24"/>
          <w:szCs w:val="24"/>
          <w:highlight w:val="none"/>
          <w:u w:val="single"/>
          <w:lang w:val="en-US" w:eastAsia="zh-CN"/>
        </w:rPr>
        <w:t xml:space="preserve"> 10 </w:t>
      </w:r>
      <w:r>
        <w:rPr>
          <w:rFonts w:hint="eastAsia" w:ascii="宋体" w:hAnsi="宋体" w:eastAsia="宋体" w:cs="宋体"/>
          <w:color w:val="auto"/>
          <w:spacing w:val="-3"/>
          <w:sz w:val="24"/>
          <w:szCs w:val="24"/>
          <w:highlight w:val="none"/>
        </w:rPr>
        <w:t>个工作日内、签订合同前向招标人提交金额</w:t>
      </w:r>
      <w:r>
        <w:rPr>
          <w:rFonts w:hint="eastAsia" w:ascii="宋体" w:hAnsi="宋体" w:eastAsia="宋体" w:cs="宋体"/>
          <w:color w:val="auto"/>
          <w:spacing w:val="-1"/>
          <w:position w:val="2"/>
          <w:sz w:val="24"/>
          <w:szCs w:val="24"/>
          <w:highlight w:val="none"/>
        </w:rPr>
        <w:t>为中标价</w:t>
      </w:r>
      <w:r>
        <w:rPr>
          <w:rFonts w:hint="eastAsia" w:ascii="宋体" w:hAnsi="宋体" w:eastAsia="宋体" w:cs="宋体"/>
          <w:color w:val="auto"/>
          <w:spacing w:val="-1"/>
          <w:position w:val="2"/>
          <w:sz w:val="24"/>
          <w:szCs w:val="24"/>
          <w:highlight w:val="none"/>
          <w:u w:val="single"/>
          <w:lang w:val="en-US" w:eastAsia="zh-CN"/>
        </w:rPr>
        <w:t xml:space="preserve"> 5</w:t>
      </w:r>
      <w:r>
        <w:rPr>
          <w:rFonts w:hint="eastAsia" w:ascii="宋体" w:hAnsi="宋体" w:eastAsia="宋体" w:cs="宋体"/>
          <w:color w:val="auto"/>
          <w:spacing w:val="-1"/>
          <w:position w:val="2"/>
          <w:sz w:val="24"/>
          <w:szCs w:val="24"/>
          <w:highlight w:val="none"/>
          <w:u w:val="single"/>
        </w:rPr>
        <w:t xml:space="preserve">%  </w:t>
      </w:r>
      <w:r>
        <w:rPr>
          <w:rFonts w:hint="eastAsia" w:ascii="宋体" w:hAnsi="宋体" w:eastAsia="宋体" w:cs="宋体"/>
          <w:color w:val="auto"/>
          <w:spacing w:val="-1"/>
          <w:position w:val="2"/>
          <w:sz w:val="24"/>
          <w:szCs w:val="24"/>
          <w:highlight w:val="none"/>
        </w:rPr>
        <w:t>的履约保证。联合体中标的，由联合体牵头人提交。</w:t>
      </w:r>
    </w:p>
    <w:p w14:paraId="63F343AD">
      <w:pPr>
        <w:spacing w:before="89" w:line="286" w:lineRule="auto"/>
        <w:ind w:left="12" w:right="108" w:firstLine="473"/>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3.2</w:t>
      </w:r>
      <w:r>
        <w:rPr>
          <w:rFonts w:hint="eastAsia" w:ascii="宋体" w:hAnsi="宋体" w:eastAsia="宋体" w:cs="宋体"/>
          <w:b/>
          <w:bCs/>
          <w:color w:val="auto"/>
          <w:spacing w:val="34"/>
          <w:w w:val="101"/>
          <w:sz w:val="24"/>
          <w:szCs w:val="24"/>
          <w:highlight w:val="none"/>
        </w:rPr>
        <w:t xml:space="preserve"> </w:t>
      </w:r>
      <w:r>
        <w:rPr>
          <w:rFonts w:hint="eastAsia" w:ascii="宋体" w:hAnsi="宋体" w:eastAsia="宋体" w:cs="宋体"/>
          <w:color w:val="auto"/>
          <w:spacing w:val="-1"/>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2"/>
          <w:sz w:val="24"/>
          <w:szCs w:val="24"/>
          <w:highlight w:val="none"/>
        </w:rPr>
        <w:t>。商业保函、银行保函或保险合同（或保险单）的</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1"/>
          <w:sz w:val="24"/>
          <w:szCs w:val="24"/>
          <w:highlight w:val="none"/>
        </w:rPr>
        <w:t>有效期应当自合同生效之日起至项目通过竣工验收之日后</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28 天止。</w:t>
      </w:r>
    </w:p>
    <w:p w14:paraId="78DED6D5">
      <w:pPr>
        <w:wordWrap w:val="0"/>
        <w:spacing w:line="440" w:lineRule="exact"/>
        <w:ind w:firstLine="562"/>
        <w:rPr>
          <w:rFonts w:hint="eastAsia" w:ascii="宋体" w:hAnsi="宋体" w:eastAsia="宋体" w:cs="宋体"/>
          <w:color w:val="auto"/>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5680480B">
      <w:pPr>
        <w:spacing w:before="145" w:line="319" w:lineRule="auto"/>
        <w:ind w:left="12" w:right="108"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3.3</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4"/>
          <w:sz w:val="24"/>
          <w:szCs w:val="24"/>
          <w:highlight w:val="none"/>
        </w:rPr>
        <w:t>中标人在领取中标通知书之日起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 个工</w:t>
      </w:r>
      <w:r>
        <w:rPr>
          <w:rFonts w:hint="eastAsia" w:ascii="宋体" w:hAnsi="宋体" w:eastAsia="宋体" w:cs="宋体"/>
          <w:color w:val="auto"/>
          <w:spacing w:val="-5"/>
          <w:sz w:val="24"/>
          <w:szCs w:val="24"/>
          <w:highlight w:val="none"/>
        </w:rPr>
        <w:t>作日内仍未提交履约保证的，招标人发</w:t>
      </w:r>
      <w:r>
        <w:rPr>
          <w:rFonts w:hint="eastAsia" w:ascii="宋体" w:hAnsi="宋体" w:eastAsia="宋体" w:cs="宋体"/>
          <w:color w:val="auto"/>
          <w:spacing w:val="1"/>
          <w:sz w:val="24"/>
          <w:szCs w:val="24"/>
          <w:highlight w:val="none"/>
        </w:rPr>
        <w:t>出第一次提醒函；在领取中标通知书之日起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15 个工作日内仍未提交的</w:t>
      </w:r>
      <w:r>
        <w:rPr>
          <w:rFonts w:hint="eastAsia" w:ascii="宋体" w:hAnsi="宋体" w:eastAsia="宋体" w:cs="宋体"/>
          <w:color w:val="auto"/>
          <w:sz w:val="24"/>
          <w:szCs w:val="24"/>
          <w:highlight w:val="none"/>
        </w:rPr>
        <w:t>，招标人发出第</w:t>
      </w:r>
      <w:r>
        <w:rPr>
          <w:rFonts w:hint="eastAsia" w:ascii="宋体" w:hAnsi="宋体" w:eastAsia="宋体" w:cs="宋体"/>
          <w:color w:val="auto"/>
          <w:spacing w:val="1"/>
          <w:sz w:val="24"/>
          <w:szCs w:val="24"/>
          <w:highlight w:val="none"/>
        </w:rPr>
        <w:t>二次提醒函；在领取中标通知书之日起</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1"/>
          <w:sz w:val="24"/>
          <w:szCs w:val="24"/>
          <w:highlight w:val="none"/>
        </w:rPr>
        <w:t>20 个工作日内仍未提交的，视其放弃中标。并</w:t>
      </w:r>
      <w:r>
        <w:rPr>
          <w:rFonts w:hint="eastAsia" w:ascii="宋体" w:hAnsi="宋体" w:eastAsia="宋体" w:cs="宋体"/>
          <w:color w:val="auto"/>
          <w:spacing w:val="-2"/>
          <w:sz w:val="24"/>
          <w:szCs w:val="24"/>
          <w:highlight w:val="none"/>
        </w:rPr>
        <w:t>由招标人通报建设行政管理部门。如采用商业保函、银行保函或保险合同方式缴纳履约保证金，在保函或保险合同到期前一个月，中标人须主动办理续期手续或提交新的商业</w:t>
      </w:r>
      <w:r>
        <w:rPr>
          <w:rFonts w:hint="eastAsia" w:ascii="宋体" w:hAnsi="宋体" w:eastAsia="宋体" w:cs="宋体"/>
          <w:color w:val="auto"/>
          <w:spacing w:val="-1"/>
          <w:sz w:val="24"/>
          <w:szCs w:val="24"/>
          <w:highlight w:val="none"/>
        </w:rPr>
        <w:t>保函、银行保函或保险合同。</w:t>
      </w:r>
    </w:p>
    <w:p w14:paraId="1772FFBF">
      <w:pPr>
        <w:spacing w:before="152" w:line="299" w:lineRule="auto"/>
        <w:ind w:left="12"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3.4  </w:t>
      </w:r>
      <w:r>
        <w:rPr>
          <w:rFonts w:hint="eastAsia" w:ascii="宋体" w:hAnsi="宋体" w:eastAsia="宋体" w:cs="宋体"/>
          <w:color w:val="auto"/>
          <w:sz w:val="24"/>
          <w:szCs w:val="24"/>
          <w:highlight w:val="none"/>
        </w:rPr>
        <w:t>在工程实施过程中，如果承包人（即招标阶段的中标人，下同）由于自身的资</w:t>
      </w:r>
      <w:r>
        <w:rPr>
          <w:rFonts w:hint="eastAsia" w:ascii="宋体" w:hAnsi="宋体" w:eastAsia="宋体" w:cs="宋体"/>
          <w:color w:val="auto"/>
          <w:spacing w:val="-2"/>
          <w:sz w:val="24"/>
          <w:szCs w:val="24"/>
          <w:highlight w:val="none"/>
        </w:rPr>
        <w:t>金、技术、质量、非不可抗力等原因给发包人（即招标阶段的招标人，下同）造成经济</w:t>
      </w:r>
      <w:r>
        <w:rPr>
          <w:rFonts w:hint="eastAsia" w:ascii="宋体" w:hAnsi="宋体" w:eastAsia="宋体" w:cs="宋体"/>
          <w:color w:val="auto"/>
          <w:spacing w:val="-1"/>
          <w:sz w:val="24"/>
          <w:szCs w:val="24"/>
          <w:highlight w:val="none"/>
        </w:rPr>
        <w:t>损失，发包人有权扣划相应金额的履约保证。</w:t>
      </w:r>
    </w:p>
    <w:p w14:paraId="10E237DB">
      <w:pPr>
        <w:spacing w:before="154" w:line="220" w:lineRule="auto"/>
        <w:ind w:left="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3.5  </w:t>
      </w:r>
      <w:r>
        <w:rPr>
          <w:rFonts w:hint="eastAsia" w:ascii="宋体" w:hAnsi="宋体" w:eastAsia="宋体" w:cs="宋体"/>
          <w:color w:val="auto"/>
          <w:sz w:val="24"/>
          <w:szCs w:val="24"/>
          <w:highlight w:val="none"/>
        </w:rPr>
        <w:t>项目通过竣工验收之日后</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28 天内，发包人将履</w:t>
      </w:r>
      <w:r>
        <w:rPr>
          <w:rFonts w:hint="eastAsia" w:ascii="宋体" w:hAnsi="宋体" w:eastAsia="宋体" w:cs="宋体"/>
          <w:color w:val="auto"/>
          <w:spacing w:val="-1"/>
          <w:sz w:val="24"/>
          <w:szCs w:val="24"/>
          <w:highlight w:val="none"/>
        </w:rPr>
        <w:t>约保证退还给承包人。</w:t>
      </w:r>
    </w:p>
    <w:p w14:paraId="432F8D77">
      <w:pPr>
        <w:pStyle w:val="5"/>
        <w:spacing w:line="256" w:lineRule="auto"/>
        <w:rPr>
          <w:rFonts w:hint="eastAsia" w:ascii="宋体" w:hAnsi="宋体" w:eastAsia="宋体" w:cs="宋体"/>
          <w:color w:val="auto"/>
          <w:highlight w:val="none"/>
        </w:rPr>
      </w:pPr>
    </w:p>
    <w:p w14:paraId="53274F32">
      <w:pPr>
        <w:pStyle w:val="5"/>
        <w:spacing w:line="257" w:lineRule="auto"/>
        <w:rPr>
          <w:rFonts w:hint="eastAsia" w:ascii="宋体" w:hAnsi="宋体" w:eastAsia="宋体" w:cs="宋体"/>
          <w:color w:val="auto"/>
          <w:highlight w:val="none"/>
        </w:rPr>
      </w:pPr>
    </w:p>
    <w:p w14:paraId="1374047A">
      <w:pPr>
        <w:spacing w:before="78" w:line="222" w:lineRule="auto"/>
        <w:ind w:left="488"/>
        <w:outlineLvl w:val="2"/>
        <w:rPr>
          <w:rFonts w:hint="eastAsia" w:ascii="宋体" w:hAnsi="宋体" w:eastAsia="宋体" w:cs="宋体"/>
          <w:color w:val="auto"/>
          <w:sz w:val="24"/>
          <w:szCs w:val="24"/>
          <w:highlight w:val="none"/>
        </w:rPr>
      </w:pPr>
      <w:bookmarkStart w:id="146" w:name="_Toc12298"/>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．合同订立</w:t>
      </w:r>
      <w:bookmarkEnd w:id="146"/>
    </w:p>
    <w:p w14:paraId="1A200521">
      <w:pPr>
        <w:spacing w:before="150" w:line="279" w:lineRule="auto"/>
        <w:ind w:left="13"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4.1  </w:t>
      </w:r>
      <w:r>
        <w:rPr>
          <w:rFonts w:hint="eastAsia" w:ascii="宋体" w:hAnsi="宋体" w:eastAsia="宋体" w:cs="宋体"/>
          <w:color w:val="auto"/>
          <w:sz w:val="24"/>
          <w:szCs w:val="24"/>
          <w:highlight w:val="none"/>
        </w:rPr>
        <w:t>招标人应当自中标通知书发出之日起</w:t>
      </w:r>
      <w:r>
        <w:rPr>
          <w:rFonts w:hint="eastAsia" w:ascii="宋体" w:hAnsi="宋体" w:eastAsia="宋体" w:cs="宋体"/>
          <w:color w:val="auto"/>
          <w:sz w:val="24"/>
          <w:szCs w:val="24"/>
          <w:highlight w:val="none"/>
          <w:u w:val="single"/>
          <w:lang w:val="en-US" w:eastAsia="zh-CN"/>
        </w:rPr>
        <w:t xml:space="preserve"> 三十 </w:t>
      </w:r>
      <w:r>
        <w:rPr>
          <w:rFonts w:hint="eastAsia" w:ascii="宋体" w:hAnsi="宋体" w:eastAsia="宋体" w:cs="宋体"/>
          <w:color w:val="auto"/>
          <w:sz w:val="24"/>
          <w:szCs w:val="24"/>
          <w:highlight w:val="none"/>
        </w:rPr>
        <w:t>日内，按照招标文件、中标人的投标</w:t>
      </w:r>
      <w:r>
        <w:rPr>
          <w:rFonts w:hint="eastAsia" w:ascii="宋体" w:hAnsi="宋体" w:eastAsia="宋体" w:cs="宋体"/>
          <w:color w:val="auto"/>
          <w:spacing w:val="-1"/>
          <w:sz w:val="24"/>
          <w:szCs w:val="24"/>
          <w:highlight w:val="none"/>
        </w:rPr>
        <w:t>文件与中标人订立书面合同。</w:t>
      </w:r>
    </w:p>
    <w:p w14:paraId="2679C49D">
      <w:pPr>
        <w:spacing w:before="156"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4.2  </w:t>
      </w:r>
      <w:r>
        <w:rPr>
          <w:rFonts w:hint="eastAsia" w:ascii="宋体" w:hAnsi="宋体" w:eastAsia="宋体" w:cs="宋体"/>
          <w:color w:val="auto"/>
          <w:spacing w:val="-1"/>
          <w:sz w:val="24"/>
          <w:szCs w:val="24"/>
          <w:highlight w:val="none"/>
        </w:rPr>
        <w:t>不正常报价的梳理和确认</w:t>
      </w:r>
    </w:p>
    <w:p w14:paraId="4BC8F1D0">
      <w:pPr>
        <w:spacing w:before="154" w:line="299" w:lineRule="auto"/>
        <w:ind w:left="14" w:right="64"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4.2.1 合同订立期间，在不改变中标人的投标总价的前提下，招标人应对中标人的</w:t>
      </w:r>
      <w:r>
        <w:rPr>
          <w:rFonts w:hint="eastAsia" w:ascii="宋体" w:hAnsi="宋体" w:eastAsia="宋体" w:cs="宋体"/>
          <w:b/>
          <w:bCs/>
          <w:color w:val="auto"/>
          <w:spacing w:val="-3"/>
          <w:sz w:val="24"/>
          <w:szCs w:val="24"/>
          <w:highlight w:val="none"/>
        </w:rPr>
        <w:t>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3"/>
          <w:sz w:val="24"/>
          <w:szCs w:val="24"/>
          <w:highlight w:val="none"/>
        </w:rPr>
        <w:t>招标人不具备</w:t>
      </w:r>
      <w:r>
        <w:rPr>
          <w:rFonts w:hint="eastAsia" w:ascii="宋体" w:hAnsi="宋体" w:eastAsia="宋体" w:cs="宋体"/>
          <w:color w:val="auto"/>
          <w:spacing w:val="-4"/>
          <w:sz w:val="24"/>
          <w:szCs w:val="24"/>
          <w:highlight w:val="none"/>
        </w:rPr>
        <w:t>以上能力的，可授</w:t>
      </w:r>
      <w:r>
        <w:rPr>
          <w:rFonts w:hint="eastAsia" w:ascii="宋体" w:hAnsi="宋体" w:eastAsia="宋体" w:cs="宋体"/>
          <w:color w:val="auto"/>
          <w:spacing w:val="-1"/>
          <w:sz w:val="24"/>
          <w:szCs w:val="24"/>
          <w:highlight w:val="none"/>
        </w:rPr>
        <w:t>权编制本项目</w:t>
      </w:r>
      <w:r>
        <w:rPr>
          <w:rFonts w:hint="eastAsia" w:ascii="宋体" w:hAnsi="宋体" w:eastAsia="宋体" w:cs="宋体"/>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的造价咨询单位实施。</w:t>
      </w:r>
    </w:p>
    <w:p w14:paraId="4CE5699A">
      <w:pPr>
        <w:spacing w:before="121" w:line="309" w:lineRule="auto"/>
        <w:ind w:left="14" w:right="65"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4.2.2  </w:t>
      </w:r>
      <w:r>
        <w:rPr>
          <w:rFonts w:hint="eastAsia" w:ascii="宋体" w:hAnsi="宋体" w:eastAsia="宋体" w:cs="宋体"/>
          <w:color w:val="auto"/>
          <w:spacing w:val="2"/>
          <w:sz w:val="24"/>
          <w:szCs w:val="24"/>
          <w:highlight w:val="none"/>
        </w:rPr>
        <w:t>算术性错误的分析和修正。投标报价汇</w:t>
      </w:r>
      <w:r>
        <w:rPr>
          <w:rFonts w:hint="eastAsia" w:ascii="宋体" w:hAnsi="宋体" w:eastAsia="宋体" w:cs="宋体"/>
          <w:color w:val="auto"/>
          <w:spacing w:val="1"/>
          <w:sz w:val="24"/>
          <w:szCs w:val="24"/>
          <w:highlight w:val="none"/>
        </w:rPr>
        <w:t>总表中，投标总价与各分项费用之和</w:t>
      </w:r>
      <w:r>
        <w:rPr>
          <w:rFonts w:hint="eastAsia" w:ascii="宋体" w:hAnsi="宋体" w:eastAsia="宋体" w:cs="宋体"/>
          <w:color w:val="auto"/>
          <w:spacing w:val="-2"/>
          <w:sz w:val="24"/>
          <w:szCs w:val="24"/>
          <w:highlight w:val="none"/>
        </w:rPr>
        <w:t>不一致的，以投标总价为准修正分项费用；投标报价汇总表的各分项费用与对应分项表中的费用不一致的，以投标报价汇总表中的分项费用为准修正对应分项表中的费用；各</w:t>
      </w:r>
      <w:r>
        <w:rPr>
          <w:rFonts w:hint="eastAsia" w:ascii="宋体" w:hAnsi="宋体" w:eastAsia="宋体" w:cs="宋体"/>
          <w:color w:val="auto"/>
          <w:sz w:val="24"/>
          <w:szCs w:val="24"/>
          <w:highlight w:val="none"/>
        </w:rPr>
        <w:t>分项表中总价金额与依据单价计算出的结果不</w:t>
      </w:r>
      <w:r>
        <w:rPr>
          <w:rFonts w:hint="eastAsia" w:ascii="宋体" w:hAnsi="宋体" w:eastAsia="宋体" w:cs="宋体"/>
          <w:color w:val="auto"/>
          <w:spacing w:val="-1"/>
          <w:sz w:val="24"/>
          <w:szCs w:val="24"/>
          <w:highlight w:val="none"/>
        </w:rPr>
        <w:t>一致的，以总价为准修正单价。</w:t>
      </w:r>
    </w:p>
    <w:p w14:paraId="11DE13F3">
      <w:pPr>
        <w:spacing w:before="157" w:line="279" w:lineRule="auto"/>
        <w:ind w:left="12" w:right="66"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4.2.3  </w:t>
      </w:r>
      <w:r>
        <w:rPr>
          <w:rFonts w:hint="eastAsia" w:ascii="宋体" w:hAnsi="宋体" w:eastAsia="宋体" w:cs="宋体"/>
          <w:color w:val="auto"/>
          <w:spacing w:val="2"/>
          <w:sz w:val="24"/>
          <w:szCs w:val="24"/>
          <w:highlight w:val="none"/>
        </w:rPr>
        <w:t>错漏项的认定。中标人已标价工程量清</w:t>
      </w:r>
      <w:r>
        <w:rPr>
          <w:rFonts w:hint="eastAsia" w:ascii="宋体" w:hAnsi="宋体" w:eastAsia="宋体" w:cs="宋体"/>
          <w:color w:val="auto"/>
          <w:spacing w:val="1"/>
          <w:sz w:val="24"/>
          <w:szCs w:val="24"/>
          <w:highlight w:val="none"/>
        </w:rPr>
        <w:t>单中，任一清单项目未填报价格或价</w:t>
      </w:r>
      <w:r>
        <w:rPr>
          <w:rFonts w:hint="eastAsia" w:ascii="宋体" w:hAnsi="宋体" w:eastAsia="宋体" w:cs="宋体"/>
          <w:color w:val="auto"/>
          <w:spacing w:val="-1"/>
          <w:sz w:val="24"/>
          <w:szCs w:val="24"/>
          <w:highlight w:val="none"/>
        </w:rPr>
        <w:t>格为零的，视为错漏项。</w:t>
      </w:r>
    </w:p>
    <w:p w14:paraId="59E7D3F9">
      <w:pPr>
        <w:spacing w:before="121" w:line="360" w:lineRule="auto"/>
        <w:ind w:firstLine="490"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4.2.4  </w:t>
      </w:r>
      <w:r>
        <w:rPr>
          <w:rFonts w:hint="eastAsia" w:ascii="宋体" w:hAnsi="宋体" w:eastAsia="宋体" w:cs="宋体"/>
          <w:color w:val="auto"/>
          <w:spacing w:val="2"/>
          <w:sz w:val="24"/>
          <w:szCs w:val="24"/>
          <w:highlight w:val="none"/>
        </w:rPr>
        <w:t>不平衡报价的认定。经修正算术性错误后的中标人已标价工程量清单中，</w:t>
      </w:r>
      <w:r>
        <w:rPr>
          <w:rFonts w:hint="eastAsia" w:ascii="宋体" w:hAnsi="宋体" w:eastAsia="宋体" w:cs="宋体"/>
          <w:color w:val="auto"/>
          <w:spacing w:val="2"/>
          <w:sz w:val="24"/>
          <w:szCs w:val="24"/>
          <w:highlight w:val="none"/>
          <w:u w:val="single"/>
        </w:rPr>
        <w:t>对于投标报价中综合单价相对</w:t>
      </w:r>
      <w:r>
        <w:rPr>
          <w:rFonts w:hint="eastAsia" w:ascii="宋体" w:hAnsi="宋体" w:eastAsia="宋体" w:cs="宋体"/>
          <w:color w:val="auto"/>
          <w:spacing w:val="2"/>
          <w:sz w:val="24"/>
          <w:szCs w:val="24"/>
          <w:highlight w:val="none"/>
          <w:u w:val="single"/>
          <w:lang w:eastAsia="zh-CN"/>
        </w:rPr>
        <w:t>最高投标限价</w:t>
      </w:r>
      <w:r>
        <w:rPr>
          <w:rFonts w:hint="eastAsia" w:ascii="宋体" w:hAnsi="宋体" w:eastAsia="宋体" w:cs="宋体"/>
          <w:color w:val="auto"/>
          <w:spacing w:val="2"/>
          <w:sz w:val="24"/>
          <w:szCs w:val="24"/>
          <w:highlight w:val="none"/>
          <w:u w:val="single"/>
        </w:rPr>
        <w:t xml:space="preserve">《分部分项工程和单价措施项目清单与计价表》中对应综合单价的偏差大于±15% </w:t>
      </w:r>
      <w:r>
        <w:rPr>
          <w:rFonts w:hint="eastAsia" w:ascii="宋体" w:hAnsi="宋体" w:eastAsia="宋体" w:cs="宋体"/>
          <w:color w:val="auto"/>
          <w:spacing w:val="2"/>
          <w:sz w:val="24"/>
          <w:szCs w:val="24"/>
          <w:highlight w:val="none"/>
          <w:u w:val="none"/>
        </w:rPr>
        <w:t>的清</w:t>
      </w:r>
      <w:r>
        <w:rPr>
          <w:rFonts w:hint="eastAsia" w:ascii="宋体" w:hAnsi="宋体" w:eastAsia="宋体" w:cs="宋体"/>
          <w:color w:val="auto"/>
          <w:spacing w:val="-3"/>
          <w:sz w:val="24"/>
          <w:szCs w:val="24"/>
          <w:highlight w:val="none"/>
          <w:u w:val="none"/>
        </w:rPr>
        <w:t>单项目</w:t>
      </w:r>
      <w:r>
        <w:rPr>
          <w:rFonts w:hint="eastAsia" w:ascii="宋体" w:hAnsi="宋体" w:eastAsia="宋体" w:cs="宋体"/>
          <w:color w:val="auto"/>
          <w:spacing w:val="-3"/>
          <w:sz w:val="24"/>
          <w:szCs w:val="24"/>
          <w:highlight w:val="none"/>
        </w:rPr>
        <w:t>，视为不平衡报价项目。</w:t>
      </w:r>
    </w:p>
    <w:p w14:paraId="4DB1B0CA">
      <w:pPr>
        <w:spacing w:before="146" w:line="330" w:lineRule="auto"/>
        <w:ind w:left="10" w:right="65" w:firstLine="478"/>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4.2.5 </w:t>
      </w:r>
      <w:r>
        <w:rPr>
          <w:rFonts w:hint="eastAsia" w:ascii="宋体" w:hAnsi="宋体" w:eastAsia="宋体" w:cs="宋体"/>
          <w:color w:val="auto"/>
          <w:spacing w:val="-3"/>
          <w:sz w:val="24"/>
          <w:szCs w:val="24"/>
          <w:highlight w:val="none"/>
        </w:rPr>
        <w:t>施工合同签订前，招标人或其授权的造价咨询单位应就发现的以上所有不平衡报价进行修正，形成《不平衡报价修正报告》，并由招标人和中标人共同签章确认，构成施工合同的组成部分。</w:t>
      </w:r>
    </w:p>
    <w:p w14:paraId="57725225">
      <w:pPr>
        <w:spacing w:before="34" w:line="326" w:lineRule="auto"/>
        <w:ind w:left="12" w:right="65" w:firstLine="47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4.2.6 合同履行过程中，被认定为错漏项的清单项目，结算时按照第三章“拟签订</w:t>
      </w:r>
      <w:r>
        <w:rPr>
          <w:rFonts w:hint="eastAsia" w:ascii="宋体" w:hAnsi="宋体" w:eastAsia="宋体" w:cs="宋体"/>
          <w:b/>
          <w:bCs/>
          <w:color w:val="auto"/>
          <w:spacing w:val="-6"/>
          <w:sz w:val="24"/>
          <w:szCs w:val="24"/>
          <w:highlight w:val="none"/>
        </w:rPr>
        <w:t>合同的主要条款</w:t>
      </w:r>
      <w:r>
        <w:rPr>
          <w:rFonts w:hint="eastAsia" w:ascii="宋体" w:hAnsi="宋体" w:eastAsia="宋体" w:cs="宋体"/>
          <w:color w:val="auto"/>
          <w:spacing w:val="-77"/>
          <w:sz w:val="24"/>
          <w:szCs w:val="24"/>
          <w:highlight w:val="none"/>
        </w:rPr>
        <w:t xml:space="preserve"> </w:t>
      </w:r>
      <w:r>
        <w:rPr>
          <w:rFonts w:hint="eastAsia" w:ascii="宋体" w:hAnsi="宋体" w:eastAsia="宋体" w:cs="宋体"/>
          <w:b/>
          <w:bCs/>
          <w:color w:val="auto"/>
          <w:spacing w:val="-6"/>
          <w:sz w:val="24"/>
          <w:szCs w:val="24"/>
          <w:highlight w:val="none"/>
        </w:rPr>
        <w:t>”规定处理。</w:t>
      </w:r>
    </w:p>
    <w:p w14:paraId="6AFE27E5">
      <w:pPr>
        <w:spacing w:before="33" w:line="317" w:lineRule="auto"/>
        <w:ind w:left="12" w:right="38" w:firstLine="476"/>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4.2.7  合同履行过程中，合同约定的调</w:t>
      </w:r>
      <w:r>
        <w:rPr>
          <w:rFonts w:hint="eastAsia" w:ascii="宋体" w:hAnsi="宋体" w:eastAsia="宋体" w:cs="宋体"/>
          <w:b/>
          <w:bCs/>
          <w:color w:val="auto"/>
          <w:spacing w:val="-1"/>
          <w:sz w:val="24"/>
          <w:szCs w:val="24"/>
          <w:highlight w:val="none"/>
        </w:rPr>
        <w:t>整因素（如工程量偏差、工程变更、项目特</w:t>
      </w:r>
      <w:r>
        <w:rPr>
          <w:rFonts w:hint="eastAsia" w:ascii="宋体" w:hAnsi="宋体" w:eastAsia="宋体" w:cs="宋体"/>
          <w:b/>
          <w:bCs/>
          <w:color w:val="auto"/>
          <w:spacing w:val="-4"/>
          <w:sz w:val="24"/>
          <w:szCs w:val="24"/>
          <w:highlight w:val="none"/>
        </w:rPr>
        <w:t>征不符、招标工程量清单缺项等）出现时，被认定为不平衡报价的清单项目以及</w:t>
      </w:r>
      <w:r>
        <w:rPr>
          <w:rFonts w:hint="eastAsia" w:ascii="宋体" w:hAnsi="宋体" w:eastAsia="宋体" w:cs="宋体"/>
          <w:b/>
          <w:bCs/>
          <w:color w:val="auto"/>
          <w:spacing w:val="-5"/>
          <w:sz w:val="24"/>
          <w:szCs w:val="24"/>
          <w:highlight w:val="none"/>
        </w:rPr>
        <w:t>采用被</w:t>
      </w:r>
      <w:r>
        <w:rPr>
          <w:rFonts w:hint="eastAsia" w:ascii="宋体" w:hAnsi="宋体" w:eastAsia="宋体" w:cs="宋体"/>
          <w:b/>
          <w:bCs/>
          <w:color w:val="auto"/>
          <w:spacing w:val="-3"/>
          <w:sz w:val="24"/>
          <w:szCs w:val="24"/>
          <w:highlight w:val="none"/>
        </w:rPr>
        <w:t>认定为不平衡报价的清单项目的价格作为取价（或参照取</w:t>
      </w:r>
      <w:r>
        <w:rPr>
          <w:rFonts w:hint="eastAsia" w:ascii="宋体" w:hAnsi="宋体" w:eastAsia="宋体" w:cs="宋体"/>
          <w:b/>
          <w:bCs/>
          <w:color w:val="auto"/>
          <w:spacing w:val="-4"/>
          <w:sz w:val="24"/>
          <w:szCs w:val="24"/>
          <w:highlight w:val="none"/>
        </w:rPr>
        <w:t>价）依据的变更、新增项目，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3"/>
          <w:sz w:val="24"/>
          <w:szCs w:val="24"/>
          <w:highlight w:val="none"/>
        </w:rPr>
        <w:t>按照第三章“拟签订合同的主要条款</w:t>
      </w:r>
      <w:r>
        <w:rPr>
          <w:rFonts w:hint="eastAsia" w:ascii="宋体" w:hAnsi="宋体" w:eastAsia="宋体" w:cs="宋体"/>
          <w:color w:val="auto"/>
          <w:spacing w:val="-86"/>
          <w:sz w:val="24"/>
          <w:szCs w:val="24"/>
          <w:highlight w:val="none"/>
        </w:rPr>
        <w:t xml:space="preserve"> </w:t>
      </w:r>
      <w:r>
        <w:rPr>
          <w:rFonts w:hint="eastAsia" w:ascii="宋体" w:hAnsi="宋体" w:eastAsia="宋体" w:cs="宋体"/>
          <w:b/>
          <w:bCs/>
          <w:color w:val="auto"/>
          <w:spacing w:val="-3"/>
          <w:sz w:val="24"/>
          <w:szCs w:val="24"/>
          <w:highlight w:val="none"/>
        </w:rPr>
        <w:t>”有关规定调整</w:t>
      </w:r>
      <w:r>
        <w:rPr>
          <w:rFonts w:hint="eastAsia" w:ascii="宋体" w:hAnsi="宋体" w:eastAsia="宋体" w:cs="宋体"/>
          <w:b/>
          <w:bCs/>
          <w:color w:val="auto"/>
          <w:spacing w:val="-4"/>
          <w:sz w:val="24"/>
          <w:szCs w:val="24"/>
          <w:highlight w:val="none"/>
        </w:rPr>
        <w:t>合同价款。</w:t>
      </w:r>
    </w:p>
    <w:p w14:paraId="505FDF3C">
      <w:pPr>
        <w:spacing w:before="87" w:line="276"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4.3  </w:t>
      </w:r>
      <w:r>
        <w:rPr>
          <w:rFonts w:hint="eastAsia" w:ascii="宋体" w:hAnsi="宋体" w:eastAsia="宋体" w:cs="宋体"/>
          <w:color w:val="auto"/>
          <w:sz w:val="24"/>
          <w:szCs w:val="24"/>
          <w:highlight w:val="none"/>
        </w:rPr>
        <w:t>本招标项目合同计价方式为：</w:t>
      </w:r>
      <w:r>
        <w:rPr>
          <w:rFonts w:hint="eastAsia" w:ascii="宋体" w:hAnsi="宋体" w:eastAsia="宋体" w:cs="宋体"/>
          <w:color w:val="auto"/>
          <w:sz w:val="24"/>
          <w:szCs w:val="24"/>
          <w:highlight w:val="none"/>
          <w:u w:val="single"/>
        </w:rPr>
        <w:t xml:space="preserve"> 单价 </w:t>
      </w:r>
      <w:r>
        <w:rPr>
          <w:rFonts w:hint="eastAsia" w:ascii="宋体" w:hAnsi="宋体" w:eastAsia="宋体" w:cs="宋体"/>
          <w:color w:val="auto"/>
          <w:spacing w:val="-1"/>
          <w:sz w:val="24"/>
          <w:szCs w:val="24"/>
          <w:highlight w:val="none"/>
        </w:rPr>
        <w:t>合同。</w:t>
      </w:r>
    </w:p>
    <w:p w14:paraId="5126E8F2">
      <w:pPr>
        <w:spacing w:before="120" w:line="298" w:lineRule="auto"/>
        <w:ind w:left="11" w:right="28"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 xml:space="preserve">4.4  </w:t>
      </w:r>
      <w:r>
        <w:rPr>
          <w:rFonts w:hint="eastAsia" w:ascii="宋体" w:hAnsi="宋体" w:eastAsia="宋体" w:cs="宋体"/>
          <w:color w:val="auto"/>
          <w:spacing w:val="-4"/>
          <w:sz w:val="24"/>
          <w:szCs w:val="24"/>
          <w:highlight w:val="none"/>
        </w:rPr>
        <w:t>合同的标的、质量、履行期限条款和合同的价款、单</w:t>
      </w:r>
      <w:r>
        <w:rPr>
          <w:rFonts w:hint="eastAsia" w:ascii="宋体" w:hAnsi="宋体" w:eastAsia="宋体" w:cs="宋体"/>
          <w:color w:val="auto"/>
          <w:spacing w:val="-5"/>
          <w:sz w:val="24"/>
          <w:szCs w:val="24"/>
          <w:highlight w:val="none"/>
        </w:rPr>
        <w:t>价、比例条款等主要条款，</w:t>
      </w:r>
      <w:r>
        <w:rPr>
          <w:rFonts w:hint="eastAsia" w:ascii="宋体" w:hAnsi="宋体" w:eastAsia="宋体" w:cs="宋体"/>
          <w:color w:val="auto"/>
          <w:spacing w:val="-2"/>
          <w:sz w:val="24"/>
          <w:szCs w:val="24"/>
          <w:highlight w:val="none"/>
        </w:rPr>
        <w:t>应当与招标文件、中标人的投标文件的内容一致。中标人在签订合同时不得向招标人提出附加条件。</w:t>
      </w:r>
    </w:p>
    <w:p w14:paraId="1A98BEF7">
      <w:pPr>
        <w:spacing w:before="158" w:line="298" w:lineRule="auto"/>
        <w:ind w:left="12" w:right="9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4.5  </w:t>
      </w:r>
      <w:r>
        <w:rPr>
          <w:rFonts w:hint="eastAsia" w:ascii="宋体" w:hAnsi="宋体" w:eastAsia="宋体" w:cs="宋体"/>
          <w:color w:val="auto"/>
          <w:spacing w:val="-3"/>
          <w:sz w:val="24"/>
          <w:szCs w:val="24"/>
          <w:highlight w:val="none"/>
        </w:rPr>
        <w:t>若中标人在领取中标通知书之日起</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4"/>
          <w:sz w:val="24"/>
          <w:szCs w:val="24"/>
          <w:highlight w:val="none"/>
        </w:rPr>
        <w:t>30天内仍未签订合同，招标人发出第一次提</w:t>
      </w:r>
      <w:r>
        <w:rPr>
          <w:rFonts w:hint="eastAsia" w:ascii="宋体" w:hAnsi="宋体" w:eastAsia="宋体" w:cs="宋体"/>
          <w:color w:val="auto"/>
          <w:spacing w:val="1"/>
          <w:sz w:val="24"/>
          <w:szCs w:val="24"/>
          <w:highlight w:val="none"/>
        </w:rPr>
        <w:t>醒函；在领取中标通知书之日起</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40天内仍未签订，招标人发出第二次提醒函；在</w:t>
      </w:r>
      <w:r>
        <w:rPr>
          <w:rFonts w:hint="eastAsia" w:ascii="宋体" w:hAnsi="宋体" w:eastAsia="宋体" w:cs="宋体"/>
          <w:color w:val="auto"/>
          <w:sz w:val="24"/>
          <w:szCs w:val="24"/>
          <w:highlight w:val="none"/>
        </w:rPr>
        <w:t>领取</w:t>
      </w:r>
      <w:r>
        <w:rPr>
          <w:rFonts w:hint="eastAsia" w:ascii="宋体" w:hAnsi="宋体" w:eastAsia="宋体" w:cs="宋体"/>
          <w:color w:val="auto"/>
          <w:spacing w:val="-1"/>
          <w:sz w:val="24"/>
          <w:szCs w:val="24"/>
          <w:highlight w:val="none"/>
        </w:rPr>
        <w:t>中标通知书之日起</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
          <w:sz w:val="24"/>
          <w:szCs w:val="24"/>
          <w:highlight w:val="none"/>
        </w:rPr>
        <w:t>45天内仍未签订，视其放弃中标。</w:t>
      </w:r>
    </w:p>
    <w:p w14:paraId="2096A616">
      <w:pPr>
        <w:spacing w:before="155" w:line="299" w:lineRule="auto"/>
        <w:ind w:left="12" w:right="82"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4.6  </w:t>
      </w:r>
      <w:r>
        <w:rPr>
          <w:rFonts w:hint="eastAsia" w:ascii="宋体" w:hAnsi="宋体" w:eastAsia="宋体" w:cs="宋体"/>
          <w:color w:val="auto"/>
          <w:sz w:val="24"/>
          <w:szCs w:val="24"/>
          <w:highlight w:val="none"/>
        </w:rPr>
        <w:t>在书面合同订立之日起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 个工作日内，由中标人或招标代理机构将合同上传至</w:t>
      </w:r>
      <w:r>
        <w:rPr>
          <w:rFonts w:hint="eastAsia" w:ascii="宋体" w:hAnsi="宋体" w:eastAsia="宋体" w:cs="宋体"/>
          <w:color w:val="auto"/>
          <w:spacing w:val="-2"/>
          <w:sz w:val="24"/>
          <w:szCs w:val="24"/>
          <w:highlight w:val="none"/>
        </w:rPr>
        <w:t>建设工程交易系统，并发起退还投标保证的申请。韶关市公共资源交易中心在收到申请之日起</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2"/>
          <w:sz w:val="24"/>
          <w:szCs w:val="24"/>
          <w:highlight w:val="none"/>
        </w:rPr>
        <w:t>3 个工作日内，将投标保证金（或银行保函）退还给中标人和其他中标候选人。</w:t>
      </w:r>
    </w:p>
    <w:p w14:paraId="736E5DE8">
      <w:pPr>
        <w:spacing w:before="78" w:line="220" w:lineRule="auto"/>
        <w:ind w:left="489"/>
        <w:outlineLvl w:val="2"/>
        <w:rPr>
          <w:rFonts w:hint="eastAsia" w:ascii="宋体" w:hAnsi="宋体" w:eastAsia="宋体" w:cs="宋体"/>
          <w:color w:val="auto"/>
          <w:sz w:val="24"/>
          <w:szCs w:val="24"/>
          <w:highlight w:val="none"/>
        </w:rPr>
      </w:pPr>
      <w:bookmarkStart w:id="147" w:name="_Toc13629"/>
      <w:r>
        <w:rPr>
          <w:rFonts w:hint="eastAsia" w:ascii="宋体" w:hAnsi="宋体" w:eastAsia="宋体" w:cs="宋体"/>
          <w:b/>
          <w:bCs/>
          <w:color w:val="auto"/>
          <w:spacing w:val="-6"/>
          <w:sz w:val="24"/>
          <w:szCs w:val="24"/>
          <w:highlight w:val="none"/>
        </w:rPr>
        <w:t>5</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6"/>
          <w:sz w:val="24"/>
          <w:szCs w:val="24"/>
          <w:highlight w:val="none"/>
        </w:rPr>
        <w:t>．放弃中标的处理</w:t>
      </w:r>
      <w:bookmarkEnd w:id="147"/>
    </w:p>
    <w:p w14:paraId="148812D5">
      <w:pPr>
        <w:spacing w:before="150" w:line="319" w:lineRule="auto"/>
        <w:ind w:left="12" w:right="91" w:firstLine="47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5.1</w:t>
      </w:r>
      <w:r>
        <w:rPr>
          <w:rFonts w:hint="eastAsia" w:ascii="宋体" w:hAnsi="宋体" w:eastAsia="宋体" w:cs="宋体"/>
          <w:b/>
          <w:bCs/>
          <w:color w:val="auto"/>
          <w:spacing w:val="19"/>
          <w:w w:val="101"/>
          <w:sz w:val="24"/>
          <w:szCs w:val="24"/>
          <w:highlight w:val="none"/>
        </w:rPr>
        <w:t xml:space="preserve">  </w:t>
      </w:r>
      <w:r>
        <w:rPr>
          <w:rFonts w:hint="eastAsia" w:ascii="宋体" w:hAnsi="宋体" w:eastAsia="宋体" w:cs="宋体"/>
          <w:color w:val="auto"/>
          <w:spacing w:val="-1"/>
          <w:sz w:val="24"/>
          <w:szCs w:val="24"/>
          <w:highlight w:val="none"/>
        </w:rPr>
        <w:t>中标人无正当理由放弃中标的，取消其中标资格，其投标保证不予退还，给招</w:t>
      </w:r>
      <w:r>
        <w:rPr>
          <w:rFonts w:hint="eastAsia" w:ascii="宋体" w:hAnsi="宋体" w:eastAsia="宋体" w:cs="宋体"/>
          <w:color w:val="auto"/>
          <w:spacing w:val="-2"/>
          <w:sz w:val="24"/>
          <w:szCs w:val="24"/>
          <w:highlight w:val="none"/>
        </w:rPr>
        <w:t>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Fonts w:hint="eastAsia" w:ascii="宋体" w:hAnsi="宋体" w:eastAsia="宋体" w:cs="宋体"/>
          <w:b/>
          <w:bCs/>
          <w:color w:val="auto"/>
          <w:spacing w:val="-2"/>
          <w:sz w:val="24"/>
          <w:szCs w:val="24"/>
          <w:highlight w:val="none"/>
        </w:rPr>
        <w:t>招</w:t>
      </w:r>
      <w:r>
        <w:rPr>
          <w:rFonts w:hint="eastAsia" w:ascii="宋体" w:hAnsi="宋体" w:eastAsia="宋体" w:cs="宋体"/>
          <w:b/>
          <w:bCs/>
          <w:color w:val="auto"/>
          <w:spacing w:val="-3"/>
          <w:sz w:val="24"/>
          <w:szCs w:val="24"/>
          <w:highlight w:val="none"/>
        </w:rPr>
        <w:t>标人应将该弃标人的失信行为向行政监督部门报告。</w:t>
      </w:r>
    </w:p>
    <w:p w14:paraId="7BD56114">
      <w:pPr>
        <w:spacing w:before="79" w:line="298" w:lineRule="auto"/>
        <w:ind w:left="10" w:right="91"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5.2</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5"/>
          <w:sz w:val="24"/>
          <w:szCs w:val="24"/>
          <w:highlight w:val="none"/>
        </w:rPr>
        <w:t>中标人因不可抗力提出不能履行合同的，须在领取中标通知书之日起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10天</w:t>
      </w:r>
      <w:r>
        <w:rPr>
          <w:rFonts w:hint="eastAsia" w:ascii="宋体" w:hAnsi="宋体" w:eastAsia="宋体" w:cs="宋体"/>
          <w:color w:val="auto"/>
          <w:spacing w:val="-6"/>
          <w:sz w:val="24"/>
          <w:szCs w:val="24"/>
          <w:highlight w:val="none"/>
        </w:rPr>
        <w:t>内提</w:t>
      </w:r>
      <w:r>
        <w:rPr>
          <w:rFonts w:hint="eastAsia" w:ascii="宋体" w:hAnsi="宋体" w:eastAsia="宋体" w:cs="宋体"/>
          <w:color w:val="auto"/>
          <w:spacing w:val="-2"/>
          <w:sz w:val="24"/>
          <w:szCs w:val="24"/>
          <w:highlight w:val="none"/>
        </w:rPr>
        <w:t>供有关证明文件或资料，其投标保证予以退还，招标人可按照评标委员会提出的中标候选人名单排序依次确定其他中标候选人为中标人。如果招标人认为其他中标候选人的条</w:t>
      </w:r>
      <w:bookmarkStart w:id="148" w:name="bookmark84"/>
      <w:bookmarkEnd w:id="148"/>
      <w:r>
        <w:rPr>
          <w:rFonts w:hint="eastAsia" w:ascii="宋体" w:hAnsi="宋体" w:eastAsia="宋体" w:cs="宋体"/>
          <w:color w:val="auto"/>
          <w:spacing w:val="-2"/>
          <w:sz w:val="24"/>
          <w:szCs w:val="24"/>
          <w:highlight w:val="none"/>
        </w:rPr>
        <w:t>件明显不利于招标人的，也可以重新招标</w:t>
      </w:r>
      <w:r>
        <w:rPr>
          <w:rFonts w:hint="eastAsia" w:ascii="宋体" w:hAnsi="宋体" w:eastAsia="宋体" w:cs="宋体"/>
          <w:color w:val="auto"/>
          <w:spacing w:val="-1"/>
          <w:sz w:val="24"/>
          <w:szCs w:val="24"/>
          <w:highlight w:val="none"/>
        </w:rPr>
        <w:t>。</w:t>
      </w:r>
    </w:p>
    <w:p w14:paraId="40983202">
      <w:pPr>
        <w:pStyle w:val="13"/>
        <w:rPr>
          <w:rFonts w:hint="eastAsia" w:ascii="宋体" w:hAnsi="宋体" w:eastAsia="宋体" w:cs="宋体"/>
          <w:color w:val="auto"/>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0B3EAE0">
      <w:pPr>
        <w:spacing w:before="78" w:line="219" w:lineRule="auto"/>
        <w:ind w:left="2923"/>
        <w:outlineLvl w:val="0"/>
        <w:rPr>
          <w:rFonts w:hint="eastAsia" w:ascii="宋体" w:hAnsi="宋体" w:eastAsia="宋体" w:cs="宋体"/>
          <w:color w:val="auto"/>
          <w:sz w:val="24"/>
          <w:szCs w:val="24"/>
          <w:highlight w:val="none"/>
        </w:rPr>
      </w:pPr>
      <w:bookmarkStart w:id="149" w:name="bookmark86"/>
      <w:bookmarkEnd w:id="149"/>
      <w:bookmarkStart w:id="150" w:name="_Toc14575"/>
      <w:r>
        <w:rPr>
          <w:rFonts w:hint="eastAsia" w:ascii="宋体" w:hAnsi="宋体" w:eastAsia="宋体" w:cs="宋体"/>
          <w:b/>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拟签订合同的主要条款</w:t>
      </w:r>
      <w:bookmarkEnd w:id="150"/>
    </w:p>
    <w:p w14:paraId="5C534CD3">
      <w:pPr>
        <w:pStyle w:val="5"/>
        <w:spacing w:line="257" w:lineRule="auto"/>
        <w:rPr>
          <w:rFonts w:hint="eastAsia" w:ascii="宋体" w:hAnsi="宋体" w:eastAsia="宋体" w:cs="宋体"/>
          <w:color w:val="auto"/>
          <w:highlight w:val="none"/>
        </w:rPr>
      </w:pPr>
    </w:p>
    <w:p w14:paraId="69498346">
      <w:pPr>
        <w:pStyle w:val="5"/>
        <w:spacing w:line="257" w:lineRule="auto"/>
        <w:rPr>
          <w:rFonts w:hint="eastAsia" w:ascii="宋体" w:hAnsi="宋体" w:eastAsia="宋体" w:cs="宋体"/>
          <w:color w:val="auto"/>
          <w:highlight w:val="none"/>
        </w:rPr>
      </w:pPr>
    </w:p>
    <w:p w14:paraId="50F7B5FC">
      <w:pPr>
        <w:spacing w:before="78" w:line="220" w:lineRule="auto"/>
        <w:ind w:left="498"/>
        <w:outlineLvl w:val="2"/>
        <w:rPr>
          <w:rFonts w:hint="eastAsia" w:ascii="宋体" w:hAnsi="宋体" w:eastAsia="宋体" w:cs="宋体"/>
          <w:color w:val="auto"/>
          <w:sz w:val="24"/>
          <w:szCs w:val="24"/>
          <w:highlight w:val="none"/>
        </w:rPr>
      </w:pPr>
      <w:bookmarkStart w:id="151" w:name="_Toc30571"/>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．工程承包方式</w:t>
      </w:r>
      <w:bookmarkEnd w:id="151"/>
    </w:p>
    <w:p w14:paraId="15E51171">
      <w:pPr>
        <w:spacing w:before="153" w:line="299" w:lineRule="auto"/>
        <w:ind w:left="11" w:right="295" w:firstLine="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1.1  </w:t>
      </w:r>
      <w:r>
        <w:rPr>
          <w:rFonts w:hint="eastAsia" w:ascii="宋体" w:hAnsi="宋体" w:eastAsia="宋体" w:cs="宋体"/>
          <w:color w:val="auto"/>
          <w:sz w:val="24"/>
          <w:szCs w:val="24"/>
          <w:highlight w:val="none"/>
        </w:rPr>
        <w:t>承包人以中标价按包工包料、包质量、包安全包文明施工、包工期</w:t>
      </w:r>
      <w:r>
        <w:rPr>
          <w:rFonts w:hint="eastAsia" w:ascii="宋体" w:hAnsi="宋体" w:eastAsia="宋体" w:cs="宋体"/>
          <w:color w:val="auto"/>
          <w:spacing w:val="-1"/>
          <w:sz w:val="24"/>
          <w:szCs w:val="24"/>
          <w:highlight w:val="none"/>
        </w:rPr>
        <w:t>方式总承包</w:t>
      </w:r>
      <w:r>
        <w:rPr>
          <w:rFonts w:hint="eastAsia" w:ascii="宋体" w:hAnsi="宋体" w:eastAsia="宋体" w:cs="宋体"/>
          <w:color w:val="auto"/>
          <w:spacing w:val="-2"/>
          <w:sz w:val="24"/>
          <w:szCs w:val="24"/>
          <w:highlight w:val="none"/>
        </w:rPr>
        <w:t>施工，不允许转包和违法分包，如果确需分包须与发包人协商，在得到发包人和监理单</w:t>
      </w:r>
      <w:r>
        <w:rPr>
          <w:rFonts w:hint="eastAsia" w:ascii="宋体" w:hAnsi="宋体" w:eastAsia="宋体" w:cs="宋体"/>
          <w:color w:val="auto"/>
          <w:spacing w:val="-1"/>
          <w:sz w:val="24"/>
          <w:szCs w:val="24"/>
          <w:highlight w:val="none"/>
        </w:rPr>
        <w:t>位同意后报建设行政主管部门备案。</w:t>
      </w:r>
    </w:p>
    <w:p w14:paraId="2B524C76">
      <w:pPr>
        <w:spacing w:before="153"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1.1.1  </w:t>
      </w:r>
      <w:r>
        <w:rPr>
          <w:rFonts w:hint="eastAsia" w:ascii="宋体" w:hAnsi="宋体" w:eastAsia="宋体" w:cs="宋体"/>
          <w:color w:val="auto"/>
          <w:spacing w:val="-1"/>
          <w:sz w:val="24"/>
          <w:szCs w:val="24"/>
          <w:highlight w:val="none"/>
        </w:rPr>
        <w:t>包工包料：材料符合招标文件要求并报验使用；办理用工保险。</w:t>
      </w:r>
    </w:p>
    <w:p w14:paraId="2C8F6059">
      <w:pPr>
        <w:spacing w:before="156"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1.1.2  </w:t>
      </w:r>
      <w:r>
        <w:rPr>
          <w:rFonts w:hint="eastAsia" w:ascii="宋体" w:hAnsi="宋体" w:eastAsia="宋体" w:cs="宋体"/>
          <w:color w:val="auto"/>
          <w:spacing w:val="-1"/>
          <w:sz w:val="24"/>
          <w:szCs w:val="24"/>
          <w:highlight w:val="none"/>
        </w:rPr>
        <w:t>包质量：符合招标文件要求。</w:t>
      </w:r>
    </w:p>
    <w:p w14:paraId="0FB12A34">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1.1.3  </w:t>
      </w:r>
      <w:r>
        <w:rPr>
          <w:rFonts w:hint="eastAsia" w:ascii="宋体" w:hAnsi="宋体" w:eastAsia="宋体" w:cs="宋体"/>
          <w:color w:val="auto"/>
          <w:spacing w:val="-1"/>
          <w:sz w:val="24"/>
          <w:szCs w:val="24"/>
          <w:highlight w:val="none"/>
        </w:rPr>
        <w:t>包安全包文明施工：符合招标文件要求。</w:t>
      </w:r>
    </w:p>
    <w:p w14:paraId="3398DD31">
      <w:pPr>
        <w:spacing w:before="154"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1.1.4  </w:t>
      </w:r>
      <w:r>
        <w:rPr>
          <w:rFonts w:hint="eastAsia" w:ascii="宋体" w:hAnsi="宋体" w:eastAsia="宋体" w:cs="宋体"/>
          <w:color w:val="auto"/>
          <w:spacing w:val="-1"/>
          <w:sz w:val="24"/>
          <w:szCs w:val="24"/>
          <w:highlight w:val="none"/>
        </w:rPr>
        <w:t>包工期：本招标项目施工必须在招标工期内完成。</w:t>
      </w:r>
    </w:p>
    <w:p w14:paraId="1E6FD563">
      <w:pPr>
        <w:pStyle w:val="5"/>
        <w:spacing w:line="257" w:lineRule="auto"/>
        <w:rPr>
          <w:rFonts w:hint="eastAsia" w:ascii="宋体" w:hAnsi="宋体" w:eastAsia="宋体" w:cs="宋体"/>
          <w:color w:val="auto"/>
          <w:highlight w:val="none"/>
        </w:rPr>
      </w:pPr>
    </w:p>
    <w:p w14:paraId="0E04F086">
      <w:pPr>
        <w:pStyle w:val="5"/>
        <w:spacing w:line="257" w:lineRule="auto"/>
        <w:rPr>
          <w:rFonts w:hint="eastAsia" w:ascii="宋体" w:hAnsi="宋体" w:eastAsia="宋体" w:cs="宋体"/>
          <w:color w:val="auto"/>
          <w:highlight w:val="none"/>
        </w:rPr>
      </w:pPr>
    </w:p>
    <w:p w14:paraId="53182D61">
      <w:pPr>
        <w:spacing w:before="78" w:line="220" w:lineRule="auto"/>
        <w:ind w:left="488"/>
        <w:outlineLvl w:val="2"/>
        <w:rPr>
          <w:rFonts w:hint="eastAsia" w:ascii="宋体" w:hAnsi="宋体" w:eastAsia="宋体" w:cs="宋体"/>
          <w:color w:val="auto"/>
          <w:sz w:val="24"/>
          <w:szCs w:val="24"/>
          <w:highlight w:val="none"/>
        </w:rPr>
      </w:pPr>
      <w:bookmarkStart w:id="152" w:name="bookmark88"/>
      <w:bookmarkEnd w:id="152"/>
      <w:bookmarkStart w:id="153" w:name="_Toc5363"/>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．工程结算原则</w:t>
      </w:r>
      <w:bookmarkEnd w:id="153"/>
    </w:p>
    <w:p w14:paraId="684618CF">
      <w:pPr>
        <w:spacing w:before="153"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2.1 </w:t>
      </w:r>
      <w:r>
        <w:rPr>
          <w:rFonts w:hint="eastAsia" w:ascii="宋体" w:hAnsi="宋体" w:eastAsia="宋体" w:cs="宋体"/>
          <w:color w:val="auto"/>
          <w:spacing w:val="-1"/>
          <w:sz w:val="24"/>
          <w:szCs w:val="24"/>
          <w:highlight w:val="none"/>
        </w:rPr>
        <w:t>承包人的投标总价为中标价，即为签约合同价。</w:t>
      </w:r>
    </w:p>
    <w:p w14:paraId="50873142">
      <w:pPr>
        <w:spacing w:before="155" w:line="319" w:lineRule="auto"/>
        <w:ind w:left="12" w:right="231"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2.2 </w:t>
      </w:r>
      <w:r>
        <w:rPr>
          <w:rFonts w:hint="eastAsia" w:ascii="宋体" w:hAnsi="宋体" w:eastAsia="宋体" w:cs="宋体"/>
          <w:color w:val="auto"/>
          <w:spacing w:val="2"/>
          <w:sz w:val="24"/>
          <w:szCs w:val="24"/>
          <w:highlight w:val="none"/>
        </w:rPr>
        <w:t>招标工程量清单标明的工程量是投标人投标报价的</w:t>
      </w:r>
      <w:r>
        <w:rPr>
          <w:rFonts w:hint="eastAsia" w:ascii="宋体" w:hAnsi="宋体" w:eastAsia="宋体" w:cs="宋体"/>
          <w:color w:val="auto"/>
          <w:spacing w:val="1"/>
          <w:sz w:val="24"/>
          <w:szCs w:val="24"/>
          <w:highlight w:val="none"/>
        </w:rPr>
        <w:t>共同基础，竣工结算的工程</w:t>
      </w:r>
      <w:r>
        <w:rPr>
          <w:rFonts w:hint="eastAsia" w:ascii="宋体" w:hAnsi="宋体" w:eastAsia="宋体" w:cs="宋体"/>
          <w:color w:val="auto"/>
          <w:spacing w:val="-5"/>
          <w:sz w:val="24"/>
          <w:szCs w:val="24"/>
          <w:highlight w:val="none"/>
        </w:rPr>
        <w:t>量按</w:t>
      </w:r>
      <w:bookmarkStart w:id="154" w:name="OLE_LINK28"/>
      <w:r>
        <w:rPr>
          <w:rFonts w:hint="eastAsia" w:ascii="宋体" w:hAnsi="宋体" w:eastAsia="宋体" w:cs="宋体"/>
          <w:color w:val="auto"/>
          <w:spacing w:val="-5"/>
          <w:sz w:val="24"/>
          <w:szCs w:val="24"/>
          <w:highlight w:val="none"/>
        </w:rPr>
        <w:t>《建设工程工程量清单计价</w:t>
      </w:r>
      <w:r>
        <w:rPr>
          <w:rFonts w:hint="eastAsia" w:ascii="宋体" w:hAnsi="宋体" w:eastAsia="宋体" w:cs="宋体"/>
          <w:color w:val="auto"/>
          <w:spacing w:val="-5"/>
          <w:sz w:val="24"/>
          <w:szCs w:val="24"/>
          <w:highlight w:val="none"/>
          <w:lang w:val="en-US" w:eastAsia="zh-CN"/>
        </w:rPr>
        <w:t>标准</w:t>
      </w:r>
      <w:r>
        <w:rPr>
          <w:rFonts w:hint="eastAsia" w:ascii="宋体" w:hAnsi="宋体" w:eastAsia="宋体" w:cs="宋体"/>
          <w:color w:val="auto"/>
          <w:spacing w:val="-5"/>
          <w:sz w:val="24"/>
          <w:szCs w:val="24"/>
          <w:highlight w:val="none"/>
        </w:rPr>
        <w:t>》（GB50500—</w:t>
      </w:r>
      <w:r>
        <w:rPr>
          <w:rFonts w:hint="eastAsia" w:ascii="宋体" w:hAnsi="宋体" w:eastAsia="宋体" w:cs="宋体"/>
          <w:color w:val="auto"/>
          <w:spacing w:val="-5"/>
          <w:sz w:val="24"/>
          <w:szCs w:val="24"/>
          <w:highlight w:val="none"/>
          <w:lang w:val="en-US" w:eastAsia="zh-CN"/>
        </w:rPr>
        <w:t>2024</w:t>
      </w:r>
      <w:r>
        <w:rPr>
          <w:rFonts w:hint="eastAsia" w:ascii="宋体" w:hAnsi="宋体" w:eastAsia="宋体" w:cs="宋体"/>
          <w:color w:val="auto"/>
          <w:spacing w:val="-5"/>
          <w:sz w:val="24"/>
          <w:szCs w:val="24"/>
          <w:highlight w:val="none"/>
        </w:rPr>
        <w:t>）对工程计量的规定进行计量，</w:t>
      </w:r>
      <w:r>
        <w:rPr>
          <w:rFonts w:hint="eastAsia" w:ascii="宋体" w:hAnsi="宋体" w:eastAsia="宋体" w:cs="宋体"/>
          <w:color w:val="auto"/>
          <w:spacing w:val="-2"/>
          <w:sz w:val="24"/>
          <w:szCs w:val="24"/>
          <w:highlight w:val="none"/>
        </w:rPr>
        <w:t>必须以承包人完成合同工程应予计量的工程量确定。施</w:t>
      </w:r>
      <w:bookmarkEnd w:id="154"/>
      <w:r>
        <w:rPr>
          <w:rFonts w:hint="eastAsia" w:ascii="宋体" w:hAnsi="宋体" w:eastAsia="宋体" w:cs="宋体"/>
          <w:color w:val="auto"/>
          <w:spacing w:val="-2"/>
          <w:sz w:val="24"/>
          <w:szCs w:val="24"/>
          <w:highlight w:val="none"/>
        </w:rPr>
        <w:t>工中进行工程计量，当发现招标工程量清单中出现缺项、工程量偏差、或因工程变更引起工程量增减时，应按承包人在履行合同义务中完成的工程量计算。因承包人原因造成的超出合同工程范围施工或返工</w:t>
      </w:r>
      <w:r>
        <w:rPr>
          <w:rFonts w:hint="eastAsia" w:ascii="宋体" w:hAnsi="宋体" w:eastAsia="宋体" w:cs="宋体"/>
          <w:color w:val="auto"/>
          <w:spacing w:val="-1"/>
          <w:sz w:val="24"/>
          <w:szCs w:val="24"/>
          <w:highlight w:val="none"/>
        </w:rPr>
        <w:t>的工程量，发包人不予计量。</w:t>
      </w:r>
    </w:p>
    <w:p w14:paraId="52C2BD5C">
      <w:pPr>
        <w:spacing w:before="38" w:line="299" w:lineRule="auto"/>
        <w:ind w:left="12" w:right="183" w:firstLine="475"/>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2.3  </w:t>
      </w:r>
      <w:r>
        <w:rPr>
          <w:rFonts w:hint="eastAsia" w:ascii="宋体" w:hAnsi="宋体" w:eastAsia="宋体" w:cs="宋体"/>
          <w:color w:val="auto"/>
          <w:sz w:val="24"/>
          <w:szCs w:val="24"/>
          <w:highlight w:val="none"/>
        </w:rPr>
        <w:t>施工合同履行期间，若出现下列情形的，发、承包双方应当按照以下规定调整</w:t>
      </w:r>
      <w:r>
        <w:rPr>
          <w:rFonts w:hint="eastAsia" w:ascii="宋体" w:hAnsi="宋体" w:eastAsia="宋体" w:cs="宋体"/>
          <w:color w:val="auto"/>
          <w:spacing w:val="-3"/>
          <w:sz w:val="24"/>
          <w:szCs w:val="24"/>
          <w:highlight w:val="none"/>
        </w:rPr>
        <w:t>合同价款：</w:t>
      </w:r>
    </w:p>
    <w:p w14:paraId="123F83B6">
      <w:pPr>
        <w:spacing w:before="227"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2.3.1  </w:t>
      </w:r>
      <w:r>
        <w:rPr>
          <w:rFonts w:hint="eastAsia" w:ascii="宋体" w:hAnsi="宋体" w:eastAsia="宋体" w:cs="宋体"/>
          <w:color w:val="auto"/>
          <w:spacing w:val="-1"/>
          <w:sz w:val="24"/>
          <w:szCs w:val="24"/>
          <w:highlight w:val="none"/>
        </w:rPr>
        <w:t>法律法规变化</w:t>
      </w:r>
    </w:p>
    <w:p w14:paraId="4F8CA025">
      <w:pPr>
        <w:spacing w:before="156" w:line="298"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2.3.1.1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基准日之后，因国家法律、法规、规章和政策发生变化引起工程造价增减变</w:t>
      </w:r>
      <w:r>
        <w:rPr>
          <w:rFonts w:hint="eastAsia" w:ascii="宋体" w:hAnsi="宋体" w:eastAsia="宋体" w:cs="宋体"/>
          <w:color w:val="auto"/>
          <w:spacing w:val="-2"/>
          <w:sz w:val="24"/>
          <w:szCs w:val="24"/>
          <w:highlight w:val="none"/>
        </w:rPr>
        <w:t>化时，发、承包双方应按照省级建设主管部门（或省级行业主管部门）或其授权的工程</w:t>
      </w:r>
      <w:r>
        <w:rPr>
          <w:rFonts w:hint="eastAsia" w:ascii="宋体" w:hAnsi="宋体" w:eastAsia="宋体" w:cs="宋体"/>
          <w:color w:val="auto"/>
          <w:spacing w:val="-1"/>
          <w:sz w:val="24"/>
          <w:szCs w:val="24"/>
          <w:highlight w:val="none"/>
        </w:rPr>
        <w:t>造价管理机构据此发布的最新规定调整合同价款。</w:t>
      </w:r>
    </w:p>
    <w:p w14:paraId="1DD96964">
      <w:pPr>
        <w:spacing w:before="157" w:line="325" w:lineRule="auto"/>
        <w:ind w:left="12" w:right="183"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注：本招标文件所称“基准日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11"/>
          <w:sz w:val="24"/>
          <w:szCs w:val="24"/>
          <w:highlight w:val="none"/>
        </w:rPr>
        <w:t>”，均指投标文</w:t>
      </w:r>
      <w:r>
        <w:rPr>
          <w:rFonts w:hint="eastAsia" w:ascii="宋体" w:hAnsi="宋体" w:eastAsia="宋体" w:cs="宋体"/>
          <w:b/>
          <w:bCs/>
          <w:color w:val="auto"/>
          <w:spacing w:val="-12"/>
          <w:sz w:val="24"/>
          <w:szCs w:val="24"/>
          <w:highlight w:val="none"/>
        </w:rPr>
        <w:t>件递交截止时间（见第一章第二节“重</w:t>
      </w:r>
      <w:r>
        <w:rPr>
          <w:rFonts w:hint="eastAsia" w:ascii="宋体" w:hAnsi="宋体" w:eastAsia="宋体" w:cs="宋体"/>
          <w:b/>
          <w:bCs/>
          <w:color w:val="auto"/>
          <w:spacing w:val="-5"/>
          <w:sz w:val="24"/>
          <w:szCs w:val="24"/>
          <w:highlight w:val="none"/>
        </w:rPr>
        <w:t>要事项时间地点一览表</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5"/>
          <w:sz w:val="24"/>
          <w:szCs w:val="24"/>
          <w:highlight w:val="none"/>
        </w:rPr>
        <w:t>”）前</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5"/>
          <w:sz w:val="24"/>
          <w:szCs w:val="24"/>
          <w:highlight w:val="none"/>
        </w:rPr>
        <w:t>28 天。</w:t>
      </w:r>
    </w:p>
    <w:p w14:paraId="5D934C11">
      <w:pPr>
        <w:spacing w:before="33" w:line="299" w:lineRule="auto"/>
        <w:ind w:left="11"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2.3.1.2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1"/>
          <w:sz w:val="24"/>
          <w:szCs w:val="24"/>
          <w:highlight w:val="none"/>
        </w:rPr>
        <w:t>因承包人原因导致工程延误，本章第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1"/>
          <w:sz w:val="24"/>
          <w:szCs w:val="24"/>
          <w:highlight w:val="none"/>
        </w:rPr>
        <w:t>2</w:t>
      </w:r>
      <w:r>
        <w:rPr>
          <w:rFonts w:hint="eastAsia" w:ascii="宋体" w:hAnsi="宋体" w:eastAsia="宋体" w:cs="宋体"/>
          <w:b/>
          <w:bCs/>
          <w:color w:val="auto"/>
          <w:sz w:val="24"/>
          <w:szCs w:val="24"/>
          <w:highlight w:val="none"/>
        </w:rPr>
        <w:t xml:space="preserve">.3.1.1 </w:t>
      </w:r>
      <w:r>
        <w:rPr>
          <w:rFonts w:hint="eastAsia" w:ascii="宋体" w:hAnsi="宋体" w:eastAsia="宋体" w:cs="宋体"/>
          <w:color w:val="auto"/>
          <w:sz w:val="24"/>
          <w:szCs w:val="24"/>
          <w:highlight w:val="none"/>
        </w:rPr>
        <w:t>子目中的法定机构根据国家法</w:t>
      </w:r>
      <w:r>
        <w:rPr>
          <w:rFonts w:hint="eastAsia" w:ascii="宋体" w:hAnsi="宋体" w:eastAsia="宋体" w:cs="宋体"/>
          <w:color w:val="auto"/>
          <w:spacing w:val="-3"/>
          <w:sz w:val="24"/>
          <w:szCs w:val="24"/>
          <w:highlight w:val="none"/>
        </w:rPr>
        <w:t>律法规变化发布新规的时间在合同工程原定竣工时间之后的，合同价款调增的不予调整，</w:t>
      </w:r>
      <w:r>
        <w:rPr>
          <w:rFonts w:hint="eastAsia" w:ascii="宋体" w:hAnsi="宋体" w:eastAsia="宋体" w:cs="宋体"/>
          <w:color w:val="auto"/>
          <w:spacing w:val="-1"/>
          <w:sz w:val="24"/>
          <w:szCs w:val="24"/>
          <w:highlight w:val="none"/>
        </w:rPr>
        <w:t>合同价款调减的予以调整。</w:t>
      </w:r>
    </w:p>
    <w:p w14:paraId="0FEEE35F">
      <w:pPr>
        <w:spacing w:before="155"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2.3.2  </w:t>
      </w:r>
      <w:r>
        <w:rPr>
          <w:rFonts w:hint="eastAsia" w:ascii="宋体" w:hAnsi="宋体" w:eastAsia="宋体" w:cs="宋体"/>
          <w:color w:val="auto"/>
          <w:spacing w:val="-1"/>
          <w:sz w:val="24"/>
          <w:szCs w:val="24"/>
          <w:highlight w:val="none"/>
        </w:rPr>
        <w:t>工程量偏差或变化</w:t>
      </w:r>
    </w:p>
    <w:p w14:paraId="692AAD08">
      <w:pPr>
        <w:spacing w:before="158" w:line="309"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2.3.2.1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合同履行期间，当应予计算的实际工程量与招标工程量清单出现偏差或因工程变更引起已标价工程量清单项目的工程数量发生变化时，工程量偏差或变化在</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3"/>
          <w:sz w:val="24"/>
          <w:szCs w:val="24"/>
          <w:highlight w:val="none"/>
        </w:rPr>
        <w:t>15%以</w:t>
      </w:r>
      <w:r>
        <w:rPr>
          <w:rFonts w:hint="eastAsia" w:ascii="宋体" w:hAnsi="宋体" w:eastAsia="宋体" w:cs="宋体"/>
          <w:color w:val="auto"/>
          <w:spacing w:val="-4"/>
          <w:sz w:val="24"/>
          <w:szCs w:val="24"/>
          <w:highlight w:val="none"/>
        </w:rPr>
        <w:t>内（含</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4"/>
          <w:sz w:val="24"/>
          <w:szCs w:val="24"/>
          <w:highlight w:val="none"/>
        </w:rPr>
        <w:t>15%）的，其综合单价不予调整；工程量偏差或变化超过</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15%的，按照以下规定</w:t>
      </w:r>
      <w:r>
        <w:rPr>
          <w:rFonts w:hint="eastAsia" w:ascii="宋体" w:hAnsi="宋体" w:eastAsia="宋体" w:cs="宋体"/>
          <w:color w:val="auto"/>
          <w:spacing w:val="-3"/>
          <w:sz w:val="24"/>
          <w:szCs w:val="24"/>
          <w:highlight w:val="none"/>
        </w:rPr>
        <w:t>调整：</w:t>
      </w:r>
    </w:p>
    <w:p w14:paraId="5440C71D">
      <w:pPr>
        <w:spacing w:before="78" w:line="327" w:lineRule="auto"/>
        <w:ind w:left="12" w:firstLine="478"/>
        <w:jc w:val="both"/>
        <w:rPr>
          <w:rFonts w:hint="eastAsia" w:ascii="宋体" w:hAnsi="宋体" w:eastAsia="宋体" w:cs="宋体"/>
          <w:color w:val="auto"/>
          <w:sz w:val="24"/>
          <w:szCs w:val="24"/>
          <w:highlight w:val="none"/>
        </w:rPr>
      </w:pPr>
      <w:bookmarkStart w:id="155" w:name="bookmark142"/>
      <w:bookmarkEnd w:id="155"/>
      <w:r>
        <w:rPr>
          <w:rFonts w:hint="eastAsia" w:ascii="宋体" w:hAnsi="宋体" w:eastAsia="宋体" w:cs="宋体"/>
          <w:color w:val="auto"/>
          <w:spacing w:val="-3"/>
          <w:sz w:val="24"/>
          <w:szCs w:val="24"/>
          <w:highlight w:val="none"/>
        </w:rPr>
        <w:t>对于合理报价的清单项目，当工程量增加超过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15%时，增加部分的工程量的综合单</w:t>
      </w:r>
      <w:r>
        <w:rPr>
          <w:rFonts w:hint="eastAsia" w:ascii="宋体" w:hAnsi="宋体" w:eastAsia="宋体" w:cs="宋体"/>
          <w:color w:val="auto"/>
          <w:spacing w:val="-7"/>
          <w:sz w:val="24"/>
          <w:szCs w:val="24"/>
          <w:highlight w:val="none"/>
        </w:rPr>
        <w:t>价以</w:t>
      </w:r>
      <w:r>
        <w:rPr>
          <w:rFonts w:hint="eastAsia" w:ascii="宋体" w:hAnsi="宋体" w:eastAsia="宋体" w:cs="宋体"/>
          <w:color w:val="auto"/>
          <w:spacing w:val="-3"/>
          <w:sz w:val="24"/>
          <w:szCs w:val="24"/>
          <w:highlight w:val="none"/>
        </w:rPr>
        <w:t>投标报价《分部分项工程和单价措施项目清单与计价表》中综合单价为基价调低 3%；当工程量减少超过 15%时，减少后剩余部分的工程量的综合单价以投标报价《分部分项工程和单价措施项目清单与计价表》中综合单价为基价调高 3%</w:t>
      </w:r>
      <w:r>
        <w:rPr>
          <w:rFonts w:hint="eastAsia" w:ascii="宋体" w:hAnsi="宋体" w:eastAsia="宋体" w:cs="宋体"/>
          <w:color w:val="auto"/>
          <w:spacing w:val="-1"/>
          <w:sz w:val="24"/>
          <w:szCs w:val="24"/>
          <w:highlight w:val="none"/>
        </w:rPr>
        <w:t>。</w:t>
      </w:r>
    </w:p>
    <w:p w14:paraId="2282BBC8">
      <w:pPr>
        <w:spacing w:before="97" w:line="324" w:lineRule="auto"/>
        <w:ind w:left="13" w:right="179"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对于按照第二章“</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 条被认定为不平衡报价的清单项目，其综合</w:t>
      </w:r>
      <w:r>
        <w:rPr>
          <w:rFonts w:hint="eastAsia" w:ascii="宋体" w:hAnsi="宋体" w:eastAsia="宋体" w:cs="宋体"/>
          <w:b/>
          <w:bCs/>
          <w:color w:val="auto"/>
          <w:spacing w:val="-3"/>
          <w:sz w:val="24"/>
          <w:szCs w:val="24"/>
          <w:highlight w:val="none"/>
        </w:rPr>
        <w:t>单价按照以下方法调整：</w:t>
      </w:r>
    </w:p>
    <w:p w14:paraId="36DE154B">
      <w:pPr>
        <w:spacing w:before="97" w:line="324" w:lineRule="auto"/>
        <w:ind w:left="13" w:right="179" w:firstLine="477"/>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以</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中《分部分项工程和单价措施项目清单与计价表》子目相对应综合单价×（1-中标下浮率）。</w:t>
      </w:r>
    </w:p>
    <w:p w14:paraId="55E5B01A">
      <w:pPr>
        <w:spacing w:before="97" w:line="324" w:lineRule="auto"/>
        <w:ind w:left="13" w:right="179" w:firstLine="477"/>
        <w:rPr>
          <w:rFonts w:hint="eastAsia" w:ascii="宋体" w:hAnsi="宋体" w:eastAsia="宋体" w:cs="宋体"/>
          <w:b/>
          <w:bCs/>
          <w:color w:val="auto"/>
          <w:spacing w:val="-4"/>
          <w:sz w:val="24"/>
          <w:szCs w:val="24"/>
          <w:highlight w:val="none"/>
        </w:rPr>
      </w:pPr>
      <w:bookmarkStart w:id="156" w:name="_Toc18478"/>
      <w:bookmarkStart w:id="157" w:name="_Toc12035"/>
      <w:bookmarkStart w:id="158" w:name="_Toc30068"/>
      <w:r>
        <w:rPr>
          <w:rFonts w:hint="eastAsia" w:ascii="宋体" w:hAnsi="宋体" w:eastAsia="宋体" w:cs="宋体"/>
          <w:b/>
          <w:bCs/>
          <w:color w:val="auto"/>
          <w:spacing w:val="-4"/>
          <w:sz w:val="24"/>
          <w:szCs w:val="24"/>
          <w:highlight w:val="none"/>
        </w:rPr>
        <w:t>中标下浮率=[1-（中标价-</w:t>
      </w:r>
      <w:r>
        <w:rPr>
          <w:rFonts w:hint="eastAsia" w:ascii="宋体" w:hAnsi="宋体" w:eastAsia="宋体" w:cs="宋体"/>
          <w:b/>
          <w:bCs/>
          <w:color w:val="auto"/>
          <w:spacing w:val="-4"/>
          <w:sz w:val="24"/>
          <w:szCs w:val="24"/>
          <w:highlight w:val="none"/>
          <w:lang w:val="en-US" w:eastAsia="zh-CN"/>
        </w:rPr>
        <w:t>中标安全生产措施费</w:t>
      </w:r>
      <w:r>
        <w:rPr>
          <w:rFonts w:hint="eastAsia" w:ascii="宋体" w:hAnsi="宋体" w:eastAsia="宋体" w:cs="宋体"/>
          <w:b/>
          <w:bCs/>
          <w:color w:val="auto"/>
          <w:spacing w:val="-4"/>
          <w:sz w:val="24"/>
          <w:szCs w:val="24"/>
          <w:highlight w:val="none"/>
        </w:rPr>
        <w:t>-暂列金额-暂估价）/（</w:t>
      </w:r>
      <w:bookmarkEnd w:id="156"/>
      <w:bookmarkEnd w:id="157"/>
      <w:bookmarkStart w:id="159" w:name="_Toc13602"/>
      <w:bookmarkStart w:id="160" w:name="_Toc15512"/>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-控制价</w:t>
      </w:r>
      <w:r>
        <w:rPr>
          <w:rFonts w:hint="eastAsia" w:ascii="宋体" w:hAnsi="宋体" w:eastAsia="宋体" w:cs="宋体"/>
          <w:b/>
          <w:bCs/>
          <w:color w:val="auto"/>
          <w:spacing w:val="-4"/>
          <w:sz w:val="24"/>
          <w:szCs w:val="24"/>
          <w:highlight w:val="none"/>
          <w:lang w:val="en-US" w:eastAsia="zh-CN"/>
        </w:rPr>
        <w:t>安全生产措施费</w:t>
      </w:r>
      <w:r>
        <w:rPr>
          <w:rFonts w:hint="eastAsia" w:ascii="宋体" w:hAnsi="宋体" w:eastAsia="宋体" w:cs="宋体"/>
          <w:b/>
          <w:bCs/>
          <w:color w:val="auto"/>
          <w:spacing w:val="-4"/>
          <w:sz w:val="24"/>
          <w:szCs w:val="24"/>
          <w:highlight w:val="none"/>
        </w:rPr>
        <w:t>-暂列金额-暂估价）] ×100%</w:t>
      </w:r>
      <w:bookmarkEnd w:id="158"/>
      <w:bookmarkEnd w:id="159"/>
      <w:bookmarkEnd w:id="160"/>
    </w:p>
    <w:p w14:paraId="6ABFAD1C">
      <w:pPr>
        <w:spacing w:before="123" w:line="301" w:lineRule="auto"/>
        <w:ind w:left="10" w:right="116" w:firstLine="482"/>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若修正后的该部分《分部分项工程和单价措施项目清单与计价表》总金额大于原投</w:t>
      </w:r>
      <w:r>
        <w:rPr>
          <w:rFonts w:hint="eastAsia" w:ascii="宋体" w:hAnsi="宋体" w:eastAsia="宋体" w:cs="宋体"/>
          <w:color w:val="auto"/>
          <w:spacing w:val="-1"/>
          <w:sz w:val="24"/>
          <w:szCs w:val="24"/>
          <w:highlight w:val="none"/>
        </w:rPr>
        <w:t>标报价中的该部分总金额，则从投标报价需</w:t>
      </w:r>
      <w:r>
        <w:rPr>
          <w:rFonts w:hint="eastAsia" w:ascii="宋体" w:hAnsi="宋体" w:eastAsia="宋体" w:cs="宋体"/>
          <w:color w:val="auto"/>
          <w:spacing w:val="-2"/>
          <w:sz w:val="24"/>
          <w:szCs w:val="24"/>
          <w:highlight w:val="none"/>
        </w:rPr>
        <w:t>调高的综合单价中选择偏离最大的清单开始</w:t>
      </w:r>
      <w:r>
        <w:rPr>
          <w:rFonts w:hint="eastAsia" w:ascii="宋体" w:hAnsi="宋体" w:eastAsia="宋体" w:cs="宋体"/>
          <w:color w:val="auto"/>
          <w:spacing w:val="-1"/>
          <w:sz w:val="24"/>
          <w:szCs w:val="24"/>
          <w:highlight w:val="none"/>
        </w:rPr>
        <w:t>调整，调整幅度逐步减少，直至修正后的该</w:t>
      </w:r>
      <w:r>
        <w:rPr>
          <w:rFonts w:hint="eastAsia" w:ascii="宋体" w:hAnsi="宋体" w:eastAsia="宋体" w:cs="宋体"/>
          <w:color w:val="auto"/>
          <w:spacing w:val="-2"/>
          <w:sz w:val="24"/>
          <w:szCs w:val="24"/>
          <w:highlight w:val="none"/>
        </w:rPr>
        <w:t>部分《分部分项工程和单价措施项目清单与</w:t>
      </w:r>
      <w:r>
        <w:rPr>
          <w:rFonts w:hint="eastAsia" w:ascii="宋体" w:hAnsi="宋体" w:eastAsia="宋体" w:cs="宋体"/>
          <w:color w:val="auto"/>
          <w:spacing w:val="-1"/>
          <w:sz w:val="24"/>
          <w:szCs w:val="24"/>
          <w:highlight w:val="none"/>
        </w:rPr>
        <w:t>计价表》总金额与原投标报价中的该部分总</w:t>
      </w:r>
      <w:r>
        <w:rPr>
          <w:rFonts w:hint="eastAsia" w:ascii="宋体" w:hAnsi="宋体" w:eastAsia="宋体" w:cs="宋体"/>
          <w:color w:val="auto"/>
          <w:spacing w:val="-2"/>
          <w:sz w:val="24"/>
          <w:szCs w:val="24"/>
          <w:highlight w:val="none"/>
        </w:rPr>
        <w:t>金额一致；若修正后的该部分《分部分项工</w:t>
      </w:r>
      <w:r>
        <w:rPr>
          <w:rFonts w:hint="eastAsia" w:ascii="宋体" w:hAnsi="宋体" w:eastAsia="宋体" w:cs="宋体"/>
          <w:color w:val="auto"/>
          <w:spacing w:val="-1"/>
          <w:sz w:val="24"/>
          <w:szCs w:val="24"/>
          <w:highlight w:val="none"/>
        </w:rPr>
        <w:t>程和单价措施项目清单与计价表》总金额小</w:t>
      </w:r>
      <w:r>
        <w:rPr>
          <w:rFonts w:hint="eastAsia" w:ascii="宋体" w:hAnsi="宋体" w:eastAsia="宋体" w:cs="宋体"/>
          <w:color w:val="auto"/>
          <w:spacing w:val="-2"/>
          <w:sz w:val="24"/>
          <w:szCs w:val="24"/>
          <w:highlight w:val="none"/>
        </w:rPr>
        <w:t>于原投标报价中的该部分总金额，则从投标</w:t>
      </w:r>
      <w:r>
        <w:rPr>
          <w:rFonts w:hint="eastAsia" w:ascii="宋体" w:hAnsi="宋体" w:eastAsia="宋体" w:cs="宋体"/>
          <w:color w:val="auto"/>
          <w:spacing w:val="-1"/>
          <w:sz w:val="24"/>
          <w:szCs w:val="24"/>
          <w:highlight w:val="none"/>
        </w:rPr>
        <w:t>报价需调低的综合单价中选择偏离最大的清</w:t>
      </w:r>
      <w:r>
        <w:rPr>
          <w:rFonts w:hint="eastAsia" w:ascii="宋体" w:hAnsi="宋体" w:eastAsia="宋体" w:cs="宋体"/>
          <w:color w:val="auto"/>
          <w:spacing w:val="-2"/>
          <w:sz w:val="24"/>
          <w:szCs w:val="24"/>
          <w:highlight w:val="none"/>
        </w:rPr>
        <w:t>单开始调整，调整幅度逐步减少，直至修正</w:t>
      </w:r>
      <w:r>
        <w:rPr>
          <w:rFonts w:hint="eastAsia" w:ascii="宋体" w:hAnsi="宋体" w:eastAsia="宋体" w:cs="宋体"/>
          <w:color w:val="auto"/>
          <w:spacing w:val="-1"/>
          <w:sz w:val="24"/>
          <w:szCs w:val="24"/>
          <w:highlight w:val="none"/>
        </w:rPr>
        <w:t>后的该部分《分部分项工程和单价措施项目</w:t>
      </w:r>
      <w:r>
        <w:rPr>
          <w:rFonts w:hint="eastAsia" w:ascii="宋体" w:hAnsi="宋体" w:eastAsia="宋体" w:cs="宋体"/>
          <w:color w:val="auto"/>
          <w:spacing w:val="-2"/>
          <w:sz w:val="24"/>
          <w:szCs w:val="24"/>
          <w:highlight w:val="none"/>
        </w:rPr>
        <w:t>清单与计价表》总金额与原投标报价中的该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2"/>
          <w:sz w:val="24"/>
          <w:szCs w:val="24"/>
          <w:highlight w:val="none"/>
        </w:rPr>
        <w:t>部分总金额一致。修正后的总造价应与总中标价保持一致，形成《不平衡报价修正报告》，</w:t>
      </w:r>
      <w:r>
        <w:rPr>
          <w:rFonts w:hint="eastAsia" w:ascii="宋体" w:hAnsi="宋体" w:eastAsia="宋体" w:cs="宋体"/>
          <w:color w:val="auto"/>
          <w:spacing w:val="-1"/>
          <w:sz w:val="24"/>
          <w:szCs w:val="24"/>
          <w:highlight w:val="none"/>
        </w:rPr>
        <w:t>并由招标人和中标人共同签章确认。</w:t>
      </w:r>
    </w:p>
    <w:p w14:paraId="2BD2CB57">
      <w:pPr>
        <w:spacing w:before="129" w:line="299" w:lineRule="auto"/>
        <w:ind w:left="12" w:right="17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2.3.2.2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如果工程量出现本章第</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1"/>
          <w:sz w:val="24"/>
          <w:szCs w:val="24"/>
          <w:highlight w:val="none"/>
        </w:rPr>
        <w:t xml:space="preserve">2.3.2.1 </w:t>
      </w:r>
      <w:r>
        <w:rPr>
          <w:rFonts w:hint="eastAsia" w:ascii="宋体" w:hAnsi="宋体" w:eastAsia="宋体" w:cs="宋体"/>
          <w:color w:val="auto"/>
          <w:spacing w:val="1"/>
          <w:sz w:val="24"/>
          <w:szCs w:val="24"/>
          <w:highlight w:val="none"/>
        </w:rPr>
        <w:t>子目的变化，且该变化引起相关措施项目相</w:t>
      </w:r>
      <w:r>
        <w:rPr>
          <w:rFonts w:hint="eastAsia" w:ascii="宋体" w:hAnsi="宋体" w:eastAsia="宋体" w:cs="宋体"/>
          <w:color w:val="auto"/>
          <w:spacing w:val="-2"/>
          <w:sz w:val="24"/>
          <w:szCs w:val="24"/>
          <w:highlight w:val="none"/>
        </w:rPr>
        <w:t>应发生变化时，按系数或单一总价方式计价的，工程量增加的措施项目费调增，工程量</w:t>
      </w:r>
      <w:r>
        <w:rPr>
          <w:rFonts w:hint="eastAsia" w:ascii="宋体" w:hAnsi="宋体" w:eastAsia="宋体" w:cs="宋体"/>
          <w:color w:val="auto"/>
          <w:spacing w:val="-1"/>
          <w:sz w:val="24"/>
          <w:szCs w:val="24"/>
          <w:highlight w:val="none"/>
        </w:rPr>
        <w:t>减少的措施项目费调减。</w:t>
      </w:r>
    </w:p>
    <w:p w14:paraId="06C738C3">
      <w:pPr>
        <w:spacing w:before="154" w:line="221"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2.3.3  </w:t>
      </w:r>
      <w:r>
        <w:rPr>
          <w:rFonts w:hint="eastAsia" w:ascii="宋体" w:hAnsi="宋体" w:eastAsia="宋体" w:cs="宋体"/>
          <w:color w:val="auto"/>
          <w:spacing w:val="-1"/>
          <w:sz w:val="24"/>
          <w:szCs w:val="24"/>
          <w:highlight w:val="none"/>
        </w:rPr>
        <w:t>工程变更</w:t>
      </w:r>
    </w:p>
    <w:p w14:paraId="46C43F19">
      <w:pPr>
        <w:spacing w:before="153" w:line="279" w:lineRule="auto"/>
        <w:ind w:left="19" w:right="179" w:firstLine="468"/>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合同履行期间，因工程变更引起已标价工程量清单项目发生变化时，按照以下规定调整：</w:t>
      </w:r>
    </w:p>
    <w:p w14:paraId="02B699CB">
      <w:pPr>
        <w:numPr>
          <w:ilvl w:val="0"/>
          <w:numId w:val="2"/>
        </w:numPr>
        <w:spacing w:before="78" w:line="360" w:lineRule="auto"/>
        <w:ind w:firstLine="242" w:firstLineChars="100"/>
        <w:rPr>
          <w:rFonts w:hint="eastAsia" w:ascii="宋体" w:hAnsi="宋体" w:eastAsia="宋体" w:cs="宋体"/>
          <w:b/>
          <w:bCs/>
          <w:color w:val="auto"/>
          <w:spacing w:val="-2"/>
          <w:sz w:val="24"/>
          <w:szCs w:val="24"/>
          <w:highlight w:val="none"/>
        </w:rPr>
      </w:pPr>
      <w:r>
        <w:rPr>
          <w:rFonts w:hint="eastAsia" w:ascii="宋体" w:hAnsi="宋体" w:eastAsia="宋体" w:cs="宋体"/>
          <w:color w:val="auto"/>
          <w:spacing w:val="1"/>
          <w:sz w:val="24"/>
          <w:szCs w:val="24"/>
          <w:highlight w:val="none"/>
        </w:rPr>
        <w:t>已标价工程量清单中有适用于变更工程项目的，采用该项目的单价。</w:t>
      </w:r>
      <w:r>
        <w:rPr>
          <w:rFonts w:hint="eastAsia" w:ascii="宋体" w:hAnsi="宋体" w:eastAsia="宋体" w:cs="宋体"/>
          <w:b/>
          <w:bCs/>
          <w:color w:val="auto"/>
          <w:spacing w:val="1"/>
          <w:sz w:val="24"/>
          <w:szCs w:val="24"/>
          <w:highlight w:val="none"/>
        </w:rPr>
        <w:t>但如果</w:t>
      </w:r>
      <w:bookmarkStart w:id="161" w:name="bookmark143"/>
      <w:bookmarkEnd w:id="161"/>
      <w:r>
        <w:rPr>
          <w:rFonts w:hint="eastAsia" w:ascii="宋体" w:hAnsi="宋体" w:eastAsia="宋体" w:cs="宋体"/>
          <w:b/>
          <w:bCs/>
          <w:color w:val="auto"/>
          <w:spacing w:val="-7"/>
          <w:sz w:val="24"/>
          <w:szCs w:val="24"/>
          <w:highlight w:val="none"/>
        </w:rPr>
        <w:t>被采用的项目属于按照第二章“中标人须知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7"/>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8"/>
          <w:sz w:val="24"/>
          <w:szCs w:val="24"/>
          <w:highlight w:val="none"/>
        </w:rPr>
        <w:t>4.2 条被认定为不平衡报价的清单项目，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2"/>
          <w:sz w:val="24"/>
          <w:szCs w:val="24"/>
          <w:highlight w:val="none"/>
        </w:rPr>
        <w:t>变更工程项目的单价按照</w:t>
      </w:r>
      <w:r>
        <w:rPr>
          <w:rFonts w:hint="eastAsia" w:ascii="宋体" w:hAnsi="宋体" w:eastAsia="宋体" w:cs="宋体"/>
          <w:b/>
          <w:bCs/>
          <w:color w:val="auto"/>
          <w:spacing w:val="-7"/>
          <w:sz w:val="24"/>
          <w:szCs w:val="24"/>
          <w:highlight w:val="none"/>
        </w:rPr>
        <w:t>本章 2.3.2.1 的</w:t>
      </w:r>
      <w:r>
        <w:rPr>
          <w:rFonts w:hint="eastAsia" w:ascii="宋体" w:hAnsi="宋体" w:eastAsia="宋体" w:cs="宋体"/>
          <w:b/>
          <w:bCs/>
          <w:color w:val="auto"/>
          <w:spacing w:val="-2"/>
          <w:sz w:val="24"/>
          <w:szCs w:val="24"/>
          <w:highlight w:val="none"/>
        </w:rPr>
        <w:t>方法调整。】</w:t>
      </w:r>
    </w:p>
    <w:p w14:paraId="607212D6">
      <w:pPr>
        <w:numPr>
          <w:ilvl w:val="0"/>
          <w:numId w:val="0"/>
        </w:numPr>
        <w:spacing w:before="78" w:line="360" w:lineRule="auto"/>
        <w:ind w:firstLine="237" w:firstLineChars="1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2</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已标价工程量清单中没有适用但有类似于变更工程项目的，可在合理范围内</w:t>
      </w:r>
      <w:r>
        <w:rPr>
          <w:rFonts w:hint="eastAsia" w:ascii="宋体" w:hAnsi="宋体" w:eastAsia="宋体" w:cs="宋体"/>
          <w:color w:val="auto"/>
          <w:spacing w:val="-3"/>
          <w:sz w:val="24"/>
          <w:szCs w:val="24"/>
          <w:highlight w:val="none"/>
        </w:rPr>
        <w:t>参照类似项目的单价。</w:t>
      </w:r>
      <w:r>
        <w:rPr>
          <w:rFonts w:hint="eastAsia" w:ascii="宋体" w:hAnsi="宋体" w:eastAsia="宋体" w:cs="宋体"/>
          <w:b/>
          <w:bCs/>
          <w:color w:val="auto"/>
          <w:spacing w:val="-3"/>
          <w:sz w:val="24"/>
          <w:szCs w:val="24"/>
          <w:highlight w:val="none"/>
        </w:rPr>
        <w:t>但如果被参考的类似项目属于按照第二章“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pacing w:val="-4"/>
          <w:sz w:val="24"/>
          <w:szCs w:val="24"/>
          <w:highlight w:val="none"/>
        </w:rPr>
        <w:t>条被认定为不平衡报价的清单项目，变更工程项目的单价按照本章2.3.2.1 的方法调整。</w:t>
      </w:r>
    </w:p>
    <w:p w14:paraId="614A34F7">
      <w:pPr>
        <w:numPr>
          <w:ilvl w:val="0"/>
          <w:numId w:val="0"/>
        </w:numPr>
        <w:spacing w:before="38" w:line="310" w:lineRule="auto"/>
        <w:ind w:right="81" w:rightChars="0" w:firstLine="242" w:firstLineChars="100"/>
        <w:jc w:val="both"/>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已标价工程量清单中没有适用也没有类似于变更工程项目的，由承包人根据</w:t>
      </w:r>
      <w:r>
        <w:rPr>
          <w:rFonts w:hint="eastAsia" w:ascii="宋体" w:hAnsi="宋体" w:eastAsia="宋体" w:cs="宋体"/>
          <w:color w:val="auto"/>
          <w:spacing w:val="-2"/>
          <w:sz w:val="24"/>
          <w:szCs w:val="24"/>
          <w:highlight w:val="none"/>
        </w:rPr>
        <w:t>变更工程资料、计量规则、计价办法、施工当月项目所在地工程造价管理机构发布的价格信息和中标下浮率提出变更工程项目的单价，报发包人确认后调整。中标下浮率的计算公式如下：</w:t>
      </w:r>
    </w:p>
    <w:p w14:paraId="5948F271">
      <w:pPr>
        <w:spacing w:before="126" w:line="314" w:lineRule="auto"/>
        <w:ind w:left="29" w:right="21" w:firstLine="50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中标下浮率=[1-（中标价-中标</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2"/>
          <w:sz w:val="24"/>
          <w:szCs w:val="24"/>
          <w:highlight w:val="none"/>
        </w:rPr>
        <w:t>-暂列</w:t>
      </w:r>
      <w:r>
        <w:rPr>
          <w:rFonts w:hint="eastAsia" w:ascii="宋体" w:hAnsi="宋体" w:eastAsia="宋体" w:cs="宋体"/>
          <w:b/>
          <w:bCs/>
          <w:color w:val="auto"/>
          <w:spacing w:val="-3"/>
          <w:sz w:val="24"/>
          <w:szCs w:val="24"/>
          <w:highlight w:val="none"/>
        </w:rPr>
        <w:t>金额-暂估价）/（</w:t>
      </w:r>
      <w:r>
        <w:rPr>
          <w:rFonts w:hint="eastAsia" w:ascii="宋体" w:hAnsi="宋体" w:eastAsia="宋体" w:cs="宋体"/>
          <w:b/>
          <w:bCs/>
          <w:color w:val="auto"/>
          <w:spacing w:val="-3"/>
          <w:sz w:val="24"/>
          <w:szCs w:val="24"/>
          <w:highlight w:val="none"/>
          <w:lang w:eastAsia="zh-CN"/>
        </w:rPr>
        <w:t>最高投标限价</w:t>
      </w:r>
      <w:r>
        <w:rPr>
          <w:rFonts w:hint="eastAsia" w:ascii="宋体" w:hAnsi="宋体" w:eastAsia="宋体" w:cs="宋体"/>
          <w:b/>
          <w:bCs/>
          <w:color w:val="auto"/>
          <w:spacing w:val="-3"/>
          <w:sz w:val="24"/>
          <w:szCs w:val="24"/>
          <w:highlight w:val="none"/>
        </w:rPr>
        <w:t>-控制价</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3"/>
          <w:sz w:val="24"/>
          <w:szCs w:val="24"/>
          <w:highlight w:val="none"/>
        </w:rPr>
        <w:t>-暂列金额-暂估价）]</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3"/>
          <w:sz w:val="24"/>
          <w:szCs w:val="24"/>
          <w:highlight w:val="none"/>
        </w:rPr>
        <w:t>×100%</w:t>
      </w:r>
    </w:p>
    <w:p w14:paraId="3F324216">
      <w:pPr>
        <w:spacing w:before="145" w:line="309" w:lineRule="auto"/>
        <w:ind w:right="81" w:firstLine="242" w:firstLineChars="1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4</w:t>
      </w:r>
      <w:r>
        <w:rPr>
          <w:rFonts w:hint="eastAsia" w:ascii="宋体" w:hAnsi="宋体" w:eastAsia="宋体" w:cs="宋体"/>
          <w:color w:val="auto"/>
          <w:spacing w:val="1"/>
          <w:sz w:val="24"/>
          <w:szCs w:val="24"/>
          <w:highlight w:val="none"/>
          <w:lang w:eastAsia="zh-CN"/>
        </w:rPr>
        <w:t>）</w:t>
      </w:r>
      <w:r>
        <w:rPr>
          <w:rFonts w:hint="eastAsia" w:ascii="宋体" w:hAnsi="宋体" w:eastAsia="宋体" w:cs="宋体"/>
          <w:snapToGrid w:val="0"/>
          <w:color w:val="auto"/>
          <w:kern w:val="0"/>
          <w:sz w:val="24"/>
          <w:szCs w:val="24"/>
          <w:highlight w:val="none"/>
          <w:lang w:eastAsia="zh-CN"/>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5B2F5D0A">
      <w:pPr>
        <w:spacing w:before="156" w:line="309" w:lineRule="auto"/>
        <w:ind w:left="7" w:right="81"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2.3.3.2</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工程变更引起施工方案改变并使措施项目发生变化时，承包人提出调整措施</w:t>
      </w:r>
      <w:r>
        <w:rPr>
          <w:rFonts w:hint="eastAsia" w:ascii="宋体" w:hAnsi="宋体" w:eastAsia="宋体" w:cs="宋体"/>
          <w:color w:val="auto"/>
          <w:spacing w:val="-2"/>
          <w:sz w:val="24"/>
          <w:szCs w:val="24"/>
          <w:highlight w:val="none"/>
        </w:rPr>
        <w:t>项目费的，应事先将拟实施的方案提交发包人确认，并应详细说明与原方案措施项目相比的变化情况。拟实施的方案经发、承包双方确认后执行，并按照本章下列规定调整措施项目费：</w:t>
      </w:r>
    </w:p>
    <w:p w14:paraId="2F8C611A">
      <w:pPr>
        <w:spacing w:before="152" w:line="220" w:lineRule="auto"/>
        <w:ind w:left="499"/>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b/>
          <w:bCs/>
          <w:color w:val="auto"/>
          <w:spacing w:val="-1"/>
          <w:sz w:val="24"/>
          <w:szCs w:val="24"/>
          <w:highlight w:val="none"/>
        </w:rPr>
        <w:t>）</w:t>
      </w:r>
      <w:r>
        <w:rPr>
          <w:rFonts w:hint="eastAsia" w:ascii="宋体" w:hAnsi="宋体" w:eastAsia="宋体" w:cs="宋体"/>
          <w:b w:val="0"/>
          <w:bCs w:val="0"/>
          <w:color w:val="auto"/>
          <w:spacing w:val="-1"/>
          <w:sz w:val="24"/>
          <w:szCs w:val="24"/>
          <w:highlight w:val="none"/>
        </w:rPr>
        <w:t>安全生产措施费应按照实际发生变化的措施项目计算。</w:t>
      </w:r>
    </w:p>
    <w:p w14:paraId="333CD790">
      <w:pPr>
        <w:spacing w:before="156" w:line="309" w:lineRule="auto"/>
        <w:ind w:left="7" w:right="81" w:firstLine="477"/>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3"/>
          <w:sz w:val="24"/>
          <w:szCs w:val="24"/>
          <w:highlight w:val="none"/>
        </w:rPr>
        <w:t>采用单价计算的措施项目费，应按照实际发生变化的措施项目，按本章第 2.3.3.1 子目的规定确定单价。</w:t>
      </w:r>
    </w:p>
    <w:p w14:paraId="088DAF00">
      <w:pPr>
        <w:spacing w:before="154" w:line="360" w:lineRule="auto"/>
        <w:ind w:left="8"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（3）按总价或系数计算的措施项目费，应按照实际发生变化的措施项目费调整并</w:t>
      </w:r>
      <w:r>
        <w:rPr>
          <w:rFonts w:hint="eastAsia" w:ascii="宋体" w:hAnsi="宋体" w:eastAsia="宋体" w:cs="宋体"/>
          <w:color w:val="auto"/>
          <w:spacing w:val="-3"/>
          <w:sz w:val="24"/>
          <w:szCs w:val="24"/>
          <w:highlight w:val="none"/>
        </w:rPr>
        <w:t>考虑中标下浮率因素，即调整金额＝按照实际变化调整后的金额×（ 1-中标下浮率）。</w:t>
      </w:r>
    </w:p>
    <w:p w14:paraId="515109DD">
      <w:pPr>
        <w:spacing w:before="157" w:line="324" w:lineRule="auto"/>
        <w:ind w:left="21" w:right="81" w:firstLine="47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如果承包人未事先将拟实施的方案提交发包人确认，视为工程变更不引起措施项目费的调整或承包人放弃调整措施项目费的权利。</w:t>
      </w:r>
    </w:p>
    <w:p w14:paraId="0D1EB54E">
      <w:pPr>
        <w:spacing w:before="35" w:line="309" w:lineRule="auto"/>
        <w:ind w:right="81"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当因非承包人原因，发包人提出的工程变更删减了合同中的某项原定工作或</w:t>
      </w:r>
      <w:r>
        <w:rPr>
          <w:rFonts w:hint="eastAsia" w:ascii="宋体" w:hAnsi="宋体" w:eastAsia="宋体" w:cs="宋体"/>
          <w:color w:val="auto"/>
          <w:spacing w:val="-2"/>
          <w:sz w:val="24"/>
          <w:szCs w:val="24"/>
          <w:highlight w:val="none"/>
        </w:rPr>
        <w:t>工程，致使承包人发生的费用或（和）得到的收益不能被包括在其他已支付或应支付的项目中，也未被包含在任何替代的工作或工程中时，承包人有权提出并应得到合理的费用及利润补偿。</w:t>
      </w:r>
    </w:p>
    <w:p w14:paraId="047FB0FC">
      <w:pPr>
        <w:spacing w:before="155" w:line="220"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2.3.4  </w:t>
      </w:r>
      <w:r>
        <w:rPr>
          <w:rFonts w:hint="eastAsia" w:ascii="宋体" w:hAnsi="宋体" w:eastAsia="宋体" w:cs="宋体"/>
          <w:color w:val="auto"/>
          <w:spacing w:val="-1"/>
          <w:sz w:val="24"/>
          <w:szCs w:val="24"/>
          <w:highlight w:val="none"/>
        </w:rPr>
        <w:t>项目特征不符</w:t>
      </w:r>
    </w:p>
    <w:p w14:paraId="6D62B6B4">
      <w:pPr>
        <w:spacing w:before="78" w:line="331" w:lineRule="auto"/>
        <w:ind w:left="8" w:right="108" w:firstLine="480"/>
        <w:jc w:val="both"/>
        <w:rPr>
          <w:rFonts w:hint="eastAsia" w:ascii="宋体" w:hAnsi="宋体" w:eastAsia="宋体" w:cs="宋体"/>
          <w:color w:val="auto"/>
          <w:sz w:val="24"/>
          <w:szCs w:val="24"/>
          <w:highlight w:val="none"/>
        </w:rPr>
      </w:pPr>
      <w:bookmarkStart w:id="162" w:name="bookmark144"/>
      <w:bookmarkEnd w:id="162"/>
      <w:r>
        <w:rPr>
          <w:rFonts w:hint="eastAsia" w:ascii="宋体" w:hAnsi="宋体" w:eastAsia="宋体" w:cs="宋体"/>
          <w:color w:val="auto"/>
          <w:spacing w:val="-2"/>
          <w:sz w:val="24"/>
          <w:szCs w:val="24"/>
          <w:highlight w:val="none"/>
        </w:rPr>
        <w:t>承包人应按照发包人提供的设计图纸实施合同工程，若在合同履行期间出现设计图纸（含设计变更）与招标工程量清单任一项目的特征描述不符，且该变化引起该项目工</w:t>
      </w:r>
      <w:r>
        <w:rPr>
          <w:rFonts w:hint="eastAsia" w:ascii="宋体" w:hAnsi="宋体" w:eastAsia="宋体" w:cs="宋体"/>
          <w:color w:val="auto"/>
          <w:sz w:val="24"/>
          <w:szCs w:val="24"/>
          <w:highlight w:val="none"/>
        </w:rPr>
        <w:t>程造价增减变化的，应按照实际施工的项目特征，并按本章第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z w:val="24"/>
          <w:szCs w:val="24"/>
          <w:highlight w:val="none"/>
        </w:rPr>
        <w:t xml:space="preserve">2.3.3 </w:t>
      </w:r>
      <w:r>
        <w:rPr>
          <w:rFonts w:hint="eastAsia" w:ascii="宋体" w:hAnsi="宋体" w:eastAsia="宋体" w:cs="宋体"/>
          <w:color w:val="auto"/>
          <w:sz w:val="24"/>
          <w:szCs w:val="24"/>
          <w:highlight w:val="none"/>
        </w:rPr>
        <w:t>目相</w:t>
      </w:r>
      <w:r>
        <w:rPr>
          <w:rFonts w:hint="eastAsia" w:ascii="宋体" w:hAnsi="宋体" w:eastAsia="宋体" w:cs="宋体"/>
          <w:color w:val="auto"/>
          <w:spacing w:val="-1"/>
          <w:sz w:val="24"/>
          <w:szCs w:val="24"/>
          <w:highlight w:val="none"/>
        </w:rPr>
        <w:t>关条款的规定重新确定相应工程量清单项目的综合单价，并调整合同价款。</w:t>
      </w:r>
    </w:p>
    <w:p w14:paraId="5EC40401">
      <w:pPr>
        <w:spacing w:before="38" w:line="221"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2.3.5  </w:t>
      </w:r>
      <w:r>
        <w:rPr>
          <w:rFonts w:hint="eastAsia" w:ascii="宋体" w:hAnsi="宋体" w:eastAsia="宋体" w:cs="宋体"/>
          <w:color w:val="auto"/>
          <w:spacing w:val="-1"/>
          <w:sz w:val="24"/>
          <w:szCs w:val="24"/>
          <w:highlight w:val="none"/>
        </w:rPr>
        <w:t>招标工程量清单缺项</w:t>
      </w:r>
    </w:p>
    <w:p w14:paraId="0C2F665E">
      <w:pPr>
        <w:spacing w:before="152" w:line="278" w:lineRule="auto"/>
        <w:ind w:left="9" w:right="56"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2.3.5.1</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合同履行期间，由于招标</w:t>
      </w:r>
      <w:r>
        <w:rPr>
          <w:rFonts w:hint="eastAsia" w:ascii="宋体" w:hAnsi="宋体" w:eastAsia="宋体" w:cs="宋体"/>
          <w:color w:val="auto"/>
          <w:spacing w:val="-2"/>
          <w:sz w:val="24"/>
          <w:szCs w:val="24"/>
          <w:highlight w:val="none"/>
        </w:rPr>
        <w:t>工程量清单中缺项，新增分部分项工程清单项目，</w:t>
      </w:r>
      <w:r>
        <w:rPr>
          <w:rFonts w:hint="eastAsia" w:ascii="宋体" w:hAnsi="宋体" w:eastAsia="宋体" w:cs="宋体"/>
          <w:color w:val="auto"/>
          <w:spacing w:val="-1"/>
          <w:sz w:val="24"/>
          <w:szCs w:val="24"/>
          <w:highlight w:val="none"/>
        </w:rPr>
        <w:t>应按照本章第</w:t>
      </w:r>
      <w:r>
        <w:rPr>
          <w:rFonts w:hint="eastAsia" w:ascii="宋体" w:hAnsi="宋体" w:eastAsia="宋体" w:cs="宋体"/>
          <w:color w:val="auto"/>
          <w:spacing w:val="-39"/>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子目的规定确定单价，并调整合同价款。</w:t>
      </w:r>
    </w:p>
    <w:p w14:paraId="44C1D396">
      <w:pPr>
        <w:spacing w:before="157" w:line="219" w:lineRule="auto"/>
        <w:ind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新增分部分项工程清单项目后，引起</w:t>
      </w:r>
      <w:r>
        <w:rPr>
          <w:rFonts w:hint="eastAsia" w:ascii="宋体" w:hAnsi="宋体" w:eastAsia="宋体" w:cs="宋体"/>
          <w:color w:val="auto"/>
          <w:spacing w:val="-2"/>
          <w:sz w:val="24"/>
          <w:szCs w:val="24"/>
          <w:highlight w:val="none"/>
        </w:rPr>
        <w:t>措施项目发生变化的，应按照本章第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2"/>
          <w:sz w:val="24"/>
          <w:szCs w:val="24"/>
          <w:highlight w:val="none"/>
        </w:rPr>
        <w:t>2.</w:t>
      </w:r>
      <w:r>
        <w:rPr>
          <w:rFonts w:hint="eastAsia" w:ascii="宋体" w:hAnsi="宋体" w:eastAsia="宋体" w:cs="宋体"/>
          <w:b/>
          <w:bCs/>
          <w:color w:val="auto"/>
          <w:sz w:val="24"/>
          <w:szCs w:val="24"/>
          <w:highlight w:val="none"/>
        </w:rPr>
        <w:t xml:space="preserve">3.3.2 </w:t>
      </w:r>
      <w:r>
        <w:rPr>
          <w:rFonts w:hint="eastAsia" w:ascii="宋体" w:hAnsi="宋体" w:eastAsia="宋体" w:cs="宋体"/>
          <w:color w:val="auto"/>
          <w:sz w:val="24"/>
          <w:szCs w:val="24"/>
          <w:highlight w:val="none"/>
        </w:rPr>
        <w:t>子目的规定，在承包人提交的实施方案被发包人批准后调整</w:t>
      </w:r>
      <w:r>
        <w:rPr>
          <w:rFonts w:hint="eastAsia" w:ascii="宋体" w:hAnsi="宋体" w:eastAsia="宋体" w:cs="宋体"/>
          <w:color w:val="auto"/>
          <w:spacing w:val="-1"/>
          <w:sz w:val="24"/>
          <w:szCs w:val="24"/>
          <w:highlight w:val="none"/>
        </w:rPr>
        <w:t>合同价款。</w:t>
      </w:r>
    </w:p>
    <w:p w14:paraId="068505DF">
      <w:pPr>
        <w:spacing w:before="156" w:line="279" w:lineRule="auto"/>
        <w:ind w:left="13" w:right="108" w:firstLine="471"/>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4"/>
          <w:sz w:val="24"/>
          <w:szCs w:val="24"/>
          <w:highlight w:val="none"/>
        </w:rPr>
        <w:t>2.3.5.3</w:t>
      </w:r>
      <w:r>
        <w:rPr>
          <w:rFonts w:hint="eastAsia" w:ascii="宋体" w:hAnsi="宋体" w:eastAsia="宋体" w:cs="宋体"/>
          <w:b/>
          <w:bCs/>
          <w:color w:val="auto"/>
          <w:spacing w:val="-4"/>
          <w:sz w:val="24"/>
          <w:szCs w:val="24"/>
          <w:highlight w:val="none"/>
        </w:rPr>
        <w:fldChar w:fldCharType="end"/>
      </w:r>
      <w:r>
        <w:rPr>
          <w:rFonts w:hint="eastAsia" w:ascii="宋体" w:hAnsi="宋体" w:eastAsia="宋体" w:cs="宋体"/>
          <w:b/>
          <w:bCs/>
          <w:color w:val="auto"/>
          <w:spacing w:val="22"/>
          <w:w w:val="101"/>
          <w:sz w:val="24"/>
          <w:szCs w:val="24"/>
          <w:highlight w:val="none"/>
        </w:rPr>
        <w:t xml:space="preserve">  </w:t>
      </w:r>
      <w:r>
        <w:rPr>
          <w:rFonts w:hint="eastAsia" w:ascii="宋体" w:hAnsi="宋体" w:eastAsia="宋体" w:cs="宋体"/>
          <w:color w:val="auto"/>
          <w:spacing w:val="-4"/>
          <w:sz w:val="24"/>
          <w:szCs w:val="24"/>
          <w:highlight w:val="none"/>
        </w:rPr>
        <w:t>由于招标工程量清单中措施项目缺项，承包人应将新增措施项目实施方案提</w:t>
      </w:r>
      <w:r>
        <w:rPr>
          <w:rFonts w:hint="eastAsia" w:ascii="宋体" w:hAnsi="宋体" w:eastAsia="宋体" w:cs="宋体"/>
          <w:color w:val="auto"/>
          <w:spacing w:val="-1"/>
          <w:sz w:val="24"/>
          <w:szCs w:val="24"/>
          <w:highlight w:val="none"/>
        </w:rPr>
        <w:t>交发包人批准后，按照本章第</w:t>
      </w:r>
      <w:r>
        <w:rPr>
          <w:rFonts w:hint="eastAsia" w:ascii="宋体" w:hAnsi="宋体" w:eastAsia="宋体" w:cs="宋体"/>
          <w:color w:val="auto"/>
          <w:spacing w:val="-36"/>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 xml:space="preserve">2.3.3.2 </w:t>
      </w:r>
      <w:r>
        <w:rPr>
          <w:rFonts w:hint="eastAsia" w:ascii="宋体" w:hAnsi="宋体" w:eastAsia="宋体" w:cs="宋体"/>
          <w:color w:val="auto"/>
          <w:spacing w:val="-1"/>
          <w:sz w:val="24"/>
          <w:szCs w:val="24"/>
          <w:highlight w:val="none"/>
        </w:rPr>
        <w:t>子目的规定调整合同价款。</w:t>
      </w:r>
    </w:p>
    <w:p w14:paraId="13F65CBF">
      <w:pPr>
        <w:spacing w:before="154" w:line="219"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2.3.6  </w:t>
      </w:r>
      <w:r>
        <w:rPr>
          <w:rFonts w:hint="eastAsia" w:ascii="宋体" w:hAnsi="宋体" w:eastAsia="宋体" w:cs="宋体"/>
          <w:color w:val="auto"/>
          <w:spacing w:val="-1"/>
          <w:sz w:val="24"/>
          <w:szCs w:val="24"/>
          <w:highlight w:val="none"/>
        </w:rPr>
        <w:t>物价变化</w:t>
      </w:r>
    </w:p>
    <w:p w14:paraId="2033D4F9">
      <w:pPr>
        <w:spacing w:before="156" w:line="315" w:lineRule="auto"/>
        <w:ind w:left="8" w:right="108"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合同履行期间，项目所在地工程造价管理机构发布的动态人工调整系数发生变化时，如果承包人投标报价中人工费（以下简称“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中标人工费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4"/>
          <w:sz w:val="24"/>
          <w:szCs w:val="24"/>
          <w:highlight w:val="none"/>
        </w:rPr>
        <w:t>等于或超过施工当</w:t>
      </w:r>
      <w:r>
        <w:rPr>
          <w:rFonts w:hint="eastAsia" w:ascii="宋体" w:hAnsi="宋体" w:eastAsia="宋体" w:cs="宋体"/>
          <w:color w:val="auto"/>
          <w:spacing w:val="-2"/>
          <w:sz w:val="24"/>
          <w:szCs w:val="24"/>
          <w:highlight w:val="none"/>
        </w:rPr>
        <w:t>月经动态调整后的定额人工费，该清单项目中标人工费不予调整；如果中标人工费低于施工当月经动态调整后的定额人工费，该清单项目中标人工费可以调整，相关费用按有</w:t>
      </w:r>
      <w:r>
        <w:rPr>
          <w:rFonts w:hint="eastAsia" w:ascii="宋体" w:hAnsi="宋体" w:eastAsia="宋体" w:cs="宋体"/>
          <w:color w:val="auto"/>
          <w:spacing w:val="-1"/>
          <w:sz w:val="24"/>
          <w:szCs w:val="24"/>
          <w:highlight w:val="none"/>
        </w:rPr>
        <w:t>关规定进行相应调整。结算人工费调整公式为：</w:t>
      </w:r>
    </w:p>
    <w:p w14:paraId="29AB0F6A">
      <w:pPr>
        <w:spacing w:before="153" w:line="220" w:lineRule="auto"/>
        <w:ind w:left="494"/>
        <w:rPr>
          <w:rFonts w:hint="eastAsia" w:ascii="宋体" w:hAnsi="宋体" w:eastAsia="宋体" w:cs="宋体"/>
          <w:color w:val="auto"/>
          <w:sz w:val="15"/>
          <w:szCs w:val="15"/>
          <w:highlight w:val="none"/>
        </w:rPr>
      </w:pPr>
      <w:r>
        <w:rPr>
          <w:rFonts w:hint="eastAsia" w:ascii="宋体" w:hAnsi="宋体" w:eastAsia="宋体" w:cs="宋体"/>
          <w:color w:val="auto"/>
          <w:spacing w:val="-1"/>
          <w:sz w:val="24"/>
          <w:szCs w:val="24"/>
          <w:highlight w:val="none"/>
        </w:rPr>
        <w:t>结算人工费＝中标人工费×F</w:t>
      </w:r>
      <w:r>
        <w:rPr>
          <w:rFonts w:hint="eastAsia" w:ascii="宋体" w:hAnsi="宋体" w:eastAsia="宋体" w:cs="宋体"/>
          <w:color w:val="auto"/>
          <w:spacing w:val="-1"/>
          <w:position w:val="-1"/>
          <w:sz w:val="15"/>
          <w:szCs w:val="15"/>
          <w:highlight w:val="none"/>
        </w:rPr>
        <w:t>1</w:t>
      </w:r>
    </w:p>
    <w:p w14:paraId="27F82D1B">
      <w:pPr>
        <w:spacing w:before="152"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式中，F</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23"/>
          <w:w w:val="101"/>
          <w:position w:val="-1"/>
          <w:sz w:val="15"/>
          <w:szCs w:val="15"/>
          <w:highlight w:val="none"/>
        </w:rPr>
        <w:t xml:space="preserve"> </w:t>
      </w:r>
      <w:r>
        <w:rPr>
          <w:rFonts w:hint="eastAsia" w:ascii="宋体" w:hAnsi="宋体" w:eastAsia="宋体" w:cs="宋体"/>
          <w:color w:val="auto"/>
          <w:spacing w:val="-1"/>
          <w:sz w:val="24"/>
          <w:szCs w:val="24"/>
          <w:highlight w:val="none"/>
        </w:rPr>
        <w:t>为施工当月项目所在地工程造价管理机构发布的动态人工调整系数。</w:t>
      </w:r>
    </w:p>
    <w:p w14:paraId="6301761F">
      <w:pPr>
        <w:spacing w:before="119" w:line="324" w:lineRule="auto"/>
        <w:ind w:left="1" w:right="108" w:firstLine="48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fldChar w:fldCharType="begin"/>
      </w:r>
      <w:r>
        <w:rPr>
          <w:rFonts w:hint="eastAsia" w:ascii="宋体" w:hAnsi="宋体" w:eastAsia="宋体" w:cs="宋体"/>
          <w:b/>
          <w:bCs/>
          <w:color w:val="auto"/>
          <w:spacing w:val="-1"/>
          <w:sz w:val="24"/>
          <w:szCs w:val="24"/>
          <w:highlight w:val="none"/>
        </w:rPr>
        <w:instrText xml:space="preserve"> HYPERLINK "2.3.6.2" </w:instrText>
      </w:r>
      <w:r>
        <w:rPr>
          <w:rFonts w:hint="eastAsia" w:ascii="宋体" w:hAnsi="宋体" w:eastAsia="宋体" w:cs="宋体"/>
          <w:b/>
          <w:bCs/>
          <w:color w:val="auto"/>
          <w:spacing w:val="-1"/>
          <w:sz w:val="24"/>
          <w:szCs w:val="24"/>
          <w:highlight w:val="none"/>
        </w:rPr>
        <w:fldChar w:fldCharType="separate"/>
      </w:r>
      <w:r>
        <w:rPr>
          <w:rFonts w:hint="eastAsia" w:ascii="宋体" w:hAnsi="宋体" w:eastAsia="宋体" w:cs="宋体"/>
          <w:b/>
          <w:bCs/>
          <w:color w:val="auto"/>
          <w:spacing w:val="-1"/>
          <w:sz w:val="24"/>
          <w:szCs w:val="24"/>
          <w:highlight w:val="none"/>
        </w:rPr>
        <w:t>2.3.6.2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本招标项目约定，材料、工程设备</w:t>
      </w:r>
      <w:r>
        <w:rPr>
          <w:rFonts w:hint="eastAsia" w:ascii="宋体" w:hAnsi="宋体" w:eastAsia="宋体" w:cs="宋体"/>
          <w:color w:val="auto"/>
          <w:spacing w:val="-2"/>
          <w:sz w:val="24"/>
          <w:szCs w:val="24"/>
          <w:highlight w:val="none"/>
        </w:rPr>
        <w:t>单价涨跌风险幅度值</w:t>
      </w:r>
      <w:r>
        <w:rPr>
          <w:rFonts w:hint="eastAsia" w:ascii="宋体" w:hAnsi="宋体" w:eastAsia="宋体" w:cs="宋体"/>
          <w:color w:val="auto"/>
          <w:spacing w:val="-59"/>
          <w:sz w:val="24"/>
          <w:szCs w:val="24"/>
          <w:highlight w:val="none"/>
        </w:rPr>
        <w:t xml:space="preserve"> </w:t>
      </w:r>
      <w:r>
        <w:rPr>
          <w:rFonts w:hint="eastAsia" w:ascii="宋体" w:hAnsi="宋体" w:eastAsia="宋体" w:cs="宋体"/>
          <w:color w:val="auto"/>
          <w:spacing w:val="-2"/>
          <w:sz w:val="24"/>
          <w:szCs w:val="24"/>
          <w:highlight w:val="none"/>
        </w:rPr>
        <w:t>A 为</w:t>
      </w:r>
      <w:r>
        <w:rPr>
          <w:rFonts w:hint="eastAsia" w:ascii="宋体" w:hAnsi="宋体" w:eastAsia="宋体" w:cs="宋体"/>
          <w:color w:val="auto"/>
          <w:spacing w:val="-2"/>
          <w:sz w:val="24"/>
          <w:szCs w:val="24"/>
          <w:highlight w:val="none"/>
          <w:u w:val="single"/>
        </w:rPr>
        <w:t xml:space="preserve">  5%   </w:t>
      </w:r>
      <w:r>
        <w:rPr>
          <w:rFonts w:hint="eastAsia" w:ascii="宋体" w:hAnsi="宋体" w:eastAsia="宋体" w:cs="宋体"/>
          <w:color w:val="auto"/>
          <w:spacing w:val="-2"/>
          <w:sz w:val="24"/>
          <w:szCs w:val="24"/>
          <w:highlight w:val="none"/>
        </w:rPr>
        <w:t>。合同履</w:t>
      </w:r>
      <w:r>
        <w:rPr>
          <w:rFonts w:hint="eastAsia" w:ascii="宋体" w:hAnsi="宋体" w:eastAsia="宋体" w:cs="宋体"/>
          <w:color w:val="auto"/>
          <w:spacing w:val="-1"/>
          <w:sz w:val="24"/>
          <w:szCs w:val="24"/>
          <w:highlight w:val="none"/>
        </w:rPr>
        <w:t>行期间，当《承包人提供主要材料和工程设备一览表》（</w:t>
      </w:r>
      <w:r>
        <w:rPr>
          <w:rFonts w:hint="eastAsia" w:ascii="宋体" w:hAnsi="宋体" w:eastAsia="宋体" w:cs="宋体"/>
          <w:color w:val="auto"/>
          <w:spacing w:val="-2"/>
          <w:sz w:val="24"/>
          <w:szCs w:val="24"/>
          <w:highlight w:val="none"/>
        </w:rPr>
        <w:t>详见招标工程量清单）中的材</w:t>
      </w:r>
      <w:r>
        <w:rPr>
          <w:rFonts w:hint="eastAsia" w:ascii="宋体" w:hAnsi="宋体" w:eastAsia="宋体" w:cs="宋体"/>
          <w:color w:val="auto"/>
          <w:spacing w:val="-3"/>
          <w:sz w:val="24"/>
          <w:szCs w:val="24"/>
          <w:highlight w:val="none"/>
        </w:rPr>
        <w:t>料、工程设备单价涨跌幅度等于或低于</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A 值时，该材料、工程设备单价不予调整；超过</w:t>
      </w:r>
      <w:r>
        <w:rPr>
          <w:rFonts w:hint="eastAsia" w:ascii="宋体" w:hAnsi="宋体" w:eastAsia="宋体" w:cs="宋体"/>
          <w:color w:val="auto"/>
          <w:sz w:val="24"/>
          <w:szCs w:val="24"/>
          <w:highlight w:val="none"/>
        </w:rPr>
        <w:t>A 值时，其超过部分可以调整。相关费用按有关规定进行相</w:t>
      </w:r>
      <w:r>
        <w:rPr>
          <w:rFonts w:hint="eastAsia" w:ascii="宋体" w:hAnsi="宋体" w:eastAsia="宋体" w:cs="宋体"/>
          <w:color w:val="auto"/>
          <w:spacing w:val="-1"/>
          <w:sz w:val="24"/>
          <w:szCs w:val="24"/>
          <w:highlight w:val="none"/>
        </w:rPr>
        <w:t>应调整。</w:t>
      </w:r>
    </w:p>
    <w:p w14:paraId="266AED0D">
      <w:pPr>
        <w:spacing w:before="126" w:line="295" w:lineRule="auto"/>
        <w:ind w:left="11" w:right="108" w:firstLine="477"/>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17CE028D">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a．涨价时，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o:preferrelative="t" stroked="f" coordsize="21600,21600">
            <v:path/>
            <v:fill on="f" focussize="0,0"/>
            <v:stroke on="f"/>
            <v:imagedata r:id="rId33" embosscolor="#FFFFFF" o:title=""/>
            <o:lock v:ext="edit" grouping="f" rotation="f" text="f" aspectratio="t"/>
            <w10:wrap type="none"/>
            <w10:anchorlock/>
          </v:shape>
          <o:OLEObject Type="Embed" ProgID="Equation.KSEE3" ShapeID="_x0000_i1025" DrawAspect="Content" ObjectID="_1468075725" r:id="rId32">
            <o:LockedField>false</o:LockedField>
          </o:OLEObject>
        </w:object>
      </w:r>
    </w:p>
    <w:p w14:paraId="1DAEC11B">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o:preferrelative="t" stroked="f" coordsize="21600,21600">
            <v:path/>
            <v:fill on="f" focussize="0,0"/>
            <v:stroke on="f"/>
            <v:imagedata r:id="rId35" embosscolor="#FFFFFF" o:title=""/>
            <o:lock v:ext="edit" grouping="f" rotation="f" text="f" aspectratio="t"/>
            <w10:wrap type="none"/>
            <w10:anchorlock/>
          </v:shape>
          <o:OLEObject Type="Embed" ProgID="Equation.KSEE3" ShapeID="_x0000_i1026" DrawAspect="Content" ObjectID="_1468075726" r:id="rId34">
            <o:LockedField>false</o:LockedField>
          </o:OLEObject>
        </w:object>
      </w:r>
    </w:p>
    <w:p w14:paraId="0F78345B">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b．涨价时，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o:preferrelative="t" stroked="f" coordsize="21600,21600">
            <v:path/>
            <v:fill on="f" focussize="0,0"/>
            <v:stroke on="f"/>
            <v:imagedata r:id="rId37" embosscolor="#FFFFFF" o:title=""/>
            <o:lock v:ext="edit" grouping="f" rotation="f" text="f" aspectratio="t"/>
            <w10:wrap type="none"/>
            <w10:anchorlock/>
          </v:shape>
          <o:OLEObject Type="Embed" ProgID="Equation.KSEE3" ShapeID="_x0000_i1027" DrawAspect="Content" ObjectID="_1468075727" r:id="rId36">
            <o:LockedField>false</o:LockedField>
          </o:OLEObject>
        </w:object>
      </w:r>
    </w:p>
    <w:p w14:paraId="27B2B575">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o:preferrelative="t" stroked="f" coordsize="21600,21600">
            <v:path/>
            <v:fill on="f" focussize="0,0"/>
            <v:stroke on="f"/>
            <v:imagedata r:id="rId39" embosscolor="#FFFFFF" o:title=""/>
            <o:lock v:ext="edit" grouping="f" rotation="f" text="f" aspectratio="t"/>
            <w10:wrap type="none"/>
            <w10:anchorlock/>
          </v:shape>
          <o:OLEObject Type="Embed" ProgID="Equation.KSEE3" ShapeID="_x0000_i1028" DrawAspect="Content" ObjectID="_1468075728" r:id="rId38">
            <o:LockedField>false</o:LockedField>
          </o:OLEObject>
        </w:object>
      </w:r>
    </w:p>
    <w:p w14:paraId="14309D94">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c．涨价时，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o:preferrelative="t" stroked="f" coordsize="21600,21600">
            <v:path/>
            <v:fill on="f" focussize="0,0"/>
            <v:stroke on="f"/>
            <v:imagedata r:id="rId41" embosscolor="#FFFFFF" o:title=""/>
            <o:lock v:ext="edit" grouping="f" rotation="f" text="f" aspectratio="t"/>
            <w10:wrap type="none"/>
            <w10:anchorlock/>
          </v:shape>
          <o:OLEObject Type="Embed" ProgID="Equation.KSEE3" ShapeID="_x0000_i1029" DrawAspect="Content" ObjectID="_1468075729" r:id="rId40">
            <o:LockedField>false</o:LockedField>
          </o:OLEObject>
        </w:object>
      </w:r>
    </w:p>
    <w:p w14:paraId="55761B5C">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43" embosscolor="#FFFFFF" o:title=""/>
            <o:lock v:ext="edit" grouping="f" rotation="f" text="f" aspectratio="t"/>
            <w10:wrap type="none"/>
            <w10:anchorlock/>
          </v:shape>
          <o:OLEObject Type="Embed" ProgID="Equation.KSEE3" ShapeID="_x0000_i1030" DrawAspect="Content" ObjectID="_1468075730" r:id="rId42">
            <o:LockedField>false</o:LockedField>
          </o:OLEObject>
        </w:object>
      </w:r>
    </w:p>
    <w:p w14:paraId="4364D528">
      <w:pPr>
        <w:spacing w:before="78"/>
        <w:ind w:left="330"/>
        <w:rPr>
          <w:rFonts w:hint="eastAsia" w:ascii="宋体" w:hAnsi="宋体" w:eastAsia="宋体" w:cs="宋体"/>
          <w:color w:val="auto"/>
          <w:sz w:val="24"/>
          <w:szCs w:val="24"/>
          <w:highlight w:val="none"/>
        </w:rPr>
      </w:pPr>
    </w:p>
    <w:p w14:paraId="57864BBF">
      <w:pPr>
        <w:spacing w:before="140" w:line="196" w:lineRule="auto"/>
        <w:ind w:left="3758"/>
        <w:rPr>
          <w:rFonts w:hint="eastAsia" w:ascii="宋体" w:hAnsi="宋体" w:eastAsia="宋体" w:cs="宋体"/>
          <w:color w:val="auto"/>
          <w:sz w:val="13"/>
          <w:szCs w:val="13"/>
          <w:highlight w:val="none"/>
        </w:rPr>
      </w:pPr>
      <w:r>
        <w:rPr>
          <w:rFonts w:hint="eastAsia" w:ascii="宋体" w:hAnsi="宋体" w:eastAsia="宋体" w:cs="宋体"/>
          <w:color w:val="auto"/>
          <w:spacing w:val="-2"/>
          <w:position w:val="1"/>
          <w:sz w:val="24"/>
          <w:szCs w:val="24"/>
          <w:highlight w:val="none"/>
        </w:rPr>
        <w:t>F</w:t>
      </w:r>
      <w:r>
        <w:rPr>
          <w:rFonts w:hint="eastAsia" w:ascii="宋体" w:hAnsi="宋体" w:eastAsia="宋体" w:cs="宋体"/>
          <w:color w:val="auto"/>
          <w:spacing w:val="-2"/>
          <w:position w:val="-4"/>
          <w:sz w:val="13"/>
          <w:szCs w:val="13"/>
          <w:highlight w:val="none"/>
        </w:rPr>
        <w:t>0</w:t>
      </w:r>
    </w:p>
    <w:p w14:paraId="07ED61AB">
      <w:pPr>
        <w:spacing w:before="78" w:line="330" w:lineRule="auto"/>
        <w:ind w:right="59"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理机构发布的材料、工程设备单价；A 为合同约定的材料</w:t>
      </w:r>
      <w:r>
        <w:rPr>
          <w:rFonts w:hint="eastAsia" w:ascii="宋体" w:hAnsi="宋体" w:eastAsia="宋体" w:cs="宋体"/>
          <w:color w:val="auto"/>
          <w:spacing w:val="-2"/>
          <w:sz w:val="24"/>
          <w:szCs w:val="24"/>
          <w:highlight w:val="none"/>
        </w:rPr>
        <w:t>、工程设备单价涨跌风险幅度</w:t>
      </w:r>
      <w:r>
        <w:rPr>
          <w:rFonts w:hint="eastAsia" w:ascii="宋体" w:hAnsi="宋体" w:eastAsia="宋体" w:cs="宋体"/>
          <w:color w:val="auto"/>
          <w:spacing w:val="-5"/>
          <w:sz w:val="24"/>
          <w:szCs w:val="24"/>
          <w:highlight w:val="none"/>
        </w:rPr>
        <w:t>值。</w:t>
      </w:r>
    </w:p>
    <w:p w14:paraId="30753A35">
      <w:pPr>
        <w:spacing w:before="33" w:line="299" w:lineRule="auto"/>
        <w:ind w:right="5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合同履行期间，当《发包人提供材料和工程设备一览表》（详见招标工程量</w:t>
      </w:r>
      <w:r>
        <w:rPr>
          <w:rFonts w:hint="eastAsia" w:ascii="宋体" w:hAnsi="宋体" w:eastAsia="宋体" w:cs="宋体"/>
          <w:color w:val="auto"/>
          <w:spacing w:val="-2"/>
          <w:sz w:val="24"/>
          <w:szCs w:val="24"/>
          <w:highlight w:val="none"/>
        </w:rPr>
        <w:t>清单）中的材料、工程设备单价发生变化时，由发包人按照实际变化调整，并列入合同</w:t>
      </w:r>
      <w:r>
        <w:rPr>
          <w:rFonts w:hint="eastAsia" w:ascii="宋体" w:hAnsi="宋体" w:eastAsia="宋体" w:cs="宋体"/>
          <w:color w:val="auto"/>
          <w:spacing w:val="-4"/>
          <w:sz w:val="24"/>
          <w:szCs w:val="24"/>
          <w:highlight w:val="none"/>
        </w:rPr>
        <w:t>价款。</w:t>
      </w:r>
    </w:p>
    <w:p w14:paraId="0E854E2A">
      <w:pPr>
        <w:spacing w:before="121" w:line="308" w:lineRule="auto"/>
        <w:ind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"2.3.6.4"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2.3.6.4</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本招标项目约定，施工机具台班单价涨跌风险幅度值</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3"/>
          <w:sz w:val="24"/>
          <w:szCs w:val="24"/>
          <w:highlight w:val="none"/>
        </w:rPr>
        <w:t>B</w:t>
      </w:r>
      <w:r>
        <w:rPr>
          <w:rFonts w:hint="eastAsia" w:ascii="宋体" w:hAnsi="宋体" w:eastAsia="宋体" w:cs="宋体"/>
          <w:color w:val="auto"/>
          <w:spacing w:val="-4"/>
          <w:sz w:val="24"/>
          <w:szCs w:val="24"/>
          <w:highlight w:val="none"/>
        </w:rPr>
        <w:t xml:space="preserve"> 为</w:t>
      </w:r>
      <w:r>
        <w:rPr>
          <w:rFonts w:hint="eastAsia" w:ascii="宋体" w:hAnsi="宋体" w:eastAsia="宋体" w:cs="宋体"/>
          <w:color w:val="auto"/>
          <w:spacing w:val="14"/>
          <w:sz w:val="24"/>
          <w:szCs w:val="24"/>
          <w:highlight w:val="none"/>
          <w:u w:val="single"/>
        </w:rPr>
        <w:t xml:space="preserve">  </w:t>
      </w:r>
      <w:r>
        <w:rPr>
          <w:rFonts w:hint="eastAsia" w:ascii="宋体" w:hAnsi="宋体" w:eastAsia="宋体" w:cs="宋体"/>
          <w:color w:val="auto"/>
          <w:spacing w:val="-4"/>
          <w:sz w:val="24"/>
          <w:szCs w:val="24"/>
          <w:highlight w:val="none"/>
          <w:u w:val="single"/>
        </w:rPr>
        <w:t xml:space="preserve">10%  </w:t>
      </w:r>
      <w:r>
        <w:rPr>
          <w:rFonts w:hint="eastAsia" w:ascii="宋体" w:hAnsi="宋体" w:eastAsia="宋体" w:cs="宋体"/>
          <w:color w:val="auto"/>
          <w:spacing w:val="-4"/>
          <w:sz w:val="24"/>
          <w:szCs w:val="24"/>
          <w:highlight w:val="none"/>
        </w:rPr>
        <w:t>。合同履行</w:t>
      </w:r>
      <w:r>
        <w:rPr>
          <w:rFonts w:hint="eastAsia" w:ascii="宋体" w:hAnsi="宋体" w:eastAsia="宋体" w:cs="宋体"/>
          <w:color w:val="auto"/>
          <w:spacing w:val="-7"/>
          <w:sz w:val="24"/>
          <w:szCs w:val="24"/>
          <w:highlight w:val="none"/>
        </w:rPr>
        <w:t>期间，当施工机具台班单价涨跌幅度等于或低于</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7"/>
          <w:sz w:val="24"/>
          <w:szCs w:val="24"/>
          <w:highlight w:val="none"/>
        </w:rPr>
        <w:t>B 值时，该施工机具台班单价不予调</w:t>
      </w:r>
      <w:r>
        <w:rPr>
          <w:rFonts w:hint="eastAsia" w:ascii="宋体" w:hAnsi="宋体" w:eastAsia="宋体" w:cs="宋体"/>
          <w:color w:val="auto"/>
          <w:spacing w:val="-8"/>
          <w:sz w:val="24"/>
          <w:szCs w:val="24"/>
          <w:highlight w:val="none"/>
        </w:rPr>
        <w:t>整；</w:t>
      </w:r>
      <w:r>
        <w:rPr>
          <w:rFonts w:hint="eastAsia" w:ascii="宋体" w:hAnsi="宋体" w:eastAsia="宋体" w:cs="宋体"/>
          <w:color w:val="auto"/>
          <w:sz w:val="24"/>
          <w:szCs w:val="24"/>
          <w:highlight w:val="none"/>
        </w:rPr>
        <w:t>超过</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z w:val="24"/>
          <w:szCs w:val="24"/>
          <w:highlight w:val="none"/>
        </w:rPr>
        <w:t>B 值时，其超过部分可以调整。相关费</w:t>
      </w:r>
      <w:r>
        <w:rPr>
          <w:rFonts w:hint="eastAsia" w:ascii="宋体" w:hAnsi="宋体" w:eastAsia="宋体" w:cs="宋体"/>
          <w:color w:val="auto"/>
          <w:spacing w:val="-1"/>
          <w:sz w:val="24"/>
          <w:szCs w:val="24"/>
          <w:highlight w:val="none"/>
        </w:rPr>
        <w:t>用按有关规定进行相应调整。</w:t>
      </w:r>
    </w:p>
    <w:p w14:paraId="56D691D2">
      <w:pPr>
        <w:spacing w:before="153" w:line="278" w:lineRule="auto"/>
        <w:ind w:left="42" w:right="59" w:firstLine="4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color w:val="auto"/>
          <w:spacing w:val="-1"/>
          <w:sz w:val="24"/>
          <w:szCs w:val="24"/>
          <w:highlight w:val="none"/>
        </w:rPr>
        <w:t>．如果承包人投标报价中施工机具台班单价（以下简称“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中标单价</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）低于基准</w:t>
      </w:r>
      <w:r>
        <w:rPr>
          <w:rFonts w:hint="eastAsia" w:ascii="宋体" w:hAnsi="宋体" w:eastAsia="宋体" w:cs="宋体"/>
          <w:color w:val="auto"/>
          <w:spacing w:val="-3"/>
          <w:sz w:val="24"/>
          <w:szCs w:val="24"/>
          <w:highlight w:val="none"/>
        </w:rPr>
        <w:t>日当月项目所在地工程造价管理机构发布的对应施工机具台班单价（以下简称“基准单</w:t>
      </w:r>
      <w:r>
        <w:rPr>
          <w:rFonts w:hint="eastAsia" w:ascii="宋体" w:hAnsi="宋体" w:eastAsia="宋体" w:cs="宋体"/>
          <w:color w:val="auto"/>
          <w:spacing w:val="-2"/>
          <w:sz w:val="24"/>
          <w:szCs w:val="24"/>
          <w:highlight w:val="none"/>
        </w:rPr>
        <w:t>价</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”），该施工机具台班的结算单价调整公式为：</w:t>
      </w:r>
    </w:p>
    <w:p w14:paraId="2EFEBCF0">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45" embosscolor="#FFFFFF" o:title=""/>
            <o:lock v:ext="edit" grouping="f" rotation="f" text="f" aspectratio="t"/>
            <w10:wrap type="none"/>
            <w10:anchorlock/>
          </v:shape>
          <o:OLEObject Type="Embed" ProgID="Equation.KSEE3" ShapeID="_x0000_i1031" DrawAspect="Content" ObjectID="_1468075731" r:id="rId44">
            <o:LockedField>false</o:LockedField>
          </o:OLEObject>
        </w:object>
      </w:r>
    </w:p>
    <w:p w14:paraId="05977695">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47" embosscolor="#FFFFFF" o:title=""/>
            <o:lock v:ext="edit" grouping="f" rotation="f" text="f" aspectratio="t"/>
            <w10:wrap type="none"/>
            <w10:anchorlock/>
          </v:shape>
          <o:OLEObject Type="Embed" ProgID="Equation.KSEE3" ShapeID="_x0000_i1032" DrawAspect="Content" ObjectID="_1468075732" r:id="rId46">
            <o:LockedField>false</o:LockedField>
          </o:OLEObject>
        </w:object>
      </w:r>
    </w:p>
    <w:p w14:paraId="60ECB2AB">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1397C7BC">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49" embosscolor="#FFFFFF" o:title=""/>
            <o:lock v:ext="edit" grouping="f" rotation="f" text="f" aspectratio="t"/>
            <w10:wrap type="none"/>
            <w10:anchorlock/>
          </v:shape>
          <o:OLEObject Type="Embed" ProgID="Equation.KSEE3" ShapeID="_x0000_i1033" DrawAspect="Content" ObjectID="_1468075733" r:id="rId48">
            <o:LockedField>false</o:LockedField>
          </o:OLEObject>
        </w:object>
      </w:r>
    </w:p>
    <w:p w14:paraId="7EAE322B">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51" embosscolor="#FFFFFF" o:title=""/>
            <o:lock v:ext="edit" grouping="f" rotation="f" text="f" aspectratio="t"/>
            <w10:wrap type="none"/>
            <w10:anchorlock/>
          </v:shape>
          <o:OLEObject Type="Embed" ProgID="Equation.KSEE3" ShapeID="_x0000_i1034" DrawAspect="Content" ObjectID="_1468075734" r:id="rId50">
            <o:LockedField>false</o:LockedField>
          </o:OLEObject>
        </w:object>
      </w:r>
    </w:p>
    <w:p w14:paraId="601355E0">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78ED18B4">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53" embosscolor="#FFFFFF" o:title=""/>
            <o:lock v:ext="edit" grouping="f" rotation="f" text="f" aspectratio="t"/>
            <w10:wrap type="none"/>
            <w10:anchorlock/>
          </v:shape>
          <o:OLEObject Type="Embed" ProgID="Equation.KSEE3" ShapeID="_x0000_i1035" DrawAspect="Content" ObjectID="_1468075735" r:id="rId52">
            <o:LockedField>false</o:LockedField>
          </o:OLEObject>
        </w:object>
      </w:r>
    </w:p>
    <w:p w14:paraId="11B28D87">
      <w:pPr>
        <w:spacing w:before="79" w:line="324" w:lineRule="auto"/>
        <w:ind w:left="11" w:right="65" w:firstLine="504"/>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55" embosscolor="#FFFFFF" o:title=""/>
            <o:lock v:ext="edit" grouping="f" rotation="f" text="f" aspectratio="t"/>
            <w10:wrap type="none"/>
            <w10:anchorlock/>
          </v:shape>
          <o:OLEObject Type="Embed" ProgID="Equation.KSEE3" ShapeID="_x0000_i1036" DrawAspect="Content" ObjectID="_1468075736" r:id="rId54">
            <o:LockedField>false</o:LockedField>
          </o:OLEObject>
        </w:object>
      </w:r>
    </w:p>
    <w:p w14:paraId="419E4FE0">
      <w:pPr>
        <w:spacing w:before="79" w:line="324" w:lineRule="auto"/>
        <w:ind w:left="11" w:right="65" w:firstLine="50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理机构发布的施工机具台班单价；B 为合同约定的施工机具台班单价</w:t>
      </w:r>
      <w:r>
        <w:rPr>
          <w:rFonts w:hint="eastAsia" w:ascii="宋体" w:hAnsi="宋体" w:eastAsia="宋体" w:cs="宋体"/>
          <w:color w:val="auto"/>
          <w:spacing w:val="-2"/>
          <w:sz w:val="24"/>
          <w:szCs w:val="24"/>
          <w:highlight w:val="none"/>
        </w:rPr>
        <w:t>涨跌风险幅度值。</w:t>
      </w:r>
    </w:p>
    <w:p w14:paraId="2203A1B8">
      <w:pPr>
        <w:spacing w:before="39" w:line="219"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2.3.7  </w:t>
      </w:r>
      <w:r>
        <w:rPr>
          <w:rFonts w:hint="eastAsia" w:ascii="宋体" w:hAnsi="宋体" w:eastAsia="宋体" w:cs="宋体"/>
          <w:color w:val="auto"/>
          <w:spacing w:val="-1"/>
          <w:sz w:val="24"/>
          <w:szCs w:val="24"/>
          <w:highlight w:val="none"/>
        </w:rPr>
        <w:t>暂估价和暂列金额</w:t>
      </w:r>
    </w:p>
    <w:p w14:paraId="07450170">
      <w:pPr>
        <w:spacing w:before="154" w:line="299" w:lineRule="auto"/>
        <w:ind w:left="7" w:right="57" w:firstLine="477"/>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2.3.7.1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snapToGrid w:val="0"/>
          <w:color w:val="auto"/>
          <w:kern w:val="0"/>
          <w:sz w:val="24"/>
          <w:szCs w:val="24"/>
          <w:highlight w:val="none"/>
          <w:lang w:eastAsia="zh-CN"/>
        </w:rPr>
        <w:t xml:space="preserve">暂估价项目按第一章第三节“投标人须知正文 ”第 </w:t>
      </w:r>
      <w:r>
        <w:rPr>
          <w:rFonts w:hint="eastAsia" w:ascii="宋体" w:hAnsi="宋体" w:eastAsia="宋体" w:cs="宋体"/>
          <w:b/>
          <w:bCs/>
          <w:snapToGrid w:val="0"/>
          <w:color w:val="auto"/>
          <w:kern w:val="0"/>
          <w:sz w:val="24"/>
          <w:szCs w:val="24"/>
          <w:highlight w:val="none"/>
          <w:lang w:eastAsia="zh-CN"/>
        </w:rPr>
        <w:t>8.5</w:t>
      </w:r>
      <w:r>
        <w:rPr>
          <w:rFonts w:hint="eastAsia" w:ascii="宋体" w:hAnsi="宋体" w:eastAsia="宋体" w:cs="宋体"/>
          <w:snapToGrid w:val="0"/>
          <w:color w:val="auto"/>
          <w:kern w:val="0"/>
          <w:sz w:val="24"/>
          <w:szCs w:val="24"/>
          <w:highlight w:val="none"/>
          <w:lang w:eastAsia="zh-CN"/>
        </w:rPr>
        <w:t xml:space="preserve"> 条的规定确定专业工程承包人（或材料供应商、工程设备供应商）后，将专业工程合同价款（或材料单价、工程设备单价）取代相应暂估价，并调整合同价款。</w:t>
      </w:r>
    </w:p>
    <w:p w14:paraId="73FF33E6">
      <w:pPr>
        <w:spacing w:before="153" w:line="315" w:lineRule="auto"/>
        <w:ind w:left="8" w:right="2" w:firstLine="476"/>
        <w:rPr>
          <w:rFonts w:hint="eastAsia" w:ascii="宋体" w:hAnsi="宋体" w:eastAsia="宋体" w:cs="宋体"/>
          <w:color w:val="auto"/>
          <w:spacing w:val="-3"/>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8"/>
          <w:sz w:val="24"/>
          <w:szCs w:val="24"/>
          <w:highlight w:val="none"/>
        </w:rPr>
        <w:t>2.3.7.2</w:t>
      </w:r>
      <w:r>
        <w:rPr>
          <w:rFonts w:hint="eastAsia" w:ascii="宋体" w:hAnsi="宋体" w:eastAsia="宋体" w:cs="宋体"/>
          <w:b/>
          <w:bCs/>
          <w:color w:val="auto"/>
          <w:spacing w:val="-8"/>
          <w:sz w:val="24"/>
          <w:szCs w:val="24"/>
          <w:highlight w:val="none"/>
        </w:rPr>
        <w:fldChar w:fldCharType="end"/>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暂列金额由发包人掌握和使用。暂列金额项目若有发</w:t>
      </w:r>
      <w:r>
        <w:rPr>
          <w:rFonts w:hint="eastAsia" w:ascii="宋体" w:hAnsi="宋体" w:eastAsia="宋体" w:cs="宋体"/>
          <w:color w:val="auto"/>
          <w:spacing w:val="-9"/>
          <w:sz w:val="24"/>
          <w:szCs w:val="24"/>
          <w:highlight w:val="none"/>
        </w:rPr>
        <w:t>生，按第一章第三节“投</w:t>
      </w:r>
      <w:r>
        <w:rPr>
          <w:rFonts w:hint="eastAsia" w:ascii="宋体" w:hAnsi="宋体" w:eastAsia="宋体" w:cs="宋体"/>
          <w:color w:val="auto"/>
          <w:spacing w:val="-5"/>
          <w:sz w:val="24"/>
          <w:szCs w:val="24"/>
          <w:highlight w:val="none"/>
        </w:rPr>
        <w:t>标人须知正文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5"/>
          <w:sz w:val="24"/>
          <w:szCs w:val="24"/>
          <w:highlight w:val="none"/>
        </w:rPr>
        <w:t xml:space="preserve">8.6 </w:t>
      </w:r>
      <w:r>
        <w:rPr>
          <w:rFonts w:hint="eastAsia" w:ascii="宋体" w:hAnsi="宋体" w:eastAsia="宋体" w:cs="宋体"/>
          <w:color w:val="auto"/>
          <w:spacing w:val="-5"/>
          <w:sz w:val="24"/>
          <w:szCs w:val="24"/>
          <w:highlight w:val="none"/>
        </w:rPr>
        <w:t>条的规定确定材料供应商（或工程设备供</w:t>
      </w:r>
      <w:r>
        <w:rPr>
          <w:rFonts w:hint="eastAsia" w:ascii="宋体" w:hAnsi="宋体" w:eastAsia="宋体" w:cs="宋体"/>
          <w:color w:val="auto"/>
          <w:spacing w:val="-6"/>
          <w:sz w:val="24"/>
          <w:szCs w:val="24"/>
          <w:highlight w:val="none"/>
        </w:rPr>
        <w:t>应商、服务供应商）后，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材料（或工程设备、服务）的合同价款从暂列金额中支付。暂列金额扣除已发生的暂列金额项目合同价款、已发生的合同约定调整因素出现时的调整价款、已发生的索赔以及</w:t>
      </w:r>
      <w:r>
        <w:rPr>
          <w:rFonts w:hint="eastAsia" w:ascii="宋体" w:hAnsi="宋体" w:eastAsia="宋体" w:cs="宋体"/>
          <w:color w:val="auto"/>
          <w:spacing w:val="-1"/>
          <w:sz w:val="24"/>
          <w:szCs w:val="24"/>
          <w:highlight w:val="none"/>
        </w:rPr>
        <w:t>现场签证确认等的费用后，余额（若有）归发包人所有。</w:t>
      </w:r>
    </w:p>
    <w:p w14:paraId="3313F8DF">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2.3.8</w:t>
      </w:r>
      <w:r>
        <w:rPr>
          <w:rFonts w:hint="eastAsia" w:ascii="宋体" w:hAnsi="宋体" w:eastAsia="宋体" w:cs="宋体"/>
          <w:color w:val="auto"/>
          <w:spacing w:val="-8"/>
          <w:sz w:val="24"/>
          <w:szCs w:val="24"/>
          <w:highlight w:val="none"/>
        </w:rPr>
        <w:t xml:space="preserve"> 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1A14D812">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w:t>
      </w:r>
      <w:r>
        <w:rPr>
          <w:rFonts w:hint="eastAsia" w:ascii="宋体" w:hAnsi="宋体" w:eastAsia="宋体" w:cs="宋体"/>
          <w:b/>
          <w:bCs/>
          <w:color w:val="auto"/>
          <w:spacing w:val="-8"/>
          <w:sz w:val="24"/>
          <w:szCs w:val="24"/>
          <w:highlight w:val="none"/>
          <w:lang w:val="en-US" w:eastAsia="zh-CN"/>
        </w:rPr>
        <w:t>9</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其余事项（如不可抗力、索赔、现场签证等）的调整原则按照《建设工程工程量清单计价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8"/>
          <w:sz w:val="24"/>
          <w:szCs w:val="24"/>
          <w:highlight w:val="none"/>
        </w:rPr>
        <w:t>》（GB50500—20</w:t>
      </w:r>
      <w:r>
        <w:rPr>
          <w:rFonts w:hint="eastAsia" w:ascii="宋体" w:hAnsi="宋体" w:eastAsia="宋体" w:cs="宋体"/>
          <w:color w:val="auto"/>
          <w:spacing w:val="-8"/>
          <w:sz w:val="24"/>
          <w:szCs w:val="24"/>
          <w:highlight w:val="none"/>
          <w:lang w:val="en-US" w:eastAsia="zh-CN"/>
        </w:rPr>
        <w:t>24</w:t>
      </w:r>
      <w:r>
        <w:rPr>
          <w:rFonts w:hint="eastAsia" w:ascii="宋体" w:hAnsi="宋体" w:eastAsia="宋体" w:cs="宋体"/>
          <w:color w:val="auto"/>
          <w:spacing w:val="-8"/>
          <w:sz w:val="24"/>
          <w:szCs w:val="24"/>
          <w:highlight w:val="none"/>
        </w:rPr>
        <w:t>）有关规定执行。</w:t>
      </w:r>
    </w:p>
    <w:p w14:paraId="13236EE1">
      <w:pPr>
        <w:spacing w:before="156" w:line="299" w:lineRule="auto"/>
        <w:ind w:left="12" w:right="65" w:firstLine="55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2.4  </w:t>
      </w:r>
      <w:r>
        <w:rPr>
          <w:rFonts w:hint="eastAsia" w:ascii="宋体" w:hAnsi="宋体" w:eastAsia="宋体" w:cs="宋体"/>
          <w:color w:val="auto"/>
          <w:sz w:val="24"/>
          <w:szCs w:val="24"/>
          <w:highlight w:val="none"/>
        </w:rPr>
        <w:t>凡将引起合同价款调增的事项，承包人必须于拟实施</w:t>
      </w:r>
      <w:r>
        <w:rPr>
          <w:rFonts w:hint="eastAsia" w:ascii="宋体" w:hAnsi="宋体" w:eastAsia="宋体" w:cs="宋体"/>
          <w:color w:val="auto"/>
          <w:spacing w:val="-31"/>
          <w:sz w:val="24"/>
          <w:szCs w:val="24"/>
          <w:highlight w:val="none"/>
        </w:rPr>
        <w:t xml:space="preserve"> </w:t>
      </w:r>
      <w:r>
        <w:rPr>
          <w:rFonts w:hint="eastAsia" w:ascii="宋体" w:hAnsi="宋体" w:eastAsia="宋体" w:cs="宋体"/>
          <w:color w:val="auto"/>
          <w:sz w:val="24"/>
          <w:szCs w:val="24"/>
          <w:highlight w:val="none"/>
        </w:rPr>
        <w:t>14</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z w:val="24"/>
          <w:szCs w:val="24"/>
          <w:highlight w:val="none"/>
        </w:rPr>
        <w:t>天前，将详细的</w:t>
      </w:r>
      <w:r>
        <w:rPr>
          <w:rFonts w:hint="eastAsia" w:ascii="宋体" w:hAnsi="宋体" w:eastAsia="宋体" w:cs="宋体"/>
          <w:color w:val="auto"/>
          <w:spacing w:val="-1"/>
          <w:sz w:val="24"/>
          <w:szCs w:val="24"/>
          <w:highlight w:val="none"/>
        </w:rPr>
        <w:t>报价</w:t>
      </w:r>
      <w:r>
        <w:rPr>
          <w:rFonts w:hint="eastAsia" w:ascii="宋体" w:hAnsi="宋体" w:eastAsia="宋体" w:cs="宋体"/>
          <w:color w:val="auto"/>
          <w:spacing w:val="-2"/>
          <w:sz w:val="24"/>
          <w:szCs w:val="24"/>
          <w:highlight w:val="none"/>
        </w:rPr>
        <w:t>书（含拟实施项目名称、变更部位、理由、预计造价等）报监理单位审核和发包人批准后方可实施。</w:t>
      </w:r>
    </w:p>
    <w:p w14:paraId="6D92B8A8">
      <w:pPr>
        <w:spacing w:before="153" w:line="279" w:lineRule="auto"/>
        <w:ind w:left="9" w:right="102"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承包人不得以不完全了解现场情况为理由，提出额外付</w:t>
      </w:r>
      <w:r>
        <w:rPr>
          <w:rFonts w:hint="eastAsia" w:ascii="宋体" w:hAnsi="宋体" w:eastAsia="宋体" w:cs="宋体"/>
          <w:color w:val="auto"/>
          <w:sz w:val="24"/>
          <w:szCs w:val="24"/>
          <w:highlight w:val="none"/>
        </w:rPr>
        <w:t>款或延长工期等要求。</w:t>
      </w:r>
      <w:r>
        <w:rPr>
          <w:rFonts w:hint="eastAsia" w:ascii="宋体" w:hAnsi="宋体" w:eastAsia="宋体" w:cs="宋体"/>
          <w:color w:val="auto"/>
          <w:spacing w:val="-1"/>
          <w:sz w:val="24"/>
          <w:szCs w:val="24"/>
          <w:highlight w:val="none"/>
        </w:rPr>
        <w:t>对此类要求，发包人不作任何考虑及答复。</w:t>
      </w:r>
    </w:p>
    <w:p w14:paraId="1C6774BB">
      <w:pPr>
        <w:spacing w:before="154" w:line="279" w:lineRule="auto"/>
        <w:ind w:left="10" w:right="63"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2.6 </w:t>
      </w:r>
      <w:r>
        <w:rPr>
          <w:rFonts w:hint="eastAsia" w:ascii="宋体" w:hAnsi="宋体" w:eastAsia="宋体" w:cs="宋体"/>
          <w:color w:val="auto"/>
          <w:spacing w:val="2"/>
          <w:sz w:val="24"/>
          <w:szCs w:val="24"/>
          <w:highlight w:val="none"/>
        </w:rPr>
        <w:t>承包人已标价工程量清单中漏报、错报或少报的清单项目</w:t>
      </w:r>
      <w:r>
        <w:rPr>
          <w:rFonts w:hint="eastAsia" w:ascii="宋体" w:hAnsi="宋体" w:eastAsia="宋体" w:cs="宋体"/>
          <w:color w:val="auto"/>
          <w:spacing w:val="1"/>
          <w:sz w:val="24"/>
          <w:szCs w:val="24"/>
          <w:highlight w:val="none"/>
        </w:rPr>
        <w:t>，其价格均视为已经</w:t>
      </w:r>
      <w:r>
        <w:rPr>
          <w:rFonts w:hint="eastAsia" w:ascii="宋体" w:hAnsi="宋体" w:eastAsia="宋体" w:cs="宋体"/>
          <w:color w:val="auto"/>
          <w:spacing w:val="-1"/>
          <w:sz w:val="24"/>
          <w:szCs w:val="24"/>
          <w:highlight w:val="none"/>
        </w:rPr>
        <w:t>包含在其它清单项目中，竣工结算时不得重新组价和调整。</w:t>
      </w:r>
    </w:p>
    <w:p w14:paraId="761E818F">
      <w:pPr>
        <w:spacing w:before="155" w:line="299" w:lineRule="auto"/>
        <w:ind w:left="12" w:right="65"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2.7  </w:t>
      </w:r>
      <w:r>
        <w:rPr>
          <w:rFonts w:hint="eastAsia" w:ascii="宋体" w:hAnsi="宋体" w:eastAsia="宋体" w:cs="宋体"/>
          <w:color w:val="auto"/>
          <w:sz w:val="24"/>
          <w:szCs w:val="24"/>
          <w:highlight w:val="none"/>
        </w:rPr>
        <w:t>项目完工后，发、承包双方和受其委托具备相应资质的工程造价咨询单位必须</w:t>
      </w:r>
      <w:r>
        <w:rPr>
          <w:rFonts w:hint="eastAsia" w:ascii="宋体" w:hAnsi="宋体" w:eastAsia="宋体" w:cs="宋体"/>
          <w:color w:val="auto"/>
          <w:spacing w:val="-1"/>
          <w:sz w:val="24"/>
          <w:szCs w:val="24"/>
          <w:highlight w:val="none"/>
        </w:rPr>
        <w:t>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）和国家、省、市的有关规定</w:t>
      </w:r>
      <w:r>
        <w:rPr>
          <w:rFonts w:hint="eastAsia" w:ascii="宋体" w:hAnsi="宋体" w:eastAsia="宋体" w:cs="宋体"/>
          <w:color w:val="auto"/>
          <w:spacing w:val="-2"/>
          <w:sz w:val="24"/>
          <w:szCs w:val="24"/>
          <w:highlight w:val="none"/>
        </w:rPr>
        <w:t>办理竣工结算。</w:t>
      </w:r>
    </w:p>
    <w:p w14:paraId="6404574C">
      <w:pPr>
        <w:spacing w:before="152" w:line="319" w:lineRule="auto"/>
        <w:ind w:left="8" w:right="38" w:firstLine="55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2.8  </w:t>
      </w:r>
      <w:r>
        <w:rPr>
          <w:rFonts w:hint="eastAsia" w:ascii="宋体" w:hAnsi="宋体" w:eastAsia="宋体" w:cs="宋体"/>
          <w:color w:val="auto"/>
          <w:spacing w:val="-1"/>
          <w:sz w:val="24"/>
          <w:szCs w:val="24"/>
          <w:highlight w:val="none"/>
        </w:rPr>
        <w:t>承包人已标价工程量清单中没有的材料（或工程设备</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1"/>
          <w:sz w:val="24"/>
          <w:szCs w:val="24"/>
          <w:highlight w:val="none"/>
        </w:rPr>
        <w:t>承包人在使</w:t>
      </w:r>
      <w:r>
        <w:rPr>
          <w:rFonts w:hint="eastAsia" w:ascii="宋体" w:hAnsi="宋体" w:eastAsia="宋体" w:cs="宋体"/>
          <w:color w:val="auto"/>
          <w:spacing w:val="-2"/>
          <w:sz w:val="24"/>
          <w:szCs w:val="24"/>
          <w:highlight w:val="none"/>
        </w:rPr>
        <w:t>用前必须</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将材料（或工程设备）样板、材料合格证明（或产品合格证书）、材料（或工程设备）检验报告提交给监理单位和发包人审核。发</w:t>
      </w:r>
      <w:r>
        <w:rPr>
          <w:rFonts w:hint="eastAsia" w:ascii="宋体" w:hAnsi="宋体" w:eastAsia="宋体" w:cs="宋体"/>
          <w:color w:val="auto"/>
          <w:spacing w:val="-2"/>
          <w:sz w:val="24"/>
          <w:szCs w:val="24"/>
          <w:highlight w:val="none"/>
        </w:rPr>
        <w:t>包人审定并确定价格后，承包人方可采购和</w:t>
      </w:r>
      <w:r>
        <w:rPr>
          <w:rFonts w:hint="eastAsia" w:ascii="宋体" w:hAnsi="宋体" w:eastAsia="宋体" w:cs="宋体"/>
          <w:color w:val="auto"/>
          <w:spacing w:val="-1"/>
          <w:sz w:val="24"/>
          <w:szCs w:val="24"/>
          <w:highlight w:val="none"/>
        </w:rPr>
        <w:t>使用。如果在交货验收和使用过程中发现货</w:t>
      </w:r>
      <w:r>
        <w:rPr>
          <w:rFonts w:hint="eastAsia" w:ascii="宋体" w:hAnsi="宋体" w:eastAsia="宋体" w:cs="宋体"/>
          <w:color w:val="auto"/>
          <w:spacing w:val="-2"/>
          <w:sz w:val="24"/>
          <w:szCs w:val="24"/>
          <w:highlight w:val="none"/>
        </w:rPr>
        <w:t>不对板，监理单位和发包人有权拒用，并要</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求承包人立即进行更换。更换后的材料（或</w:t>
      </w:r>
      <w:r>
        <w:rPr>
          <w:rFonts w:hint="eastAsia" w:ascii="宋体" w:hAnsi="宋体" w:eastAsia="宋体" w:cs="宋体"/>
          <w:color w:val="auto"/>
          <w:spacing w:val="-2"/>
          <w:sz w:val="24"/>
          <w:szCs w:val="24"/>
          <w:highlight w:val="none"/>
        </w:rPr>
        <w:t>工程设备）应再次进行检查和检验。由此增</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加的费用和（或）工期延误由承包人承担。</w:t>
      </w:r>
    </w:p>
    <w:p w14:paraId="623BFEFE">
      <w:pPr>
        <w:spacing w:before="152" w:line="319" w:lineRule="auto"/>
        <w:ind w:left="8" w:right="38" w:firstLine="55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2.9 </w:t>
      </w:r>
      <w:r>
        <w:rPr>
          <w:rFonts w:hint="eastAsia" w:ascii="宋体" w:hAnsi="宋体" w:eastAsia="宋体" w:cs="宋体"/>
          <w:color w:val="auto"/>
          <w:spacing w:val="-1"/>
          <w:sz w:val="24"/>
          <w:szCs w:val="24"/>
          <w:highlight w:val="none"/>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w:t>
      </w:r>
      <w:r>
        <w:rPr>
          <w:rFonts w:hint="eastAsia" w:ascii="宋体" w:hAnsi="宋体" w:eastAsia="宋体" w:cs="宋体"/>
          <w:color w:val="auto"/>
          <w:spacing w:val="-1"/>
          <w:sz w:val="24"/>
          <w:szCs w:val="24"/>
          <w:highlight w:val="none"/>
          <w:lang w:val="en-US" w:eastAsia="zh-CN"/>
        </w:rPr>
        <w:t>造价通、</w:t>
      </w:r>
      <w:r>
        <w:rPr>
          <w:rFonts w:hint="eastAsia" w:ascii="宋体" w:hAnsi="宋体" w:eastAsia="宋体" w:cs="宋体"/>
          <w:color w:val="auto"/>
          <w:spacing w:val="-1"/>
          <w:sz w:val="24"/>
          <w:szCs w:val="24"/>
          <w:highlight w:val="none"/>
        </w:rPr>
        <w:t>电商平台价格（优先从京东、国美、苏宁等大型电商平台查询取其平均价）；若以上方式均无法确定材料价格 的，则采用厂商报价或市场询价等方式取得有合法依据的市场价格，报发包人确认。</w:t>
      </w:r>
    </w:p>
    <w:p w14:paraId="5DDA4611">
      <w:pPr>
        <w:pStyle w:val="29"/>
        <w:snapToGrid w:val="0"/>
        <w:spacing w:line="440" w:lineRule="exact"/>
        <w:ind w:firstLine="480"/>
        <w:jc w:val="both"/>
        <w:outlineLvl w:val="2"/>
        <w:rPr>
          <w:rStyle w:val="20"/>
          <w:rFonts w:hint="eastAsia" w:ascii="宋体" w:hAnsi="宋体" w:eastAsia="宋体" w:cs="宋体"/>
          <w:b/>
          <w:bCs/>
          <w:color w:val="auto"/>
          <w:sz w:val="24"/>
          <w:szCs w:val="24"/>
          <w:highlight w:val="none"/>
        </w:rPr>
      </w:pPr>
      <w:bookmarkStart w:id="163" w:name="_Toc20570"/>
      <w:bookmarkStart w:id="164" w:name="_Toc1816"/>
      <w:r>
        <w:rPr>
          <w:rStyle w:val="20"/>
          <w:rFonts w:hint="eastAsia" w:ascii="宋体" w:hAnsi="宋体" w:eastAsia="宋体" w:cs="宋体"/>
          <w:b/>
          <w:bCs/>
          <w:color w:val="auto"/>
          <w:sz w:val="24"/>
          <w:szCs w:val="24"/>
          <w:highlight w:val="none"/>
        </w:rPr>
        <w:t>3. 工程付款办法</w:t>
      </w:r>
      <w:bookmarkEnd w:id="163"/>
      <w:bookmarkEnd w:id="164"/>
    </w:p>
    <w:p w14:paraId="700B0E9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3.1</w:t>
      </w:r>
      <w:r>
        <w:rPr>
          <w:rFonts w:hint="eastAsia" w:ascii="宋体" w:hAnsi="宋体" w:eastAsia="宋体" w:cs="宋体"/>
          <w:snapToGrid w:val="0"/>
          <w:color w:val="auto"/>
          <w:kern w:val="0"/>
          <w:sz w:val="24"/>
          <w:szCs w:val="20"/>
          <w:highlight w:val="none"/>
          <w:lang w:eastAsia="zh-CN"/>
        </w:rPr>
        <w:t xml:space="preserve"> 本工程 </w:t>
      </w:r>
      <w:r>
        <w:rPr>
          <w:rFonts w:hint="eastAsia" w:ascii="宋体" w:hAnsi="宋体" w:eastAsia="宋体" w:cs="宋体"/>
          <w:snapToGrid w:val="0"/>
          <w:color w:val="auto"/>
          <w:kern w:val="0"/>
          <w:sz w:val="24"/>
          <w:szCs w:val="20"/>
          <w:highlight w:val="none"/>
          <w:u w:val="single"/>
          <w:lang w:eastAsia="zh-CN"/>
        </w:rPr>
        <w:t>支付</w:t>
      </w:r>
      <w:r>
        <w:rPr>
          <w:rFonts w:hint="eastAsia" w:ascii="宋体" w:hAnsi="宋体" w:eastAsia="宋体" w:cs="宋体"/>
          <w:snapToGrid w:val="0"/>
          <w:color w:val="auto"/>
          <w:kern w:val="0"/>
          <w:sz w:val="24"/>
          <w:szCs w:val="20"/>
          <w:highlight w:val="none"/>
          <w:lang w:eastAsia="zh-CN"/>
        </w:rPr>
        <w:t xml:space="preserve"> 施工预付款。</w:t>
      </w:r>
    </w:p>
    <w:p w14:paraId="48B832B0">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snapToGrid w:val="0"/>
          <w:color w:val="auto"/>
          <w:kern w:val="0"/>
          <w:sz w:val="24"/>
          <w:szCs w:val="20"/>
          <w:highlight w:val="none"/>
          <w:lang w:eastAsia="zh-CN"/>
        </w:rPr>
        <w:t xml:space="preserve"> 施工预付款必须专用于合同工程，并按以下原则支付和抵扣：</w:t>
      </w:r>
    </w:p>
    <w:p w14:paraId="207970D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3.2.1</w:t>
      </w:r>
      <w:r>
        <w:rPr>
          <w:rFonts w:hint="eastAsia" w:ascii="宋体" w:hAnsi="宋体" w:eastAsia="宋体" w:cs="宋体"/>
          <w:snapToGrid w:val="0"/>
          <w:color w:val="auto"/>
          <w:kern w:val="0"/>
          <w:sz w:val="24"/>
          <w:szCs w:val="20"/>
          <w:highlight w:val="none"/>
          <w:lang w:eastAsia="zh-CN"/>
        </w:rPr>
        <w:t xml:space="preserve"> 施工预付款支付比例为：按施工合同价（暂列金额、专业工程暂估价、安全生产措施费除外）的 30% 支付。</w:t>
      </w:r>
    </w:p>
    <w:p w14:paraId="751D5DD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3.2.2</w:t>
      </w:r>
      <w:r>
        <w:rPr>
          <w:rFonts w:hint="eastAsia" w:ascii="宋体" w:hAnsi="宋体" w:eastAsia="宋体" w:cs="宋体"/>
          <w:snapToGrid w:val="0"/>
          <w:color w:val="auto"/>
          <w:kern w:val="0"/>
          <w:sz w:val="24"/>
          <w:szCs w:val="20"/>
          <w:highlight w:val="none"/>
          <w:lang w:eastAsia="zh-CN"/>
        </w:rPr>
        <w:t xml:space="preserve"> 本招标项目</w:t>
      </w:r>
      <w:r>
        <w:rPr>
          <w:rFonts w:hint="eastAsia" w:ascii="宋体" w:hAnsi="宋体" w:eastAsia="宋体" w:cs="宋体"/>
          <w:b/>
          <w:bCs/>
          <w:snapToGrid w:val="0"/>
          <w:color w:val="auto"/>
          <w:kern w:val="0"/>
          <w:sz w:val="24"/>
          <w:szCs w:val="20"/>
          <w:highlight w:val="none"/>
          <w:u w:val="single"/>
          <w:lang w:eastAsia="zh-CN"/>
        </w:rPr>
        <w:t xml:space="preserve"> </w:t>
      </w:r>
      <w:r>
        <w:rPr>
          <w:rFonts w:hint="eastAsia" w:ascii="宋体" w:hAnsi="宋体" w:eastAsia="宋体" w:cs="宋体"/>
          <w:b/>
          <w:bCs/>
          <w:snapToGrid w:val="0"/>
          <w:color w:val="auto"/>
          <w:kern w:val="0"/>
          <w:sz w:val="24"/>
          <w:szCs w:val="20"/>
          <w:highlight w:val="none"/>
          <w:u w:val="single"/>
          <w:lang w:val="en-US" w:eastAsia="zh-CN"/>
        </w:rPr>
        <w:t>不</w:t>
      </w:r>
      <w:r>
        <w:rPr>
          <w:rFonts w:hint="eastAsia" w:ascii="宋体" w:hAnsi="宋体" w:eastAsia="宋体" w:cs="宋体"/>
          <w:b/>
          <w:bCs/>
          <w:snapToGrid w:val="0"/>
          <w:color w:val="auto"/>
          <w:kern w:val="0"/>
          <w:sz w:val="24"/>
          <w:szCs w:val="20"/>
          <w:highlight w:val="none"/>
          <w:u w:val="single"/>
          <w:lang w:eastAsia="zh-CN"/>
        </w:rPr>
        <w:t xml:space="preserve">要求 </w:t>
      </w:r>
      <w:r>
        <w:rPr>
          <w:rFonts w:hint="eastAsia" w:ascii="宋体" w:hAnsi="宋体" w:eastAsia="宋体" w:cs="宋体"/>
          <w:snapToGrid w:val="0"/>
          <w:color w:val="auto"/>
          <w:kern w:val="0"/>
          <w:sz w:val="24"/>
          <w:szCs w:val="20"/>
          <w:highlight w:val="none"/>
          <w:lang w:eastAsia="zh-CN"/>
        </w:rPr>
        <w:t>承包人提供与预付款等额的预付款保函。</w:t>
      </w:r>
    </w:p>
    <w:p w14:paraId="3205B6D0">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3.2.3</w:t>
      </w:r>
      <w:r>
        <w:rPr>
          <w:rFonts w:hint="eastAsia" w:ascii="宋体" w:hAnsi="宋体" w:eastAsia="宋体" w:cs="宋体"/>
          <w:snapToGrid w:val="0"/>
          <w:color w:val="auto"/>
          <w:kern w:val="0"/>
          <w:sz w:val="24"/>
          <w:szCs w:val="20"/>
          <w:highlight w:val="none"/>
          <w:lang w:eastAsia="zh-CN"/>
        </w:rPr>
        <w:t xml:space="preserve"> 承包人应在签订合同后，</w:t>
      </w:r>
      <w:r>
        <w:rPr>
          <w:rFonts w:hint="eastAsia" w:ascii="宋体" w:hAnsi="宋体" w:eastAsia="宋体" w:cs="宋体"/>
          <w:b/>
          <w:bCs/>
          <w:snapToGrid w:val="0"/>
          <w:color w:val="auto"/>
          <w:kern w:val="0"/>
          <w:sz w:val="24"/>
          <w:szCs w:val="20"/>
          <w:highlight w:val="none"/>
          <w:lang w:eastAsia="zh-CN"/>
        </w:rPr>
        <w:t>在提供符合要求的预付款保函或预付款保险</w:t>
      </w:r>
      <w:r>
        <w:rPr>
          <w:rFonts w:hint="eastAsia" w:ascii="宋体" w:hAnsi="宋体" w:eastAsia="宋体" w:cs="宋体"/>
          <w:snapToGrid w:val="0"/>
          <w:color w:val="auto"/>
          <w:kern w:val="0"/>
          <w:sz w:val="24"/>
          <w:szCs w:val="20"/>
          <w:highlight w:val="none"/>
          <w:lang w:eastAsia="zh-CN"/>
        </w:rPr>
        <w:t>及具备施工条件的前提下，向发包人提交预付款支付申请。发包人应对在收到支付申请的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天内进行核实后向承包人发出预付款支付证书，并在签发支付证书后的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天内向承包人支付预付款。凡未签订合同或不具备施工条件的工程，发包人不得预付工程款。</w:t>
      </w:r>
    </w:p>
    <w:p w14:paraId="4D18566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b/>
          <w:bCs/>
          <w:snapToGrid w:val="0"/>
          <w:color w:val="auto"/>
          <w:kern w:val="0"/>
          <w:sz w:val="24"/>
          <w:szCs w:val="20"/>
          <w:highlight w:val="none"/>
          <w:lang w:val="en-US" w:eastAsia="zh-CN"/>
        </w:rPr>
        <w:t>4</w:t>
      </w:r>
      <w:r>
        <w:rPr>
          <w:rFonts w:hint="eastAsia" w:ascii="宋体" w:hAnsi="宋体" w:eastAsia="宋体" w:cs="宋体"/>
          <w:snapToGrid w:val="0"/>
          <w:color w:val="auto"/>
          <w:kern w:val="0"/>
          <w:sz w:val="24"/>
          <w:szCs w:val="20"/>
          <w:highlight w:val="none"/>
          <w:lang w:eastAsia="zh-CN"/>
        </w:rPr>
        <w:t xml:space="preserve"> 发包人没有按时支付预付款的，承包人可催告发包人支付；发包人在付款期满后的 7 天内仍未支付的，承包人可在付款期满后的第 8 天起暂停施工。发包人应向承包人支付应付款的利息（从付款期满后之日起计算，利率按同期银行贷款利率计算），并承担违约责任。</w:t>
      </w:r>
    </w:p>
    <w:p w14:paraId="7338FAE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val="en-US" w:eastAsia="zh-CN"/>
        </w:rPr>
        <w:t>3.2.5</w:t>
      </w:r>
      <w:r>
        <w:rPr>
          <w:rFonts w:hint="eastAsia" w:ascii="宋体" w:hAnsi="宋体" w:eastAsia="宋体" w:cs="宋体"/>
          <w:snapToGrid w:val="0"/>
          <w:color w:val="auto"/>
          <w:kern w:val="0"/>
          <w:sz w:val="24"/>
          <w:szCs w:val="20"/>
          <w:highlight w:val="none"/>
          <w:lang w:val="en-US" w:eastAsia="zh-CN"/>
        </w:rPr>
        <w:t xml:space="preserve"> 预付款将从应付的工程进度款中扣回，在预付款全部扣完之前，发包人不再向承包人支付任何工程进度款。</w:t>
      </w:r>
    </w:p>
    <w:p w14:paraId="070C0CBD">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3.3</w:t>
      </w:r>
      <w:r>
        <w:rPr>
          <w:rFonts w:hint="eastAsia" w:ascii="宋体" w:hAnsi="宋体" w:eastAsia="宋体" w:cs="宋体"/>
          <w:snapToGrid w:val="0"/>
          <w:color w:val="auto"/>
          <w:kern w:val="0"/>
          <w:sz w:val="24"/>
          <w:szCs w:val="20"/>
          <w:highlight w:val="none"/>
          <w:lang w:eastAsia="zh-CN"/>
        </w:rPr>
        <w:t xml:space="preserve"> 施工过程中按月支付工程进度款：承包人每月按工程实际完成工程量（含变更及增加工程）申报，承包人必须将《已完成工程量报表》和《工程付款申请书》于当月26 日前报监理单位核实。经监理单位审核、发包人审定后的工程进度款（指已经按照合同约定，扣除该支付期内因承包人违约而应扣除的管理费），于申报次月支付。</w:t>
      </w:r>
    </w:p>
    <w:p w14:paraId="75B9AF6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3.4</w:t>
      </w:r>
      <w:r>
        <w:rPr>
          <w:rFonts w:hint="eastAsia" w:ascii="宋体" w:hAnsi="宋体" w:eastAsia="宋体" w:cs="宋体"/>
          <w:snapToGrid w:val="0"/>
          <w:color w:val="auto"/>
          <w:kern w:val="0"/>
          <w:sz w:val="24"/>
          <w:szCs w:val="20"/>
          <w:highlight w:val="none"/>
          <w:lang w:eastAsia="zh-CN"/>
        </w:rPr>
        <w:t xml:space="preserve"> 每月的工程进度款按工程实际完成工程量的 80% 申请支付，工程进度款中的作业工人工资款项由发包人单独足额拨付到承包人的工资专户。</w:t>
      </w:r>
    </w:p>
    <w:p w14:paraId="3A73F845">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5</w:t>
      </w:r>
      <w:r>
        <w:rPr>
          <w:rFonts w:hint="eastAsia" w:ascii="宋体" w:hAnsi="宋体" w:eastAsia="宋体" w:cs="宋体"/>
          <w:snapToGrid w:val="0"/>
          <w:color w:val="auto"/>
          <w:kern w:val="0"/>
          <w:sz w:val="24"/>
          <w:szCs w:val="20"/>
          <w:highlight w:val="none"/>
          <w:lang w:eastAsia="zh-CN"/>
        </w:rPr>
        <w:t xml:space="preserve"> 措施项目费中的“</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”拨付按照《广东省建设工程计价依据（20</w:t>
      </w:r>
      <w:r>
        <w:rPr>
          <w:rFonts w:hint="eastAsia" w:ascii="宋体" w:hAnsi="宋体" w:eastAsia="宋体" w:cs="宋体"/>
          <w:snapToGrid w:val="0"/>
          <w:color w:val="auto"/>
          <w:kern w:val="0"/>
          <w:sz w:val="24"/>
          <w:szCs w:val="20"/>
          <w:highlight w:val="none"/>
          <w:lang w:val="en-US" w:eastAsia="zh-CN"/>
        </w:rPr>
        <w:t>24</w:t>
      </w:r>
      <w:r>
        <w:rPr>
          <w:rFonts w:hint="eastAsia" w:ascii="宋体" w:hAnsi="宋体" w:eastAsia="宋体" w:cs="宋体"/>
          <w:snapToGrid w:val="0"/>
          <w:color w:val="auto"/>
          <w:kern w:val="0"/>
          <w:sz w:val="24"/>
          <w:szCs w:val="20"/>
          <w:highlight w:val="none"/>
          <w:lang w:eastAsia="zh-CN"/>
        </w:rPr>
        <w:t>）》执行，按照项目所在地的建设行政主管部门有关规定支付。发生一般事故及以上等级重大安全事故的，发包人可扣除承包人金额相当于所有“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”的工程管理费。</w:t>
      </w:r>
    </w:p>
    <w:p w14:paraId="738F555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6</w:t>
      </w:r>
      <w:r>
        <w:rPr>
          <w:rFonts w:hint="eastAsia" w:ascii="宋体" w:hAnsi="宋体" w:eastAsia="宋体" w:cs="宋体"/>
          <w:snapToGrid w:val="0"/>
          <w:color w:val="auto"/>
          <w:kern w:val="0"/>
          <w:sz w:val="24"/>
          <w:szCs w:val="20"/>
          <w:highlight w:val="none"/>
          <w:lang w:eastAsia="zh-CN"/>
        </w:rPr>
        <w:t xml:space="preserve"> 变更工程造价必须经监理单位核实，并经发包人核定后方可支付。</w:t>
      </w:r>
    </w:p>
    <w:p w14:paraId="29EEE166">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 xml:space="preserve"> 结算审核完成后，</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支付至合同价格的97%，剩余3%转为质量保证金；承包人提交了等额质量保证担保或质量保证保险的，</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一次性结清合同价格。</w:t>
      </w:r>
    </w:p>
    <w:p w14:paraId="35128F0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8</w:t>
      </w:r>
      <w:r>
        <w:rPr>
          <w:rFonts w:hint="eastAsia" w:ascii="宋体" w:hAnsi="宋体" w:eastAsia="宋体" w:cs="宋体"/>
          <w:snapToGrid w:val="0"/>
          <w:color w:val="auto"/>
          <w:kern w:val="0"/>
          <w:sz w:val="24"/>
          <w:szCs w:val="20"/>
          <w:highlight w:val="none"/>
          <w:lang w:eastAsia="zh-CN"/>
        </w:rPr>
        <w:t>本招标项目缺陷责任期为</w:t>
      </w:r>
      <w:r>
        <w:rPr>
          <w:rFonts w:hint="eastAsia" w:ascii="宋体" w:hAnsi="宋体" w:eastAsia="宋体" w:cs="宋体"/>
          <w:snapToGrid w:val="0"/>
          <w:color w:val="auto"/>
          <w:kern w:val="0"/>
          <w:sz w:val="24"/>
          <w:szCs w:val="20"/>
          <w:highlight w:val="none"/>
          <w:u w:val="single"/>
          <w:lang w:val="en-US" w:eastAsia="zh-CN"/>
        </w:rPr>
        <w:t>2</w:t>
      </w:r>
      <w:r>
        <w:rPr>
          <w:rFonts w:hint="eastAsia" w:ascii="宋体" w:hAnsi="宋体" w:eastAsia="宋体" w:cs="宋体"/>
          <w:snapToGrid w:val="0"/>
          <w:color w:val="auto"/>
          <w:kern w:val="0"/>
          <w:sz w:val="24"/>
          <w:szCs w:val="20"/>
          <w:highlight w:val="none"/>
          <w:lang w:eastAsia="zh-CN"/>
        </w:rPr>
        <w:t xml:space="preserve"> 年（自通过竣工验收之日起计）。缺陷责任期到期后，承包人向发包人申请退还质量保证。发包人收到退还申请后，于</w:t>
      </w:r>
      <w:r>
        <w:rPr>
          <w:rFonts w:hint="eastAsia" w:ascii="宋体" w:hAnsi="宋体" w:eastAsia="宋体" w:cs="宋体"/>
          <w:snapToGrid w:val="0"/>
          <w:color w:val="auto"/>
          <w:kern w:val="0"/>
          <w:sz w:val="24"/>
          <w:szCs w:val="20"/>
          <w:highlight w:val="none"/>
          <w:u w:val="single"/>
          <w:lang w:eastAsia="zh-CN"/>
        </w:rPr>
        <w:t>14</w:t>
      </w:r>
      <w:r>
        <w:rPr>
          <w:rFonts w:hint="eastAsia" w:ascii="宋体" w:hAnsi="宋体" w:eastAsia="宋体" w:cs="宋体"/>
          <w:snapToGrid w:val="0"/>
          <w:color w:val="auto"/>
          <w:kern w:val="0"/>
          <w:sz w:val="24"/>
          <w:szCs w:val="20"/>
          <w:highlight w:val="none"/>
          <w:lang w:eastAsia="zh-CN"/>
        </w:rPr>
        <w:t>天内会同承包人进行核实。经双方核实且均无异议后，发包人在核实之日起</w:t>
      </w:r>
      <w:r>
        <w:rPr>
          <w:rFonts w:hint="eastAsia" w:ascii="宋体" w:hAnsi="宋体" w:eastAsia="宋体" w:cs="宋体"/>
          <w:snapToGrid w:val="0"/>
          <w:color w:val="auto"/>
          <w:kern w:val="0"/>
          <w:sz w:val="24"/>
          <w:szCs w:val="20"/>
          <w:highlight w:val="none"/>
          <w:u w:val="single"/>
          <w:lang w:eastAsia="zh-CN"/>
        </w:rPr>
        <w:t xml:space="preserve"> 14 </w:t>
      </w:r>
      <w:r>
        <w:rPr>
          <w:rFonts w:hint="eastAsia" w:ascii="宋体" w:hAnsi="宋体" w:eastAsia="宋体" w:cs="宋体"/>
          <w:snapToGrid w:val="0"/>
          <w:color w:val="auto"/>
          <w:kern w:val="0"/>
          <w:sz w:val="24"/>
          <w:szCs w:val="20"/>
          <w:highlight w:val="none"/>
          <w:lang w:eastAsia="zh-CN"/>
        </w:rPr>
        <w:t>天内将应返保证金（或银行保函）退还承包人。</w:t>
      </w:r>
    </w:p>
    <w:p w14:paraId="7B410B9A">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3.9</w:t>
      </w:r>
      <w:r>
        <w:rPr>
          <w:rFonts w:hint="eastAsia" w:ascii="宋体" w:hAnsi="宋体" w:eastAsia="宋体" w:cs="宋体"/>
          <w:snapToGrid w:val="0"/>
          <w:color w:val="auto"/>
          <w:kern w:val="0"/>
          <w:sz w:val="24"/>
          <w:szCs w:val="20"/>
          <w:highlight w:val="none"/>
          <w:lang w:eastAsia="zh-CN"/>
        </w:rPr>
        <w:t xml:space="preserve"> </w:t>
      </w:r>
      <w:r>
        <w:rPr>
          <w:rFonts w:hint="eastAsia" w:ascii="宋体" w:hAnsi="宋体" w:eastAsia="宋体" w:cs="宋体"/>
          <w:b/>
          <w:bCs/>
          <w:snapToGrid w:val="0"/>
          <w:color w:val="auto"/>
          <w:kern w:val="0"/>
          <w:sz w:val="24"/>
          <w:szCs w:val="20"/>
          <w:highlight w:val="none"/>
          <w:lang w:eastAsia="zh-CN"/>
        </w:rPr>
        <w:t>发包人每次支付工程款前，承包人均应提供有效的增值税专用发票。如果承包人无法提供符合要求的发票，由此造成的相应损失由承包人承担。</w:t>
      </w:r>
    </w:p>
    <w:p w14:paraId="79D37AA9">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10</w:t>
      </w:r>
      <w:r>
        <w:rPr>
          <w:rFonts w:hint="eastAsia" w:ascii="宋体" w:hAnsi="宋体" w:eastAsia="宋体" w:cs="宋体"/>
          <w:snapToGrid w:val="0"/>
          <w:color w:val="auto"/>
          <w:kern w:val="0"/>
          <w:sz w:val="24"/>
          <w:szCs w:val="20"/>
          <w:highlight w:val="none"/>
          <w:lang w:eastAsia="zh-CN"/>
        </w:rPr>
        <w:t>暂列金额支付方式：</w:t>
      </w:r>
      <w:r>
        <w:rPr>
          <w:rFonts w:hint="eastAsia" w:ascii="宋体" w:hAnsi="宋体" w:eastAsia="宋体" w:cs="宋体"/>
          <w:snapToGrid w:val="0"/>
          <w:color w:val="auto"/>
          <w:kern w:val="0"/>
          <w:sz w:val="24"/>
          <w:szCs w:val="20"/>
          <w:highlight w:val="none"/>
          <w:u w:val="single"/>
          <w:lang w:val="en-US" w:eastAsia="zh-CN"/>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委托的全过程造价咨询公司审核、发包人确认后支付至该部分实际完成工程量的80％，其余部分待结算完成审核后支付至97%，剩余3%为工程质量保修金。</w:t>
      </w:r>
    </w:p>
    <w:p w14:paraId="184A088B">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u w:val="single"/>
          <w:lang w:eastAsia="zh-CN"/>
        </w:rPr>
      </w:pPr>
      <w:r>
        <w:rPr>
          <w:rFonts w:hint="eastAsia" w:ascii="宋体" w:hAnsi="宋体" w:eastAsia="宋体" w:cs="宋体"/>
          <w:b/>
          <w:bCs/>
          <w:snapToGrid w:val="0"/>
          <w:color w:val="auto"/>
          <w:kern w:val="0"/>
          <w:sz w:val="24"/>
          <w:szCs w:val="20"/>
          <w:highlight w:val="none"/>
          <w:lang w:eastAsia="zh-CN"/>
        </w:rPr>
        <w:t>3.11</w:t>
      </w:r>
      <w:r>
        <w:rPr>
          <w:rFonts w:hint="eastAsia" w:ascii="宋体" w:hAnsi="宋体" w:eastAsia="宋体" w:cs="宋体"/>
          <w:snapToGrid w:val="0"/>
          <w:color w:val="auto"/>
          <w:kern w:val="0"/>
          <w:sz w:val="24"/>
          <w:szCs w:val="20"/>
          <w:highlight w:val="none"/>
          <w:lang w:eastAsia="zh-CN"/>
        </w:rPr>
        <w:t xml:space="preserve"> 材料暂估价、专业工程暂估价支付方式：</w:t>
      </w:r>
      <w:r>
        <w:rPr>
          <w:rFonts w:hint="eastAsia" w:ascii="宋体" w:hAnsi="宋体" w:eastAsia="宋体" w:cs="宋体"/>
          <w:snapToGrid w:val="0"/>
          <w:color w:val="auto"/>
          <w:kern w:val="0"/>
          <w:sz w:val="24"/>
          <w:szCs w:val="20"/>
          <w:highlight w:val="none"/>
          <w:u w:val="single"/>
          <w:lang w:eastAsia="zh-CN"/>
        </w:rPr>
        <w:t>材料暂估价、专业工程暂估价与每个月的工程进度款一并报送，但需要列明详细项目内容，该部分材料暂估价、专业工程暂估价按该部分实际完成工程量的50%支付，工程竣工验收合格后支付至8</w:t>
      </w:r>
      <w:r>
        <w:rPr>
          <w:rFonts w:hint="eastAsia" w:ascii="宋体" w:hAnsi="宋体" w:eastAsia="宋体" w:cs="宋体"/>
          <w:snapToGrid w:val="0"/>
          <w:color w:val="auto"/>
          <w:kern w:val="0"/>
          <w:sz w:val="24"/>
          <w:szCs w:val="20"/>
          <w:highlight w:val="none"/>
          <w:u w:val="single"/>
          <w:lang w:val="en-US" w:eastAsia="zh-CN"/>
        </w:rPr>
        <w:t>0</w:t>
      </w:r>
      <w:r>
        <w:rPr>
          <w:rFonts w:hint="eastAsia" w:ascii="宋体" w:hAnsi="宋体" w:eastAsia="宋体" w:cs="宋体"/>
          <w:snapToGrid w:val="0"/>
          <w:color w:val="auto"/>
          <w:kern w:val="0"/>
          <w:sz w:val="24"/>
          <w:szCs w:val="20"/>
          <w:highlight w:val="none"/>
          <w:u w:val="single"/>
          <w:lang w:eastAsia="zh-CN"/>
        </w:rPr>
        <w:t>%，剩余部分结算完成后支付至审定造价的97%，剩余3%为工程质量保修金。</w:t>
      </w:r>
    </w:p>
    <w:p w14:paraId="0DB87552">
      <w:pPr>
        <w:spacing w:before="154" w:line="212" w:lineRule="auto"/>
        <w:ind w:left="486"/>
        <w:outlineLvl w:val="2"/>
        <w:rPr>
          <w:rFonts w:hint="eastAsia" w:ascii="宋体" w:hAnsi="宋体" w:eastAsia="宋体" w:cs="宋体"/>
          <w:b/>
          <w:bCs/>
          <w:color w:val="auto"/>
          <w:spacing w:val="-7"/>
          <w:sz w:val="24"/>
          <w:szCs w:val="24"/>
          <w:highlight w:val="none"/>
        </w:rPr>
      </w:pPr>
      <w:bookmarkStart w:id="165" w:name="_Toc17751"/>
      <w:r>
        <w:rPr>
          <w:rFonts w:hint="eastAsia" w:ascii="宋体" w:hAnsi="宋体" w:eastAsia="宋体" w:cs="宋体"/>
          <w:b/>
          <w:bCs/>
          <w:color w:val="auto"/>
          <w:spacing w:val="-7"/>
          <w:sz w:val="24"/>
          <w:szCs w:val="24"/>
          <w:highlight w:val="none"/>
        </w:rPr>
        <w:t>4</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7"/>
          <w:sz w:val="24"/>
          <w:szCs w:val="24"/>
          <w:highlight w:val="none"/>
        </w:rPr>
        <w:t>．其他专用合同条款</w:t>
      </w:r>
      <w:bookmarkEnd w:id="165"/>
    </w:p>
    <w:p w14:paraId="01EFC9A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 </w:t>
      </w:r>
      <w:r>
        <w:rPr>
          <w:rFonts w:hint="eastAsia" w:ascii="宋体" w:hAnsi="宋体" w:eastAsia="宋体" w:cs="宋体"/>
          <w:bCs/>
          <w:snapToGrid w:val="0"/>
          <w:color w:val="auto"/>
          <w:kern w:val="0"/>
          <w:sz w:val="24"/>
          <w:szCs w:val="24"/>
          <w:highlight w:val="none"/>
          <w:lang w:val="en-US" w:eastAsia="zh-CN"/>
        </w:rPr>
        <w:t xml:space="preserve">专业工程分包 </w:t>
      </w:r>
    </w:p>
    <w:p w14:paraId="26A1ED5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17734C5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w:t>
      </w:r>
      <w:r>
        <w:rPr>
          <w:rFonts w:hint="eastAsia" w:ascii="宋体" w:hAnsi="宋体" w:eastAsia="宋体" w:cs="宋体"/>
          <w:bCs/>
          <w:snapToGrid w:val="0"/>
          <w:color w:val="auto"/>
          <w:kern w:val="0"/>
          <w:sz w:val="24"/>
          <w:szCs w:val="24"/>
          <w:highlight w:val="none"/>
          <w:lang w:val="en-US" w:eastAsia="zh-CN"/>
        </w:rPr>
        <w:t xml:space="preserve"> 工人工资支付专用账户 </w:t>
      </w:r>
    </w:p>
    <w:p w14:paraId="5F615FD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10B41B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4C83717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按韶关市人力资源和社会保障局、韶关市住房和城乡建设管理局、韶关市交通运输局韶关市水务局、韶关市金融工作局、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20A96B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04932DD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4.2.3 承包人应在工资专户开立后 2 个工作日内，将开户银行及其账号、开户协议等资料提交给发包人。 </w:t>
      </w:r>
    </w:p>
    <w:p w14:paraId="2EDDE0E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（1）用人单位应当在建设项目动工前，在建设项目所在地商业银行设立工人工资支付专用账户。 </w:t>
      </w:r>
    </w:p>
    <w:p w14:paraId="393F8C3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（2）用人单位应当在用工之日起 15 日内为每一位工人办理个人银行账户。</w:t>
      </w:r>
    </w:p>
    <w:p w14:paraId="5DB0DF8B">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（3）用人单位应当指定专人负责建设项目施工现场台账管理，真实、准确记录工人名册、劳务合同、劳动合同、工程进度、工时台账、劳务承包款和工人工资支付等信息， 并保存两年以上备查。 </w:t>
      </w:r>
    </w:p>
    <w:p w14:paraId="6EBACBFE">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（4）用人单位应当按照“及时支付，按实结算”的原则，在规定日期前通过银行工人 工资支付专用账户将工人工资直接支付到工人的个人银行账户，并按月将工人工资支付 明细表报施工总承包单位和建设单位备案。</w:t>
      </w:r>
    </w:p>
    <w:p w14:paraId="29039645">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 用人单位未建立、保存用工管理台账，或者伪造相关台账的，按照《广东省劳动保障监察条例》第五十条的规定，由人力资源社会保障部门责令改正，并可处以二千元以上二万元以下的人民币罚款。</w:t>
      </w:r>
    </w:p>
    <w:p w14:paraId="7635F55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38A9E3E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4.3</w:t>
      </w:r>
      <w:r>
        <w:rPr>
          <w:rFonts w:hint="eastAsia" w:ascii="宋体" w:hAnsi="宋体" w:eastAsia="宋体" w:cs="宋体"/>
          <w:bCs/>
          <w:snapToGrid w:val="0"/>
          <w:color w:val="auto"/>
          <w:kern w:val="0"/>
          <w:sz w:val="24"/>
          <w:szCs w:val="24"/>
          <w:highlight w:val="none"/>
          <w:lang w:val="en-US" w:eastAsia="zh-CN"/>
        </w:rPr>
        <w:t xml:space="preserve"> 诚信登记 </w:t>
      </w:r>
    </w:p>
    <w:p w14:paraId="3C7D81E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根据资质管理规定，许可机关应当建立、健全建筑业企业信用档案管理制度，包括企业基本信息、资质、业绩、工程质量和安全、合同履约、社会投诉和违法行为等情况。 </w:t>
      </w:r>
    </w:p>
    <w:p w14:paraId="591F44E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w:t>
      </w:r>
      <w:r>
        <w:rPr>
          <w:rFonts w:hint="eastAsia" w:ascii="宋体" w:hAnsi="宋体" w:eastAsia="宋体" w:cs="宋体"/>
          <w:bCs/>
          <w:snapToGrid w:val="0"/>
          <w:color w:val="auto"/>
          <w:kern w:val="0"/>
          <w:sz w:val="24"/>
          <w:szCs w:val="24"/>
          <w:highlight w:val="none"/>
          <w:lang w:val="en-US" w:eastAsia="zh-CN"/>
        </w:rPr>
        <w:t xml:space="preserve"> 工期进度 </w:t>
      </w:r>
    </w:p>
    <w:p w14:paraId="5A7E027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4.4.1</w:t>
      </w:r>
      <w:r>
        <w:rPr>
          <w:rFonts w:hint="eastAsia" w:ascii="宋体" w:hAnsi="宋体" w:eastAsia="宋体" w:cs="宋体"/>
          <w:bCs/>
          <w:snapToGrid w:val="0"/>
          <w:color w:val="auto"/>
          <w:kern w:val="0"/>
          <w:sz w:val="24"/>
          <w:szCs w:val="24"/>
          <w:highlight w:val="none"/>
          <w:lang w:val="en-US" w:eastAsia="zh-CN"/>
        </w:rPr>
        <w:t xml:space="preserve"> 本招标项目施工标准工期为</w:t>
      </w:r>
      <w:r>
        <w:rPr>
          <w:rFonts w:hint="eastAsia" w:ascii="宋体" w:hAnsi="宋体" w:eastAsia="宋体" w:cs="宋体"/>
          <w:bCs/>
          <w:snapToGrid w:val="0"/>
          <w:color w:val="auto"/>
          <w:kern w:val="0"/>
          <w:sz w:val="24"/>
          <w:szCs w:val="24"/>
          <w:highlight w:val="none"/>
          <w:u w:val="single"/>
          <w:lang w:val="en-US" w:eastAsia="zh-CN"/>
        </w:rPr>
        <w:t>90</w:t>
      </w:r>
      <w:r>
        <w:rPr>
          <w:rFonts w:hint="eastAsia" w:ascii="宋体" w:hAnsi="宋体" w:eastAsia="宋体" w:cs="宋体"/>
          <w:bCs/>
          <w:snapToGrid w:val="0"/>
          <w:color w:val="auto"/>
          <w:kern w:val="0"/>
          <w:sz w:val="24"/>
          <w:szCs w:val="24"/>
          <w:highlight w:val="none"/>
          <w:lang w:val="en-US" w:eastAsia="zh-CN"/>
        </w:rPr>
        <w:t>个日历天，招标工期为</w:t>
      </w:r>
      <w:r>
        <w:rPr>
          <w:rFonts w:hint="eastAsia" w:ascii="宋体" w:hAnsi="宋体" w:eastAsia="宋体" w:cs="宋体"/>
          <w:bCs/>
          <w:snapToGrid w:val="0"/>
          <w:color w:val="auto"/>
          <w:kern w:val="0"/>
          <w:sz w:val="24"/>
          <w:szCs w:val="24"/>
          <w:highlight w:val="none"/>
          <w:u w:val="single"/>
          <w:lang w:val="en-US" w:eastAsia="zh-CN"/>
        </w:rPr>
        <w:t>90</w:t>
      </w:r>
      <w:r>
        <w:rPr>
          <w:rFonts w:hint="eastAsia" w:ascii="宋体" w:hAnsi="宋体" w:eastAsia="宋体" w:cs="宋体"/>
          <w:bCs/>
          <w:snapToGrid w:val="0"/>
          <w:color w:val="auto"/>
          <w:kern w:val="0"/>
          <w:sz w:val="24"/>
          <w:szCs w:val="24"/>
          <w:highlight w:val="none"/>
          <w:lang w:val="en-US" w:eastAsia="zh-CN"/>
        </w:rPr>
        <w:t xml:space="preserve">个日历天，承包人必须在招标工期内完成招标范围内的全部内容。 </w:t>
      </w:r>
    </w:p>
    <w:p w14:paraId="3AD3FEC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4.4.2</w:t>
      </w:r>
      <w:r>
        <w:rPr>
          <w:rFonts w:hint="eastAsia" w:ascii="宋体" w:hAnsi="宋体" w:eastAsia="宋体" w:cs="宋体"/>
          <w:bCs/>
          <w:snapToGrid w:val="0"/>
          <w:color w:val="auto"/>
          <w:kern w:val="0"/>
          <w:sz w:val="24"/>
          <w:szCs w:val="24"/>
          <w:highlight w:val="none"/>
          <w:lang w:val="en-US" w:eastAsia="zh-CN"/>
        </w:rPr>
        <w:t xml:space="preserve"> 施工工期从承包人收到监理单位签发的开工令之日起计，至竣工验收合格之日止。 </w:t>
      </w:r>
    </w:p>
    <w:p w14:paraId="744114A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4.4.3</w:t>
      </w:r>
      <w:r>
        <w:rPr>
          <w:rFonts w:hint="eastAsia" w:ascii="宋体" w:hAnsi="宋体" w:eastAsia="宋体" w:cs="宋体"/>
          <w:bCs/>
          <w:snapToGrid w:val="0"/>
          <w:color w:val="auto"/>
          <w:kern w:val="0"/>
          <w:sz w:val="24"/>
          <w:szCs w:val="24"/>
          <w:highlight w:val="none"/>
          <w:lang w:val="en-US" w:eastAsia="zh-CN"/>
        </w:rPr>
        <w:t xml:space="preserve"> 工期奖罚 </w:t>
      </w:r>
    </w:p>
    <w:p w14:paraId="2645B83E">
      <w:pPr>
        <w:adjustRightInd w:val="0"/>
        <w:snapToGrid w:val="0"/>
        <w:spacing w:line="440" w:lineRule="exact"/>
        <w:ind w:firstLine="480" w:firstLineChars="200"/>
        <w:rPr>
          <w:rFonts w:hint="default" w:ascii="宋体" w:hAnsi="宋体" w:eastAsia="宋体" w:cs="宋体"/>
          <w:bCs/>
          <w:snapToGrid w:val="0"/>
          <w:color w:val="auto"/>
          <w:kern w:val="0"/>
          <w:sz w:val="24"/>
          <w:szCs w:val="24"/>
          <w:highlight w:val="none"/>
          <w:u w:val="single"/>
          <w:lang w:val="en-US"/>
        </w:rPr>
      </w:pPr>
      <w:r>
        <w:rPr>
          <w:rFonts w:hint="eastAsia" w:ascii="宋体" w:hAnsi="宋体" w:eastAsia="宋体" w:cs="宋体"/>
          <w:bCs/>
          <w:snapToGrid w:val="0"/>
          <w:color w:val="auto"/>
          <w:kern w:val="0"/>
          <w:sz w:val="24"/>
          <w:szCs w:val="24"/>
          <w:highlight w:val="none"/>
          <w:lang w:val="en-US" w:eastAsia="zh-CN"/>
        </w:rPr>
        <w:t>□竣工验收合格交付使用每提前</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天竣工；奖</w:t>
      </w:r>
      <w:r>
        <w:rPr>
          <w:rFonts w:hint="eastAsia" w:ascii="宋体" w:hAnsi="宋体" w:eastAsia="宋体" w:cs="宋体"/>
          <w:bCs/>
          <w:snapToGrid w:val="0"/>
          <w:color w:val="auto"/>
          <w:kern w:val="0"/>
          <w:sz w:val="24"/>
          <w:szCs w:val="24"/>
          <w:highlight w:val="none"/>
          <w:u w:val="single"/>
          <w:lang w:val="en-US" w:eastAsia="zh-CN"/>
        </w:rPr>
        <w:t>/</w:t>
      </w:r>
    </w:p>
    <w:p w14:paraId="0536562A">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元，奖励金额不超过合同价款的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5CDEF15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29A1CCA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□按施工合同期约定,因承包人原因延误工期</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天内不处罚， 自第壹天起每延误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天竣工,罚元。处罚金额不超过合同价款的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2%～5%）且不超过万元，累计延误工期达到</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天，报请建设行政主管部门作不良行为记录，非承包方原因或不可抗力造成延误的除外。 </w:t>
      </w:r>
    </w:p>
    <w:p w14:paraId="18751D9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☑其它说明：（1）因承包人原因，工程没有按期竣工时，承包人须在逾期第壹天起每天按合同价的 1‰ 向发包人返纳逾期竣工违约金。逾期竣工违约金的最高限额为合同价款的3%。</w:t>
      </w:r>
    </w:p>
    <w:p w14:paraId="0742827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533F00A0">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（3）承包人在进场后7天内提交施工进度计划，并注明主要施工节点时间，送监理单位及发包人审核后，作为工期考核的阶段性指标。</w:t>
      </w:r>
    </w:p>
    <w:p w14:paraId="2CC5BC6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w:t>
      </w:r>
      <w:r>
        <w:rPr>
          <w:rFonts w:hint="eastAsia" w:ascii="宋体" w:hAnsi="宋体" w:eastAsia="宋体" w:cs="宋体"/>
          <w:bCs/>
          <w:snapToGrid w:val="0"/>
          <w:color w:val="auto"/>
          <w:kern w:val="0"/>
          <w:sz w:val="24"/>
          <w:szCs w:val="24"/>
          <w:highlight w:val="none"/>
          <w:lang w:val="en-US" w:eastAsia="zh-CN"/>
        </w:rPr>
        <w:t xml:space="preserve"> 项目管理机构 </w:t>
      </w:r>
    </w:p>
    <w:p w14:paraId="6FD38FD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4.5.1</w:t>
      </w:r>
      <w:r>
        <w:rPr>
          <w:rFonts w:hint="eastAsia" w:ascii="宋体" w:hAnsi="宋体" w:eastAsia="宋体" w:cs="宋体"/>
          <w:bCs/>
          <w:snapToGrid w:val="0"/>
          <w:color w:val="auto"/>
          <w:kern w:val="0"/>
          <w:sz w:val="24"/>
          <w:szCs w:val="24"/>
          <w:highlight w:val="none"/>
          <w:lang w:val="en-US" w:eastAsia="zh-CN"/>
        </w:rPr>
        <w:t xml:space="preserve"> 承包人派驻的项目管理班子成员必须为其投标文件确定的人员，否则发包人有权终止合同。 </w:t>
      </w:r>
    </w:p>
    <w:p w14:paraId="1D0EAE8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4.5.2</w:t>
      </w:r>
      <w:r>
        <w:rPr>
          <w:rFonts w:hint="eastAsia" w:ascii="宋体" w:hAnsi="宋体" w:eastAsia="宋体" w:cs="宋体"/>
          <w:bCs/>
          <w:snapToGrid w:val="0"/>
          <w:color w:val="auto"/>
          <w:kern w:val="0"/>
          <w:sz w:val="24"/>
          <w:szCs w:val="24"/>
          <w:highlight w:val="none"/>
          <w:lang w:val="en-US" w:eastAsia="zh-CN"/>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77D16F4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w:t>
      </w:r>
      <w:r>
        <w:rPr>
          <w:rFonts w:hint="eastAsia" w:ascii="宋体" w:hAnsi="宋体" w:eastAsia="宋体" w:cs="宋体"/>
          <w:bCs/>
          <w:snapToGrid w:val="0"/>
          <w:color w:val="auto"/>
          <w:kern w:val="0"/>
          <w:sz w:val="24"/>
          <w:szCs w:val="24"/>
          <w:highlight w:val="none"/>
          <w:lang w:val="en-US" w:eastAsia="zh-CN"/>
        </w:rPr>
        <w:t xml:space="preserve"> 现场管理 </w:t>
      </w:r>
    </w:p>
    <w:p w14:paraId="1AA74039">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4.6.1</w:t>
      </w:r>
      <w:r>
        <w:rPr>
          <w:rFonts w:hint="eastAsia" w:ascii="宋体" w:hAnsi="宋体" w:eastAsia="宋体" w:cs="宋体"/>
          <w:bCs/>
          <w:snapToGrid w:val="0"/>
          <w:color w:val="auto"/>
          <w:kern w:val="0"/>
          <w:sz w:val="24"/>
          <w:szCs w:val="24"/>
          <w:highlight w:val="none"/>
          <w:lang w:val="en-US" w:eastAsia="zh-CN"/>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329F79D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4.6.2</w:t>
      </w:r>
      <w:r>
        <w:rPr>
          <w:rFonts w:hint="eastAsia" w:ascii="宋体" w:hAnsi="宋体" w:eastAsia="宋体" w:cs="宋体"/>
          <w:bCs/>
          <w:snapToGrid w:val="0"/>
          <w:color w:val="auto"/>
          <w:kern w:val="0"/>
          <w:sz w:val="24"/>
          <w:szCs w:val="24"/>
          <w:highlight w:val="none"/>
          <w:lang w:val="en-US" w:eastAsia="zh-CN"/>
        </w:rPr>
        <w:t xml:space="preserve"> 承包人应按安全施工有关规定，采取严格、科学的安全防护措施，确保施工和人员（包括第三者）的安全，承担由于自身安全防护措施不力所造成的安全事故责任和发生的费用。 </w:t>
      </w:r>
    </w:p>
    <w:p w14:paraId="7853C31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4.6.3</w:t>
      </w:r>
      <w:r>
        <w:rPr>
          <w:rFonts w:hint="eastAsia" w:ascii="宋体" w:hAnsi="宋体" w:eastAsia="宋体" w:cs="宋体"/>
          <w:bCs/>
          <w:snapToGrid w:val="0"/>
          <w:color w:val="auto"/>
          <w:kern w:val="0"/>
          <w:sz w:val="24"/>
          <w:szCs w:val="24"/>
          <w:highlight w:val="none"/>
          <w:lang w:val="en-US" w:eastAsia="zh-CN"/>
        </w:rPr>
        <w:t xml:space="preserve"> 为保证施工现场的环境卫生，承包人在本招标项目施工过程中，所有的车辆必须按发包人规定的行车路线行驶。 </w:t>
      </w:r>
    </w:p>
    <w:p w14:paraId="6C30F2D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4.7</w:t>
      </w:r>
      <w:r>
        <w:rPr>
          <w:rFonts w:hint="eastAsia" w:ascii="宋体" w:hAnsi="宋体" w:eastAsia="宋体" w:cs="宋体"/>
          <w:bCs/>
          <w:snapToGrid w:val="0"/>
          <w:color w:val="auto"/>
          <w:kern w:val="0"/>
          <w:sz w:val="24"/>
          <w:szCs w:val="24"/>
          <w:highlight w:val="none"/>
          <w:lang w:val="en-US" w:eastAsia="zh-CN"/>
        </w:rPr>
        <w:t xml:space="preserve"> 监督实施 </w:t>
      </w:r>
    </w:p>
    <w:p w14:paraId="7234F12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633EA71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4.8</w:t>
      </w:r>
      <w:r>
        <w:rPr>
          <w:rFonts w:hint="eastAsia" w:ascii="宋体" w:hAnsi="宋体" w:eastAsia="宋体" w:cs="宋体"/>
          <w:bCs/>
          <w:snapToGrid w:val="0"/>
          <w:color w:val="auto"/>
          <w:kern w:val="0"/>
          <w:sz w:val="24"/>
          <w:szCs w:val="24"/>
          <w:highlight w:val="none"/>
          <w:lang w:val="en-US" w:eastAsia="zh-CN"/>
        </w:rPr>
        <w:t xml:space="preserve"> 主材的采购和使用 </w:t>
      </w:r>
    </w:p>
    <w:p w14:paraId="5DD11F3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18A1E2A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4.9 </w:t>
      </w:r>
      <w:r>
        <w:rPr>
          <w:rFonts w:hint="eastAsia" w:ascii="宋体" w:hAnsi="宋体" w:eastAsia="宋体" w:cs="宋体"/>
          <w:bCs/>
          <w:snapToGrid w:val="0"/>
          <w:color w:val="auto"/>
          <w:kern w:val="0"/>
          <w:sz w:val="24"/>
          <w:szCs w:val="24"/>
          <w:highlight w:val="none"/>
          <w:lang w:val="en-US" w:eastAsia="zh-CN"/>
        </w:rPr>
        <w:t xml:space="preserve">竣工资料移交 </w:t>
      </w:r>
    </w:p>
    <w:p w14:paraId="26BD64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项目竣工验收时，承包人应向监理单位和发包人提供符合国家档案部门备案要求的，编制成册的竣工图及有关的技术档案资料（含声像档案）一式份。 </w:t>
      </w:r>
    </w:p>
    <w:p w14:paraId="6CD1FDD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w:t>
      </w:r>
      <w:r>
        <w:rPr>
          <w:rFonts w:hint="eastAsia" w:ascii="宋体" w:hAnsi="宋体" w:eastAsia="宋体" w:cs="宋体"/>
          <w:bCs/>
          <w:snapToGrid w:val="0"/>
          <w:color w:val="auto"/>
          <w:kern w:val="0"/>
          <w:sz w:val="24"/>
          <w:szCs w:val="24"/>
          <w:highlight w:val="none"/>
          <w:lang w:val="en-US" w:eastAsia="zh-CN"/>
        </w:rPr>
        <w:t xml:space="preserve"> 质量保证</w:t>
      </w:r>
    </w:p>
    <w:p w14:paraId="707A6EB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4.10.1</w:t>
      </w:r>
      <w:r>
        <w:rPr>
          <w:rFonts w:hint="eastAsia" w:ascii="宋体" w:hAnsi="宋体" w:eastAsia="宋体" w:cs="宋体"/>
          <w:bCs/>
          <w:snapToGrid w:val="0"/>
          <w:color w:val="auto"/>
          <w:kern w:val="0"/>
          <w:sz w:val="24"/>
          <w:szCs w:val="24"/>
          <w:highlight w:val="none"/>
          <w:lang w:val="en-US" w:eastAsia="zh-CN"/>
        </w:rPr>
        <w:t xml:space="preserve"> 本招标项目缺陷责任期为</w:t>
      </w:r>
      <w:r>
        <w:rPr>
          <w:rFonts w:hint="eastAsia" w:ascii="宋体" w:hAnsi="宋体" w:eastAsia="宋体" w:cs="宋体"/>
          <w:bCs/>
          <w:snapToGrid w:val="0"/>
          <w:color w:val="auto"/>
          <w:kern w:val="0"/>
          <w:sz w:val="24"/>
          <w:szCs w:val="24"/>
          <w:highlight w:val="none"/>
          <w:u w:val="single"/>
          <w:lang w:val="en-US" w:eastAsia="zh-CN"/>
        </w:rPr>
        <w:t>2</w:t>
      </w:r>
      <w:r>
        <w:rPr>
          <w:rFonts w:hint="eastAsia" w:ascii="宋体" w:hAnsi="宋体" w:eastAsia="宋体" w:cs="宋体"/>
          <w:bCs/>
          <w:snapToGrid w:val="0"/>
          <w:color w:val="auto"/>
          <w:kern w:val="0"/>
          <w:sz w:val="24"/>
          <w:szCs w:val="24"/>
          <w:highlight w:val="none"/>
          <w:lang w:val="en-US" w:eastAsia="zh-CN"/>
        </w:rPr>
        <w:t>年（自通过竣工验收之日起计），在此期间预留金额为结算价</w:t>
      </w:r>
      <w:r>
        <w:rPr>
          <w:rFonts w:hint="eastAsia" w:ascii="宋体" w:hAnsi="宋体" w:eastAsia="宋体" w:cs="宋体"/>
          <w:bCs/>
          <w:snapToGrid w:val="0"/>
          <w:color w:val="auto"/>
          <w:kern w:val="0"/>
          <w:sz w:val="24"/>
          <w:szCs w:val="24"/>
          <w:highlight w:val="none"/>
          <w:u w:val="single"/>
          <w:lang w:val="en-US" w:eastAsia="zh-CN"/>
        </w:rPr>
        <w:t>3%</w:t>
      </w:r>
      <w:r>
        <w:rPr>
          <w:rFonts w:hint="eastAsia" w:ascii="宋体" w:hAnsi="宋体" w:eastAsia="宋体" w:cs="宋体"/>
          <w:bCs/>
          <w:snapToGrid w:val="0"/>
          <w:color w:val="auto"/>
          <w:kern w:val="0"/>
          <w:sz w:val="24"/>
          <w:szCs w:val="24"/>
          <w:highlight w:val="none"/>
          <w:lang w:val="en-US" w:eastAsia="zh-CN"/>
        </w:rPr>
        <w:t xml:space="preserve">的质量保证。 </w:t>
      </w:r>
    </w:p>
    <w:p w14:paraId="2398B99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4.10.2</w:t>
      </w:r>
      <w:r>
        <w:rPr>
          <w:rFonts w:hint="eastAsia" w:ascii="宋体" w:hAnsi="宋体" w:eastAsia="宋体" w:cs="宋体"/>
          <w:bCs/>
          <w:snapToGrid w:val="0"/>
          <w:color w:val="auto"/>
          <w:kern w:val="0"/>
          <w:sz w:val="24"/>
          <w:szCs w:val="24"/>
          <w:highlight w:val="none"/>
          <w:lang w:val="en-US" w:eastAsia="zh-CN"/>
        </w:rPr>
        <w:t xml:space="preserve"> 质量保证的形式包括质量保证金、质量保证担保、质量保证保险三种，由承包人自主选择。 </w:t>
      </w:r>
    </w:p>
    <w:p w14:paraId="5B411B16">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（1）采用质量保证金形式的，在结清审定总造价时一次性扣留相应金额作为质量保证金。 </w:t>
      </w:r>
    </w:p>
    <w:p w14:paraId="1181DE18">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2）采用质量保证担保或质量保证保险的，承包人应在竣工验收时向发包人提交有效的商业保函、银行保函或保险合同（或保险单）原件，商业保函、银行保函或保险合同（或保险单）的有效期不得短于缺陷责任期。 </w:t>
      </w:r>
    </w:p>
    <w:p w14:paraId="52ED9B7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4.10.3</w:t>
      </w:r>
      <w:r>
        <w:rPr>
          <w:rFonts w:hint="eastAsia" w:ascii="宋体" w:hAnsi="宋体" w:eastAsia="宋体" w:cs="宋体"/>
          <w:bCs/>
          <w:snapToGrid w:val="0"/>
          <w:color w:val="auto"/>
          <w:kern w:val="0"/>
          <w:sz w:val="24"/>
          <w:szCs w:val="24"/>
          <w:highlight w:val="none"/>
          <w:lang w:val="en-US" w:eastAsia="zh-CN"/>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67B762C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由他人原因造成的缺陷，发包人负责组织维修，承包人不承担费用，且发包人不得从质量保证中扣除费用。 </w:t>
      </w:r>
    </w:p>
    <w:p w14:paraId="0DABCA9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4.10.4</w:t>
      </w:r>
      <w:r>
        <w:rPr>
          <w:rFonts w:hint="eastAsia" w:ascii="宋体" w:hAnsi="宋体" w:eastAsia="宋体" w:cs="宋体"/>
          <w:bCs/>
          <w:snapToGrid w:val="0"/>
          <w:color w:val="auto"/>
          <w:kern w:val="0"/>
          <w:sz w:val="24"/>
          <w:szCs w:val="24"/>
          <w:highlight w:val="none"/>
          <w:lang w:val="en-US" w:eastAsia="zh-CN"/>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0D018C9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4.11</w:t>
      </w:r>
      <w:r>
        <w:rPr>
          <w:rFonts w:hint="eastAsia" w:ascii="宋体" w:hAnsi="宋体" w:eastAsia="宋体" w:cs="宋体"/>
          <w:bCs/>
          <w:snapToGrid w:val="0"/>
          <w:color w:val="auto"/>
          <w:kern w:val="0"/>
          <w:sz w:val="24"/>
          <w:szCs w:val="24"/>
          <w:highlight w:val="none"/>
          <w:lang w:val="en-US" w:eastAsia="zh-CN"/>
        </w:rPr>
        <w:t xml:space="preserve"> 不良行为处理 </w:t>
      </w:r>
    </w:p>
    <w:p w14:paraId="68DC32D9">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及其有关人员有下列行为之一的，发包人应及时向建设行政主管部门报告。除按照有关法律、法规进行处罚外，不良行为将计入企业及有关个人诚信档案，并在韶关市住房和城乡建设管理局网站（http://zgj.sg.gov.cn）公示。 </w:t>
      </w:r>
    </w:p>
    <w:p w14:paraId="33521F9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（1）转包、违法分包或违反投标承诺分包工程的； </w:t>
      </w:r>
    </w:p>
    <w:p w14:paraId="495C334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（2）非原参加投标中标的项目经理负责组织施工或在实施过程中擅自更换项目经理的、项目的其他主要管理人员与中标文件确定的人员不相符的；</w:t>
      </w:r>
    </w:p>
    <w:p w14:paraId="10849C0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（3）投标文件确定的大型机械设备没有进入施工现场的； </w:t>
      </w:r>
    </w:p>
    <w:p w14:paraId="48E4FF3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（4）与建设单位、监理单位串通，签认虚假工程量或工程造价的； </w:t>
      </w:r>
    </w:p>
    <w:p w14:paraId="3BF9C0F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（5）项目经理施工现场管理不到位的； </w:t>
      </w:r>
    </w:p>
    <w:p w14:paraId="2ECD3434">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（6）项目经理在非本人资格证书注册单位从事工程项目施工管理的； </w:t>
      </w:r>
    </w:p>
    <w:p w14:paraId="39ABD25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（7）项目经理同时承担超过一项工程项目的； </w:t>
      </w:r>
    </w:p>
    <w:p w14:paraId="02E9687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（8）违反有关法律、法规、规章规定的其它行为。 </w:t>
      </w:r>
    </w:p>
    <w:p w14:paraId="10E7EB8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4.12 </w:t>
      </w:r>
      <w:r>
        <w:rPr>
          <w:rFonts w:hint="eastAsia" w:ascii="宋体" w:hAnsi="宋体" w:eastAsia="宋体" w:cs="宋体"/>
          <w:bCs/>
          <w:snapToGrid w:val="0"/>
          <w:color w:val="auto"/>
          <w:kern w:val="0"/>
          <w:sz w:val="24"/>
          <w:szCs w:val="24"/>
          <w:highlight w:val="none"/>
          <w:lang w:val="en-US" w:eastAsia="zh-CN"/>
        </w:rPr>
        <w:t xml:space="preserve">信用评价条款内容 </w:t>
      </w:r>
    </w:p>
    <w:p w14:paraId="2337A1FF">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5C8044C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4.13</w:t>
      </w:r>
      <w:r>
        <w:rPr>
          <w:rFonts w:hint="eastAsia" w:ascii="宋体" w:hAnsi="宋体" w:eastAsia="宋体" w:cs="宋体"/>
          <w:bCs/>
          <w:snapToGrid w:val="0"/>
          <w:color w:val="auto"/>
          <w:kern w:val="0"/>
          <w:sz w:val="24"/>
          <w:szCs w:val="24"/>
          <w:highlight w:val="none"/>
          <w:lang w:val="en-US" w:eastAsia="zh-CN"/>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18A7915">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7F2618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4.14</w:t>
      </w:r>
      <w:r>
        <w:rPr>
          <w:rFonts w:hint="eastAsia" w:ascii="宋体" w:hAnsi="宋体" w:eastAsia="宋体" w:cs="宋体"/>
          <w:bCs/>
          <w:snapToGrid w:val="0"/>
          <w:color w:val="auto"/>
          <w:kern w:val="0"/>
          <w:sz w:val="24"/>
          <w:szCs w:val="24"/>
          <w:highlight w:val="none"/>
          <w:lang w:val="en-US" w:eastAsia="zh-CN"/>
        </w:rPr>
        <w:t xml:space="preserve"> 承包人在工程实施过程中，按照国家、省、市的相关规定制定相关的专项安全施工方案（如高支模、基坑支护、沉井等），编制专项施工方案报监理人、发包人审批后方可开展专项工程的施工。 </w:t>
      </w:r>
    </w:p>
    <w:p w14:paraId="451FCAB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4.15</w:t>
      </w:r>
      <w:r>
        <w:rPr>
          <w:rFonts w:hint="eastAsia" w:ascii="宋体" w:hAnsi="宋体" w:eastAsia="宋体" w:cs="宋体"/>
          <w:bCs/>
          <w:snapToGrid w:val="0"/>
          <w:color w:val="auto"/>
          <w:kern w:val="0"/>
          <w:sz w:val="24"/>
          <w:szCs w:val="24"/>
          <w:highlight w:val="none"/>
          <w:lang w:val="en-US" w:eastAsia="zh-CN"/>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auto"/>
          <w:kern w:val="2"/>
          <w:sz w:val="24"/>
          <w:szCs w:val="24"/>
          <w:highlight w:val="none"/>
          <w:u w:val="single"/>
          <w:shd w:val="clear" w:color="auto" w:fill="FFFFFF"/>
          <w:lang w:val="en-US" w:eastAsia="zh-CN" w:bidi="ar-SA"/>
        </w:rPr>
        <w:t xml:space="preserve"> 壹 </w:t>
      </w:r>
      <w:r>
        <w:rPr>
          <w:rFonts w:hint="eastAsia" w:ascii="宋体" w:hAnsi="宋体" w:eastAsia="宋体" w:cs="宋体"/>
          <w:bCs/>
          <w:snapToGrid w:val="0"/>
          <w:color w:val="auto"/>
          <w:kern w:val="0"/>
          <w:sz w:val="24"/>
          <w:szCs w:val="24"/>
          <w:highlight w:val="none"/>
          <w:lang w:val="en-US" w:eastAsia="zh-CN"/>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6BC77ED9">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4.16 </w:t>
      </w:r>
      <w:r>
        <w:rPr>
          <w:rFonts w:hint="eastAsia" w:ascii="宋体" w:hAnsi="宋体" w:eastAsia="宋体" w:cs="宋体"/>
          <w:bCs/>
          <w:snapToGrid w:val="0"/>
          <w:color w:val="auto"/>
          <w:kern w:val="0"/>
          <w:sz w:val="24"/>
          <w:szCs w:val="24"/>
          <w:highlight w:val="none"/>
          <w:lang w:val="en-US" w:eastAsia="zh-CN"/>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2105B66E">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4.17</w:t>
      </w:r>
      <w:r>
        <w:rPr>
          <w:rFonts w:hint="eastAsia" w:ascii="宋体" w:hAnsi="宋体" w:eastAsia="宋体" w:cs="宋体"/>
          <w:bCs/>
          <w:snapToGrid w:val="0"/>
          <w:color w:val="auto"/>
          <w:kern w:val="0"/>
          <w:sz w:val="24"/>
          <w:szCs w:val="24"/>
          <w:highlight w:val="none"/>
          <w:lang w:val="en-US" w:eastAsia="zh-CN"/>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w:t>
      </w:r>
    </w:p>
    <w:p w14:paraId="56FD5FA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4.17.1 </w:t>
      </w:r>
      <w:r>
        <w:rPr>
          <w:rFonts w:hint="eastAsia" w:ascii="宋体" w:hAnsi="宋体" w:eastAsia="宋体" w:cs="宋体"/>
          <w:bCs/>
          <w:snapToGrid w:val="0"/>
          <w:color w:val="auto"/>
          <w:kern w:val="0"/>
          <w:sz w:val="24"/>
          <w:szCs w:val="24"/>
          <w:highlight w:val="none"/>
          <w:lang w:val="en-US" w:eastAsia="zh-CN"/>
        </w:rPr>
        <w:t>承包人在施工阶段应做好水土保持工作，相关费用承包人自行考虑在投标报价中。</w:t>
      </w:r>
    </w:p>
    <w:p w14:paraId="377C83C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4.18</w:t>
      </w:r>
      <w:r>
        <w:rPr>
          <w:rFonts w:hint="eastAsia" w:ascii="宋体" w:hAnsi="宋体" w:eastAsia="宋体" w:cs="宋体"/>
          <w:bCs/>
          <w:snapToGrid w:val="0"/>
          <w:color w:val="auto"/>
          <w:kern w:val="0"/>
          <w:sz w:val="24"/>
          <w:szCs w:val="24"/>
          <w:highlight w:val="none"/>
          <w:lang w:val="en-US" w:eastAsia="zh-CN"/>
        </w:rPr>
        <w:t xml:space="preserve"> 承包人中标后必须按规定及时缴交工人工资保证金、环保噪声排污费等。 </w:t>
      </w:r>
    </w:p>
    <w:p w14:paraId="0DCEA18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4.19</w:t>
      </w:r>
      <w:r>
        <w:rPr>
          <w:rFonts w:hint="eastAsia" w:ascii="宋体" w:hAnsi="宋体" w:eastAsia="宋体" w:cs="宋体"/>
          <w:bCs/>
          <w:snapToGrid w:val="0"/>
          <w:color w:val="auto"/>
          <w:kern w:val="0"/>
          <w:sz w:val="24"/>
          <w:szCs w:val="24"/>
          <w:highlight w:val="none"/>
          <w:lang w:val="en-US" w:eastAsia="zh-CN"/>
        </w:rPr>
        <w:t xml:space="preserve"> 工程质量保修期按《中华人民共和国建筑法》、《建设工程质量管理条例》等相关规定实施。 </w:t>
      </w:r>
    </w:p>
    <w:p w14:paraId="6C12C69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4.20</w:t>
      </w:r>
      <w:r>
        <w:rPr>
          <w:rFonts w:hint="eastAsia" w:ascii="宋体" w:hAnsi="宋体" w:eastAsia="宋体" w:cs="宋体"/>
          <w:bCs/>
          <w:snapToGrid w:val="0"/>
          <w:color w:val="auto"/>
          <w:kern w:val="0"/>
          <w:sz w:val="24"/>
          <w:szCs w:val="24"/>
          <w:highlight w:val="none"/>
          <w:lang w:val="en-US" w:eastAsia="zh-CN"/>
        </w:rPr>
        <w:t xml:space="preserve"> 如项目实施过程中发生了工程变更及工程签证，承包人需根据发包人发布的《工程变更管理办法》和《工程签证管理办法》完善工程变更签证相关程序。 </w:t>
      </w:r>
    </w:p>
    <w:p w14:paraId="7C2DFF9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承包人需按相关规定要求，设置本工程符合相关要求的永久性标牌及规划公示牌，投标人在投标报价时综合考虑在报价内，发包人不另行支付该部分费用。 </w:t>
      </w:r>
    </w:p>
    <w:p w14:paraId="5D27205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承包人应在项目所在地住建管理部门办理诚信登记，发包人将严格按住建管理部门诚信登记管理办法对承包人履约情况进行考核。 </w:t>
      </w:r>
    </w:p>
    <w:p w14:paraId="091BEF84">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w:t>
      </w:r>
      <w:r>
        <w:rPr>
          <w:rFonts w:hint="eastAsia" w:ascii="宋体" w:hAnsi="宋体" w:eastAsia="宋体" w:cs="宋体"/>
          <w:bCs/>
          <w:snapToGrid w:val="0"/>
          <w:color w:val="auto"/>
          <w:kern w:val="0"/>
          <w:sz w:val="24"/>
          <w:szCs w:val="24"/>
          <w:highlight w:val="none"/>
          <w:lang w:val="en-US" w:eastAsia="zh-CN"/>
        </w:rPr>
        <w:t xml:space="preserve"> 承包人应按韶关市住房和城乡建设管理局、韶关市人力资源和社会保障局等职能部门对用工实名制的相关规定,落实工人及相关软硬件设施要求。</w:t>
      </w:r>
    </w:p>
    <w:p w14:paraId="17EB941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质量违约</w:t>
      </w:r>
    </w:p>
    <w:p w14:paraId="1242688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w:t>
      </w:r>
      <w:r>
        <w:rPr>
          <w:rFonts w:hint="eastAsia" w:ascii="宋体" w:hAnsi="宋体" w:eastAsia="宋体" w:cs="宋体"/>
          <w:bCs/>
          <w:snapToGrid w:val="0"/>
          <w:color w:val="auto"/>
          <w:kern w:val="0"/>
          <w:sz w:val="24"/>
          <w:szCs w:val="24"/>
          <w:highlight w:val="none"/>
          <w:lang w:val="en-US" w:eastAsia="zh-CN"/>
        </w:rPr>
        <w:t xml:space="preserve">材料违约处理：若发现材料不符合国家标准或发包人在技术规范中规定的标准， </w:t>
      </w:r>
    </w:p>
    <w:p w14:paraId="0ED3797B">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视为承包人违约，按现行《建设工程质量管理条例》处理。 </w:t>
      </w:r>
    </w:p>
    <w:p w14:paraId="25255EB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4.24.1.1</w:t>
      </w:r>
      <w:r>
        <w:rPr>
          <w:rFonts w:hint="eastAsia" w:ascii="宋体" w:hAnsi="宋体" w:eastAsia="宋体" w:cs="宋体"/>
          <w:bCs/>
          <w:snapToGrid w:val="0"/>
          <w:color w:val="auto"/>
          <w:kern w:val="0"/>
          <w:sz w:val="24"/>
          <w:szCs w:val="24"/>
          <w:highlight w:val="none"/>
          <w:lang w:val="en-US" w:eastAsia="zh-CN"/>
        </w:rPr>
        <w:t xml:space="preserve"> 成品采购项目在采购前，承包人必须先行书面征求监理人、发包人的同意并 </w:t>
      </w:r>
    </w:p>
    <w:p w14:paraId="42E52D8F">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一起看样定版后方能实施。未经监理人、发包人同意擅自先行采购和实施的，否则因不符 </w:t>
      </w:r>
    </w:p>
    <w:p w14:paraId="2F28E572">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合设计要求返工造成的费用由承包人承担。</w:t>
      </w:r>
    </w:p>
    <w:p w14:paraId="63226B74">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w:t>
      </w:r>
      <w:r>
        <w:rPr>
          <w:rFonts w:hint="eastAsia" w:ascii="宋体" w:hAnsi="宋体" w:eastAsia="宋体" w:cs="宋体"/>
          <w:b w:val="0"/>
          <w:bCs/>
          <w:snapToGrid w:val="0"/>
          <w:color w:val="auto"/>
          <w:kern w:val="0"/>
          <w:sz w:val="24"/>
          <w:szCs w:val="24"/>
          <w:highlight w:val="none"/>
          <w:lang w:val="en-US" w:eastAsia="zh-CN"/>
        </w:rPr>
        <w:t xml:space="preserve">工程质量违约： </w:t>
      </w:r>
    </w:p>
    <w:p w14:paraId="66F205BC">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4.24.2.1</w:t>
      </w:r>
      <w:r>
        <w:rPr>
          <w:rFonts w:hint="eastAsia" w:ascii="宋体" w:hAnsi="宋体" w:eastAsia="宋体" w:cs="宋体"/>
          <w:b w:val="0"/>
          <w:bCs/>
          <w:snapToGrid w:val="0"/>
          <w:color w:val="auto"/>
          <w:kern w:val="0"/>
          <w:sz w:val="24"/>
          <w:szCs w:val="24"/>
          <w:highlight w:val="none"/>
          <w:lang w:val="en-US" w:eastAsia="zh-CN"/>
        </w:rPr>
        <w:t xml:space="preserve"> 在施工过程中经监理单位日常巡查或抽检发现未达到合格标准，责令承包人进 </w:t>
      </w:r>
    </w:p>
    <w:p w14:paraId="7E5E1749">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行整改，如未按规定时间进行整改或整改不到位的，每次按 5000元缴纳违约金给发包人，在进度款或结算款中一并扣除。 </w:t>
      </w:r>
    </w:p>
    <w:p w14:paraId="14F3C3FF">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4.24.2.2</w:t>
      </w:r>
      <w:r>
        <w:rPr>
          <w:rFonts w:hint="eastAsia" w:ascii="宋体" w:hAnsi="宋体" w:eastAsia="宋体" w:cs="宋体"/>
          <w:b w:val="0"/>
          <w:bCs/>
          <w:snapToGrid w:val="0"/>
          <w:color w:val="auto"/>
          <w:kern w:val="0"/>
          <w:sz w:val="24"/>
          <w:szCs w:val="24"/>
          <w:highlight w:val="none"/>
          <w:lang w:val="en-US" w:eastAsia="zh-CN"/>
        </w:rPr>
        <w:t xml:space="preserve"> 工程质量标准须达到国家验收合格标准。如未达到合格标准，除无偿返工至合 </w:t>
      </w:r>
    </w:p>
    <w:p w14:paraId="69E40686">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格外，还要按合同价款的 1%向招标人支付质量违约金，工期不予顺延。 </w:t>
      </w:r>
    </w:p>
    <w:p w14:paraId="4C313533">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w:t>
      </w:r>
      <w:r>
        <w:rPr>
          <w:rFonts w:hint="eastAsia" w:ascii="宋体" w:hAnsi="宋体" w:eastAsia="宋体" w:cs="宋体"/>
          <w:b w:val="0"/>
          <w:bCs/>
          <w:snapToGrid w:val="0"/>
          <w:color w:val="auto"/>
          <w:kern w:val="0"/>
          <w:sz w:val="24"/>
          <w:szCs w:val="24"/>
          <w:highlight w:val="none"/>
          <w:lang w:val="en-US" w:eastAsia="zh-CN"/>
        </w:rPr>
        <w:t xml:space="preserve"> 重大责任事故违约 </w:t>
      </w:r>
    </w:p>
    <w:p w14:paraId="34BBCA0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4.25.1</w:t>
      </w:r>
      <w:r>
        <w:rPr>
          <w:rFonts w:hint="eastAsia" w:ascii="宋体" w:hAnsi="宋体" w:eastAsia="宋体" w:cs="宋体"/>
          <w:b w:val="0"/>
          <w:bCs/>
          <w:snapToGrid w:val="0"/>
          <w:color w:val="auto"/>
          <w:kern w:val="0"/>
          <w:sz w:val="24"/>
          <w:szCs w:val="24"/>
          <w:highlight w:val="none"/>
          <w:lang w:val="en-US" w:eastAsia="zh-CN"/>
        </w:rPr>
        <w:t xml:space="preserve"> 承包人因违反国家安全质量法规及合同有关条款约定,出现火灾、坍塌、人员重 </w:t>
      </w:r>
    </w:p>
    <w:p w14:paraId="6CC212DE">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伤、死亡等重大责任事故,则承包人应承担全部损失,并按相关法规接受行政处罚；如造成发 </w:t>
      </w:r>
    </w:p>
    <w:p w14:paraId="02D16D14">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包人及对第三人利益的损害,该等损害赔偿责任均由承包人承担。 </w:t>
      </w:r>
    </w:p>
    <w:p w14:paraId="1554D55D">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w:t>
      </w:r>
      <w:r>
        <w:rPr>
          <w:rFonts w:hint="eastAsia" w:ascii="宋体" w:hAnsi="宋体" w:eastAsia="宋体" w:cs="宋体"/>
          <w:b w:val="0"/>
          <w:bCs/>
          <w:snapToGrid w:val="0"/>
          <w:color w:val="auto"/>
          <w:kern w:val="0"/>
          <w:sz w:val="24"/>
          <w:szCs w:val="24"/>
          <w:highlight w:val="none"/>
          <w:lang w:val="en-US" w:eastAsia="zh-CN"/>
        </w:rPr>
        <w:t xml:space="preserve"> 用工违约 </w:t>
      </w:r>
    </w:p>
    <w:p w14:paraId="3FBE233E">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4.26.1</w:t>
      </w:r>
      <w:r>
        <w:rPr>
          <w:rFonts w:hint="eastAsia" w:ascii="宋体" w:hAnsi="宋体" w:eastAsia="宋体" w:cs="宋体"/>
          <w:b w:val="0"/>
          <w:bCs/>
          <w:snapToGrid w:val="0"/>
          <w:color w:val="auto"/>
          <w:kern w:val="0"/>
          <w:sz w:val="24"/>
          <w:szCs w:val="24"/>
          <w:highlight w:val="none"/>
          <w:lang w:val="en-US" w:eastAsia="zh-CN"/>
        </w:rPr>
        <w:t xml:space="preserve"> 在合同履行期间，如经查实承包人拖欠或克扣农民工或劳务工工资，导致劳资纠纷或发生危及公共安全或正常社会秩序的事件的，按承包人违约处理，承包人应按拖欠或克 </w:t>
      </w:r>
    </w:p>
    <w:p w14:paraId="6458EA94">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扣农民工工资总金额 2 倍的标准向发包人缴纳惩罚性违约金。 </w:t>
      </w:r>
    </w:p>
    <w:p w14:paraId="17ADCC6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w:t>
      </w:r>
      <w:r>
        <w:rPr>
          <w:rFonts w:hint="eastAsia" w:ascii="宋体" w:hAnsi="宋体" w:eastAsia="宋体" w:cs="宋体"/>
          <w:b w:val="0"/>
          <w:bCs/>
          <w:snapToGrid w:val="0"/>
          <w:color w:val="auto"/>
          <w:kern w:val="0"/>
          <w:sz w:val="24"/>
          <w:szCs w:val="24"/>
          <w:highlight w:val="none"/>
          <w:lang w:val="en-US" w:eastAsia="zh-CN"/>
        </w:rPr>
        <w:t xml:space="preserve"> 安全文明施工违约 </w:t>
      </w:r>
    </w:p>
    <w:p w14:paraId="08A3B467">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4.27.1</w:t>
      </w:r>
      <w:r>
        <w:rPr>
          <w:rFonts w:hint="eastAsia" w:ascii="宋体" w:hAnsi="宋体" w:eastAsia="宋体" w:cs="宋体"/>
          <w:b w:val="0"/>
          <w:bCs/>
          <w:snapToGrid w:val="0"/>
          <w:color w:val="auto"/>
          <w:kern w:val="0"/>
          <w:sz w:val="24"/>
          <w:szCs w:val="24"/>
          <w:highlight w:val="none"/>
          <w:lang w:val="en-US" w:eastAsia="zh-CN"/>
        </w:rPr>
        <w:t xml:space="preserve"> 如承包人违反国家、广东省、发包人及合同关于安全文明施工的规定，但尚未造 </w:t>
      </w:r>
    </w:p>
    <w:p w14:paraId="7E77E40D">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成安全责任事故，承包人应及时改正行为并赔偿相关方的损失，如未及时整改，针对每一违约 </w:t>
      </w:r>
    </w:p>
    <w:p w14:paraId="3DA27048">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行为每持续一天应缴纳违约金1000元。</w:t>
      </w:r>
    </w:p>
    <w:p w14:paraId="0F875A79">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承包人必须接受发包人及监理单位组织的安全、文明施工的检查，检查中的不合 </w:t>
      </w:r>
    </w:p>
    <w:p w14:paraId="5D37AD04">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格项目、安全隐患必须在规定的时间内整改完成，否则每拖延一天处以2000元人民币违约金，直至整改合格。</w:t>
      </w:r>
    </w:p>
    <w:p w14:paraId="4EF3DFAB">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lang w:val="en-US" w:eastAsia="zh-CN"/>
        </w:rPr>
        <w:t xml:space="preserve">   </w:t>
      </w: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lang w:val="en-US" w:eastAsia="zh-CN"/>
        </w:rPr>
        <w:t xml:space="preserve">3 </w:t>
      </w:r>
      <w:r>
        <w:rPr>
          <w:rFonts w:hint="eastAsia" w:ascii="宋体" w:hAnsi="宋体" w:eastAsia="宋体" w:cs="宋体"/>
          <w:b w:val="0"/>
          <w:bCs/>
          <w:snapToGrid w:val="0"/>
          <w:color w:val="auto"/>
          <w:kern w:val="0"/>
          <w:sz w:val="24"/>
          <w:szCs w:val="24"/>
          <w:highlight w:val="none"/>
          <w:lang w:val="en-US" w:eastAsia="zh-CN"/>
        </w:rPr>
        <w:t>承包人现场施工人员未按相关规定佩戴安全帽和反光衣进入施工区域的，经现场发包人（监理单位）管理人员确认后，承包人须按100元/人/次缴纳违约金。</w:t>
      </w:r>
    </w:p>
    <w:p w14:paraId="63CD755A">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val="0"/>
          <w:bCs/>
          <w:snapToGrid w:val="0"/>
          <w:color w:val="auto"/>
          <w:kern w:val="0"/>
          <w:sz w:val="24"/>
          <w:szCs w:val="24"/>
          <w:highlight w:val="none"/>
          <w:lang w:val="en-US" w:eastAsia="zh-CN"/>
        </w:rPr>
        <w:t xml:space="preserve"> 其他违约 </w:t>
      </w:r>
    </w:p>
    <w:p w14:paraId="6C6C1A33">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.1</w:t>
      </w:r>
      <w:r>
        <w:rPr>
          <w:rFonts w:hint="default" w:ascii="宋体" w:hAnsi="宋体" w:eastAsia="宋体" w:cs="宋体"/>
          <w:b w:val="0"/>
          <w:bCs/>
          <w:snapToGrid w:val="0"/>
          <w:color w:val="auto"/>
          <w:kern w:val="0"/>
          <w:sz w:val="24"/>
          <w:szCs w:val="24"/>
          <w:highlight w:val="none"/>
          <w:lang w:val="en-US" w:eastAsia="zh-CN"/>
        </w:rPr>
        <w:t xml:space="preserve"> 承包人安排在施工场地的主要管理人员（主要指项目经理、项目技术负责人和专 </w:t>
      </w:r>
    </w:p>
    <w:p w14:paraId="16EE1B0E">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w:t>
      </w:r>
      <w:r>
        <w:rPr>
          <w:rFonts w:hint="eastAsia" w:ascii="宋体" w:hAnsi="宋体" w:eastAsia="宋体" w:cs="宋体"/>
          <w:b w:val="0"/>
          <w:bCs/>
          <w:snapToGrid w:val="0"/>
          <w:color w:val="auto"/>
          <w:kern w:val="0"/>
          <w:sz w:val="24"/>
          <w:szCs w:val="24"/>
          <w:highlight w:val="none"/>
          <w:lang w:val="en-US" w:eastAsia="zh-CN"/>
        </w:rPr>
        <w:t>在日常检查及相关会议中主要管理人员不到岗，按 500元/人/次缴纳违约金给发包人。</w:t>
      </w:r>
    </w:p>
    <w:p w14:paraId="2646E737">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中标人施工资料必须与形象进度同步</w:t>
      </w:r>
      <w:r>
        <w:rPr>
          <w:rFonts w:hint="eastAsia" w:ascii="宋体" w:hAnsi="宋体" w:eastAsia="宋体" w:cs="宋体"/>
          <w:b w:val="0"/>
          <w:bCs/>
          <w:snapToGrid w:val="0"/>
          <w:color w:val="auto"/>
          <w:kern w:val="0"/>
          <w:sz w:val="24"/>
          <w:szCs w:val="24"/>
          <w:highlight w:val="none"/>
          <w:lang w:val="en-US" w:eastAsia="zh-CN"/>
        </w:rPr>
        <w:t>，如发包人在日常检查中发现不同步的现象的，视为违约并扣除违约金2000元/每次</w:t>
      </w:r>
      <w:r>
        <w:rPr>
          <w:rFonts w:hint="default" w:ascii="宋体" w:hAnsi="宋体" w:eastAsia="宋体" w:cs="宋体"/>
          <w:b w:val="0"/>
          <w:bCs/>
          <w:snapToGrid w:val="0"/>
          <w:color w:val="auto"/>
          <w:kern w:val="0"/>
          <w:sz w:val="24"/>
          <w:szCs w:val="24"/>
          <w:highlight w:val="none"/>
          <w:lang w:val="en-US" w:eastAsia="zh-CN"/>
        </w:rPr>
        <w:t xml:space="preserve">。 </w:t>
      </w:r>
    </w:p>
    <w:p w14:paraId="6316E14F">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.3</w:t>
      </w:r>
      <w:r>
        <w:rPr>
          <w:rFonts w:hint="default" w:ascii="宋体" w:hAnsi="宋体" w:eastAsia="宋体" w:cs="宋体"/>
          <w:b w:val="0"/>
          <w:bCs/>
          <w:snapToGrid w:val="0"/>
          <w:color w:val="auto"/>
          <w:kern w:val="0"/>
          <w:sz w:val="24"/>
          <w:szCs w:val="24"/>
          <w:highlight w:val="none"/>
          <w:lang w:val="en-US" w:eastAsia="zh-CN"/>
        </w:rPr>
        <w:t xml:space="preserve"> 承包人没有正当合理的理由中途退场，可扣除承包人已递交的所有履约风险保证 </w:t>
      </w:r>
    </w:p>
    <w:p w14:paraId="3AB81941">
      <w:pPr>
        <w:adjustRightInd w:val="0"/>
        <w:snapToGrid w:val="0"/>
        <w:spacing w:line="440" w:lineRule="exact"/>
        <w:rPr>
          <w:rFonts w:hint="default" w:ascii="宋体" w:hAnsi="宋体" w:eastAsia="宋体" w:cs="宋体"/>
          <w:bCs/>
          <w:snapToGrid w:val="0"/>
          <w:color w:val="auto"/>
          <w:kern w:val="0"/>
          <w:sz w:val="24"/>
          <w:szCs w:val="24"/>
          <w:highlight w:val="none"/>
          <w:lang w:val="en-US" w:eastAsia="zh-CN" w:bidi="ar-SA"/>
        </w:rPr>
      </w:pPr>
      <w:r>
        <w:rPr>
          <w:rFonts w:hint="default" w:ascii="宋体" w:hAnsi="宋体" w:eastAsia="宋体" w:cs="宋体"/>
          <w:b w:val="0"/>
          <w:bCs/>
          <w:snapToGrid w:val="0"/>
          <w:color w:val="auto"/>
          <w:kern w:val="0"/>
          <w:sz w:val="24"/>
          <w:szCs w:val="24"/>
          <w:highlight w:val="none"/>
          <w:lang w:val="en-US" w:eastAsia="zh-CN"/>
        </w:rPr>
        <w:t>金。承包人因上述违约行为而须缴纳的违约金在工程进度款中或结算时一并扣除。</w:t>
      </w:r>
    </w:p>
    <w:p w14:paraId="45319432">
      <w:pPr>
        <w:adjustRightInd w:val="0"/>
        <w:snapToGrid w:val="0"/>
        <w:spacing w:line="440" w:lineRule="exact"/>
        <w:ind w:firstLine="482" w:firstLineChars="200"/>
        <w:rPr>
          <w:rFonts w:hint="eastAsia" w:ascii="宋体" w:hAnsi="宋体" w:eastAsia="宋体" w:cs="宋体"/>
          <w:b/>
          <w:bCs w:val="0"/>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5.其他合同条款由招标人与中标人自行协商约定</w:t>
      </w:r>
    </w:p>
    <w:p w14:paraId="4B17F356">
      <w:pPr>
        <w:pStyle w:val="13"/>
        <w:rPr>
          <w:rFonts w:hint="eastAsia" w:ascii="宋体" w:hAnsi="宋体" w:eastAsia="宋体" w:cs="宋体"/>
          <w:color w:val="auto"/>
          <w:sz w:val="24"/>
          <w:szCs w:val="24"/>
          <w:highlight w:val="none"/>
          <w:lang w:eastAsia="zh-CN"/>
        </w:rPr>
      </w:pPr>
    </w:p>
    <w:p w14:paraId="00E29B87">
      <w:pPr>
        <w:pStyle w:val="13"/>
        <w:rPr>
          <w:rFonts w:hint="eastAsia" w:ascii="宋体" w:hAnsi="宋体" w:eastAsia="宋体" w:cs="宋体"/>
          <w:color w:val="auto"/>
          <w:sz w:val="24"/>
          <w:szCs w:val="24"/>
          <w:highlight w:val="none"/>
          <w:lang w:eastAsia="zh-CN"/>
        </w:rPr>
      </w:pPr>
    </w:p>
    <w:p w14:paraId="6EE2E99C">
      <w:pPr>
        <w:pStyle w:val="13"/>
        <w:rPr>
          <w:rFonts w:hint="eastAsia" w:ascii="宋体" w:hAnsi="宋体" w:eastAsia="宋体" w:cs="宋体"/>
          <w:color w:val="auto"/>
          <w:sz w:val="24"/>
          <w:szCs w:val="24"/>
          <w:highlight w:val="none"/>
          <w:lang w:eastAsia="zh-CN"/>
        </w:rPr>
      </w:pPr>
    </w:p>
    <w:p w14:paraId="4BDA0E56">
      <w:pPr>
        <w:pStyle w:val="13"/>
        <w:rPr>
          <w:rFonts w:hint="eastAsia" w:ascii="宋体" w:hAnsi="宋体" w:eastAsia="宋体" w:cs="宋体"/>
          <w:color w:val="auto"/>
          <w:sz w:val="24"/>
          <w:szCs w:val="24"/>
          <w:highlight w:val="none"/>
          <w:lang w:eastAsia="zh-CN"/>
        </w:rPr>
      </w:pPr>
    </w:p>
    <w:p w14:paraId="673329EB">
      <w:pPr>
        <w:pStyle w:val="13"/>
        <w:rPr>
          <w:rFonts w:hint="eastAsia" w:ascii="宋体" w:hAnsi="宋体" w:eastAsia="宋体" w:cs="宋体"/>
          <w:color w:val="auto"/>
          <w:sz w:val="24"/>
          <w:szCs w:val="24"/>
          <w:highlight w:val="none"/>
          <w:lang w:eastAsia="zh-CN"/>
        </w:rPr>
      </w:pPr>
    </w:p>
    <w:p w14:paraId="1E357784">
      <w:pPr>
        <w:pStyle w:val="13"/>
        <w:rPr>
          <w:rFonts w:hint="eastAsia" w:ascii="宋体" w:hAnsi="宋体" w:eastAsia="宋体" w:cs="宋体"/>
          <w:color w:val="auto"/>
          <w:sz w:val="24"/>
          <w:szCs w:val="24"/>
          <w:highlight w:val="none"/>
          <w:lang w:eastAsia="zh-CN"/>
        </w:rPr>
      </w:pPr>
    </w:p>
    <w:p w14:paraId="6E6F0A85">
      <w:pPr>
        <w:pStyle w:val="13"/>
        <w:rPr>
          <w:rFonts w:hint="eastAsia" w:ascii="宋体" w:hAnsi="宋体" w:eastAsia="宋体" w:cs="宋体"/>
          <w:color w:val="auto"/>
          <w:sz w:val="24"/>
          <w:szCs w:val="24"/>
          <w:highlight w:val="none"/>
          <w:lang w:eastAsia="zh-CN"/>
        </w:rPr>
      </w:pPr>
    </w:p>
    <w:p w14:paraId="0390B878">
      <w:pPr>
        <w:pStyle w:val="13"/>
        <w:rPr>
          <w:rFonts w:hint="eastAsia" w:ascii="宋体" w:hAnsi="宋体" w:eastAsia="宋体" w:cs="宋体"/>
          <w:color w:val="auto"/>
          <w:sz w:val="24"/>
          <w:szCs w:val="24"/>
          <w:highlight w:val="none"/>
          <w:lang w:eastAsia="zh-CN"/>
        </w:rPr>
      </w:pPr>
    </w:p>
    <w:p w14:paraId="34442139">
      <w:pPr>
        <w:pStyle w:val="13"/>
        <w:rPr>
          <w:rFonts w:hint="eastAsia" w:ascii="宋体" w:hAnsi="宋体" w:eastAsia="宋体" w:cs="宋体"/>
          <w:color w:val="auto"/>
          <w:sz w:val="24"/>
          <w:szCs w:val="24"/>
          <w:highlight w:val="none"/>
          <w:lang w:eastAsia="zh-CN"/>
        </w:rPr>
      </w:pPr>
    </w:p>
    <w:p w14:paraId="42CDD58A">
      <w:pPr>
        <w:spacing w:before="78" w:line="219" w:lineRule="auto"/>
        <w:outlineLvl w:val="9"/>
        <w:rPr>
          <w:rFonts w:hint="eastAsia" w:ascii="宋体" w:hAnsi="宋体" w:eastAsia="宋体" w:cs="宋体"/>
          <w:b/>
          <w:bCs/>
          <w:color w:val="auto"/>
          <w:spacing w:val="-3"/>
          <w:sz w:val="24"/>
          <w:szCs w:val="24"/>
          <w:highlight w:val="none"/>
        </w:rPr>
      </w:pPr>
      <w:bookmarkStart w:id="166" w:name="bookmark96"/>
      <w:bookmarkEnd w:id="166"/>
    </w:p>
    <w:p w14:paraId="2BDC7F7A">
      <w:pP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2B87CA60">
      <w:pPr>
        <w:spacing w:before="78" w:line="219" w:lineRule="auto"/>
        <w:ind w:left="3273"/>
        <w:outlineLvl w:val="0"/>
        <w:rPr>
          <w:rFonts w:hint="eastAsia" w:ascii="宋体" w:hAnsi="宋体" w:eastAsia="宋体" w:cs="宋体"/>
          <w:color w:val="auto"/>
          <w:highlight w:val="none"/>
        </w:rPr>
      </w:pPr>
      <w:bookmarkStart w:id="167" w:name="_Toc1846"/>
      <w:r>
        <w:rPr>
          <w:rFonts w:hint="eastAsia" w:ascii="宋体" w:hAnsi="宋体" w:eastAsia="宋体" w:cs="宋体"/>
          <w:b/>
          <w:bCs/>
          <w:color w:val="auto"/>
          <w:spacing w:val="-3"/>
          <w:sz w:val="24"/>
          <w:szCs w:val="24"/>
          <w:highlight w:val="none"/>
        </w:rPr>
        <w:t>第四章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技术要求</w:t>
      </w:r>
      <w:bookmarkEnd w:id="167"/>
    </w:p>
    <w:p w14:paraId="379571EE">
      <w:pPr>
        <w:pStyle w:val="5"/>
        <w:spacing w:line="257" w:lineRule="auto"/>
        <w:rPr>
          <w:rFonts w:hint="eastAsia" w:ascii="宋体" w:hAnsi="宋体" w:eastAsia="宋体" w:cs="宋体"/>
          <w:color w:val="auto"/>
          <w:highlight w:val="none"/>
        </w:rPr>
      </w:pPr>
    </w:p>
    <w:p w14:paraId="5BE30722">
      <w:pPr>
        <w:spacing w:before="78" w:line="221" w:lineRule="auto"/>
        <w:ind w:left="125"/>
        <w:outlineLvl w:val="2"/>
        <w:rPr>
          <w:rFonts w:hint="eastAsia" w:ascii="宋体" w:hAnsi="宋体" w:eastAsia="宋体" w:cs="宋体"/>
          <w:color w:val="auto"/>
          <w:sz w:val="24"/>
          <w:szCs w:val="24"/>
          <w:highlight w:val="none"/>
        </w:rPr>
      </w:pPr>
      <w:bookmarkStart w:id="168" w:name="_Toc23492"/>
      <w:bookmarkStart w:id="169" w:name="_Toc10155"/>
      <w:r>
        <w:rPr>
          <w:rFonts w:hint="eastAsia" w:ascii="宋体" w:hAnsi="宋体" w:eastAsia="宋体" w:cs="宋体"/>
          <w:b/>
          <w:bCs/>
          <w:color w:val="auto"/>
          <w:spacing w:val="-6"/>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6"/>
          <w:sz w:val="24"/>
          <w:szCs w:val="24"/>
          <w:highlight w:val="none"/>
        </w:rPr>
        <w:t>．</w:t>
      </w:r>
      <w:r>
        <w:rPr>
          <w:rFonts w:hint="eastAsia" w:ascii="宋体" w:hAnsi="宋体" w:eastAsia="宋体" w:cs="宋体"/>
          <w:b/>
          <w:bCs/>
          <w:color w:val="auto"/>
          <w:spacing w:val="-1"/>
          <w:sz w:val="24"/>
          <w:szCs w:val="24"/>
          <w:highlight w:val="none"/>
        </w:rPr>
        <w:t>房屋建筑工程建设项目</w:t>
      </w:r>
      <w:bookmarkEnd w:id="168"/>
      <w:bookmarkEnd w:id="169"/>
    </w:p>
    <w:p w14:paraId="3989A8B1">
      <w:pPr>
        <w:spacing w:before="152"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房屋建筑工程建设项目必须执行的现行技术规范，包括且不限于：</w:t>
      </w:r>
    </w:p>
    <w:p w14:paraId="75FB82B5">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（1）《建筑工程施工质量验收统一标准》；</w:t>
      </w:r>
    </w:p>
    <w:p w14:paraId="0F8F10F4">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（2）《建筑地基基础工程施工质量验收规范》；</w:t>
      </w:r>
    </w:p>
    <w:p w14:paraId="12F6D15F">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（3）《砌体工程施工质量验收规范》；</w:t>
      </w:r>
    </w:p>
    <w:p w14:paraId="6755EFEB">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（4）《混凝土结构工程施工质量验收规范》；</w:t>
      </w:r>
    </w:p>
    <w:p w14:paraId="3F9C2AD6">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（5）《屋面工程质量验收规范》；</w:t>
      </w:r>
    </w:p>
    <w:p w14:paraId="35E6FD8D">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（6）《地下防水工程质量验收规范》；</w:t>
      </w:r>
    </w:p>
    <w:p w14:paraId="152B7914">
      <w:pPr>
        <w:spacing w:before="156"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（7）《建筑地面工程施工质量验收规范》；</w:t>
      </w:r>
    </w:p>
    <w:p w14:paraId="63C9A67F">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（8）《建筑装饰装修工程施工质量验收规范》；</w:t>
      </w:r>
    </w:p>
    <w:p w14:paraId="2579DEFA">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（9）《建筑给排水及采暖工程施工质量验收规范》；</w:t>
      </w:r>
    </w:p>
    <w:p w14:paraId="76EE1100">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（10）《建筑电气工程施工质量验收规范》；</w:t>
      </w:r>
    </w:p>
    <w:p w14:paraId="2680FFFD">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（11）《住建部绿色建筑评价标准》；</w:t>
      </w:r>
    </w:p>
    <w:p w14:paraId="6AD1C11B">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（12）《建筑节能与可再生能源利用通用规范》（GB55015-2021）；</w:t>
      </w:r>
    </w:p>
    <w:p w14:paraId="439755B9">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（13）《建筑环境通用规范》；</w:t>
      </w:r>
    </w:p>
    <w:p w14:paraId="2B333EA3">
      <w:pPr>
        <w:spacing w:before="153" w:line="219" w:lineRule="auto"/>
        <w:ind w:left="130"/>
        <w:rPr>
          <w:rFonts w:hint="eastAsia" w:ascii="宋体" w:hAnsi="宋体" w:eastAsia="宋体" w:cs="宋体"/>
          <w:color w:val="auto"/>
          <w:spacing w:val="-1"/>
          <w:sz w:val="24"/>
          <w:szCs w:val="24"/>
          <w:highlight w:val="none"/>
        </w:rPr>
      </w:pPr>
      <w:bookmarkStart w:id="170" w:name="_Toc12084"/>
      <w:bookmarkStart w:id="171" w:name="_Toc16294"/>
      <w:r>
        <w:rPr>
          <w:rFonts w:hint="eastAsia" w:ascii="宋体" w:hAnsi="宋体" w:eastAsia="宋体" w:cs="宋体"/>
          <w:color w:val="auto"/>
          <w:spacing w:val="-1"/>
          <w:sz w:val="24"/>
          <w:szCs w:val="24"/>
          <w:highlight w:val="none"/>
        </w:rPr>
        <w:t>（14）《建筑与市政工程无障碍通用规范》 GB 55019-2021；</w:t>
      </w:r>
      <w:bookmarkEnd w:id="170"/>
      <w:bookmarkEnd w:id="171"/>
    </w:p>
    <w:p w14:paraId="7B3C5264">
      <w:pPr>
        <w:spacing w:before="153" w:line="219" w:lineRule="auto"/>
        <w:ind w:left="130"/>
        <w:rPr>
          <w:rFonts w:hint="eastAsia" w:ascii="宋体" w:hAnsi="宋体" w:eastAsia="宋体" w:cs="宋体"/>
          <w:color w:val="auto"/>
          <w:spacing w:val="-1"/>
          <w:sz w:val="24"/>
          <w:szCs w:val="24"/>
          <w:highlight w:val="none"/>
        </w:rPr>
      </w:pPr>
      <w:bookmarkStart w:id="172" w:name="_Toc15158"/>
      <w:bookmarkStart w:id="173" w:name="_Toc1177"/>
      <w:r>
        <w:rPr>
          <w:rFonts w:hint="eastAsia" w:ascii="宋体" w:hAnsi="宋体" w:eastAsia="宋体" w:cs="宋体"/>
          <w:color w:val="auto"/>
          <w:spacing w:val="-1"/>
          <w:sz w:val="24"/>
          <w:szCs w:val="24"/>
          <w:highlight w:val="none"/>
        </w:rPr>
        <w:t>（15）《建筑防火通用规范》GB 55037-2022;</w:t>
      </w:r>
      <w:bookmarkEnd w:id="172"/>
      <w:bookmarkEnd w:id="173"/>
    </w:p>
    <w:p w14:paraId="61F141A9">
      <w:pPr>
        <w:spacing w:before="153" w:line="219" w:lineRule="auto"/>
        <w:ind w:left="130"/>
        <w:rPr>
          <w:rFonts w:hint="eastAsia" w:ascii="宋体" w:hAnsi="宋体" w:eastAsia="宋体" w:cs="宋体"/>
          <w:color w:val="auto"/>
          <w:spacing w:val="-1"/>
          <w:sz w:val="24"/>
          <w:szCs w:val="24"/>
          <w:highlight w:val="none"/>
        </w:rPr>
      </w:pPr>
      <w:bookmarkStart w:id="174" w:name="_Toc2461"/>
      <w:bookmarkStart w:id="175" w:name="_Toc24233"/>
      <w:r>
        <w:rPr>
          <w:rFonts w:hint="eastAsia" w:ascii="宋体" w:hAnsi="宋体" w:eastAsia="宋体" w:cs="宋体"/>
          <w:color w:val="auto"/>
          <w:spacing w:val="-1"/>
          <w:sz w:val="24"/>
          <w:szCs w:val="24"/>
          <w:highlight w:val="none"/>
        </w:rPr>
        <w:t>（16）《建筑与市政工程抗震通用规范》GB55002-2001;</w:t>
      </w:r>
      <w:bookmarkEnd w:id="174"/>
      <w:bookmarkEnd w:id="175"/>
    </w:p>
    <w:p w14:paraId="3BC258D5">
      <w:pPr>
        <w:spacing w:before="153" w:line="219" w:lineRule="auto"/>
        <w:ind w:left="130"/>
        <w:rPr>
          <w:rFonts w:hint="eastAsia" w:ascii="宋体" w:hAnsi="宋体" w:eastAsia="宋体" w:cs="宋体"/>
          <w:color w:val="auto"/>
          <w:spacing w:val="-1"/>
          <w:sz w:val="24"/>
          <w:szCs w:val="24"/>
          <w:highlight w:val="none"/>
        </w:rPr>
      </w:pPr>
      <w:bookmarkStart w:id="176" w:name="_Toc5777"/>
      <w:bookmarkStart w:id="177" w:name="_Toc8109"/>
      <w:r>
        <w:rPr>
          <w:rFonts w:hint="eastAsia" w:ascii="宋体" w:hAnsi="宋体" w:eastAsia="宋体" w:cs="宋体"/>
          <w:color w:val="auto"/>
          <w:spacing w:val="-1"/>
          <w:sz w:val="24"/>
          <w:szCs w:val="24"/>
          <w:highlight w:val="none"/>
        </w:rPr>
        <w:t>（17）《建筑与市政地基基础通用规范》GB55003-2001;</w:t>
      </w:r>
      <w:bookmarkEnd w:id="176"/>
      <w:bookmarkEnd w:id="177"/>
    </w:p>
    <w:p w14:paraId="7EABE99D">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（18）《广东省住房和城乡建设厅绿色施工导则》；</w:t>
      </w:r>
    </w:p>
    <w:p w14:paraId="22C6EA0E">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（19）《广东省建筑工程绿色施工评价标准》；</w:t>
      </w:r>
    </w:p>
    <w:p w14:paraId="2E498EA8">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（20）《广东省建筑节能与绿色建筑工程施工质量验收规范》</w:t>
      </w:r>
    </w:p>
    <w:p w14:paraId="08F26131">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（21）其他现行国家、广东省关于房建工程的施工及验收规范、定额</w:t>
      </w:r>
      <w:r>
        <w:rPr>
          <w:rFonts w:hint="eastAsia" w:ascii="宋体" w:hAnsi="宋体" w:eastAsia="宋体" w:cs="宋体"/>
          <w:color w:val="auto"/>
          <w:spacing w:val="-6"/>
          <w:sz w:val="24"/>
          <w:szCs w:val="24"/>
          <w:highlight w:val="none"/>
        </w:rPr>
        <w:t>、规程、标准。</w:t>
      </w:r>
    </w:p>
    <w:p w14:paraId="7BB3D7FB">
      <w:pPr>
        <w:pStyle w:val="5"/>
        <w:spacing w:line="257" w:lineRule="auto"/>
        <w:rPr>
          <w:rFonts w:hint="eastAsia" w:ascii="宋体" w:hAnsi="宋体" w:eastAsia="宋体" w:cs="宋体"/>
          <w:color w:val="auto"/>
          <w:highlight w:val="none"/>
        </w:rPr>
      </w:pPr>
    </w:p>
    <w:p w14:paraId="5D97A8A7">
      <w:pPr>
        <w:spacing w:before="78" w:line="220" w:lineRule="auto"/>
        <w:ind w:left="115"/>
        <w:outlineLvl w:val="2"/>
        <w:rPr>
          <w:rFonts w:hint="eastAsia" w:ascii="宋体" w:hAnsi="宋体" w:eastAsia="宋体" w:cs="宋体"/>
          <w:color w:val="auto"/>
          <w:sz w:val="24"/>
          <w:szCs w:val="24"/>
          <w:highlight w:val="none"/>
        </w:rPr>
      </w:pPr>
      <w:bookmarkStart w:id="178" w:name="_Toc22925"/>
      <w:bookmarkStart w:id="179" w:name="_Toc15652"/>
      <w:r>
        <w:rPr>
          <w:rFonts w:hint="eastAsia" w:ascii="宋体" w:hAnsi="宋体" w:eastAsia="宋体" w:cs="宋体"/>
          <w:b/>
          <w:bCs/>
          <w:color w:val="auto"/>
          <w:spacing w:val="-5"/>
          <w:sz w:val="24"/>
          <w:szCs w:val="24"/>
          <w:highlight w:val="none"/>
        </w:rPr>
        <w:t>2</w:t>
      </w:r>
      <w:r>
        <w:rPr>
          <w:rFonts w:hint="eastAsia" w:ascii="宋体" w:hAnsi="宋体" w:eastAsia="宋体" w:cs="宋体"/>
          <w:b/>
          <w:bCs/>
          <w:color w:val="auto"/>
          <w:spacing w:val="-18"/>
          <w:sz w:val="24"/>
          <w:szCs w:val="24"/>
          <w:highlight w:val="none"/>
        </w:rPr>
        <w:t xml:space="preserve"> </w:t>
      </w:r>
      <w:r>
        <w:rPr>
          <w:rFonts w:hint="eastAsia" w:ascii="宋体" w:hAnsi="宋体" w:eastAsia="宋体" w:cs="宋体"/>
          <w:b/>
          <w:bCs/>
          <w:color w:val="auto"/>
          <w:spacing w:val="-5"/>
          <w:sz w:val="24"/>
          <w:szCs w:val="24"/>
          <w:highlight w:val="none"/>
        </w:rPr>
        <w:t>．市政基础设施工程建设项目</w:t>
      </w:r>
      <w:bookmarkEnd w:id="178"/>
      <w:bookmarkEnd w:id="179"/>
    </w:p>
    <w:p w14:paraId="3D883B18">
      <w:pPr>
        <w:spacing w:before="154" w:line="220" w:lineRule="auto"/>
        <w:ind w:left="12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市政基础设施工程建设项目必须执行的现行技术规范，包括且不限于：</w:t>
      </w:r>
    </w:p>
    <w:p w14:paraId="6C693652">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（1）《公路路基施工技术规范》；</w:t>
      </w:r>
    </w:p>
    <w:p w14:paraId="6D80DEC4">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（2）《市政道路工程质量检验评定标准》；</w:t>
      </w:r>
    </w:p>
    <w:p w14:paraId="0237C6F7">
      <w:pPr>
        <w:spacing w:before="154"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（3）《市政排水管渠工程质量检验评定标准》；</w:t>
      </w:r>
    </w:p>
    <w:p w14:paraId="5A0A8A2B">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（4）《给水排水管道工程施工及验收规范》；</w:t>
      </w:r>
    </w:p>
    <w:p w14:paraId="3F18BF51">
      <w:pPr>
        <w:keepNext w:val="0"/>
        <w:keepLines w:val="0"/>
        <w:pageBreakBefore w:val="0"/>
        <w:widowControl w:val="0"/>
        <w:kinsoku w:val="0"/>
        <w:wordWrap/>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（5）《城市道路路基工程施工及验收规范》；</w:t>
      </w:r>
    </w:p>
    <w:p w14:paraId="4DD7CD7E">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（6）《水泥砼路面施工及验收规范》；</w:t>
      </w:r>
    </w:p>
    <w:p w14:paraId="2A6E8F89">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（7）《公路水泥砼路面施工技术规范》；</w:t>
      </w:r>
    </w:p>
    <w:p w14:paraId="71A4541D">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（8）《埋地硬聚氯乙烯排水管道工程技术规程》；</w:t>
      </w:r>
    </w:p>
    <w:p w14:paraId="11417329">
      <w:pPr>
        <w:keepNext w:val="0"/>
        <w:keepLines w:val="0"/>
        <w:pageBreakBefore w:val="0"/>
        <w:widowControl w:val="0"/>
        <w:kinsoku w:val="0"/>
        <w:wordWrap/>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（9）《沥青路面施工及验收规范》；</w:t>
      </w:r>
    </w:p>
    <w:p w14:paraId="4D5A8059">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（10）《广东省市政工程施工质量技术资料统一用表》。</w:t>
      </w:r>
    </w:p>
    <w:p w14:paraId="387D73AC">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0" w:name="_Toc8494"/>
      <w:bookmarkStart w:id="181" w:name="_Toc30781"/>
      <w:r>
        <w:rPr>
          <w:rFonts w:hint="eastAsia" w:ascii="宋体" w:hAnsi="宋体" w:eastAsia="宋体" w:cs="宋体"/>
          <w:color w:val="auto"/>
          <w:spacing w:val="-2"/>
          <w:sz w:val="24"/>
          <w:szCs w:val="24"/>
          <w:highlight w:val="none"/>
        </w:rPr>
        <w:t>（11）《建筑与市政工程无障碍通用规范》 GB 55019-2021；</w:t>
      </w:r>
      <w:bookmarkEnd w:id="180"/>
      <w:bookmarkEnd w:id="181"/>
    </w:p>
    <w:p w14:paraId="0DCC9771">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2" w:name="_Toc17383"/>
      <w:bookmarkStart w:id="183" w:name="_Toc31143"/>
      <w:r>
        <w:rPr>
          <w:rFonts w:hint="eastAsia" w:ascii="宋体" w:hAnsi="宋体" w:eastAsia="宋体" w:cs="宋体"/>
          <w:color w:val="auto"/>
          <w:spacing w:val="-2"/>
          <w:sz w:val="24"/>
          <w:szCs w:val="24"/>
          <w:highlight w:val="none"/>
        </w:rPr>
        <w:t>（12）《建筑防火通用规范》GB 55037-2022;</w:t>
      </w:r>
      <w:bookmarkEnd w:id="182"/>
      <w:bookmarkEnd w:id="183"/>
    </w:p>
    <w:p w14:paraId="1007A637">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4" w:name="_Toc954"/>
      <w:bookmarkStart w:id="185" w:name="_Toc32476"/>
      <w:r>
        <w:rPr>
          <w:rFonts w:hint="eastAsia" w:ascii="宋体" w:hAnsi="宋体" w:eastAsia="宋体" w:cs="宋体"/>
          <w:color w:val="auto"/>
          <w:spacing w:val="-2"/>
          <w:sz w:val="24"/>
          <w:szCs w:val="24"/>
          <w:highlight w:val="none"/>
        </w:rPr>
        <w:t>（13）《建筑与市政工程抗震通用规范》GB55002-2001;</w:t>
      </w:r>
      <w:bookmarkEnd w:id="184"/>
      <w:bookmarkEnd w:id="185"/>
    </w:p>
    <w:p w14:paraId="605E1A8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6" w:name="_Toc27898"/>
      <w:bookmarkStart w:id="187" w:name="_Toc7185"/>
      <w:r>
        <w:rPr>
          <w:rFonts w:hint="eastAsia" w:ascii="宋体" w:hAnsi="宋体" w:eastAsia="宋体" w:cs="宋体"/>
          <w:color w:val="auto"/>
          <w:spacing w:val="-2"/>
          <w:sz w:val="24"/>
          <w:szCs w:val="24"/>
          <w:highlight w:val="none"/>
        </w:rPr>
        <w:t>（14）《建筑与市政地基基础通用规范》GB55003-2001;</w:t>
      </w:r>
      <w:bookmarkEnd w:id="186"/>
      <w:bookmarkEnd w:id="187"/>
    </w:p>
    <w:p w14:paraId="6DD04A48">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88" w:name="_Toc17281"/>
      <w:bookmarkStart w:id="189" w:name="_Toc29669"/>
      <w:r>
        <w:rPr>
          <w:rFonts w:hint="eastAsia" w:ascii="宋体" w:hAnsi="宋体" w:eastAsia="宋体" w:cs="宋体"/>
          <w:color w:val="auto"/>
          <w:spacing w:val="-2"/>
          <w:sz w:val="24"/>
          <w:szCs w:val="24"/>
          <w:highlight w:val="none"/>
        </w:rPr>
        <w:t>（15）《城市道路照明设计标准》（CJJ45-2015）；</w:t>
      </w:r>
      <w:bookmarkEnd w:id="188"/>
      <w:bookmarkEnd w:id="189"/>
    </w:p>
    <w:p w14:paraId="6E232C70">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0" w:name="_Toc31812"/>
      <w:bookmarkStart w:id="191" w:name="_Toc9161"/>
      <w:r>
        <w:rPr>
          <w:rFonts w:hint="eastAsia" w:ascii="宋体" w:hAnsi="宋体" w:eastAsia="宋体" w:cs="宋体"/>
          <w:color w:val="auto"/>
          <w:spacing w:val="-2"/>
          <w:sz w:val="24"/>
          <w:szCs w:val="24"/>
          <w:highlight w:val="none"/>
        </w:rPr>
        <w:t>（16）《低压配电设计规范》（GB50054-2011）；</w:t>
      </w:r>
      <w:bookmarkEnd w:id="190"/>
      <w:bookmarkEnd w:id="191"/>
    </w:p>
    <w:p w14:paraId="4BA22D2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2" w:name="_Toc6405"/>
      <w:bookmarkStart w:id="193" w:name="_Toc18255"/>
      <w:r>
        <w:rPr>
          <w:rFonts w:hint="eastAsia" w:ascii="宋体" w:hAnsi="宋体" w:eastAsia="宋体" w:cs="宋体"/>
          <w:color w:val="auto"/>
          <w:spacing w:val="-2"/>
          <w:sz w:val="24"/>
          <w:szCs w:val="24"/>
          <w:highlight w:val="none"/>
        </w:rPr>
        <w:t>（17）《城市道路照明工程施工及验收规程》（CJJ89-2012）；</w:t>
      </w:r>
      <w:bookmarkEnd w:id="192"/>
      <w:bookmarkEnd w:id="193"/>
    </w:p>
    <w:p w14:paraId="2778203A">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（18）《LED 道路照明工程技术规范》（DB44/T 1898-2016）；</w:t>
      </w:r>
    </w:p>
    <w:p w14:paraId="05CEC0C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（19）《灯具第 1 部分：一般要求与试验》（GB7000.1-2015）；</w:t>
      </w:r>
    </w:p>
    <w:p w14:paraId="020E2463">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（20）《电缆工程电缆设计标准》（GB50217-2018）；</w:t>
      </w:r>
    </w:p>
    <w:p w14:paraId="5EA03498">
      <w:pPr>
        <w:keepNext w:val="0"/>
        <w:keepLines w:val="0"/>
        <w:pageBreakBefore w:val="0"/>
        <w:widowControl w:val="0"/>
        <w:kinsoku w:val="0"/>
        <w:wordWrap/>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（21）其他现行国家、广东省关于市政工程的技术及验收规范、定额、规程、标准。</w:t>
      </w:r>
    </w:p>
    <w:p w14:paraId="4FB1DDF1">
      <w:pPr>
        <w:pStyle w:val="5"/>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4A164D7E">
      <w:pPr>
        <w:pStyle w:val="5"/>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4AD096E9">
      <w:pPr>
        <w:keepNext w:val="0"/>
        <w:keepLines w:val="0"/>
        <w:pageBreakBefore w:val="0"/>
        <w:widowControl w:val="0"/>
        <w:kinsoku w:val="0"/>
        <w:wordWrap/>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auto"/>
          <w:sz w:val="24"/>
          <w:szCs w:val="24"/>
          <w:highlight w:val="none"/>
        </w:rPr>
      </w:pPr>
      <w:bookmarkStart w:id="194" w:name="_Toc9200"/>
      <w:bookmarkStart w:id="195" w:name="_Toc20488"/>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．备查要求</w:t>
      </w:r>
      <w:bookmarkEnd w:id="194"/>
      <w:bookmarkEnd w:id="195"/>
    </w:p>
    <w:p w14:paraId="54FC245A">
      <w:pPr>
        <w:keepNext w:val="0"/>
        <w:keepLines w:val="0"/>
        <w:pageBreakBefore w:val="0"/>
        <w:widowControl w:val="0"/>
        <w:kinsoku w:val="0"/>
        <w:wordWrap/>
        <w:overflowPunct/>
        <w:topLinePunct w:val="0"/>
        <w:autoSpaceDE w:val="0"/>
        <w:autoSpaceDN w:val="0"/>
        <w:bidi w:val="0"/>
        <w:adjustRightInd w:val="0"/>
        <w:snapToGrid w:val="0"/>
        <w:spacing w:before="155" w:line="324" w:lineRule="auto"/>
        <w:ind w:right="81" w:firstLine="561"/>
        <w:jc w:val="both"/>
        <w:textAlignment w:val="baseline"/>
        <w:rPr>
          <w:rFonts w:hint="eastAsia"/>
          <w:color w:val="auto"/>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spacing w:val="3"/>
          <w:sz w:val="24"/>
          <w:szCs w:val="24"/>
          <w:highlight w:val="none"/>
        </w:rPr>
        <w:t>承包人必须在施工现场准备至少一套上述规范，发包人和监理单位可</w:t>
      </w:r>
      <w:r>
        <w:rPr>
          <w:rFonts w:hint="eastAsia" w:ascii="宋体" w:hAnsi="宋体" w:eastAsia="宋体" w:cs="宋体"/>
          <w:color w:val="auto"/>
          <w:spacing w:val="2"/>
          <w:sz w:val="24"/>
          <w:szCs w:val="24"/>
          <w:highlight w:val="none"/>
        </w:rPr>
        <w:t>随时检查承</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包人的上述规范，并监督承包人按规范要求执行。</w:t>
      </w:r>
    </w:p>
    <w:p w14:paraId="41B0234B">
      <w:pPr>
        <w:spacing w:before="78" w:line="219" w:lineRule="auto"/>
        <w:jc w:val="center"/>
        <w:outlineLvl w:val="0"/>
        <w:rPr>
          <w:rFonts w:hint="eastAsia" w:ascii="宋体" w:hAnsi="宋体" w:eastAsia="宋体" w:cs="宋体"/>
          <w:color w:val="auto"/>
          <w:sz w:val="24"/>
          <w:szCs w:val="24"/>
          <w:highlight w:val="none"/>
        </w:rPr>
      </w:pPr>
      <w:bookmarkStart w:id="196" w:name="bookmark146"/>
      <w:bookmarkEnd w:id="196"/>
      <w:bookmarkStart w:id="197" w:name="bookmark100"/>
      <w:bookmarkEnd w:id="197"/>
      <w:bookmarkStart w:id="198" w:name="_Toc13952"/>
      <w:r>
        <w:rPr>
          <w:rFonts w:hint="eastAsia" w:ascii="宋体" w:hAnsi="宋体" w:eastAsia="宋体" w:cs="宋体"/>
          <w:b/>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5"/>
          <w:sz w:val="24"/>
          <w:szCs w:val="24"/>
          <w:highlight w:val="none"/>
        </w:rPr>
        <w:t>图纸和招标工程量清单</w:t>
      </w:r>
      <w:bookmarkEnd w:id="198"/>
    </w:p>
    <w:p w14:paraId="7C6C80E2">
      <w:pPr>
        <w:pStyle w:val="5"/>
        <w:spacing w:line="283" w:lineRule="auto"/>
        <w:rPr>
          <w:rFonts w:hint="eastAsia" w:ascii="宋体" w:hAnsi="宋体" w:eastAsia="宋体" w:cs="宋体"/>
          <w:color w:val="auto"/>
          <w:highlight w:val="none"/>
        </w:rPr>
      </w:pPr>
    </w:p>
    <w:p w14:paraId="58148A80">
      <w:pPr>
        <w:pStyle w:val="5"/>
        <w:spacing w:line="284" w:lineRule="auto"/>
        <w:rPr>
          <w:rFonts w:hint="eastAsia" w:ascii="宋体" w:hAnsi="宋体" w:eastAsia="宋体" w:cs="宋体"/>
          <w:color w:val="auto"/>
          <w:highlight w:val="none"/>
        </w:rPr>
      </w:pPr>
    </w:p>
    <w:p w14:paraId="116B6A3B">
      <w:pPr>
        <w:spacing w:before="78" w:line="219" w:lineRule="auto"/>
        <w:ind w:left="106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□有，另附复印件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有，自行网上下载(浏览)           □无</w:t>
      </w:r>
    </w:p>
    <w:p w14:paraId="48F75832">
      <w:pPr>
        <w:pStyle w:val="5"/>
        <w:spacing w:line="265" w:lineRule="auto"/>
        <w:rPr>
          <w:rFonts w:hint="eastAsia" w:ascii="宋体" w:hAnsi="宋体" w:eastAsia="宋体" w:cs="宋体"/>
          <w:color w:val="auto"/>
          <w:highlight w:val="none"/>
        </w:rPr>
      </w:pPr>
    </w:p>
    <w:p w14:paraId="45CC48D5">
      <w:pPr>
        <w:spacing w:before="151" w:line="222" w:lineRule="auto"/>
        <w:ind w:left="715"/>
        <w:outlineLvl w:val="2"/>
        <w:rPr>
          <w:rFonts w:hint="eastAsia" w:ascii="宋体" w:hAnsi="宋体" w:eastAsia="宋体" w:cs="宋体"/>
          <w:color w:val="auto"/>
          <w:sz w:val="24"/>
          <w:szCs w:val="24"/>
          <w:highlight w:val="none"/>
        </w:rPr>
      </w:pPr>
      <w:bookmarkStart w:id="199" w:name="_Toc6414"/>
      <w:bookmarkStart w:id="200" w:name="_Toc24446"/>
      <w:r>
        <w:rPr>
          <w:rFonts w:hint="eastAsia" w:ascii="宋体" w:hAnsi="宋体" w:eastAsia="宋体" w:cs="宋体"/>
          <w:b/>
          <w:bCs/>
          <w:color w:val="auto"/>
          <w:spacing w:val="-14"/>
          <w:sz w:val="24"/>
          <w:szCs w:val="24"/>
          <w:highlight w:val="none"/>
        </w:rPr>
        <w:t>1</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14"/>
          <w:sz w:val="24"/>
          <w:szCs w:val="24"/>
          <w:highlight w:val="none"/>
        </w:rPr>
        <w:t>．图纸</w:t>
      </w:r>
      <w:bookmarkEnd w:id="199"/>
      <w:bookmarkEnd w:id="200"/>
    </w:p>
    <w:p w14:paraId="022ED3AB">
      <w:pPr>
        <w:spacing w:before="150" w:line="330" w:lineRule="auto"/>
        <w:ind w:left="230" w:firstLine="480"/>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本招标文件随文另附施工图（电子文件）一套。</w:t>
      </w:r>
    </w:p>
    <w:p w14:paraId="19E440D0">
      <w:pPr>
        <w:pStyle w:val="5"/>
        <w:spacing w:line="253" w:lineRule="auto"/>
        <w:rPr>
          <w:rFonts w:hint="eastAsia" w:ascii="宋体" w:hAnsi="宋体" w:eastAsia="宋体" w:cs="宋体"/>
          <w:color w:val="auto"/>
          <w:highlight w:val="none"/>
        </w:rPr>
      </w:pPr>
    </w:p>
    <w:p w14:paraId="05E465DE">
      <w:pPr>
        <w:spacing w:before="79" w:line="221" w:lineRule="auto"/>
        <w:ind w:left="705"/>
        <w:outlineLvl w:val="2"/>
        <w:rPr>
          <w:rFonts w:hint="eastAsia" w:ascii="宋体" w:hAnsi="宋体" w:eastAsia="宋体" w:cs="宋体"/>
          <w:color w:val="auto"/>
          <w:sz w:val="24"/>
          <w:szCs w:val="24"/>
          <w:highlight w:val="none"/>
        </w:rPr>
      </w:pPr>
      <w:bookmarkStart w:id="201" w:name="_Toc9064"/>
      <w:bookmarkStart w:id="202" w:name="_Toc5239"/>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6"/>
          <w:sz w:val="24"/>
          <w:szCs w:val="24"/>
          <w:highlight w:val="none"/>
        </w:rPr>
        <w:t>．招标工程量清单</w:t>
      </w:r>
      <w:bookmarkEnd w:id="201"/>
      <w:bookmarkEnd w:id="202"/>
    </w:p>
    <w:p w14:paraId="3D4BF4B7">
      <w:pPr>
        <w:spacing w:before="117" w:line="312" w:lineRule="auto"/>
        <w:ind w:left="23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2.1  </w:t>
      </w:r>
      <w:r>
        <w:rPr>
          <w:rFonts w:hint="eastAsia" w:ascii="宋体" w:hAnsi="宋体" w:eastAsia="宋体" w:cs="宋体"/>
          <w:color w:val="auto"/>
          <w:spacing w:val="-3"/>
          <w:sz w:val="24"/>
          <w:szCs w:val="24"/>
          <w:highlight w:val="none"/>
        </w:rPr>
        <w:t>本招标文件随文另附</w:t>
      </w:r>
      <w:bookmarkStart w:id="203" w:name="OLE_LINK33"/>
      <w:r>
        <w:rPr>
          <w:rFonts w:hint="eastAsia" w:ascii="宋体" w:hAnsi="宋体" w:eastAsia="宋体" w:cs="宋体"/>
          <w:color w:val="auto"/>
          <w:spacing w:val="-3"/>
          <w:sz w:val="24"/>
          <w:szCs w:val="24"/>
          <w:highlight w:val="none"/>
          <w:u w:val="single"/>
        </w:rPr>
        <w:t>招标工程量清单EXCEL版</w:t>
      </w:r>
      <w:r>
        <w:rPr>
          <w:rFonts w:hint="eastAsia" w:ascii="宋体" w:hAnsi="宋体" w:eastAsia="宋体" w:cs="宋体"/>
          <w:color w:val="auto"/>
          <w:spacing w:val="-3"/>
          <w:sz w:val="24"/>
          <w:szCs w:val="24"/>
          <w:highlight w:val="none"/>
          <w:u w:val="single"/>
          <w:lang w:val="en-US" w:eastAsia="zh-CN"/>
        </w:rPr>
        <w:t>和</w:t>
      </w:r>
      <w:bookmarkEnd w:id="203"/>
      <w:r>
        <w:rPr>
          <w:rFonts w:hint="eastAsia" w:ascii="宋体" w:hAnsi="宋体" w:eastAsia="宋体" w:cs="宋体"/>
          <w:color w:val="auto"/>
          <w:spacing w:val="-3"/>
          <w:sz w:val="24"/>
          <w:szCs w:val="24"/>
          <w:highlight w:val="none"/>
          <w:u w:val="single"/>
          <w:lang w:val="en-US" w:eastAsia="zh-CN"/>
        </w:rPr>
        <w:t>最高投标限价清单</w:t>
      </w:r>
      <w:r>
        <w:rPr>
          <w:rFonts w:hint="eastAsia" w:ascii="宋体" w:hAnsi="宋体" w:eastAsia="宋体" w:cs="宋体"/>
          <w:color w:val="auto"/>
          <w:spacing w:val="-3"/>
          <w:sz w:val="24"/>
          <w:szCs w:val="24"/>
          <w:highlight w:val="none"/>
          <w:u w:val="single"/>
        </w:rPr>
        <w:t>EXCEL版</w:t>
      </w:r>
      <w:r>
        <w:rPr>
          <w:rFonts w:hint="eastAsia" w:ascii="宋体" w:hAnsi="宋体" w:eastAsia="宋体" w:cs="宋体"/>
          <w:color w:val="auto"/>
          <w:spacing w:val="37"/>
          <w:sz w:val="24"/>
          <w:szCs w:val="24"/>
          <w:highlight w:val="none"/>
          <w:u w:val="single"/>
        </w:rPr>
        <w:t xml:space="preserve"> </w:t>
      </w:r>
      <w:r>
        <w:rPr>
          <w:rFonts w:hint="eastAsia" w:ascii="宋体" w:hAnsi="宋体" w:eastAsia="宋体" w:cs="宋体"/>
          <w:color w:val="auto"/>
          <w:spacing w:val="-3"/>
          <w:sz w:val="24"/>
          <w:szCs w:val="24"/>
          <w:highlight w:val="none"/>
        </w:rPr>
        <w:t>电子文件一套。</w:t>
      </w:r>
    </w:p>
    <w:p w14:paraId="7B802B52">
      <w:pPr>
        <w:spacing w:before="78" w:line="219" w:lineRule="auto"/>
        <w:ind w:left="478" w:firstLine="239" w:firstLineChars="100"/>
        <w:rPr>
          <w:rFonts w:hint="eastAsia" w:ascii="宋体" w:hAnsi="宋体" w:eastAsia="宋体" w:cs="宋体"/>
          <w:color w:val="auto"/>
          <w:sz w:val="24"/>
          <w:szCs w:val="24"/>
          <w:highlight w:val="none"/>
        </w:rPr>
      </w:pPr>
      <w:bookmarkStart w:id="204" w:name="bookmark147"/>
      <w:bookmarkEnd w:id="204"/>
      <w:r>
        <w:rPr>
          <w:rFonts w:hint="eastAsia" w:ascii="宋体" w:hAnsi="宋体" w:eastAsia="宋体" w:cs="宋体"/>
          <w:b/>
          <w:bCs/>
          <w:color w:val="auto"/>
          <w:spacing w:val="-1"/>
          <w:sz w:val="24"/>
          <w:szCs w:val="24"/>
          <w:highlight w:val="none"/>
        </w:rPr>
        <w:t xml:space="preserve">2.2  </w:t>
      </w:r>
      <w:r>
        <w:rPr>
          <w:rFonts w:hint="eastAsia" w:ascii="宋体" w:hAnsi="宋体" w:eastAsia="宋体" w:cs="宋体"/>
          <w:color w:val="auto"/>
          <w:spacing w:val="-1"/>
          <w:sz w:val="24"/>
          <w:szCs w:val="24"/>
          <w:highlight w:val="none"/>
        </w:rPr>
        <w:t>本工程按照以下依据编制</w:t>
      </w:r>
      <w:r>
        <w:rPr>
          <w:rFonts w:hint="eastAsia" w:ascii="宋体" w:hAnsi="宋体" w:eastAsia="宋体" w:cs="宋体"/>
          <w:color w:val="auto"/>
          <w:spacing w:val="-1"/>
          <w:sz w:val="24"/>
          <w:szCs w:val="24"/>
          <w:highlight w:val="none"/>
          <w:u w:val="single"/>
        </w:rPr>
        <w:t>招标工程量清单</w:t>
      </w:r>
      <w:r>
        <w:rPr>
          <w:rFonts w:hint="eastAsia" w:ascii="宋体" w:hAnsi="宋体" w:eastAsia="宋体" w:cs="宋体"/>
          <w:color w:val="auto"/>
          <w:spacing w:val="-1"/>
          <w:sz w:val="24"/>
          <w:szCs w:val="24"/>
          <w:highlight w:val="none"/>
        </w:rPr>
        <w:t>：</w:t>
      </w:r>
    </w:p>
    <w:p w14:paraId="02362135">
      <w:pPr>
        <w:spacing w:before="12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4"/>
          <w:sz w:val="24"/>
          <w:szCs w:val="24"/>
          <w:highlight w:val="none"/>
        </w:rPr>
        <w:t>）；</w:t>
      </w:r>
    </w:p>
    <w:p w14:paraId="61B98E77">
      <w:pPr>
        <w:spacing w:before="115" w:line="299" w:lineRule="auto"/>
        <w:ind w:firstLine="49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（2）投标人应对招标人提供的工程量清单进行认真细致的复核。这种复核包括对</w:t>
      </w:r>
      <w:r>
        <w:rPr>
          <w:rFonts w:hint="eastAsia" w:ascii="宋体" w:hAnsi="宋体" w:eastAsia="宋体" w:cs="宋体"/>
          <w:color w:val="auto"/>
          <w:spacing w:val="-1"/>
          <w:sz w:val="24"/>
          <w:szCs w:val="24"/>
          <w:highlight w:val="none"/>
        </w:rPr>
        <w:t>招标人提供的工程量清单中的子目编码、子目名称、子</w:t>
      </w:r>
      <w:r>
        <w:rPr>
          <w:rFonts w:hint="eastAsia" w:ascii="宋体" w:hAnsi="宋体" w:eastAsia="宋体" w:cs="宋体"/>
          <w:color w:val="auto"/>
          <w:spacing w:val="-2"/>
          <w:sz w:val="24"/>
          <w:szCs w:val="24"/>
          <w:highlight w:val="none"/>
        </w:rPr>
        <w:t>目特征描述、计量单位、工程量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的准确性以及可能存在的任何书写、打印错误进行检查</w:t>
      </w:r>
      <w:r>
        <w:rPr>
          <w:rFonts w:hint="eastAsia" w:ascii="宋体" w:hAnsi="宋体" w:eastAsia="宋体" w:cs="宋体"/>
          <w:color w:val="auto"/>
          <w:spacing w:val="-2"/>
          <w:sz w:val="24"/>
          <w:szCs w:val="24"/>
          <w:highlight w:val="none"/>
        </w:rPr>
        <w:t>和复核，特别是对“分部分项工</w:t>
      </w:r>
      <w:r>
        <w:rPr>
          <w:rFonts w:hint="eastAsia" w:ascii="宋体" w:hAnsi="宋体" w:eastAsia="宋体" w:cs="宋体"/>
          <w:color w:val="auto"/>
          <w:spacing w:val="-1"/>
          <w:sz w:val="24"/>
          <w:szCs w:val="24"/>
          <w:highlight w:val="none"/>
        </w:rPr>
        <w:t>程量清单与计价表”中每个工作子目的工程量进</w:t>
      </w:r>
      <w:r>
        <w:rPr>
          <w:rFonts w:hint="eastAsia" w:ascii="宋体" w:hAnsi="宋体" w:eastAsia="宋体" w:cs="宋体"/>
          <w:color w:val="auto"/>
          <w:spacing w:val="-2"/>
          <w:sz w:val="24"/>
          <w:szCs w:val="24"/>
          <w:highlight w:val="none"/>
        </w:rPr>
        <w:t>行重新计算和校核。如果投标人经过检</w:t>
      </w:r>
      <w:r>
        <w:rPr>
          <w:rFonts w:hint="eastAsia" w:ascii="宋体" w:hAnsi="宋体" w:eastAsia="宋体" w:cs="宋体"/>
          <w:color w:val="auto"/>
          <w:spacing w:val="-1"/>
          <w:sz w:val="24"/>
          <w:szCs w:val="24"/>
          <w:highlight w:val="none"/>
        </w:rPr>
        <w:t>查和复核以后认为招标人提供的工程量清单存在</w:t>
      </w:r>
      <w:r>
        <w:rPr>
          <w:rFonts w:hint="eastAsia" w:ascii="宋体" w:hAnsi="宋体" w:eastAsia="宋体" w:cs="宋体"/>
          <w:color w:val="auto"/>
          <w:spacing w:val="-2"/>
          <w:sz w:val="24"/>
          <w:szCs w:val="24"/>
          <w:highlight w:val="none"/>
        </w:rPr>
        <w:t>差异，则投标人应将此类差异的详细情</w:t>
      </w:r>
      <w:r>
        <w:rPr>
          <w:rFonts w:hint="eastAsia" w:ascii="宋体" w:hAnsi="宋体" w:eastAsia="宋体" w:cs="宋体"/>
          <w:color w:val="auto"/>
          <w:spacing w:val="-8"/>
          <w:sz w:val="24"/>
          <w:szCs w:val="24"/>
          <w:highlight w:val="none"/>
        </w:rPr>
        <w:t>况连同按“投标须知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8"/>
          <w:sz w:val="24"/>
          <w:szCs w:val="24"/>
          <w:highlight w:val="none"/>
        </w:rPr>
        <w:t>”规定提交的要求招标人澄清的其他</w:t>
      </w:r>
      <w:r>
        <w:rPr>
          <w:rFonts w:hint="eastAsia" w:ascii="宋体" w:hAnsi="宋体" w:eastAsia="宋体" w:cs="宋体"/>
          <w:color w:val="auto"/>
          <w:spacing w:val="-9"/>
          <w:sz w:val="24"/>
          <w:szCs w:val="24"/>
          <w:highlight w:val="none"/>
        </w:rPr>
        <w:t>问题一起提交给招标人，招标人</w:t>
      </w:r>
      <w:r>
        <w:rPr>
          <w:rFonts w:hint="eastAsia" w:ascii="宋体" w:hAnsi="宋体" w:eastAsia="宋体" w:cs="宋体"/>
          <w:color w:val="auto"/>
          <w:spacing w:val="-2"/>
          <w:sz w:val="24"/>
          <w:szCs w:val="24"/>
          <w:highlight w:val="none"/>
        </w:rPr>
        <w:t>将根据实际情况决定是否颁发</w:t>
      </w:r>
      <w:r>
        <w:rPr>
          <w:rFonts w:hint="eastAsia" w:ascii="宋体" w:hAnsi="宋体" w:eastAsia="宋体" w:cs="宋体"/>
          <w:color w:val="auto"/>
          <w:spacing w:val="-2"/>
          <w:sz w:val="24"/>
          <w:szCs w:val="24"/>
          <w:highlight w:val="none"/>
          <w:u w:val="single"/>
        </w:rPr>
        <w:t>工程量清单</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8"/>
          <w:sz w:val="24"/>
          <w:szCs w:val="24"/>
          <w:highlight w:val="none"/>
          <w:lang w:eastAsia="zh-CN"/>
        </w:rPr>
        <w:t>最高投标限价</w:t>
      </w:r>
      <w:r>
        <w:rPr>
          <w:rFonts w:hint="eastAsia" w:ascii="宋体" w:hAnsi="宋体" w:eastAsia="宋体" w:cs="宋体"/>
          <w:color w:val="auto"/>
          <w:spacing w:val="-8"/>
          <w:sz w:val="24"/>
          <w:szCs w:val="24"/>
          <w:highlight w:val="none"/>
        </w:rPr>
        <w:t>的</w:t>
      </w:r>
      <w:r>
        <w:rPr>
          <w:rFonts w:hint="eastAsia" w:ascii="宋体" w:hAnsi="宋体" w:eastAsia="宋体" w:cs="宋体"/>
          <w:color w:val="auto"/>
          <w:spacing w:val="-2"/>
          <w:sz w:val="24"/>
          <w:szCs w:val="24"/>
          <w:highlight w:val="none"/>
        </w:rPr>
        <w:t>补充和(或)修改文件。</w:t>
      </w:r>
    </w:p>
    <w:p w14:paraId="3FCA4C7D">
      <w:pPr>
        <w:spacing w:before="79" w:line="263" w:lineRule="auto"/>
        <w:ind w:left="2" w:right="2"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（3）本招标工程量清单措施项目中的</w:t>
      </w:r>
      <w:r>
        <w:rPr>
          <w:rFonts w:hint="eastAsia" w:ascii="宋体" w:hAnsi="宋体" w:eastAsia="宋体" w:cs="宋体"/>
          <w:b/>
          <w:bCs/>
          <w:color w:val="auto"/>
          <w:spacing w:val="-6"/>
          <w:sz w:val="24"/>
          <w:szCs w:val="24"/>
          <w:highlight w:val="none"/>
          <w:u w:val="single"/>
        </w:rPr>
        <w:t>暂列金额、暂估价</w:t>
      </w:r>
      <w:r>
        <w:rPr>
          <w:rFonts w:hint="eastAsia" w:ascii="宋体" w:hAnsi="宋体" w:eastAsia="宋体" w:cs="宋体"/>
          <w:color w:val="auto"/>
          <w:spacing w:val="-2"/>
          <w:sz w:val="24"/>
          <w:szCs w:val="24"/>
          <w:highlight w:val="none"/>
        </w:rPr>
        <w:t>不得作为竞争性费用，投标报价必须按本招标工程量清</w:t>
      </w:r>
      <w:r>
        <w:rPr>
          <w:rFonts w:hint="eastAsia" w:ascii="宋体" w:hAnsi="宋体" w:eastAsia="宋体" w:cs="宋体"/>
          <w:color w:val="auto"/>
          <w:spacing w:val="-3"/>
          <w:sz w:val="24"/>
          <w:szCs w:val="24"/>
          <w:highlight w:val="none"/>
        </w:rPr>
        <w:t>单规定</w:t>
      </w:r>
      <w:r>
        <w:rPr>
          <w:rFonts w:hint="eastAsia" w:ascii="宋体" w:hAnsi="宋体" w:eastAsia="宋体" w:cs="宋体"/>
          <w:color w:val="auto"/>
          <w:spacing w:val="-2"/>
          <w:sz w:val="24"/>
          <w:szCs w:val="24"/>
          <w:highlight w:val="none"/>
        </w:rPr>
        <w:t>的金额填</w:t>
      </w:r>
      <w:r>
        <w:rPr>
          <w:rFonts w:hint="eastAsia" w:ascii="宋体" w:hAnsi="宋体" w:eastAsia="宋体" w:cs="宋体"/>
          <w:color w:val="auto"/>
          <w:spacing w:val="-3"/>
          <w:sz w:val="24"/>
          <w:szCs w:val="24"/>
          <w:highlight w:val="none"/>
        </w:rPr>
        <w:t>报。</w:t>
      </w:r>
    </w:p>
    <w:p w14:paraId="771762E6">
      <w:pPr>
        <w:spacing w:before="118" w:line="265" w:lineRule="auto"/>
        <w:ind w:left="7" w:right="4" w:firstLine="48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（4）投标报价使用的表格格式须按照 GB50500-20</w:t>
      </w:r>
      <w:r>
        <w:rPr>
          <w:rFonts w:hint="eastAsia" w:ascii="宋体" w:hAnsi="宋体" w:eastAsia="宋体" w:cs="宋体"/>
          <w:color w:val="auto"/>
          <w:spacing w:val="-2"/>
          <w:sz w:val="24"/>
          <w:szCs w:val="24"/>
          <w:highlight w:val="none"/>
          <w:lang w:val="en-US" w:eastAsia="zh-CN"/>
        </w:rPr>
        <w:t>24</w:t>
      </w:r>
      <w:r>
        <w:rPr>
          <w:rFonts w:hint="eastAsia" w:ascii="宋体" w:hAnsi="宋体" w:eastAsia="宋体" w:cs="宋体"/>
          <w:color w:val="auto"/>
          <w:spacing w:val="-2"/>
          <w:sz w:val="24"/>
          <w:szCs w:val="24"/>
          <w:highlight w:val="none"/>
        </w:rPr>
        <w:t>《建设工程工程量清单计价</w:t>
      </w:r>
      <w:r>
        <w:rPr>
          <w:rFonts w:hint="eastAsia" w:ascii="宋体" w:hAnsi="宋体" w:eastAsia="宋体" w:cs="宋体"/>
          <w:color w:val="auto"/>
          <w:spacing w:val="-2"/>
          <w:sz w:val="24"/>
          <w:szCs w:val="24"/>
          <w:highlight w:val="none"/>
          <w:lang w:val="en-US" w:eastAsia="zh-CN"/>
        </w:rPr>
        <w:t>标准</w:t>
      </w:r>
      <w:r>
        <w:rPr>
          <w:rFonts w:hint="eastAsia" w:ascii="宋体" w:hAnsi="宋体" w:eastAsia="宋体" w:cs="宋体"/>
          <w:color w:val="auto"/>
          <w:spacing w:val="-6"/>
          <w:sz w:val="24"/>
          <w:szCs w:val="24"/>
          <w:highlight w:val="none"/>
        </w:rPr>
        <w:t>》。</w:t>
      </w:r>
    </w:p>
    <w:p w14:paraId="12F193A0">
      <w:pPr>
        <w:spacing w:before="107" w:line="286" w:lineRule="auto"/>
        <w:ind w:right="4" w:firstLine="492"/>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市政工程工程量计算标准》(GB/T50857-2024）、《园林绿化工程工程量计算标准》(GB/T50858-2024）、2018年《广东省市政工程综合定额》、2018年《广东省园林绿化工程综合定额》及现行的建筑施工规范和省市有关文件、规定为编制依据进行编制；</w:t>
      </w:r>
    </w:p>
    <w:p w14:paraId="18E085EB">
      <w:pPr>
        <w:spacing w:before="146" w:line="221"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（6）施工图及相关资料；</w:t>
      </w:r>
    </w:p>
    <w:p w14:paraId="75A26699">
      <w:pPr>
        <w:spacing w:before="153"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（7）招标文件；</w:t>
      </w:r>
    </w:p>
    <w:p w14:paraId="37B4AFD5">
      <w:pPr>
        <w:spacing w:before="155"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（8）施工现场情况、地勘水文资料、工程特点及常规施工方案；</w:t>
      </w:r>
    </w:p>
    <w:p w14:paraId="106392C6">
      <w:pPr>
        <w:spacing w:before="15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（9）与建设工程有关的标准、规范、技术资料、材料设备信息价或市场价格等</w:t>
      </w:r>
      <w:r>
        <w:rPr>
          <w:rFonts w:hint="eastAsia" w:ascii="宋体" w:hAnsi="宋体" w:eastAsia="宋体" w:cs="宋体"/>
          <w:color w:val="auto"/>
          <w:spacing w:val="-2"/>
          <w:sz w:val="24"/>
          <w:szCs w:val="24"/>
          <w:highlight w:val="none"/>
        </w:rPr>
        <w:t>。</w:t>
      </w:r>
    </w:p>
    <w:p w14:paraId="429B0728">
      <w:pPr>
        <w:spacing w:line="219" w:lineRule="auto"/>
        <w:rPr>
          <w:rFonts w:hint="eastAsia" w:ascii="宋体" w:hAnsi="宋体" w:eastAsia="宋体" w:cs="宋体"/>
          <w:color w:val="auto"/>
          <w:sz w:val="24"/>
          <w:szCs w:val="24"/>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104BD93">
      <w:pPr>
        <w:pStyle w:val="5"/>
        <w:spacing w:line="304" w:lineRule="auto"/>
        <w:rPr>
          <w:rFonts w:hint="eastAsia" w:ascii="宋体" w:hAnsi="宋体" w:eastAsia="宋体" w:cs="宋体"/>
          <w:color w:val="auto"/>
          <w:highlight w:val="none"/>
        </w:rPr>
      </w:pPr>
    </w:p>
    <w:p w14:paraId="36743CF6">
      <w:pPr>
        <w:spacing w:before="78" w:line="219" w:lineRule="auto"/>
        <w:ind w:left="3357"/>
        <w:outlineLvl w:val="0"/>
        <w:rPr>
          <w:rFonts w:hint="eastAsia" w:ascii="宋体" w:hAnsi="宋体" w:eastAsia="宋体" w:cs="宋体"/>
          <w:color w:val="auto"/>
          <w:sz w:val="24"/>
          <w:szCs w:val="24"/>
          <w:highlight w:val="none"/>
        </w:rPr>
      </w:pPr>
      <w:bookmarkStart w:id="205" w:name="_Toc18995"/>
      <w:r>
        <w:rPr>
          <w:rFonts w:hint="eastAsia" w:ascii="宋体" w:hAnsi="宋体" w:eastAsia="宋体" w:cs="宋体"/>
          <w:b/>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投标文件格式</w:t>
      </w:r>
      <w:bookmarkEnd w:id="205"/>
    </w:p>
    <w:p w14:paraId="0D0857B6">
      <w:pPr>
        <w:pStyle w:val="5"/>
        <w:spacing w:line="302" w:lineRule="auto"/>
        <w:jc w:val="right"/>
        <w:rPr>
          <w:rFonts w:hint="eastAsia" w:ascii="宋体" w:hAnsi="宋体" w:eastAsia="宋体" w:cs="宋体"/>
          <w:color w:val="auto"/>
          <w:highlight w:val="none"/>
        </w:rPr>
      </w:pPr>
    </w:p>
    <w:p w14:paraId="401E31D5">
      <w:pPr>
        <w:spacing w:before="78" w:line="220" w:lineRule="auto"/>
        <w:outlineLvl w:val="2"/>
        <w:rPr>
          <w:rFonts w:hint="eastAsia" w:ascii="宋体" w:hAnsi="宋体" w:eastAsia="宋体" w:cs="宋体"/>
          <w:color w:val="auto"/>
          <w:sz w:val="24"/>
          <w:szCs w:val="24"/>
          <w:highlight w:val="none"/>
        </w:rPr>
      </w:pPr>
      <w:bookmarkStart w:id="206" w:name="_Toc15751"/>
      <w:r>
        <w:rPr>
          <w:rFonts w:hint="eastAsia" w:ascii="宋体" w:hAnsi="宋体" w:eastAsia="宋体" w:cs="宋体"/>
          <w:b/>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
          <w:bCs/>
          <w:color w:val="auto"/>
          <w:spacing w:val="-4"/>
          <w:sz w:val="24"/>
          <w:szCs w:val="24"/>
          <w:highlight w:val="none"/>
        </w:rPr>
        <w:t>封面</w:t>
      </w:r>
      <w:bookmarkEnd w:id="206"/>
    </w:p>
    <w:p w14:paraId="7F1D5484">
      <w:pPr>
        <w:pStyle w:val="5"/>
        <w:spacing w:line="258" w:lineRule="auto"/>
        <w:rPr>
          <w:rFonts w:hint="eastAsia" w:ascii="宋体" w:hAnsi="宋体" w:eastAsia="宋体" w:cs="宋体"/>
          <w:color w:val="auto"/>
          <w:highlight w:val="none"/>
        </w:rPr>
      </w:pPr>
    </w:p>
    <w:p w14:paraId="2CD8482C">
      <w:pPr>
        <w:pStyle w:val="5"/>
        <w:spacing w:line="259" w:lineRule="auto"/>
        <w:rPr>
          <w:rFonts w:hint="eastAsia" w:ascii="宋体" w:hAnsi="宋体" w:eastAsia="宋体" w:cs="宋体"/>
          <w:color w:val="auto"/>
          <w:highlight w:val="none"/>
        </w:rPr>
      </w:pPr>
    </w:p>
    <w:p w14:paraId="102EDF3E">
      <w:pPr>
        <w:pStyle w:val="5"/>
        <w:spacing w:line="259" w:lineRule="auto"/>
        <w:rPr>
          <w:rFonts w:hint="eastAsia" w:ascii="宋体" w:hAnsi="宋体" w:eastAsia="宋体" w:cs="宋体"/>
          <w:color w:val="auto"/>
          <w:highlight w:val="none"/>
        </w:rPr>
      </w:pPr>
    </w:p>
    <w:p w14:paraId="2A72B20C">
      <w:pPr>
        <w:spacing w:before="153" w:line="225" w:lineRule="auto"/>
        <w:ind w:left="-1" w:leftChars="0" w:firstLine="0" w:firstLineChars="0"/>
        <w:jc w:val="center"/>
        <w:rPr>
          <w:rFonts w:hint="eastAsia" w:ascii="宋体" w:hAnsi="宋体" w:eastAsia="宋体" w:cs="宋体"/>
          <w:color w:val="auto"/>
          <w:sz w:val="47"/>
          <w:szCs w:val="47"/>
          <w:highlight w:val="none"/>
        </w:rPr>
      </w:pPr>
      <w:r>
        <w:rPr>
          <w:rFonts w:hint="eastAsia" w:ascii="宋体" w:hAnsi="宋体" w:eastAsia="宋体" w:cs="宋体"/>
          <w:b/>
          <w:bCs/>
          <w:color w:val="auto"/>
          <w:spacing w:val="8"/>
          <w:sz w:val="47"/>
          <w:szCs w:val="47"/>
          <w:highlight w:val="none"/>
          <w:u w:val="single"/>
          <w:lang w:val="en-US" w:eastAsia="zh-CN"/>
        </w:rPr>
        <w:t xml:space="preserve">       </w:t>
      </w:r>
      <w:r>
        <w:rPr>
          <w:rFonts w:hint="eastAsia" w:ascii="宋体" w:hAnsi="宋体" w:eastAsia="宋体" w:cs="宋体"/>
          <w:b/>
          <w:bCs/>
          <w:color w:val="auto"/>
          <w:spacing w:val="8"/>
          <w:sz w:val="47"/>
          <w:szCs w:val="47"/>
          <w:highlight w:val="none"/>
          <w:u w:val="single"/>
        </w:rPr>
        <w:t>（项目名称</w:t>
      </w:r>
      <w:r>
        <w:rPr>
          <w:rFonts w:hint="eastAsia" w:ascii="宋体" w:hAnsi="宋体" w:eastAsia="宋体" w:cs="宋体"/>
          <w:b/>
          <w:bCs/>
          <w:color w:val="auto"/>
          <w:spacing w:val="-32"/>
          <w:sz w:val="47"/>
          <w:szCs w:val="47"/>
          <w:highlight w:val="none"/>
          <w:u w:val="single"/>
        </w:rPr>
        <w:t>）</w:t>
      </w:r>
      <w:r>
        <w:rPr>
          <w:rFonts w:hint="eastAsia" w:ascii="宋体" w:hAnsi="宋体" w:eastAsia="宋体" w:cs="宋体"/>
          <w:b/>
          <w:bCs/>
          <w:color w:val="auto"/>
          <w:spacing w:val="8"/>
          <w:sz w:val="47"/>
          <w:szCs w:val="47"/>
          <w:highlight w:val="none"/>
        </w:rPr>
        <w:t>招标</w:t>
      </w:r>
    </w:p>
    <w:p w14:paraId="5ECD6A12">
      <w:pPr>
        <w:pStyle w:val="5"/>
        <w:spacing w:line="247" w:lineRule="auto"/>
        <w:rPr>
          <w:rFonts w:hint="eastAsia" w:ascii="宋体" w:hAnsi="宋体" w:eastAsia="宋体" w:cs="宋体"/>
          <w:color w:val="auto"/>
          <w:highlight w:val="none"/>
        </w:rPr>
      </w:pPr>
    </w:p>
    <w:p w14:paraId="54606FEC">
      <w:pPr>
        <w:pStyle w:val="5"/>
        <w:spacing w:line="247" w:lineRule="auto"/>
        <w:rPr>
          <w:rFonts w:hint="eastAsia" w:ascii="宋体" w:hAnsi="宋体" w:eastAsia="宋体" w:cs="宋体"/>
          <w:color w:val="auto"/>
          <w:highlight w:val="none"/>
        </w:rPr>
      </w:pPr>
    </w:p>
    <w:p w14:paraId="5399F95B">
      <w:pPr>
        <w:pStyle w:val="5"/>
        <w:spacing w:line="247" w:lineRule="auto"/>
        <w:rPr>
          <w:rFonts w:hint="eastAsia" w:ascii="宋体" w:hAnsi="宋体" w:eastAsia="宋体" w:cs="宋体"/>
          <w:color w:val="auto"/>
          <w:highlight w:val="none"/>
        </w:rPr>
      </w:pPr>
    </w:p>
    <w:p w14:paraId="290C2C2C">
      <w:pPr>
        <w:pStyle w:val="5"/>
        <w:spacing w:line="247" w:lineRule="auto"/>
        <w:rPr>
          <w:rFonts w:hint="eastAsia" w:ascii="宋体" w:hAnsi="宋体" w:eastAsia="宋体" w:cs="宋体"/>
          <w:color w:val="auto"/>
          <w:highlight w:val="none"/>
        </w:rPr>
      </w:pPr>
    </w:p>
    <w:p w14:paraId="59ACBFD9">
      <w:pPr>
        <w:pStyle w:val="5"/>
        <w:spacing w:line="248" w:lineRule="auto"/>
        <w:rPr>
          <w:rFonts w:hint="eastAsia" w:ascii="宋体" w:hAnsi="宋体" w:eastAsia="宋体" w:cs="宋体"/>
          <w:color w:val="auto"/>
          <w:highlight w:val="none"/>
        </w:rPr>
      </w:pPr>
    </w:p>
    <w:p w14:paraId="659F2C43">
      <w:pPr>
        <w:spacing w:before="231" w:line="223" w:lineRule="auto"/>
        <w:jc w:val="center"/>
        <w:rPr>
          <w:rFonts w:hint="eastAsia" w:ascii="宋体" w:hAnsi="宋体" w:eastAsia="宋体" w:cs="宋体"/>
          <w:color w:val="auto"/>
          <w:sz w:val="71"/>
          <w:szCs w:val="71"/>
          <w:highlight w:val="none"/>
        </w:rPr>
      </w:pPr>
      <w:r>
        <w:rPr>
          <w:rFonts w:hint="eastAsia" w:ascii="宋体" w:hAnsi="宋体" w:eastAsia="宋体" w:cs="宋体"/>
          <w:b/>
          <w:bCs/>
          <w:color w:val="auto"/>
          <w:spacing w:val="-26"/>
          <w:sz w:val="71"/>
          <w:szCs w:val="71"/>
          <w:highlight w:val="none"/>
        </w:rPr>
        <w:t>投</w:t>
      </w:r>
      <w:r>
        <w:rPr>
          <w:rFonts w:hint="eastAsia" w:ascii="宋体" w:hAnsi="宋体" w:eastAsia="宋体" w:cs="宋体"/>
          <w:color w:val="auto"/>
          <w:spacing w:val="22"/>
          <w:sz w:val="71"/>
          <w:szCs w:val="71"/>
          <w:highlight w:val="none"/>
        </w:rPr>
        <w:t xml:space="preserve">  </w:t>
      </w:r>
      <w:r>
        <w:rPr>
          <w:rFonts w:hint="eastAsia" w:ascii="宋体" w:hAnsi="宋体" w:eastAsia="宋体" w:cs="宋体"/>
          <w:b/>
          <w:bCs/>
          <w:color w:val="auto"/>
          <w:spacing w:val="-26"/>
          <w:sz w:val="71"/>
          <w:szCs w:val="71"/>
          <w:highlight w:val="none"/>
        </w:rPr>
        <w:t>标</w:t>
      </w:r>
      <w:r>
        <w:rPr>
          <w:rFonts w:hint="eastAsia" w:ascii="宋体" w:hAnsi="宋体" w:eastAsia="宋体" w:cs="宋体"/>
          <w:color w:val="auto"/>
          <w:spacing w:val="23"/>
          <w:sz w:val="71"/>
          <w:szCs w:val="71"/>
          <w:highlight w:val="none"/>
        </w:rPr>
        <w:t xml:space="preserve">  </w:t>
      </w:r>
      <w:r>
        <w:rPr>
          <w:rFonts w:hint="eastAsia" w:ascii="宋体" w:hAnsi="宋体" w:eastAsia="宋体" w:cs="宋体"/>
          <w:b/>
          <w:bCs/>
          <w:color w:val="auto"/>
          <w:spacing w:val="-26"/>
          <w:sz w:val="71"/>
          <w:szCs w:val="71"/>
          <w:highlight w:val="none"/>
        </w:rPr>
        <w:t>文</w:t>
      </w:r>
      <w:r>
        <w:rPr>
          <w:rFonts w:hint="eastAsia" w:ascii="宋体" w:hAnsi="宋体" w:eastAsia="宋体" w:cs="宋体"/>
          <w:color w:val="auto"/>
          <w:spacing w:val="19"/>
          <w:sz w:val="71"/>
          <w:szCs w:val="71"/>
          <w:highlight w:val="none"/>
        </w:rPr>
        <w:t xml:space="preserve">  </w:t>
      </w:r>
      <w:r>
        <w:rPr>
          <w:rFonts w:hint="eastAsia" w:ascii="宋体" w:hAnsi="宋体" w:eastAsia="宋体" w:cs="宋体"/>
          <w:b/>
          <w:bCs/>
          <w:color w:val="auto"/>
          <w:spacing w:val="-26"/>
          <w:sz w:val="71"/>
          <w:szCs w:val="71"/>
          <w:highlight w:val="none"/>
        </w:rPr>
        <w:t>件</w:t>
      </w:r>
    </w:p>
    <w:p w14:paraId="0B131F8C">
      <w:pPr>
        <w:pStyle w:val="5"/>
        <w:spacing w:line="293" w:lineRule="auto"/>
        <w:rPr>
          <w:rFonts w:hint="eastAsia" w:ascii="宋体" w:hAnsi="宋体" w:eastAsia="宋体" w:cs="宋体"/>
          <w:color w:val="auto"/>
          <w:highlight w:val="none"/>
        </w:rPr>
      </w:pPr>
    </w:p>
    <w:p w14:paraId="324C9182">
      <w:pPr>
        <w:pStyle w:val="5"/>
        <w:spacing w:line="293" w:lineRule="auto"/>
        <w:rPr>
          <w:rFonts w:hint="eastAsia" w:ascii="宋体" w:hAnsi="宋体" w:eastAsia="宋体" w:cs="宋体"/>
          <w:color w:val="auto"/>
          <w:highlight w:val="none"/>
        </w:rPr>
      </w:pPr>
    </w:p>
    <w:p w14:paraId="7C0F118B">
      <w:pPr>
        <w:spacing w:before="152" w:line="223" w:lineRule="auto"/>
        <w:jc w:val="center"/>
        <w:rPr>
          <w:rFonts w:hint="eastAsia" w:ascii="宋体" w:hAnsi="宋体" w:eastAsia="宋体" w:cs="宋体"/>
          <w:b/>
          <w:bCs/>
          <w:color w:val="auto"/>
          <w:spacing w:val="2"/>
          <w:sz w:val="40"/>
          <w:szCs w:val="40"/>
          <w:highlight w:val="none"/>
        </w:rPr>
      </w:pPr>
      <w:bookmarkStart w:id="207" w:name="bookmark105"/>
      <w:bookmarkEnd w:id="207"/>
      <w:r>
        <w:rPr>
          <w:rFonts w:hint="eastAsia" w:ascii="宋体" w:hAnsi="宋体" w:eastAsia="宋体" w:cs="宋体"/>
          <w:b/>
          <w:bCs/>
          <w:color w:val="auto"/>
          <w:spacing w:val="2"/>
          <w:sz w:val="40"/>
          <w:szCs w:val="40"/>
          <w:highlight w:val="none"/>
        </w:rPr>
        <w:t>（商务标书／经济标书／施工组织设计）</w:t>
      </w:r>
    </w:p>
    <w:p w14:paraId="507FE0F9">
      <w:pPr>
        <w:bidi w:val="0"/>
        <w:rPr>
          <w:rFonts w:hint="eastAsia"/>
          <w:color w:val="auto"/>
          <w:highlight w:val="none"/>
        </w:rPr>
      </w:pPr>
    </w:p>
    <w:p w14:paraId="1258CA34">
      <w:pPr>
        <w:bidi w:val="0"/>
        <w:rPr>
          <w:rFonts w:hint="eastAsia"/>
          <w:color w:val="auto"/>
          <w:highlight w:val="none"/>
        </w:rPr>
      </w:pPr>
    </w:p>
    <w:p w14:paraId="6011C3D8">
      <w:pPr>
        <w:bidi w:val="0"/>
        <w:rPr>
          <w:rFonts w:hint="eastAsia"/>
          <w:color w:val="auto"/>
          <w:highlight w:val="none"/>
        </w:rPr>
      </w:pPr>
    </w:p>
    <w:p w14:paraId="37F301A3">
      <w:pPr>
        <w:bidi w:val="0"/>
        <w:rPr>
          <w:rFonts w:hint="eastAsia"/>
          <w:color w:val="auto"/>
          <w:highlight w:val="none"/>
        </w:rPr>
      </w:pPr>
    </w:p>
    <w:p w14:paraId="176B82A5">
      <w:pPr>
        <w:bidi w:val="0"/>
        <w:rPr>
          <w:rFonts w:hint="eastAsia"/>
          <w:color w:val="auto"/>
          <w:highlight w:val="none"/>
        </w:rPr>
      </w:pPr>
    </w:p>
    <w:p w14:paraId="082387D7">
      <w:pPr>
        <w:bidi w:val="0"/>
        <w:rPr>
          <w:rFonts w:hint="eastAsia"/>
          <w:color w:val="auto"/>
          <w:highlight w:val="none"/>
        </w:rPr>
      </w:pPr>
    </w:p>
    <w:p w14:paraId="4555BC89">
      <w:pPr>
        <w:bidi w:val="0"/>
        <w:rPr>
          <w:rFonts w:hint="eastAsia"/>
          <w:color w:val="auto"/>
          <w:highlight w:val="none"/>
        </w:rPr>
      </w:pPr>
    </w:p>
    <w:p w14:paraId="5C158398">
      <w:pPr>
        <w:bidi w:val="0"/>
        <w:rPr>
          <w:rFonts w:hint="eastAsia"/>
          <w:color w:val="auto"/>
          <w:highlight w:val="none"/>
        </w:rPr>
      </w:pPr>
    </w:p>
    <w:p w14:paraId="7B5A9BA0">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215929E0">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233B75EF">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3AB8C63">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0E4534D8">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7293E27">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u w:val="single"/>
        </w:rPr>
      </w:pPr>
    </w:p>
    <w:p w14:paraId="2496E2BB">
      <w:pPr>
        <w:pStyle w:val="39"/>
        <w:widowControl w:val="0"/>
        <w:wordWrap w:val="0"/>
        <w:adjustRightInd w:val="0"/>
        <w:snapToGrid w:val="0"/>
        <w:spacing w:line="36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5A1606D9">
      <w:pPr>
        <w:bidi w:val="0"/>
        <w:rPr>
          <w:rFonts w:hint="eastAsia"/>
          <w:color w:val="auto"/>
          <w:highlight w:val="none"/>
        </w:rPr>
      </w:pPr>
    </w:p>
    <w:p w14:paraId="23E6A84C">
      <w:pPr>
        <w:outlineLvl w:val="9"/>
        <w:rPr>
          <w:rFonts w:hint="eastAsia"/>
          <w:color w:val="auto"/>
          <w:highlight w:val="none"/>
        </w:rPr>
      </w:pPr>
    </w:p>
    <w:p w14:paraId="5B28AB72">
      <w:pPr>
        <w:spacing w:line="223" w:lineRule="auto"/>
        <w:rPr>
          <w:rFonts w:hint="eastAsia" w:ascii="宋体" w:hAnsi="宋体" w:eastAsia="宋体" w:cs="宋体"/>
          <w:color w:val="auto"/>
          <w:sz w:val="47"/>
          <w:szCs w:val="47"/>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4A3B6A7">
      <w:pPr>
        <w:spacing w:before="78" w:line="220" w:lineRule="auto"/>
        <w:outlineLvl w:val="2"/>
        <w:rPr>
          <w:rFonts w:hint="eastAsia" w:ascii="宋体" w:hAnsi="宋体" w:eastAsia="宋体" w:cs="宋体"/>
          <w:b/>
          <w:bCs/>
          <w:color w:val="auto"/>
          <w:spacing w:val="-4"/>
          <w:sz w:val="24"/>
          <w:szCs w:val="24"/>
          <w:highlight w:val="none"/>
        </w:rPr>
      </w:pPr>
      <w:bookmarkStart w:id="208" w:name="_Toc16551"/>
      <w:r>
        <w:rPr>
          <w:rFonts w:hint="eastAsia" w:ascii="宋体" w:hAnsi="宋体" w:eastAsia="宋体" w:cs="宋体"/>
          <w:b/>
          <w:bCs/>
          <w:color w:val="auto"/>
          <w:spacing w:val="-4"/>
          <w:sz w:val="24"/>
          <w:szCs w:val="24"/>
          <w:highlight w:val="none"/>
        </w:rPr>
        <w:t>格式二 投标函</w:t>
      </w:r>
      <w:bookmarkEnd w:id="208"/>
    </w:p>
    <w:p w14:paraId="3A37F6C7">
      <w:pPr>
        <w:pStyle w:val="5"/>
        <w:spacing w:line="261" w:lineRule="auto"/>
        <w:rPr>
          <w:rFonts w:hint="eastAsia" w:ascii="宋体" w:hAnsi="宋体" w:eastAsia="宋体" w:cs="宋体"/>
          <w:color w:val="auto"/>
          <w:highlight w:val="none"/>
        </w:rPr>
      </w:pPr>
    </w:p>
    <w:p w14:paraId="45A81B1F">
      <w:pPr>
        <w:spacing w:before="97" w:line="221" w:lineRule="auto"/>
        <w:ind w:left="3799"/>
        <w:outlineLvl w:val="9"/>
        <w:rPr>
          <w:rFonts w:hint="eastAsia" w:ascii="宋体" w:hAnsi="宋体" w:eastAsia="宋体" w:cs="宋体"/>
          <w:color w:val="auto"/>
          <w:sz w:val="30"/>
          <w:szCs w:val="30"/>
          <w:highlight w:val="none"/>
        </w:rPr>
      </w:pPr>
      <w:bookmarkStart w:id="209" w:name="bookmark148"/>
      <w:bookmarkEnd w:id="209"/>
      <w:bookmarkStart w:id="210" w:name="_Toc27397"/>
      <w:bookmarkStart w:id="211" w:name="_Toc297"/>
      <w:bookmarkStart w:id="212" w:name="_Toc317"/>
      <w:r>
        <w:rPr>
          <w:rFonts w:hint="eastAsia" w:ascii="宋体" w:hAnsi="宋体" w:eastAsia="宋体" w:cs="宋体"/>
          <w:b/>
          <w:bCs/>
          <w:color w:val="auto"/>
          <w:spacing w:val="-13"/>
          <w:sz w:val="30"/>
          <w:szCs w:val="30"/>
          <w:highlight w:val="none"/>
        </w:rPr>
        <w:t>投</w:t>
      </w:r>
      <w:r>
        <w:rPr>
          <w:rFonts w:hint="eastAsia" w:ascii="宋体" w:hAnsi="宋体" w:eastAsia="宋体" w:cs="宋体"/>
          <w:color w:val="auto"/>
          <w:spacing w:val="6"/>
          <w:sz w:val="30"/>
          <w:szCs w:val="30"/>
          <w:highlight w:val="none"/>
        </w:rPr>
        <w:t xml:space="preserve">  </w:t>
      </w:r>
      <w:r>
        <w:rPr>
          <w:rFonts w:hint="eastAsia" w:ascii="宋体" w:hAnsi="宋体" w:eastAsia="宋体" w:cs="宋体"/>
          <w:b/>
          <w:bCs/>
          <w:color w:val="auto"/>
          <w:spacing w:val="-13"/>
          <w:sz w:val="30"/>
          <w:szCs w:val="30"/>
          <w:highlight w:val="none"/>
        </w:rPr>
        <w:t>标</w:t>
      </w:r>
      <w:r>
        <w:rPr>
          <w:rFonts w:hint="eastAsia" w:ascii="宋体" w:hAnsi="宋体" w:eastAsia="宋体" w:cs="宋体"/>
          <w:color w:val="auto"/>
          <w:spacing w:val="17"/>
          <w:sz w:val="30"/>
          <w:szCs w:val="30"/>
          <w:highlight w:val="none"/>
        </w:rPr>
        <w:t xml:space="preserve">  </w:t>
      </w:r>
      <w:r>
        <w:rPr>
          <w:rFonts w:hint="eastAsia" w:ascii="宋体" w:hAnsi="宋体" w:eastAsia="宋体" w:cs="宋体"/>
          <w:b/>
          <w:bCs/>
          <w:color w:val="auto"/>
          <w:spacing w:val="-13"/>
          <w:sz w:val="30"/>
          <w:szCs w:val="30"/>
          <w:highlight w:val="none"/>
        </w:rPr>
        <w:t>函</w:t>
      </w:r>
      <w:bookmarkEnd w:id="210"/>
      <w:bookmarkEnd w:id="211"/>
      <w:bookmarkEnd w:id="212"/>
    </w:p>
    <w:p w14:paraId="7874E16E">
      <w:pPr>
        <w:pStyle w:val="5"/>
        <w:spacing w:line="249" w:lineRule="auto"/>
        <w:rPr>
          <w:rFonts w:hint="eastAsia" w:ascii="宋体" w:hAnsi="宋体" w:eastAsia="宋体" w:cs="宋体"/>
          <w:color w:val="auto"/>
          <w:highlight w:val="none"/>
        </w:rPr>
      </w:pPr>
    </w:p>
    <w:p w14:paraId="75D83E64">
      <w:pPr>
        <w:pStyle w:val="5"/>
        <w:spacing w:line="250" w:lineRule="auto"/>
        <w:rPr>
          <w:rFonts w:hint="eastAsia" w:ascii="宋体" w:hAnsi="宋体" w:eastAsia="宋体" w:cs="宋体"/>
          <w:color w:val="auto"/>
          <w:highlight w:val="none"/>
        </w:rPr>
      </w:pPr>
    </w:p>
    <w:p w14:paraId="5FC5B2DC">
      <w:pPr>
        <w:pStyle w:val="5"/>
        <w:spacing w:line="250" w:lineRule="auto"/>
        <w:rPr>
          <w:rFonts w:hint="eastAsia" w:ascii="宋体" w:hAnsi="宋体" w:eastAsia="宋体" w:cs="宋体"/>
          <w:color w:val="auto"/>
          <w:highlight w:val="none"/>
        </w:rPr>
      </w:pPr>
    </w:p>
    <w:p w14:paraId="64EA3138">
      <w:pPr>
        <w:spacing w:before="78" w:line="221"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致</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30"/>
          <w:sz w:val="24"/>
          <w:szCs w:val="24"/>
          <w:highlight w:val="none"/>
          <w:u w:val="single"/>
          <w:lang w:val="en-US" w:eastAsia="zh-CN"/>
        </w:rPr>
        <w:t xml:space="preserve">                    </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7"/>
          <w:sz w:val="24"/>
          <w:szCs w:val="24"/>
          <w:highlight w:val="none"/>
        </w:rPr>
        <w:t>招标人名称）</w:t>
      </w:r>
    </w:p>
    <w:p w14:paraId="0506ED9A">
      <w:pPr>
        <w:pStyle w:val="5"/>
        <w:spacing w:before="156" w:line="328" w:lineRule="auto"/>
        <w:ind w:left="9" w:right="142" w:firstLine="58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我方考察现场并充分研究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12"/>
          <w:sz w:val="24"/>
          <w:szCs w:val="24"/>
          <w:highlight w:val="none"/>
        </w:rPr>
        <w:t>）（</w:t>
      </w:r>
      <w:r>
        <w:rPr>
          <w:rFonts w:hint="eastAsia" w:ascii="宋体" w:hAnsi="宋体" w:eastAsia="宋体" w:cs="宋体"/>
          <w:color w:val="auto"/>
          <w:sz w:val="24"/>
          <w:szCs w:val="24"/>
          <w:highlight w:val="none"/>
        </w:rPr>
        <w:t>以下简称“本项目</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z w:val="24"/>
          <w:szCs w:val="24"/>
          <w:highlight w:val="none"/>
        </w:rPr>
        <w:t>”）招标文件</w:t>
      </w:r>
      <w:r>
        <w:rPr>
          <w:rFonts w:hint="eastAsia" w:ascii="宋体" w:hAnsi="宋体" w:eastAsia="宋体" w:cs="宋体"/>
          <w:color w:val="auto"/>
          <w:spacing w:val="-2"/>
          <w:sz w:val="24"/>
          <w:szCs w:val="24"/>
          <w:highlight w:val="none"/>
        </w:rPr>
        <w:t>所有内容后，结合自身资质、能力和特点，愿意接受招标文件的全部内容和条件，兹以</w:t>
      </w:r>
      <w:r>
        <w:rPr>
          <w:rFonts w:hint="eastAsia" w:ascii="宋体" w:hAnsi="宋体" w:eastAsia="宋体" w:cs="宋体"/>
          <w:color w:val="auto"/>
          <w:spacing w:val="-5"/>
          <w:sz w:val="24"/>
          <w:szCs w:val="24"/>
          <w:highlight w:val="none"/>
        </w:rPr>
        <w:t>人民币（大写</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的投标总价竞投本项目施工。</w:t>
      </w:r>
    </w:p>
    <w:p w14:paraId="42232FD7">
      <w:pPr>
        <w:spacing w:before="39" w:line="323" w:lineRule="auto"/>
        <w:ind w:right="142" w:firstLine="57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在我方的上述投标总价中，包括：</w:t>
      </w:r>
      <w:r>
        <w:rPr>
          <w:rFonts w:hint="eastAsia" w:ascii="宋体" w:hAnsi="宋体" w:eastAsia="宋体" w:cs="宋体"/>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；暂列金额</w:t>
      </w:r>
      <w:r>
        <w:rPr>
          <w:rFonts w:hint="eastAsia" w:ascii="宋体" w:hAnsi="宋体" w:eastAsia="宋体" w:cs="宋体"/>
          <w:color w:val="auto"/>
          <w:spacing w:val="-2"/>
          <w:sz w:val="24"/>
          <w:szCs w:val="24"/>
          <w:highlight w:val="none"/>
          <w:u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；暂估价</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8"/>
          <w:sz w:val="24"/>
          <w:szCs w:val="24"/>
          <w:highlight w:val="none"/>
        </w:rPr>
        <w:t>。</w:t>
      </w:r>
    </w:p>
    <w:p w14:paraId="50640A5A">
      <w:pPr>
        <w:spacing w:before="38" w:line="280" w:lineRule="auto"/>
        <w:ind w:left="13" w:right="142" w:firstLine="56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  如果我方中标，我方保证按照合同约定的开工日期开始本项目的施工</w:t>
      </w:r>
      <w:r>
        <w:rPr>
          <w:rFonts w:hint="eastAsia" w:ascii="宋体" w:hAnsi="宋体" w:eastAsia="宋体" w:cs="宋体"/>
          <w:color w:val="auto"/>
          <w:sz w:val="24"/>
          <w:szCs w:val="24"/>
          <w:highlight w:val="none"/>
        </w:rPr>
        <w:t>，</w:t>
      </w:r>
      <w:bookmarkStart w:id="213" w:name="OLE_LINK34"/>
      <w:r>
        <w:rPr>
          <w:rFonts w:hint="eastAsia" w:ascii="宋体" w:hAnsi="宋体" w:eastAsia="宋体" w:cs="宋体"/>
          <w:color w:val="auto"/>
          <w:sz w:val="24"/>
          <w:szCs w:val="24"/>
          <w:highlight w:val="none"/>
          <w:u w:val="single"/>
          <w:lang w:val="en-US" w:eastAsia="zh-CN"/>
        </w:rPr>
        <w:t xml:space="preserve">     </w:t>
      </w:r>
      <w:bookmarkEnd w:id="213"/>
      <w:r>
        <w:rPr>
          <w:rFonts w:hint="eastAsia" w:ascii="宋体" w:hAnsi="宋体" w:eastAsia="宋体" w:cs="宋体"/>
          <w:color w:val="auto"/>
          <w:sz w:val="24"/>
          <w:szCs w:val="24"/>
          <w:highlight w:val="none"/>
        </w:rPr>
        <w:t>个日历</w:t>
      </w:r>
      <w:r>
        <w:rPr>
          <w:rFonts w:hint="eastAsia" w:ascii="宋体" w:hAnsi="宋体" w:eastAsia="宋体" w:cs="宋体"/>
          <w:color w:val="auto"/>
          <w:spacing w:val="-1"/>
          <w:sz w:val="24"/>
          <w:szCs w:val="24"/>
          <w:highlight w:val="none"/>
        </w:rPr>
        <w:t>天内竣工，并确保工程质量达到</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标准和维修其中的任何缺陷。</w:t>
      </w:r>
    </w:p>
    <w:p w14:paraId="63DC731F">
      <w:pPr>
        <w:spacing w:before="152" w:line="279" w:lineRule="auto"/>
        <w:ind w:left="11" w:right="142" w:firstLine="5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  本投标函在你方接收我方递交的投标文件之日起、到招标</w:t>
      </w:r>
      <w:r>
        <w:rPr>
          <w:rFonts w:hint="eastAsia" w:ascii="宋体" w:hAnsi="宋体" w:eastAsia="宋体" w:cs="宋体"/>
          <w:color w:val="auto"/>
          <w:sz w:val="24"/>
          <w:szCs w:val="24"/>
          <w:highlight w:val="none"/>
        </w:rPr>
        <w:t>文件规定的投标有效</w:t>
      </w:r>
      <w:r>
        <w:rPr>
          <w:rFonts w:hint="eastAsia" w:ascii="宋体" w:hAnsi="宋体" w:eastAsia="宋体" w:cs="宋体"/>
          <w:color w:val="auto"/>
          <w:spacing w:val="-1"/>
          <w:sz w:val="24"/>
          <w:szCs w:val="24"/>
          <w:highlight w:val="none"/>
        </w:rPr>
        <w:t>期期满前对我方具有约束力。我方随时准备接受你方发出的中标通知书。</w:t>
      </w:r>
    </w:p>
    <w:p w14:paraId="12CDD9D6">
      <w:pPr>
        <w:spacing w:before="156" w:line="279" w:lineRule="auto"/>
        <w:ind w:left="11" w:right="61" w:firstLine="5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z w:val="24"/>
          <w:szCs w:val="24"/>
          <w:highlight w:val="none"/>
        </w:rPr>
        <w:t>．我方在此声明，我方不存在本项目招标</w:t>
      </w:r>
      <w:r>
        <w:rPr>
          <w:rFonts w:hint="eastAsia" w:ascii="宋体" w:hAnsi="宋体" w:eastAsia="宋体" w:cs="宋体"/>
          <w:color w:val="auto"/>
          <w:spacing w:val="-1"/>
          <w:sz w:val="24"/>
          <w:szCs w:val="24"/>
          <w:highlight w:val="none"/>
        </w:rPr>
        <w:t>文件第一章第三节第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2.4</w:t>
      </w:r>
      <w:r>
        <w:rPr>
          <w:rFonts w:hint="eastAsia" w:ascii="宋体" w:hAnsi="宋体" w:eastAsia="宋体" w:cs="宋体"/>
          <w:b/>
          <w:bCs/>
          <w:color w:val="auto"/>
          <w:spacing w:val="16"/>
          <w:w w:val="101"/>
          <w:sz w:val="24"/>
          <w:szCs w:val="24"/>
          <w:highlight w:val="none"/>
        </w:rPr>
        <w:t xml:space="preserve"> </w:t>
      </w:r>
      <w:r>
        <w:rPr>
          <w:rFonts w:hint="eastAsia" w:ascii="宋体" w:hAnsi="宋体" w:eastAsia="宋体" w:cs="宋体"/>
          <w:color w:val="auto"/>
          <w:spacing w:val="-1"/>
          <w:sz w:val="24"/>
          <w:szCs w:val="24"/>
          <w:highlight w:val="none"/>
        </w:rPr>
        <w:t>条“禁止投标</w:t>
      </w:r>
      <w:r>
        <w:rPr>
          <w:rFonts w:hint="eastAsia" w:ascii="宋体" w:hAnsi="宋体" w:eastAsia="宋体" w:cs="宋体"/>
          <w:color w:val="auto"/>
          <w:spacing w:val="-6"/>
          <w:sz w:val="24"/>
          <w:szCs w:val="24"/>
          <w:highlight w:val="none"/>
        </w:rPr>
        <w:t>条款</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6"/>
          <w:sz w:val="24"/>
          <w:szCs w:val="24"/>
          <w:highlight w:val="none"/>
        </w:rPr>
        <w:t>”所列出的任何一种情形，并愿意承担因我</w:t>
      </w:r>
      <w:r>
        <w:rPr>
          <w:rFonts w:hint="eastAsia" w:ascii="宋体" w:hAnsi="宋体" w:eastAsia="宋体" w:cs="宋体"/>
          <w:color w:val="auto"/>
          <w:spacing w:val="-7"/>
          <w:sz w:val="24"/>
          <w:szCs w:val="24"/>
          <w:highlight w:val="none"/>
        </w:rPr>
        <w:t>方就此弄虚作假所引起的一切法律后果。</w:t>
      </w:r>
    </w:p>
    <w:p w14:paraId="69028085">
      <w:pPr>
        <w:spacing w:before="153" w:line="280" w:lineRule="auto"/>
        <w:ind w:left="9" w:right="142" w:firstLine="57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2"/>
          <w:sz w:val="24"/>
          <w:szCs w:val="24"/>
          <w:highlight w:val="none"/>
        </w:rPr>
        <w:t>．我方在此承诺，所递交投标文件的全部内容均为真实、有效、准确的，并愿意承担因我方就此弄虚作假所引起的一切法律后果，同时理解和同意有可能被要求提供更</w:t>
      </w:r>
    </w:p>
    <w:p w14:paraId="4D86EAF2">
      <w:pPr>
        <w:spacing w:before="153" w:line="221" w:lineRule="auto"/>
        <w:ind w:left="2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多的资料。</w:t>
      </w:r>
    </w:p>
    <w:p w14:paraId="47668C44">
      <w:pPr>
        <w:spacing w:before="153" w:line="326" w:lineRule="auto"/>
        <w:ind w:left="13" w:firstLine="56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  我方理解你方不一定要接纳收到的最低投标总价或任何投标总价的投标人中标，</w:t>
      </w:r>
      <w:r>
        <w:rPr>
          <w:rFonts w:hint="eastAsia" w:ascii="宋体" w:hAnsi="宋体" w:eastAsia="宋体" w:cs="宋体"/>
          <w:color w:val="auto"/>
          <w:spacing w:val="-1"/>
          <w:sz w:val="24"/>
          <w:szCs w:val="24"/>
          <w:highlight w:val="none"/>
        </w:rPr>
        <w:t>也不要求你方解释我方是否中标的原因。</w:t>
      </w:r>
    </w:p>
    <w:p w14:paraId="13B4F1F2">
      <w:pPr>
        <w:pStyle w:val="5"/>
        <w:spacing w:line="276" w:lineRule="auto"/>
        <w:rPr>
          <w:rFonts w:hint="eastAsia" w:ascii="宋体" w:hAnsi="宋体" w:eastAsia="宋体" w:cs="宋体"/>
          <w:color w:val="auto"/>
          <w:highlight w:val="none"/>
        </w:rPr>
      </w:pPr>
    </w:p>
    <w:p w14:paraId="1831F436">
      <w:pPr>
        <w:pStyle w:val="5"/>
        <w:spacing w:line="277" w:lineRule="auto"/>
        <w:rPr>
          <w:rFonts w:hint="eastAsia" w:ascii="宋体" w:hAnsi="宋体" w:eastAsia="宋体" w:cs="宋体"/>
          <w:color w:val="auto"/>
          <w:highlight w:val="none"/>
        </w:rPr>
      </w:pPr>
    </w:p>
    <w:p w14:paraId="3AC7C5A8">
      <w:pPr>
        <w:pStyle w:val="5"/>
        <w:spacing w:line="277" w:lineRule="auto"/>
        <w:rPr>
          <w:rFonts w:hint="eastAsia" w:ascii="宋体" w:hAnsi="宋体" w:eastAsia="宋体" w:cs="宋体"/>
          <w:color w:val="auto"/>
          <w:highlight w:val="none"/>
        </w:rPr>
      </w:pPr>
    </w:p>
    <w:p w14:paraId="21D36DDF">
      <w:pPr>
        <w:spacing w:before="79" w:line="219" w:lineRule="auto"/>
        <w:ind w:firstLine="5856" w:firstLineChars="240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78B3688F">
      <w:pPr>
        <w:pStyle w:val="5"/>
        <w:spacing w:line="256" w:lineRule="auto"/>
        <w:jc w:val="right"/>
        <w:rPr>
          <w:rFonts w:hint="eastAsia" w:ascii="宋体" w:hAnsi="宋体" w:eastAsia="宋体" w:cs="宋体"/>
          <w:color w:val="auto"/>
          <w:highlight w:val="none"/>
        </w:rPr>
      </w:pPr>
    </w:p>
    <w:p w14:paraId="357977FD">
      <w:pPr>
        <w:pStyle w:val="5"/>
        <w:spacing w:line="256" w:lineRule="auto"/>
        <w:jc w:val="right"/>
        <w:rPr>
          <w:rFonts w:hint="eastAsia" w:ascii="宋体" w:hAnsi="宋体" w:eastAsia="宋体" w:cs="宋体"/>
          <w:color w:val="auto"/>
          <w:highlight w:val="none"/>
        </w:rPr>
      </w:pPr>
    </w:p>
    <w:p w14:paraId="053292DD">
      <w:pPr>
        <w:spacing w:before="78" w:line="219" w:lineRule="auto"/>
        <w:ind w:left="3922"/>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6662D32F">
      <w:pPr>
        <w:pStyle w:val="5"/>
        <w:spacing w:line="257" w:lineRule="auto"/>
        <w:rPr>
          <w:rFonts w:hint="eastAsia" w:ascii="宋体" w:hAnsi="宋体" w:eastAsia="宋体" w:cs="宋体"/>
          <w:color w:val="auto"/>
          <w:highlight w:val="none"/>
        </w:rPr>
      </w:pPr>
    </w:p>
    <w:p w14:paraId="070C60B1">
      <w:pPr>
        <w:pStyle w:val="5"/>
        <w:spacing w:line="257" w:lineRule="auto"/>
        <w:rPr>
          <w:rFonts w:hint="eastAsia" w:ascii="宋体" w:hAnsi="宋体" w:eastAsia="宋体" w:cs="宋体"/>
          <w:color w:val="auto"/>
          <w:highlight w:val="none"/>
        </w:rPr>
      </w:pPr>
    </w:p>
    <w:p w14:paraId="34941473">
      <w:pPr>
        <w:spacing w:before="79" w:line="220" w:lineRule="auto"/>
        <w:ind w:left="697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日</w:t>
      </w:r>
    </w:p>
    <w:p w14:paraId="533951B9">
      <w:pPr>
        <w:spacing w:line="220" w:lineRule="auto"/>
        <w:rPr>
          <w:rFonts w:hint="eastAsia" w:ascii="宋体" w:hAnsi="宋体" w:eastAsia="宋体" w:cs="宋体"/>
          <w:color w:val="auto"/>
          <w:sz w:val="24"/>
          <w:szCs w:val="24"/>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445A9343">
      <w:pPr>
        <w:spacing w:before="78" w:line="220" w:lineRule="auto"/>
        <w:outlineLvl w:val="2"/>
        <w:rPr>
          <w:rFonts w:hint="eastAsia" w:ascii="宋体" w:hAnsi="宋体" w:eastAsia="宋体" w:cs="宋体"/>
          <w:b/>
          <w:bCs/>
          <w:color w:val="auto"/>
          <w:spacing w:val="-4"/>
          <w:sz w:val="24"/>
          <w:szCs w:val="24"/>
          <w:highlight w:val="none"/>
        </w:rPr>
      </w:pPr>
      <w:bookmarkStart w:id="214" w:name="_Toc4069"/>
      <w:r>
        <w:rPr>
          <w:rFonts w:hint="eastAsia" w:ascii="宋体" w:hAnsi="宋体" w:eastAsia="宋体" w:cs="宋体"/>
          <w:b/>
          <w:bCs/>
          <w:color w:val="auto"/>
          <w:spacing w:val="-4"/>
          <w:sz w:val="24"/>
          <w:szCs w:val="24"/>
          <w:highlight w:val="none"/>
        </w:rPr>
        <w:t>格式三 各项承诺一览表</w:t>
      </w:r>
      <w:bookmarkEnd w:id="214"/>
    </w:p>
    <w:p w14:paraId="0D7CCACD">
      <w:pPr>
        <w:pStyle w:val="5"/>
        <w:spacing w:line="254" w:lineRule="auto"/>
        <w:rPr>
          <w:rFonts w:hint="eastAsia" w:ascii="宋体" w:hAnsi="宋体" w:eastAsia="宋体" w:cs="宋体"/>
          <w:color w:val="auto"/>
          <w:highlight w:val="none"/>
        </w:rPr>
      </w:pPr>
    </w:p>
    <w:p w14:paraId="4A57AF5C">
      <w:pPr>
        <w:spacing w:before="98" w:line="220" w:lineRule="auto"/>
        <w:ind w:left="3581"/>
        <w:outlineLvl w:val="9"/>
        <w:rPr>
          <w:rFonts w:hint="eastAsia" w:ascii="宋体" w:hAnsi="宋体" w:eastAsia="宋体" w:cs="宋体"/>
          <w:color w:val="auto"/>
          <w:sz w:val="30"/>
          <w:szCs w:val="30"/>
          <w:highlight w:val="none"/>
        </w:rPr>
      </w:pPr>
      <w:bookmarkStart w:id="215" w:name="bookmark149"/>
      <w:bookmarkEnd w:id="215"/>
      <w:bookmarkStart w:id="216" w:name="_Toc2936"/>
      <w:bookmarkStart w:id="217" w:name="_Toc4767"/>
      <w:bookmarkStart w:id="218" w:name="_Toc10326"/>
      <w:r>
        <w:rPr>
          <w:rFonts w:hint="eastAsia" w:ascii="宋体" w:hAnsi="宋体" w:eastAsia="宋体" w:cs="宋体"/>
          <w:b/>
          <w:bCs/>
          <w:color w:val="auto"/>
          <w:spacing w:val="-5"/>
          <w:sz w:val="30"/>
          <w:szCs w:val="30"/>
          <w:highlight w:val="none"/>
        </w:rPr>
        <w:t>各项承诺一览表</w:t>
      </w:r>
      <w:bookmarkEnd w:id="216"/>
      <w:bookmarkEnd w:id="217"/>
      <w:bookmarkEnd w:id="218"/>
    </w:p>
    <w:p w14:paraId="1040ACDB">
      <w:pPr>
        <w:spacing w:before="6"/>
        <w:rPr>
          <w:rFonts w:hint="eastAsia" w:ascii="宋体" w:hAnsi="宋体" w:eastAsia="宋体" w:cs="宋体"/>
          <w:color w:val="auto"/>
          <w:highlight w:val="none"/>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284FB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43AFBAA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75" w:type="dxa"/>
            <w:vAlign w:val="top"/>
          </w:tcPr>
          <w:p w14:paraId="3932ED98">
            <w:pPr>
              <w:keepNext w:val="0"/>
              <w:keepLines w:val="0"/>
              <w:pageBreakBefore w:val="0"/>
              <w:widowControl/>
              <w:kinsoku w:val="0"/>
              <w:wordWrap/>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承诺事项</w:t>
            </w:r>
          </w:p>
        </w:tc>
        <w:tc>
          <w:tcPr>
            <w:tcW w:w="3107" w:type="dxa"/>
            <w:vAlign w:val="top"/>
          </w:tcPr>
          <w:p w14:paraId="6926247B">
            <w:pPr>
              <w:keepNext w:val="0"/>
              <w:keepLines w:val="0"/>
              <w:pageBreakBefore w:val="0"/>
              <w:widowControl/>
              <w:kinsoku w:val="0"/>
              <w:wordWrap/>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承诺内容</w:t>
            </w:r>
          </w:p>
        </w:tc>
        <w:tc>
          <w:tcPr>
            <w:tcW w:w="4272" w:type="dxa"/>
            <w:vAlign w:val="top"/>
          </w:tcPr>
          <w:p w14:paraId="19484B2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违约承诺</w:t>
            </w:r>
          </w:p>
        </w:tc>
      </w:tr>
      <w:tr w14:paraId="56FAD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0E6E63E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68E03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F6DB51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0368CE1">
            <w:pPr>
              <w:keepNext w:val="0"/>
              <w:keepLines w:val="0"/>
              <w:pageBreakBefore w:val="0"/>
              <w:widowControl/>
              <w:kinsoku w:val="0"/>
              <w:wordWrap/>
              <w:overflowPunct/>
              <w:topLinePunct w:val="0"/>
              <w:autoSpaceDE w:val="0"/>
              <w:autoSpaceDN w:val="0"/>
              <w:bidi w:val="0"/>
              <w:adjustRightInd w:val="0"/>
              <w:snapToGrid w:val="0"/>
              <w:spacing w:before="58" w:line="288" w:lineRule="auto"/>
              <w:ind w:left="32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75" w:type="dxa"/>
            <w:vAlign w:val="top"/>
          </w:tcPr>
          <w:p w14:paraId="1A6424C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254A2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93C2F8C">
            <w:pPr>
              <w:keepNext w:val="0"/>
              <w:keepLines w:val="0"/>
              <w:pageBreakBefore w:val="0"/>
              <w:widowControl/>
              <w:kinsoku w:val="0"/>
              <w:wordWrap/>
              <w:overflowPunct/>
              <w:topLinePunct w:val="0"/>
              <w:autoSpaceDE w:val="0"/>
              <w:autoSpaceDN w:val="0"/>
              <w:bidi w:val="0"/>
              <w:adjustRightInd w:val="0"/>
              <w:snapToGrid w:val="0"/>
              <w:spacing w:before="65" w:line="288" w:lineRule="auto"/>
              <w:ind w:left="57" w:right="50" w:firstLine="13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自愿接受招标</w:t>
            </w:r>
            <w:r>
              <w:rPr>
                <w:rFonts w:hint="eastAsia" w:ascii="宋体" w:hAnsi="宋体" w:eastAsia="宋体" w:cs="宋体"/>
                <w:color w:val="auto"/>
                <w:spacing w:val="8"/>
                <w:sz w:val="24"/>
                <w:szCs w:val="24"/>
                <w:highlight w:val="none"/>
              </w:rPr>
              <w:t>文件条款的承诺</w:t>
            </w:r>
          </w:p>
        </w:tc>
        <w:tc>
          <w:tcPr>
            <w:tcW w:w="3107" w:type="dxa"/>
            <w:vAlign w:val="top"/>
          </w:tcPr>
          <w:p w14:paraId="17F8556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08CCBC6">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我方自愿接受招标文件的</w:t>
            </w:r>
            <w:r>
              <w:rPr>
                <w:rFonts w:hint="eastAsia" w:ascii="宋体" w:hAnsi="宋体" w:eastAsia="宋体" w:cs="宋体"/>
                <w:color w:val="auto"/>
                <w:spacing w:val="7"/>
                <w:sz w:val="24"/>
                <w:szCs w:val="24"/>
                <w:highlight w:val="none"/>
              </w:rPr>
              <w:t>所有条款，所递交的投标文件已</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23"/>
                <w:sz w:val="24"/>
                <w:szCs w:val="24"/>
                <w:highlight w:val="none"/>
              </w:rPr>
              <w:t>经充分响应招标文件的实质性</w:t>
            </w:r>
            <w:r>
              <w:rPr>
                <w:rFonts w:hint="eastAsia" w:ascii="宋体" w:hAnsi="宋体" w:eastAsia="宋体" w:cs="宋体"/>
                <w:color w:val="auto"/>
                <w:spacing w:val="3"/>
                <w:sz w:val="24"/>
                <w:szCs w:val="24"/>
                <w:highlight w:val="none"/>
              </w:rPr>
              <w:t>要求。</w:t>
            </w:r>
          </w:p>
        </w:tc>
        <w:tc>
          <w:tcPr>
            <w:tcW w:w="4272" w:type="dxa"/>
            <w:vAlign w:val="top"/>
          </w:tcPr>
          <w:p w14:paraId="3F01A048">
            <w:pPr>
              <w:keepNext w:val="0"/>
              <w:keepLines w:val="0"/>
              <w:pageBreakBefore w:val="0"/>
              <w:widowControl/>
              <w:kinsoku w:val="0"/>
              <w:wordWrap/>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如果我方的投标文件未响应、违反、偏</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0"/>
                <w:sz w:val="24"/>
                <w:szCs w:val="24"/>
                <w:highlight w:val="none"/>
              </w:rPr>
              <w:t>离招标文件的实质性要求，我方接受招标人或其授权的招标代理机构或其组建的评标委员会依据招标文件作出的相应处理，包括否</w:t>
            </w:r>
            <w:r>
              <w:rPr>
                <w:rFonts w:hint="eastAsia" w:ascii="宋体" w:hAnsi="宋体" w:eastAsia="宋体" w:cs="宋体"/>
                <w:color w:val="auto"/>
                <w:spacing w:val="4"/>
                <w:sz w:val="24"/>
                <w:szCs w:val="24"/>
                <w:highlight w:val="none"/>
              </w:rPr>
              <w:t>决投标。</w:t>
            </w:r>
          </w:p>
        </w:tc>
      </w:tr>
      <w:tr w14:paraId="5B2BB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59167F8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B11ADA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46CB1A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78AF5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05C670F">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75" w:type="dxa"/>
            <w:vAlign w:val="top"/>
          </w:tcPr>
          <w:p w14:paraId="05B3009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BE0188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65F625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AEEEEA">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2" w:right="261" w:firstLine="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无禁止投标</w:t>
            </w:r>
            <w:r>
              <w:rPr>
                <w:rFonts w:hint="eastAsia" w:ascii="宋体" w:hAnsi="宋体" w:eastAsia="宋体" w:cs="宋体"/>
                <w:color w:val="auto"/>
                <w:spacing w:val="8"/>
                <w:sz w:val="24"/>
                <w:szCs w:val="24"/>
                <w:highlight w:val="none"/>
              </w:rPr>
              <w:t>情形的承诺</w:t>
            </w:r>
          </w:p>
        </w:tc>
        <w:tc>
          <w:tcPr>
            <w:tcW w:w="3107" w:type="dxa"/>
            <w:vAlign w:val="top"/>
          </w:tcPr>
          <w:p w14:paraId="43B9FDA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E22312">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368A58B">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我方不存在招标文件第一</w:t>
            </w:r>
            <w:r>
              <w:rPr>
                <w:rFonts w:hint="eastAsia" w:ascii="宋体" w:hAnsi="宋体" w:eastAsia="宋体" w:cs="宋体"/>
                <w:color w:val="auto"/>
                <w:spacing w:val="8"/>
                <w:sz w:val="24"/>
                <w:szCs w:val="24"/>
                <w:highlight w:val="none"/>
              </w:rPr>
              <w:t>章第三节第</w:t>
            </w:r>
            <w:r>
              <w:rPr>
                <w:rFonts w:hint="eastAsia" w:ascii="宋体" w:hAnsi="宋体" w:eastAsia="宋体" w:cs="宋体"/>
                <w:color w:val="auto"/>
                <w:spacing w:val="-35"/>
                <w:sz w:val="24"/>
                <w:szCs w:val="24"/>
                <w:highlight w:val="none"/>
              </w:rPr>
              <w:t xml:space="preserve"> </w:t>
            </w:r>
            <w:r>
              <w:rPr>
                <w:rFonts w:hint="eastAsia" w:ascii="宋体" w:hAnsi="宋体" w:eastAsia="宋体" w:cs="宋体"/>
                <w:b/>
                <w:bCs/>
                <w:color w:val="auto"/>
                <w:spacing w:val="8"/>
                <w:sz w:val="24"/>
                <w:szCs w:val="24"/>
                <w:highlight w:val="none"/>
              </w:rPr>
              <w:t>2.4</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8"/>
                <w:sz w:val="24"/>
                <w:szCs w:val="24"/>
                <w:highlight w:val="none"/>
              </w:rPr>
              <w:t>条“禁止投标条</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款</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6"/>
                <w:sz w:val="24"/>
                <w:szCs w:val="24"/>
                <w:highlight w:val="none"/>
              </w:rPr>
              <w:t>”规定的任何一种情形。</w:t>
            </w:r>
          </w:p>
        </w:tc>
        <w:tc>
          <w:tcPr>
            <w:tcW w:w="4272" w:type="dxa"/>
            <w:vAlign w:val="top"/>
          </w:tcPr>
          <w:p w14:paraId="367FAD05">
            <w:pPr>
              <w:keepNext w:val="0"/>
              <w:keepLines w:val="0"/>
              <w:pageBreakBefore w:val="0"/>
              <w:widowControl/>
              <w:kinsoku w:val="0"/>
              <w:wordWrap/>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如果我方有招标文件第一章第三节第</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1"/>
                <w:sz w:val="24"/>
                <w:szCs w:val="24"/>
                <w:highlight w:val="none"/>
              </w:rPr>
              <w:t xml:space="preserve">4 </w:t>
            </w:r>
            <w:r>
              <w:rPr>
                <w:rFonts w:hint="eastAsia" w:ascii="宋体" w:hAnsi="宋体" w:eastAsia="宋体" w:cs="宋体"/>
                <w:color w:val="auto"/>
                <w:spacing w:val="1"/>
                <w:sz w:val="24"/>
                <w:szCs w:val="24"/>
                <w:highlight w:val="none"/>
              </w:rPr>
              <w:t>条“禁止投标条款</w:t>
            </w:r>
            <w:r>
              <w:rPr>
                <w:rFonts w:hint="eastAsia" w:ascii="宋体" w:hAnsi="宋体" w:eastAsia="宋体" w:cs="宋体"/>
                <w:color w:val="auto"/>
                <w:spacing w:val="-65"/>
                <w:sz w:val="24"/>
                <w:szCs w:val="24"/>
                <w:highlight w:val="none"/>
              </w:rPr>
              <w:t xml:space="preserve"> </w:t>
            </w:r>
            <w:r>
              <w:rPr>
                <w:rFonts w:hint="eastAsia" w:ascii="宋体" w:hAnsi="宋体" w:eastAsia="宋体" w:cs="宋体"/>
                <w:color w:val="auto"/>
                <w:spacing w:val="1"/>
                <w:sz w:val="24"/>
                <w:szCs w:val="24"/>
                <w:highlight w:val="none"/>
              </w:rPr>
              <w:t>”规定的任何一种情形，</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我方接受招标人或其授权的招标代理机构或</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其组建的评标委员会依据招标文件作出的相</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应处理以及有关监督部门作出的行政处罚，</w:t>
            </w:r>
            <w:r>
              <w:rPr>
                <w:rFonts w:hint="eastAsia" w:ascii="宋体" w:hAnsi="宋体" w:eastAsia="宋体" w:cs="宋体"/>
                <w:color w:val="auto"/>
                <w:spacing w:val="6"/>
                <w:sz w:val="24"/>
                <w:szCs w:val="24"/>
                <w:highlight w:val="none"/>
              </w:rPr>
              <w:t>并承担由此引起的一切法律后果。</w:t>
            </w:r>
          </w:p>
        </w:tc>
      </w:tr>
      <w:tr w14:paraId="18C1C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AAD020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BFA5DE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60ED34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F741A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E73C69">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75" w:type="dxa"/>
            <w:vAlign w:val="top"/>
          </w:tcPr>
          <w:p w14:paraId="438AD48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2BBB5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2454EE3">
            <w:pPr>
              <w:keepNext w:val="0"/>
              <w:keepLines w:val="0"/>
              <w:pageBreakBefore w:val="0"/>
              <w:widowControl/>
              <w:kinsoku w:val="0"/>
              <w:wordWrap/>
              <w:overflowPunct/>
              <w:topLinePunct w:val="0"/>
              <w:autoSpaceDE w:val="0"/>
              <w:autoSpaceDN w:val="0"/>
              <w:bidi w:val="0"/>
              <w:adjustRightInd w:val="0"/>
              <w:snapToGrid w:val="0"/>
              <w:spacing w:before="65" w:line="288" w:lineRule="auto"/>
              <w:ind w:left="1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自觉抵制围标</w:t>
            </w:r>
          </w:p>
          <w:p w14:paraId="07205FD8">
            <w:pPr>
              <w:keepNext w:val="0"/>
              <w:keepLines w:val="0"/>
              <w:pageBreakBefore w:val="0"/>
              <w:widowControl/>
              <w:kinsoku w:val="0"/>
              <w:wordWrap/>
              <w:overflowPunct/>
              <w:topLinePunct w:val="0"/>
              <w:autoSpaceDE w:val="0"/>
              <w:autoSpaceDN w:val="0"/>
              <w:bidi w:val="0"/>
              <w:adjustRightInd w:val="0"/>
              <w:snapToGrid w:val="0"/>
              <w:spacing w:before="131" w:line="288" w:lineRule="auto"/>
              <w:ind w:left="2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串标和弄虚</w:t>
            </w:r>
          </w:p>
          <w:p w14:paraId="7DFCC592">
            <w:pPr>
              <w:keepNext w:val="0"/>
              <w:keepLines w:val="0"/>
              <w:pageBreakBefore w:val="0"/>
              <w:widowControl/>
              <w:kinsoku w:val="0"/>
              <w:wordWrap/>
              <w:overflowPunct/>
              <w:topLinePunct w:val="0"/>
              <w:autoSpaceDE w:val="0"/>
              <w:autoSpaceDN w:val="0"/>
              <w:bidi w:val="0"/>
              <w:adjustRightInd w:val="0"/>
              <w:snapToGrid w:val="0"/>
              <w:spacing w:before="133" w:line="288" w:lineRule="auto"/>
              <w:ind w:left="5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作假行为的承诺</w:t>
            </w:r>
          </w:p>
        </w:tc>
        <w:tc>
          <w:tcPr>
            <w:tcW w:w="3107" w:type="dxa"/>
            <w:vAlign w:val="top"/>
          </w:tcPr>
          <w:p w14:paraId="0DE69FD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D8D72D4">
            <w:pPr>
              <w:keepNext w:val="0"/>
              <w:keepLines w:val="0"/>
              <w:pageBreakBefore w:val="0"/>
              <w:widowControl/>
              <w:kinsoku w:val="0"/>
              <w:wordWrap/>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我方合法正当、诚实守信地</w:t>
            </w:r>
            <w:r>
              <w:rPr>
                <w:rFonts w:hint="eastAsia" w:ascii="宋体" w:hAnsi="宋体" w:eastAsia="宋体" w:cs="宋体"/>
                <w:color w:val="auto"/>
                <w:spacing w:val="7"/>
                <w:sz w:val="24"/>
                <w:szCs w:val="24"/>
                <w:highlight w:val="none"/>
              </w:rPr>
              <w:t>参与投标，不组织、不参加围标串标违法行为，不通过弄虚作假</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6"/>
                <w:sz w:val="24"/>
                <w:szCs w:val="24"/>
                <w:highlight w:val="none"/>
              </w:rPr>
              <w:t>行为骗取中标。</w:t>
            </w:r>
          </w:p>
        </w:tc>
        <w:tc>
          <w:tcPr>
            <w:tcW w:w="4272" w:type="dxa"/>
            <w:vAlign w:val="top"/>
          </w:tcPr>
          <w:p w14:paraId="4589066B">
            <w:pPr>
              <w:keepNext w:val="0"/>
              <w:keepLines w:val="0"/>
              <w:pageBreakBefore w:val="0"/>
              <w:widowControl/>
              <w:kinsoku w:val="0"/>
              <w:wordWrap/>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w:t>
            </w:r>
            <w:r>
              <w:rPr>
                <w:rFonts w:hint="eastAsia" w:ascii="宋体" w:hAnsi="宋体" w:eastAsia="宋体" w:cs="宋体"/>
                <w:color w:val="auto"/>
                <w:spacing w:val="7"/>
                <w:sz w:val="24"/>
                <w:szCs w:val="24"/>
                <w:highlight w:val="none"/>
              </w:rPr>
              <w:t>引起的一切法律后果。</w:t>
            </w:r>
          </w:p>
        </w:tc>
      </w:tr>
      <w:tr w14:paraId="312D6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871518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7D55AC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6165398">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45AC13">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089FA48">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43D837">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675" w:type="dxa"/>
            <w:vAlign w:val="top"/>
          </w:tcPr>
          <w:p w14:paraId="6278EE0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625588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D7BD82">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1D658B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C7A4BF8">
            <w:pPr>
              <w:keepNext w:val="0"/>
              <w:keepLines w:val="0"/>
              <w:pageBreakBefore w:val="0"/>
              <w:widowControl/>
              <w:kinsoku w:val="0"/>
              <w:wordWrap/>
              <w:overflowPunct/>
              <w:topLinePunct w:val="0"/>
              <w:autoSpaceDE w:val="0"/>
              <w:autoSpaceDN w:val="0"/>
              <w:bidi w:val="0"/>
              <w:adjustRightInd w:val="0"/>
              <w:snapToGrid w:val="0"/>
              <w:spacing w:before="65" w:line="288" w:lineRule="auto"/>
              <w:ind w:left="369" w:right="367" w:firstLine="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r>
              <w:rPr>
                <w:rFonts w:hint="eastAsia" w:ascii="宋体" w:hAnsi="宋体" w:eastAsia="宋体" w:cs="宋体"/>
                <w:color w:val="auto"/>
                <w:spacing w:val="7"/>
                <w:sz w:val="24"/>
                <w:szCs w:val="24"/>
                <w:highlight w:val="none"/>
              </w:rPr>
              <w:t>任职承诺</w:t>
            </w:r>
          </w:p>
        </w:tc>
        <w:tc>
          <w:tcPr>
            <w:tcW w:w="3107" w:type="dxa"/>
            <w:vAlign w:val="top"/>
          </w:tcPr>
          <w:p w14:paraId="012273A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115F3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5A6B417">
            <w:pPr>
              <w:keepNext w:val="0"/>
              <w:keepLines w:val="0"/>
              <w:pageBreakBefore w:val="0"/>
              <w:widowControl/>
              <w:kinsoku w:val="0"/>
              <w:wordWrap/>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我方拟派项目经理现阶段</w:t>
            </w:r>
            <w:r>
              <w:rPr>
                <w:rFonts w:hint="eastAsia" w:ascii="宋体" w:hAnsi="宋体" w:eastAsia="宋体" w:cs="宋体"/>
                <w:color w:val="auto"/>
                <w:spacing w:val="7"/>
                <w:sz w:val="24"/>
                <w:szCs w:val="24"/>
                <w:highlight w:val="none"/>
              </w:rPr>
              <w:t>没有担任任何在施（包括已中标</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未开工、已开工未竣工）建设工</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程项目的项目经理。</w:t>
            </w:r>
          </w:p>
        </w:tc>
        <w:tc>
          <w:tcPr>
            <w:tcW w:w="4272" w:type="dxa"/>
            <w:vAlign w:val="top"/>
          </w:tcPr>
          <w:p w14:paraId="39F4F1E7">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如果我方拟派项目经理在本项目招标投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标活动期间有担任其他任何在施（包括已中标未开工、已开工未竣工）建设工程项目的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项目经理，我方接受招标人或其授权的招标</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代理机构或其组建的评标委员会依据招标文件作出的相应处理以及有关监督部门作出的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z w:val="24"/>
                <w:szCs w:val="24"/>
                <w:highlight w:val="none"/>
              </w:rPr>
              <w:t>行政处罚，并承担由此引起的一切法律后果。</w:t>
            </w:r>
          </w:p>
        </w:tc>
      </w:tr>
      <w:tr w14:paraId="6CEEE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A0D4B7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C74BAB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2E61580">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4"/>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675" w:type="dxa"/>
            <w:vAlign w:val="top"/>
          </w:tcPr>
          <w:p w14:paraId="349DADD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0BB8079">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7" w:right="261" w:firstLine="10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真实性承诺</w:t>
            </w:r>
          </w:p>
        </w:tc>
        <w:tc>
          <w:tcPr>
            <w:tcW w:w="3107" w:type="dxa"/>
            <w:vAlign w:val="top"/>
          </w:tcPr>
          <w:p w14:paraId="48826E6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0163C62">
            <w:pPr>
              <w:keepNext w:val="0"/>
              <w:keepLines w:val="0"/>
              <w:pageBreakBefore w:val="0"/>
              <w:widowControl/>
              <w:kinsoku w:val="0"/>
              <w:wordWrap/>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我方所递交投标文件的全</w:t>
            </w:r>
            <w:r>
              <w:rPr>
                <w:rFonts w:hint="eastAsia" w:ascii="宋体" w:hAnsi="宋体" w:eastAsia="宋体" w:cs="宋体"/>
                <w:color w:val="auto"/>
                <w:spacing w:val="-7"/>
                <w:sz w:val="24"/>
                <w:szCs w:val="24"/>
                <w:highlight w:val="none"/>
              </w:rPr>
              <w:t>部内容均为真实、有效、准确的。</w:t>
            </w:r>
          </w:p>
        </w:tc>
        <w:tc>
          <w:tcPr>
            <w:tcW w:w="4272" w:type="dxa"/>
            <w:vAlign w:val="top"/>
          </w:tcPr>
          <w:p w14:paraId="1583D5E0">
            <w:pPr>
              <w:keepNext w:val="0"/>
              <w:keepLines w:val="0"/>
              <w:pageBreakBefore w:val="0"/>
              <w:widowControl/>
              <w:kinsoku w:val="0"/>
              <w:wordWrap/>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如果我方递交的投标文件任何内容不真实或无效或不准确，我方接受招标人或其授权的招标代理机构或其组建的评标委员会依</w:t>
            </w:r>
            <w:r>
              <w:rPr>
                <w:rFonts w:hint="eastAsia" w:ascii="宋体" w:hAnsi="宋体" w:eastAsia="宋体" w:cs="宋体"/>
                <w:color w:val="auto"/>
                <w:sz w:val="24"/>
                <w:szCs w:val="24"/>
                <w:highlight w:val="none"/>
              </w:rPr>
              <w:t>据招标文件作出的相应处理，包括否决投标。</w:t>
            </w:r>
          </w:p>
        </w:tc>
      </w:tr>
      <w:tr w14:paraId="5859D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top"/>
          </w:tcPr>
          <w:p w14:paraId="2E9A7FD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19FAAF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E319FF4">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3"/>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p w14:paraId="6D236227">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62336"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6"/>
                          <a:stretch>
                            <a:fillRect/>
                          </a:stretch>
                        </pic:blipFill>
                        <pic:spPr>
                          <a:xfrm>
                            <a:off x="0" y="0"/>
                            <a:ext cx="6350" cy="241300"/>
                          </a:xfrm>
                          <a:prstGeom prst="rect">
                            <a:avLst/>
                          </a:prstGeom>
                          <a:noFill/>
                          <a:ln>
                            <a:noFill/>
                          </a:ln>
                        </pic:spPr>
                      </pic:pic>
                    </a:graphicData>
                  </a:graphic>
                </wp:anchor>
              </w:drawing>
            </w:r>
          </w:p>
        </w:tc>
        <w:tc>
          <w:tcPr>
            <w:tcW w:w="1675" w:type="dxa"/>
            <w:vAlign w:val="top"/>
          </w:tcPr>
          <w:p w14:paraId="29EF015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793775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p>
          <w:p w14:paraId="20B01D1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信息公开承诺</w:t>
            </w:r>
          </w:p>
        </w:tc>
        <w:tc>
          <w:tcPr>
            <w:tcW w:w="3107" w:type="dxa"/>
            <w:vAlign w:val="top"/>
          </w:tcPr>
          <w:p w14:paraId="6794C05C">
            <w:pPr>
              <w:keepNext w:val="0"/>
              <w:keepLines w:val="0"/>
              <w:pageBreakBefore w:val="0"/>
              <w:widowControl/>
              <w:kinsoku w:val="0"/>
              <w:wordWrap/>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我方提供完整的文件。如果</w:t>
            </w:r>
            <w:r>
              <w:rPr>
                <w:rFonts w:hint="eastAsia" w:ascii="宋体" w:hAnsi="宋体" w:eastAsia="宋体" w:cs="宋体"/>
                <w:color w:val="auto"/>
                <w:spacing w:val="7"/>
                <w:sz w:val="24"/>
                <w:szCs w:val="24"/>
                <w:highlight w:val="none"/>
              </w:rPr>
              <w:t>我方成为本项目中标候选人，我</w:t>
            </w:r>
            <w:r>
              <w:rPr>
                <w:rFonts w:hint="eastAsia" w:ascii="宋体" w:hAnsi="宋体" w:eastAsia="宋体" w:cs="宋体"/>
                <w:color w:val="auto"/>
                <w:spacing w:val="23"/>
                <w:sz w:val="24"/>
                <w:szCs w:val="24"/>
                <w:highlight w:val="none"/>
              </w:rPr>
              <w:t>方同意并授权招标人在评标结果公示期内公开我方商务标书</w:t>
            </w:r>
            <w:r>
              <w:rPr>
                <w:rFonts w:hint="eastAsia" w:ascii="宋体" w:hAnsi="宋体" w:eastAsia="宋体" w:cs="宋体"/>
                <w:color w:val="auto"/>
                <w:spacing w:val="3"/>
                <w:sz w:val="24"/>
                <w:szCs w:val="24"/>
                <w:highlight w:val="none"/>
              </w:rPr>
              <w:t>的全部内容。</w:t>
            </w:r>
          </w:p>
        </w:tc>
        <w:tc>
          <w:tcPr>
            <w:tcW w:w="4272" w:type="dxa"/>
            <w:vAlign w:val="top"/>
          </w:tcPr>
          <w:p w14:paraId="2FBE142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19050</wp:posOffset>
                      </wp:positionV>
                      <wp:extent cx="2698750" cy="1539875"/>
                      <wp:effectExtent l="3175" t="5715" r="3175" b="16510"/>
                      <wp:wrapNone/>
                      <wp:docPr id="23" name="直接连接符 23"/>
                      <wp:cNvGraphicFramePr/>
                      <a:graphic xmlns:a="http://schemas.openxmlformats.org/drawingml/2006/main">
                        <a:graphicData uri="http://schemas.microsoft.com/office/word/2010/wordprocessingShape">
                          <wps:wsp>
                            <wps:cNvCnPr/>
                            <wps:spPr>
                              <a:xfrm flipV="1">
                                <a:off x="4209415" y="1651000"/>
                                <a:ext cx="2698750" cy="1539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05pt;margin-top:1.5pt;height:121.25pt;width:212.5pt;z-index:251660288;mso-width-relative:page;mso-height-relative:page;" filled="f" stroked="t" coordsize="21600,21600" o:gfxdata="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qIdPdQAAAAHAQAADwAAAAAAAAABACAAAAAiAAAAZHJzL2Rvd25y&#10;ZXYueG1sUEsBAhQAFAAAAAgAh07iQNS38qICAgAA0AMAAA4AAAAAAAAAAQAgAAAAIwEAAGRycy9l&#10;Mm9Eb2MueG1sUEsFBgAAAAAGAAYAWQEAAJcFAAAAAA==&#10;">
                      <v:fill on="f" focussize="0,0"/>
                      <v:stroke weight="1pt" color="#4874CB [3204]" miterlimit="8" joinstyle="miter"/>
                      <v:imagedata o:title=""/>
                      <o:lock v:ext="edit" aspectratio="f"/>
                    </v:line>
                  </w:pict>
                </mc:Fallback>
              </mc:AlternateContent>
            </w:r>
          </w:p>
          <w:p w14:paraId="73473CF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2D77463">
            <w:pPr>
              <w:keepNext w:val="0"/>
              <w:keepLines w:val="0"/>
              <w:pageBreakBefore w:val="0"/>
              <w:widowControl/>
              <w:kinsoku w:val="0"/>
              <w:wordWrap/>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z w:val="24"/>
                <w:szCs w:val="24"/>
                <w:highlight w:val="none"/>
              </w:rPr>
            </w:pPr>
          </w:p>
        </w:tc>
      </w:tr>
      <w:tr w14:paraId="7EA8D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top"/>
          </w:tcPr>
          <w:p w14:paraId="443BB7F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F58368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890160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EC89A79">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F010AA9">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675" w:type="dxa"/>
            <w:vAlign w:val="top"/>
          </w:tcPr>
          <w:p w14:paraId="10987C8F">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49332366">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2B67BD4">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06743F6A">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对不正常报价</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4"/>
                <w:sz w:val="24"/>
                <w:szCs w:val="24"/>
                <w:highlight w:val="none"/>
              </w:rPr>
              <w:t>的确认承诺</w:t>
            </w:r>
          </w:p>
        </w:tc>
        <w:tc>
          <w:tcPr>
            <w:tcW w:w="3107" w:type="dxa"/>
            <w:vAlign w:val="top"/>
          </w:tcPr>
          <w:p w14:paraId="6339079D">
            <w:pPr>
              <w:keepNext w:val="0"/>
              <w:keepLines w:val="0"/>
              <w:pageBreakBefore w:val="0"/>
              <w:widowControl/>
              <w:kinsoku w:val="0"/>
              <w:wordWrap/>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如果我方中标，我方接受招</w:t>
            </w:r>
            <w:r>
              <w:rPr>
                <w:rFonts w:hint="eastAsia" w:ascii="宋体" w:hAnsi="宋体" w:eastAsia="宋体" w:cs="宋体"/>
                <w:color w:val="auto"/>
                <w:spacing w:val="23"/>
                <w:sz w:val="24"/>
                <w:szCs w:val="24"/>
                <w:highlight w:val="none"/>
              </w:rPr>
              <w:t>标人在合同订立期间依据招标文件有关条款约定对我方已标价工程量清单中不正常报价的</w:t>
            </w:r>
            <w:r>
              <w:rPr>
                <w:rFonts w:hint="eastAsia" w:ascii="宋体" w:hAnsi="宋体" w:eastAsia="宋体" w:cs="宋体"/>
                <w:color w:val="auto"/>
                <w:spacing w:val="7"/>
                <w:sz w:val="24"/>
                <w:szCs w:val="24"/>
                <w:highlight w:val="none"/>
              </w:rPr>
              <w:t>修正或认定，并按要求签署《不</w:t>
            </w:r>
            <w:r>
              <w:rPr>
                <w:rFonts w:hint="eastAsia" w:ascii="宋体" w:hAnsi="宋体" w:eastAsia="宋体" w:cs="宋体"/>
                <w:color w:val="auto"/>
                <w:spacing w:val="8"/>
                <w:sz w:val="24"/>
                <w:szCs w:val="24"/>
                <w:highlight w:val="none"/>
              </w:rPr>
              <w:t>正常报价清单》加以确认。</w:t>
            </w:r>
          </w:p>
        </w:tc>
        <w:tc>
          <w:tcPr>
            <w:tcW w:w="4272" w:type="dxa"/>
            <w:vAlign w:val="top"/>
          </w:tcPr>
          <w:p w14:paraId="2AC2D7A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26035</wp:posOffset>
                      </wp:positionV>
                      <wp:extent cx="2706370" cy="1920875"/>
                      <wp:effectExtent l="3810" t="5080" r="13970" b="17145"/>
                      <wp:wrapNone/>
                      <wp:docPr id="24" name="直接连接符 24"/>
                      <wp:cNvGraphicFramePr/>
                      <a:graphic xmlns:a="http://schemas.openxmlformats.org/drawingml/2006/main">
                        <a:graphicData uri="http://schemas.microsoft.com/office/word/2010/wordprocessingShape">
                          <wps:wsp>
                            <wps:cNvCnPr/>
                            <wps:spPr>
                              <a:xfrm flipV="1">
                                <a:off x="4217670" y="3238500"/>
                                <a:ext cx="2706370" cy="1920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6pt;margin-top:2.05pt;height:151.25pt;width:213.1pt;z-index:251661312;mso-width-relative:page;mso-height-relative:page;" filled="f" stroked="t" coordsize="21600,21600" o:gfxdata="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HjHtdIAAAAHAQAADwAAAAAAAAABACAAAAAiAAAAZHJzL2Rvd25y&#10;ZXYueG1sUEsBAhQAFAAAAAgAh07iQBDx3nQEAgAA0AMAAA4AAAAAAAAAAQAgAAAAIQEAAGRycy9l&#10;Mm9Eb2MueG1sUEsFBgAAAAAGAAYAWQEAAJcFAAAAAA==&#10;">
                      <v:fill on="f" focussize="0,0"/>
                      <v:stroke weight="1pt" color="#4874CB [3204]" miterlimit="8" joinstyle="miter"/>
                      <v:imagedata o:title=""/>
                      <o:lock v:ext="edit" aspectratio="f"/>
                    </v:line>
                  </w:pict>
                </mc:Fallback>
              </mc:AlternateContent>
            </w:r>
          </w:p>
          <w:p w14:paraId="7C9BB7EC">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A5536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E45103F">
            <w:pPr>
              <w:keepNext w:val="0"/>
              <w:keepLines w:val="0"/>
              <w:pageBreakBefore w:val="0"/>
              <w:widowControl/>
              <w:kinsoku w:val="0"/>
              <w:wordWrap/>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z w:val="24"/>
                <w:szCs w:val="24"/>
                <w:highlight w:val="none"/>
              </w:rPr>
            </w:pPr>
          </w:p>
        </w:tc>
      </w:tr>
      <w:tr w14:paraId="181CB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2565A70D">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474C16A">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705BF3F">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D5C170A">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7"/>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675" w:type="dxa"/>
            <w:vAlign w:val="top"/>
          </w:tcPr>
          <w:p w14:paraId="4EE17AC8">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BB363F9">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4D741FFC">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按时提交履约</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7"/>
                <w:sz w:val="24"/>
                <w:szCs w:val="24"/>
                <w:highlight w:val="none"/>
              </w:rPr>
              <w:t>保证的承诺</w:t>
            </w:r>
          </w:p>
        </w:tc>
        <w:tc>
          <w:tcPr>
            <w:tcW w:w="3107" w:type="dxa"/>
            <w:vAlign w:val="top"/>
          </w:tcPr>
          <w:p w14:paraId="2F2EF5F6">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DF103BD">
            <w:pPr>
              <w:keepNext w:val="0"/>
              <w:keepLines w:val="0"/>
              <w:pageBreakBefore w:val="0"/>
              <w:widowControl/>
              <w:kinsoku w:val="0"/>
              <w:wordWrap/>
              <w:overflowPunct/>
              <w:topLinePunct w:val="0"/>
              <w:autoSpaceDE w:val="0"/>
              <w:autoSpaceDN w:val="0"/>
              <w:bidi w:val="0"/>
              <w:adjustRightInd w:val="0"/>
              <w:snapToGrid w:val="0"/>
              <w:spacing w:line="288" w:lineRule="auto"/>
              <w:ind w:left="11"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招标文件规定的时限内全额提</w:t>
            </w:r>
            <w:r>
              <w:rPr>
                <w:rFonts w:hint="eastAsia" w:ascii="宋体" w:hAnsi="宋体" w:eastAsia="宋体" w:cs="宋体"/>
                <w:color w:val="auto"/>
                <w:spacing w:val="6"/>
                <w:sz w:val="24"/>
                <w:szCs w:val="24"/>
                <w:highlight w:val="none"/>
              </w:rPr>
              <w:t>交履约保证。</w:t>
            </w:r>
          </w:p>
        </w:tc>
        <w:tc>
          <w:tcPr>
            <w:tcW w:w="4272" w:type="dxa"/>
            <w:vAlign w:val="top"/>
          </w:tcPr>
          <w:p w14:paraId="20F3BAEB">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如果我方未在招标文件规定的时限内全</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9"/>
                <w:sz w:val="24"/>
                <w:szCs w:val="24"/>
                <w:highlight w:val="none"/>
              </w:rPr>
              <w:t>额提交履约保证，我方接受招标人依据招标文件作出的相应处理以及有关监督部门作出的行政处罚，并承担由此引起的一切法律后</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果。</w:t>
            </w:r>
          </w:p>
        </w:tc>
      </w:tr>
      <w:tr w14:paraId="6E5D5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04B7305">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C02A7C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B620D0E">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4F4C3A4">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8D2FFB">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675" w:type="dxa"/>
            <w:vAlign w:val="top"/>
          </w:tcPr>
          <w:p w14:paraId="3984E433">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7846EB">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00D32F0">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127F03">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按时签订合同</w:t>
            </w:r>
            <w:r>
              <w:rPr>
                <w:rFonts w:hint="eastAsia" w:ascii="宋体" w:hAnsi="宋体" w:eastAsia="宋体" w:cs="宋体"/>
                <w:color w:val="auto"/>
                <w:spacing w:val="1"/>
                <w:sz w:val="24"/>
                <w:szCs w:val="24"/>
                <w:highlight w:val="none"/>
              </w:rPr>
              <w:t>的承诺</w:t>
            </w:r>
          </w:p>
        </w:tc>
        <w:tc>
          <w:tcPr>
            <w:tcW w:w="3107" w:type="dxa"/>
            <w:vAlign w:val="top"/>
          </w:tcPr>
          <w:p w14:paraId="45DF0271">
            <w:pPr>
              <w:pStyle w:val="21"/>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0E5BA5A">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招标文件规定的时限内与招标</w:t>
            </w:r>
            <w:r>
              <w:rPr>
                <w:rFonts w:hint="eastAsia" w:ascii="宋体" w:hAnsi="宋体" w:eastAsia="宋体" w:cs="宋体"/>
                <w:color w:val="auto"/>
                <w:spacing w:val="7"/>
                <w:sz w:val="24"/>
                <w:szCs w:val="24"/>
                <w:highlight w:val="none"/>
              </w:rPr>
              <w:t>人签订合同，不提出违背或超出</w:t>
            </w:r>
            <w:r>
              <w:rPr>
                <w:rFonts w:hint="eastAsia" w:ascii="宋体" w:hAnsi="宋体" w:eastAsia="宋体" w:cs="宋体"/>
                <w:color w:val="auto"/>
                <w:spacing w:val="8"/>
                <w:sz w:val="24"/>
                <w:szCs w:val="24"/>
                <w:highlight w:val="none"/>
              </w:rPr>
              <w:t>招标文件、中标文件的要求。</w:t>
            </w:r>
          </w:p>
        </w:tc>
        <w:tc>
          <w:tcPr>
            <w:tcW w:w="4272" w:type="dxa"/>
            <w:vAlign w:val="top"/>
          </w:tcPr>
          <w:p w14:paraId="193F81D5">
            <w:pPr>
              <w:keepNext w:val="0"/>
              <w:keepLines w:val="0"/>
              <w:pageBreakBefore w:val="0"/>
              <w:widowControl/>
              <w:kinsoku w:val="0"/>
              <w:wordWrap/>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如果我方未在招标文件规定的时限内与招标人签订合同，或我方在签订合同过程中</w:t>
            </w:r>
            <w:r>
              <w:rPr>
                <w:rFonts w:hint="eastAsia" w:ascii="宋体" w:hAnsi="宋体" w:eastAsia="宋体" w:cs="宋体"/>
                <w:color w:val="auto"/>
                <w:sz w:val="24"/>
                <w:szCs w:val="24"/>
                <w:highlight w:val="none"/>
              </w:rPr>
              <w:t>提出违背或超出招标文件、中标文件的要求。</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7"/>
                <w:sz w:val="24"/>
                <w:szCs w:val="24"/>
                <w:highlight w:val="none"/>
              </w:rPr>
              <w:t>我方接受招标人依据招标文件作出的相应处</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理以及有关监督部门作出的行政处罚，并承</w:t>
            </w:r>
            <w:r>
              <w:rPr>
                <w:rFonts w:hint="eastAsia" w:ascii="宋体" w:hAnsi="宋体" w:eastAsia="宋体" w:cs="宋体"/>
                <w:color w:val="auto"/>
                <w:spacing w:val="5"/>
                <w:sz w:val="24"/>
                <w:szCs w:val="24"/>
                <w:highlight w:val="none"/>
              </w:rPr>
              <w:t>担由此引起的一切法律后果。</w:t>
            </w:r>
          </w:p>
        </w:tc>
      </w:tr>
    </w:tbl>
    <w:p w14:paraId="74877834">
      <w:pPr>
        <w:spacing w:before="78" w:line="219" w:lineRule="auto"/>
        <w:ind w:firstLine="6832" w:firstLineChars="2800"/>
        <w:jc w:val="both"/>
        <w:rPr>
          <w:rFonts w:hint="eastAsia" w:ascii="宋体" w:hAnsi="宋体" w:eastAsia="宋体" w:cs="宋体"/>
          <w:color w:val="auto"/>
          <w:spacing w:val="2"/>
          <w:sz w:val="24"/>
          <w:szCs w:val="24"/>
          <w:highlight w:val="none"/>
        </w:rPr>
      </w:pPr>
    </w:p>
    <w:p w14:paraId="749799CD">
      <w:pPr>
        <w:spacing w:before="78" w:line="219" w:lineRule="auto"/>
        <w:ind w:firstLine="6832" w:firstLineChars="280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689D990C">
      <w:pPr>
        <w:pStyle w:val="5"/>
        <w:spacing w:line="297" w:lineRule="auto"/>
        <w:jc w:val="right"/>
        <w:rPr>
          <w:rFonts w:hint="eastAsia" w:ascii="宋体" w:hAnsi="宋体" w:eastAsia="宋体" w:cs="宋体"/>
          <w:color w:val="auto"/>
          <w:highlight w:val="none"/>
        </w:rPr>
      </w:pPr>
    </w:p>
    <w:p w14:paraId="17340BD8">
      <w:pPr>
        <w:spacing w:before="78" w:line="219" w:lineRule="auto"/>
        <w:ind w:left="4366"/>
        <w:jc w:val="right"/>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59B90550">
      <w:pPr>
        <w:outlineLvl w:val="9"/>
        <w:rPr>
          <w:rFonts w:hint="eastAsia"/>
          <w:color w:val="auto"/>
          <w:highlight w:val="none"/>
        </w:rPr>
      </w:pPr>
    </w:p>
    <w:p w14:paraId="07DB3461">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A1F64DF">
      <w:pPr>
        <w:spacing w:line="220" w:lineRule="auto"/>
        <w:jc w:val="right"/>
        <w:rPr>
          <w:rFonts w:hint="eastAsia" w:ascii="宋体" w:hAnsi="宋体" w:eastAsia="宋体" w:cs="宋体"/>
          <w:color w:val="auto"/>
          <w:sz w:val="24"/>
          <w:szCs w:val="24"/>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4BDCB018">
      <w:pPr>
        <w:spacing w:before="78" w:line="220" w:lineRule="auto"/>
        <w:outlineLvl w:val="2"/>
        <w:rPr>
          <w:rFonts w:hint="eastAsia" w:ascii="宋体" w:hAnsi="宋体" w:eastAsia="宋体" w:cs="宋体"/>
          <w:b/>
          <w:bCs/>
          <w:color w:val="auto"/>
          <w:spacing w:val="-4"/>
          <w:sz w:val="24"/>
          <w:szCs w:val="24"/>
          <w:highlight w:val="none"/>
        </w:rPr>
      </w:pPr>
      <w:bookmarkStart w:id="219" w:name="_Toc2176"/>
      <w:r>
        <w:rPr>
          <w:rFonts w:hint="eastAsia" w:ascii="宋体" w:hAnsi="宋体" w:eastAsia="宋体" w:cs="宋体"/>
          <w:b/>
          <w:bCs/>
          <w:color w:val="auto"/>
          <w:spacing w:val="-4"/>
          <w:sz w:val="24"/>
          <w:szCs w:val="24"/>
          <w:highlight w:val="none"/>
        </w:rPr>
        <w:t>格式四 授权委托书</w:t>
      </w:r>
      <w:bookmarkEnd w:id="219"/>
    </w:p>
    <w:p w14:paraId="6CD0F9BB">
      <w:pPr>
        <w:pStyle w:val="5"/>
        <w:spacing w:line="351" w:lineRule="auto"/>
        <w:rPr>
          <w:rFonts w:hint="eastAsia" w:ascii="宋体" w:hAnsi="宋体" w:eastAsia="宋体" w:cs="宋体"/>
          <w:color w:val="auto"/>
          <w:highlight w:val="none"/>
        </w:rPr>
      </w:pPr>
    </w:p>
    <w:p w14:paraId="18A875F0">
      <w:pPr>
        <w:pStyle w:val="5"/>
        <w:spacing w:line="351" w:lineRule="auto"/>
        <w:rPr>
          <w:rFonts w:hint="eastAsia" w:ascii="宋体" w:hAnsi="宋体" w:eastAsia="宋体" w:cs="宋体"/>
          <w:color w:val="auto"/>
          <w:highlight w:val="none"/>
        </w:rPr>
      </w:pPr>
    </w:p>
    <w:p w14:paraId="7EF079A3">
      <w:pPr>
        <w:spacing w:before="97" w:line="219" w:lineRule="auto"/>
        <w:ind w:left="3786"/>
        <w:rPr>
          <w:rFonts w:hint="eastAsia" w:ascii="宋体" w:hAnsi="宋体" w:eastAsia="宋体" w:cs="宋体"/>
          <w:color w:val="auto"/>
          <w:sz w:val="30"/>
          <w:szCs w:val="30"/>
          <w:highlight w:val="none"/>
        </w:rPr>
      </w:pPr>
      <w:bookmarkStart w:id="220" w:name="bookmark151"/>
      <w:bookmarkEnd w:id="220"/>
      <w:r>
        <w:rPr>
          <w:rFonts w:hint="eastAsia" w:ascii="宋体" w:hAnsi="宋体" w:eastAsia="宋体" w:cs="宋体"/>
          <w:b/>
          <w:bCs/>
          <w:color w:val="auto"/>
          <w:spacing w:val="-5"/>
          <w:sz w:val="30"/>
          <w:szCs w:val="30"/>
          <w:highlight w:val="none"/>
        </w:rPr>
        <w:t>授权委托书</w:t>
      </w:r>
    </w:p>
    <w:p w14:paraId="473B7E5C">
      <w:pPr>
        <w:pStyle w:val="5"/>
        <w:spacing w:line="250" w:lineRule="auto"/>
        <w:rPr>
          <w:rFonts w:hint="eastAsia" w:ascii="宋体" w:hAnsi="宋体" w:eastAsia="宋体" w:cs="宋体"/>
          <w:color w:val="auto"/>
          <w:highlight w:val="none"/>
        </w:rPr>
      </w:pPr>
    </w:p>
    <w:p w14:paraId="72DA4D73">
      <w:pPr>
        <w:pStyle w:val="5"/>
        <w:spacing w:line="250" w:lineRule="auto"/>
        <w:rPr>
          <w:rFonts w:hint="eastAsia" w:ascii="宋体" w:hAnsi="宋体" w:eastAsia="宋体" w:cs="宋体"/>
          <w:color w:val="auto"/>
          <w:highlight w:val="none"/>
        </w:rPr>
      </w:pPr>
    </w:p>
    <w:p w14:paraId="18BC7C34">
      <w:pPr>
        <w:pStyle w:val="5"/>
        <w:spacing w:line="251" w:lineRule="auto"/>
        <w:rPr>
          <w:rFonts w:hint="eastAsia" w:ascii="宋体" w:hAnsi="宋体" w:eastAsia="宋体" w:cs="宋体"/>
          <w:color w:val="auto"/>
          <w:highlight w:val="none"/>
        </w:rPr>
      </w:pPr>
    </w:p>
    <w:p w14:paraId="09C2E563">
      <w:pPr>
        <w:spacing w:before="78" w:line="330" w:lineRule="auto"/>
        <w:ind w:firstLine="481"/>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8"/>
          <w:highlight w:val="none"/>
          <w:lang w:eastAsia="zh-CN"/>
        </w:rPr>
        <w:t>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 w:val="24"/>
          <w:szCs w:val="28"/>
          <w:highlight w:val="none"/>
          <w:u w:val="single"/>
          <w:lang w:eastAsia="zh-CN"/>
        </w:rPr>
        <w:t>（项目名称）</w:t>
      </w:r>
      <w:r>
        <w:rPr>
          <w:rFonts w:hint="eastAsia" w:ascii="宋体" w:hAnsi="宋体" w:eastAsia="宋体" w:cs="宋体"/>
          <w:snapToGrid w:val="0"/>
          <w:color w:val="auto"/>
          <w:kern w:val="0"/>
          <w:sz w:val="24"/>
          <w:szCs w:val="28"/>
          <w:highlight w:val="none"/>
          <w:lang w:eastAsia="zh-CN"/>
        </w:rPr>
        <w:t xml:space="preserve"> 投标文件、签订合同和处理有关事宜，其法律后果由我方承担。</w:t>
      </w:r>
    </w:p>
    <w:p w14:paraId="2CE40362">
      <w:pPr>
        <w:spacing w:before="32" w:line="320" w:lineRule="auto"/>
        <w:ind w:left="480" w:right="497"/>
        <w:rPr>
          <w:rFonts w:hint="eastAsia" w:ascii="宋体" w:hAnsi="宋体" w:eastAsia="宋体" w:cs="宋体"/>
          <w:color w:val="auto"/>
          <w:spacing w:val="15"/>
          <w:sz w:val="24"/>
          <w:szCs w:val="24"/>
          <w:highlight w:val="none"/>
        </w:rPr>
      </w:pPr>
      <w:r>
        <w:rPr>
          <w:rFonts w:hint="eastAsia" w:ascii="宋体" w:hAnsi="宋体" w:eastAsia="宋体" w:cs="宋体"/>
          <w:color w:val="auto"/>
          <w:spacing w:val="-9"/>
          <w:sz w:val="24"/>
          <w:szCs w:val="24"/>
          <w:highlight w:val="none"/>
        </w:rPr>
        <w:t>委托期限：至</w:t>
      </w:r>
      <w:r>
        <w:rPr>
          <w:rFonts w:hint="eastAsia" w:ascii="宋体" w:hAnsi="宋体" w:eastAsia="宋体" w:cs="宋体"/>
          <w:color w:val="auto"/>
          <w:spacing w:val="-9"/>
          <w:sz w:val="24"/>
          <w:szCs w:val="24"/>
          <w:highlight w:val="none"/>
          <w:u w:val="single"/>
        </w:rPr>
        <w:t xml:space="preserve">     年   月    日</w:t>
      </w:r>
      <w:r>
        <w:rPr>
          <w:rFonts w:hint="eastAsia" w:ascii="宋体" w:hAnsi="宋体" w:eastAsia="宋体" w:cs="宋体"/>
          <w:i/>
          <w:iCs/>
          <w:color w:val="auto"/>
          <w:spacing w:val="-9"/>
          <w:sz w:val="25"/>
          <w:szCs w:val="25"/>
          <w:highlight w:val="none"/>
          <w:u w:val="single"/>
        </w:rPr>
        <w:t>（不得短于招标文件规定的投标有效期）</w:t>
      </w:r>
      <w:r>
        <w:rPr>
          <w:rFonts w:hint="eastAsia" w:ascii="宋体" w:hAnsi="宋体" w:eastAsia="宋体" w:cs="宋体"/>
          <w:color w:val="auto"/>
          <w:spacing w:val="-9"/>
          <w:sz w:val="25"/>
          <w:szCs w:val="25"/>
          <w:highlight w:val="none"/>
        </w:rPr>
        <w:t xml:space="preserve"> </w:t>
      </w:r>
      <w:r>
        <w:rPr>
          <w:rFonts w:hint="eastAsia" w:ascii="宋体" w:hAnsi="宋体" w:eastAsia="宋体" w:cs="宋体"/>
          <w:color w:val="auto"/>
          <w:spacing w:val="-9"/>
          <w:sz w:val="24"/>
          <w:szCs w:val="24"/>
          <w:highlight w:val="none"/>
        </w:rPr>
        <w:t>。</w:t>
      </w:r>
      <w:r>
        <w:rPr>
          <w:rFonts w:hint="eastAsia" w:ascii="宋体" w:hAnsi="宋体" w:eastAsia="宋体" w:cs="宋体"/>
          <w:color w:val="auto"/>
          <w:spacing w:val="15"/>
          <w:sz w:val="24"/>
          <w:szCs w:val="24"/>
          <w:highlight w:val="none"/>
        </w:rPr>
        <w:t xml:space="preserve"> </w:t>
      </w:r>
    </w:p>
    <w:p w14:paraId="2D61A797">
      <w:pPr>
        <w:spacing w:before="32" w:line="320" w:lineRule="auto"/>
        <w:ind w:left="480" w:right="49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代理人无转委托权。</w:t>
      </w:r>
    </w:p>
    <w:p w14:paraId="1E74F1A2">
      <w:pPr>
        <w:pStyle w:val="5"/>
        <w:spacing w:line="276" w:lineRule="auto"/>
        <w:rPr>
          <w:rFonts w:hint="eastAsia" w:ascii="宋体" w:hAnsi="宋体" w:eastAsia="宋体" w:cs="宋体"/>
          <w:color w:val="auto"/>
          <w:highlight w:val="none"/>
        </w:rPr>
      </w:pPr>
    </w:p>
    <w:p w14:paraId="2A536516">
      <w:pPr>
        <w:pStyle w:val="5"/>
        <w:spacing w:line="277" w:lineRule="auto"/>
        <w:rPr>
          <w:rFonts w:hint="eastAsia" w:ascii="宋体" w:hAnsi="宋体" w:eastAsia="宋体" w:cs="宋体"/>
          <w:color w:val="auto"/>
          <w:highlight w:val="none"/>
        </w:rPr>
      </w:pPr>
    </w:p>
    <w:p w14:paraId="1CDFB82E">
      <w:pPr>
        <w:pStyle w:val="5"/>
        <w:spacing w:line="277" w:lineRule="auto"/>
        <w:rPr>
          <w:rFonts w:hint="eastAsia" w:ascii="宋体" w:hAnsi="宋体" w:eastAsia="宋体" w:cs="宋体"/>
          <w:color w:val="auto"/>
          <w:highlight w:val="none"/>
        </w:rPr>
      </w:pPr>
    </w:p>
    <w:p w14:paraId="6D45D633">
      <w:pPr>
        <w:spacing w:before="78" w:line="219" w:lineRule="auto"/>
        <w:ind w:left="3123"/>
        <w:jc w:val="righ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投  标  人</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4"/>
          <w:sz w:val="24"/>
          <w:szCs w:val="24"/>
          <w:highlight w:val="none"/>
        </w:rPr>
        <w:t>盖单位章）</w:t>
      </w:r>
    </w:p>
    <w:p w14:paraId="63BD962A">
      <w:pPr>
        <w:pStyle w:val="5"/>
        <w:spacing w:line="317" w:lineRule="auto"/>
        <w:jc w:val="right"/>
        <w:rPr>
          <w:rFonts w:hint="eastAsia" w:ascii="宋体" w:hAnsi="宋体" w:eastAsia="宋体" w:cs="宋体"/>
          <w:color w:val="auto"/>
          <w:highlight w:val="none"/>
        </w:rPr>
      </w:pPr>
    </w:p>
    <w:p w14:paraId="57132AE9">
      <w:pPr>
        <w:pStyle w:val="5"/>
        <w:spacing w:line="317" w:lineRule="auto"/>
        <w:jc w:val="right"/>
        <w:rPr>
          <w:rFonts w:hint="eastAsia" w:ascii="宋体" w:hAnsi="宋体" w:eastAsia="宋体" w:cs="宋体"/>
          <w:color w:val="auto"/>
          <w:highlight w:val="none"/>
        </w:rPr>
      </w:pPr>
    </w:p>
    <w:p w14:paraId="32FCF699">
      <w:pPr>
        <w:pStyle w:val="5"/>
        <w:spacing w:line="317" w:lineRule="auto"/>
        <w:jc w:val="right"/>
        <w:rPr>
          <w:rFonts w:hint="eastAsia" w:ascii="宋体" w:hAnsi="宋体" w:eastAsia="宋体" w:cs="宋体"/>
          <w:color w:val="auto"/>
          <w:highlight w:val="none"/>
        </w:rPr>
      </w:pPr>
    </w:p>
    <w:p w14:paraId="0C20E36F">
      <w:pPr>
        <w:spacing w:before="79" w:line="219" w:lineRule="auto"/>
        <w:ind w:left="3121"/>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2"/>
          <w:sz w:val="24"/>
          <w:szCs w:val="24"/>
          <w:highlight w:val="none"/>
        </w:rPr>
        <w:t>签字或盖章）</w:t>
      </w:r>
    </w:p>
    <w:p w14:paraId="2807F6C8">
      <w:pPr>
        <w:pStyle w:val="5"/>
        <w:spacing w:line="317" w:lineRule="auto"/>
        <w:jc w:val="right"/>
        <w:rPr>
          <w:rFonts w:hint="eastAsia" w:ascii="宋体" w:hAnsi="宋体" w:eastAsia="宋体" w:cs="宋体"/>
          <w:color w:val="auto"/>
          <w:highlight w:val="none"/>
        </w:rPr>
      </w:pPr>
    </w:p>
    <w:p w14:paraId="6B89A96E">
      <w:pPr>
        <w:pStyle w:val="5"/>
        <w:spacing w:line="317" w:lineRule="auto"/>
        <w:jc w:val="right"/>
        <w:rPr>
          <w:rFonts w:hint="eastAsia" w:ascii="宋体" w:hAnsi="宋体" w:eastAsia="宋体" w:cs="宋体"/>
          <w:color w:val="auto"/>
          <w:highlight w:val="none"/>
        </w:rPr>
      </w:pPr>
    </w:p>
    <w:p w14:paraId="52524FDC">
      <w:pPr>
        <w:pStyle w:val="5"/>
        <w:spacing w:line="317" w:lineRule="auto"/>
        <w:jc w:val="right"/>
        <w:rPr>
          <w:rFonts w:hint="eastAsia" w:ascii="宋体" w:hAnsi="宋体" w:eastAsia="宋体" w:cs="宋体"/>
          <w:color w:val="auto"/>
          <w:highlight w:val="none"/>
        </w:rPr>
      </w:pPr>
    </w:p>
    <w:p w14:paraId="414B89CB">
      <w:pPr>
        <w:spacing w:before="78" w:line="219" w:lineRule="auto"/>
        <w:ind w:left="288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委托代理人</w:t>
      </w:r>
      <w:r>
        <w:rPr>
          <w:rFonts w:hint="eastAsia" w:ascii="宋体" w:hAnsi="宋体" w:eastAsia="宋体" w:cs="宋体"/>
          <w:color w:val="auto"/>
          <w:spacing w:val="-16"/>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6"/>
          <w:sz w:val="24"/>
          <w:szCs w:val="24"/>
          <w:highlight w:val="none"/>
        </w:rPr>
        <w:t>（</w:t>
      </w:r>
      <w:r>
        <w:rPr>
          <w:rFonts w:hint="eastAsia" w:ascii="宋体" w:hAnsi="宋体" w:eastAsia="宋体" w:cs="宋体"/>
          <w:color w:val="auto"/>
          <w:spacing w:val="2"/>
          <w:sz w:val="24"/>
          <w:szCs w:val="24"/>
          <w:highlight w:val="none"/>
        </w:rPr>
        <w:t>签字或盖章）</w:t>
      </w:r>
    </w:p>
    <w:p w14:paraId="085218DE">
      <w:pPr>
        <w:pStyle w:val="5"/>
        <w:spacing w:line="256" w:lineRule="auto"/>
        <w:jc w:val="right"/>
        <w:rPr>
          <w:rFonts w:hint="eastAsia" w:ascii="宋体" w:hAnsi="宋体" w:eastAsia="宋体" w:cs="宋体"/>
          <w:color w:val="auto"/>
          <w:highlight w:val="none"/>
        </w:rPr>
      </w:pPr>
    </w:p>
    <w:p w14:paraId="635562C0">
      <w:pPr>
        <w:pStyle w:val="5"/>
        <w:spacing w:line="256" w:lineRule="auto"/>
        <w:jc w:val="right"/>
        <w:rPr>
          <w:rFonts w:hint="eastAsia" w:ascii="宋体" w:hAnsi="宋体" w:eastAsia="宋体" w:cs="宋体"/>
          <w:color w:val="auto"/>
          <w:highlight w:val="none"/>
        </w:rPr>
      </w:pPr>
    </w:p>
    <w:p w14:paraId="27218817">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F294533">
      <w:pPr>
        <w:spacing w:before="78" w:line="220" w:lineRule="auto"/>
        <w:ind w:left="4201"/>
        <w:jc w:val="right"/>
        <w:rPr>
          <w:rFonts w:hint="eastAsia" w:ascii="宋体" w:hAnsi="宋体" w:eastAsia="宋体" w:cs="宋体"/>
          <w:color w:val="auto"/>
          <w:sz w:val="24"/>
          <w:szCs w:val="24"/>
          <w:highlight w:val="none"/>
        </w:rPr>
      </w:pPr>
    </w:p>
    <w:p w14:paraId="3A4AD89C">
      <w:pPr>
        <w:spacing w:before="69"/>
        <w:rPr>
          <w:rFonts w:hint="eastAsia" w:ascii="宋体" w:hAnsi="宋体" w:eastAsia="宋体" w:cs="宋体"/>
          <w:color w:val="auto"/>
          <w:highlight w:val="none"/>
        </w:rPr>
      </w:pPr>
    </w:p>
    <w:p w14:paraId="363508E1">
      <w:pPr>
        <w:spacing w:before="69"/>
        <w:rPr>
          <w:rFonts w:hint="eastAsia" w:ascii="宋体" w:hAnsi="宋体" w:eastAsia="宋体" w:cs="宋体"/>
          <w:color w:val="auto"/>
          <w:highlight w:val="none"/>
        </w:rPr>
      </w:pPr>
    </w:p>
    <w:tbl>
      <w:tblPr>
        <w:tblStyle w:val="14"/>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727B0D3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49F11E44">
            <w:pPr>
              <w:pStyle w:val="21"/>
              <w:spacing w:line="245" w:lineRule="auto"/>
              <w:rPr>
                <w:rFonts w:hint="eastAsia" w:ascii="宋体" w:hAnsi="宋体" w:eastAsia="宋体" w:cs="宋体"/>
                <w:color w:val="auto"/>
                <w:highlight w:val="none"/>
              </w:rPr>
            </w:pPr>
          </w:p>
          <w:p w14:paraId="3EAC8CC5">
            <w:pPr>
              <w:pStyle w:val="21"/>
              <w:spacing w:line="245" w:lineRule="auto"/>
              <w:rPr>
                <w:rFonts w:hint="eastAsia" w:ascii="宋体" w:hAnsi="宋体" w:eastAsia="宋体" w:cs="宋体"/>
                <w:color w:val="auto"/>
                <w:highlight w:val="none"/>
              </w:rPr>
            </w:pPr>
          </w:p>
          <w:p w14:paraId="19684FD2">
            <w:pPr>
              <w:pStyle w:val="21"/>
              <w:spacing w:line="245" w:lineRule="auto"/>
              <w:rPr>
                <w:rFonts w:hint="eastAsia" w:ascii="宋体" w:hAnsi="宋体" w:eastAsia="宋体" w:cs="宋体"/>
                <w:color w:val="auto"/>
                <w:highlight w:val="none"/>
              </w:rPr>
            </w:pPr>
          </w:p>
          <w:p w14:paraId="7DA52306">
            <w:pPr>
              <w:pStyle w:val="21"/>
              <w:spacing w:line="245" w:lineRule="auto"/>
              <w:rPr>
                <w:rFonts w:hint="eastAsia" w:ascii="宋体" w:hAnsi="宋体" w:eastAsia="宋体" w:cs="宋体"/>
                <w:color w:val="auto"/>
                <w:highlight w:val="none"/>
              </w:rPr>
            </w:pPr>
          </w:p>
          <w:p w14:paraId="2B4D522A">
            <w:pPr>
              <w:pStyle w:val="21"/>
              <w:spacing w:line="245" w:lineRule="auto"/>
              <w:rPr>
                <w:rFonts w:hint="eastAsia" w:ascii="宋体" w:hAnsi="宋体" w:eastAsia="宋体" w:cs="宋体"/>
                <w:color w:val="auto"/>
                <w:highlight w:val="none"/>
              </w:rPr>
            </w:pPr>
          </w:p>
          <w:p w14:paraId="6375CF52">
            <w:pPr>
              <w:pStyle w:val="21"/>
              <w:spacing w:line="245" w:lineRule="auto"/>
              <w:rPr>
                <w:rFonts w:hint="eastAsia" w:ascii="宋体" w:hAnsi="宋体" w:eastAsia="宋体" w:cs="宋体"/>
                <w:color w:val="auto"/>
                <w:highlight w:val="none"/>
              </w:rPr>
            </w:pPr>
          </w:p>
          <w:p w14:paraId="761F0736">
            <w:pPr>
              <w:pStyle w:val="21"/>
              <w:spacing w:line="246" w:lineRule="auto"/>
              <w:rPr>
                <w:rFonts w:hint="eastAsia" w:ascii="宋体" w:hAnsi="宋体" w:eastAsia="宋体" w:cs="宋体"/>
                <w:color w:val="auto"/>
                <w:highlight w:val="none"/>
              </w:rPr>
            </w:pPr>
          </w:p>
          <w:p w14:paraId="14498540">
            <w:pPr>
              <w:spacing w:before="78" w:line="220" w:lineRule="auto"/>
              <w:ind w:left="71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委托代理人身份证</w:t>
            </w:r>
            <w:r>
              <w:rPr>
                <w:rFonts w:hint="eastAsia" w:ascii="宋体" w:hAnsi="宋体" w:eastAsia="宋体" w:cs="宋体"/>
                <w:color w:val="auto"/>
                <w:spacing w:val="-1"/>
                <w:sz w:val="24"/>
                <w:szCs w:val="24"/>
                <w:highlight w:val="none"/>
                <w:lang w:val="en-US" w:eastAsia="zh-CN"/>
              </w:rPr>
              <w:t>彩色扫描件</w:t>
            </w:r>
            <w:r>
              <w:rPr>
                <w:rFonts w:hint="eastAsia" w:ascii="宋体" w:hAnsi="宋体" w:eastAsia="宋体" w:cs="宋体"/>
                <w:color w:val="auto"/>
                <w:spacing w:val="-1"/>
                <w:sz w:val="24"/>
                <w:szCs w:val="24"/>
                <w:highlight w:val="none"/>
              </w:rPr>
              <w:t>正、反面</w:t>
            </w:r>
          </w:p>
        </w:tc>
      </w:tr>
    </w:tbl>
    <w:p w14:paraId="382D26B2">
      <w:pPr>
        <w:pStyle w:val="5"/>
        <w:rPr>
          <w:rFonts w:hint="eastAsia" w:ascii="宋体" w:hAnsi="宋体" w:eastAsia="宋体" w:cs="宋体"/>
          <w:color w:val="auto"/>
          <w:highlight w:val="none"/>
        </w:rPr>
      </w:pPr>
    </w:p>
    <w:p w14:paraId="2F0066E9">
      <w:pPr>
        <w:rPr>
          <w:rFonts w:hint="eastAsia" w:ascii="宋体" w:hAnsi="宋体" w:eastAsia="宋体" w:cs="宋体"/>
          <w:color w:val="auto"/>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DAC3638">
      <w:pPr>
        <w:spacing w:before="78" w:line="220" w:lineRule="auto"/>
        <w:outlineLvl w:val="2"/>
        <w:rPr>
          <w:rFonts w:hint="eastAsia" w:ascii="宋体" w:hAnsi="宋体" w:eastAsia="宋体" w:cs="宋体"/>
          <w:b/>
          <w:bCs/>
          <w:color w:val="auto"/>
          <w:spacing w:val="-4"/>
          <w:sz w:val="24"/>
          <w:szCs w:val="24"/>
          <w:highlight w:val="none"/>
        </w:rPr>
      </w:pPr>
      <w:bookmarkStart w:id="221" w:name="_Toc23327"/>
      <w:r>
        <w:rPr>
          <w:rFonts w:hint="eastAsia" w:ascii="宋体" w:hAnsi="宋体" w:eastAsia="宋体" w:cs="宋体"/>
          <w:b/>
          <w:bCs/>
          <w:color w:val="auto"/>
          <w:spacing w:val="-4"/>
          <w:sz w:val="24"/>
          <w:szCs w:val="24"/>
          <w:highlight w:val="none"/>
        </w:rPr>
        <w:t>格式五 法定代表人身份证明</w:t>
      </w:r>
      <w:bookmarkEnd w:id="221"/>
    </w:p>
    <w:p w14:paraId="2DA7024D">
      <w:pPr>
        <w:pStyle w:val="5"/>
        <w:spacing w:line="350" w:lineRule="auto"/>
        <w:rPr>
          <w:rFonts w:hint="eastAsia" w:ascii="宋体" w:hAnsi="宋体" w:eastAsia="宋体" w:cs="宋体"/>
          <w:color w:val="auto"/>
          <w:highlight w:val="none"/>
        </w:rPr>
      </w:pPr>
    </w:p>
    <w:p w14:paraId="0868334D">
      <w:pPr>
        <w:pStyle w:val="5"/>
        <w:spacing w:line="350" w:lineRule="auto"/>
        <w:rPr>
          <w:rFonts w:hint="eastAsia" w:ascii="宋体" w:hAnsi="宋体" w:eastAsia="宋体" w:cs="宋体"/>
          <w:color w:val="auto"/>
          <w:highlight w:val="none"/>
        </w:rPr>
      </w:pPr>
    </w:p>
    <w:p w14:paraId="5209C7D3">
      <w:pPr>
        <w:spacing w:before="98" w:line="220" w:lineRule="auto"/>
        <w:ind w:left="3183"/>
        <w:rPr>
          <w:rFonts w:hint="eastAsia" w:ascii="宋体" w:hAnsi="宋体" w:eastAsia="宋体" w:cs="宋体"/>
          <w:color w:val="auto"/>
          <w:sz w:val="30"/>
          <w:szCs w:val="30"/>
          <w:highlight w:val="none"/>
        </w:rPr>
      </w:pPr>
      <w:bookmarkStart w:id="222" w:name="bookmark152"/>
      <w:bookmarkEnd w:id="222"/>
      <w:r>
        <w:rPr>
          <w:rFonts w:hint="eastAsia" w:ascii="宋体" w:hAnsi="宋体" w:eastAsia="宋体" w:cs="宋体"/>
          <w:b/>
          <w:bCs/>
          <w:color w:val="auto"/>
          <w:spacing w:val="-4"/>
          <w:sz w:val="30"/>
          <w:szCs w:val="30"/>
          <w:highlight w:val="none"/>
        </w:rPr>
        <w:t>法定代表人身份证明</w:t>
      </w:r>
    </w:p>
    <w:p w14:paraId="136F935F">
      <w:pPr>
        <w:pStyle w:val="5"/>
        <w:spacing w:line="250" w:lineRule="auto"/>
        <w:rPr>
          <w:rFonts w:hint="eastAsia" w:ascii="宋体" w:hAnsi="宋体" w:eastAsia="宋体" w:cs="宋体"/>
          <w:color w:val="auto"/>
          <w:highlight w:val="none"/>
        </w:rPr>
      </w:pPr>
    </w:p>
    <w:p w14:paraId="2E1E9E2A">
      <w:pPr>
        <w:pStyle w:val="5"/>
        <w:spacing w:line="250" w:lineRule="auto"/>
        <w:rPr>
          <w:rFonts w:hint="eastAsia" w:ascii="宋体" w:hAnsi="宋体" w:eastAsia="宋体" w:cs="宋体"/>
          <w:color w:val="auto"/>
          <w:highlight w:val="none"/>
        </w:rPr>
      </w:pPr>
    </w:p>
    <w:p w14:paraId="6ABEAEB7">
      <w:pPr>
        <w:pStyle w:val="5"/>
        <w:spacing w:line="251" w:lineRule="auto"/>
        <w:rPr>
          <w:rFonts w:hint="eastAsia" w:ascii="宋体" w:hAnsi="宋体" w:eastAsia="宋体" w:cs="宋体"/>
          <w:color w:val="auto"/>
          <w:highlight w:val="none"/>
        </w:rPr>
      </w:pPr>
    </w:p>
    <w:p w14:paraId="766EA4CD">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投标人名称：</w:t>
      </w:r>
      <w:r>
        <w:rPr>
          <w:rFonts w:hint="eastAsia" w:ascii="宋体" w:hAnsi="宋体" w:eastAsia="宋体" w:cs="宋体"/>
          <w:snapToGrid w:val="0"/>
          <w:color w:val="auto"/>
          <w:kern w:val="0"/>
          <w:sz w:val="24"/>
          <w:szCs w:val="24"/>
          <w:highlight w:val="none"/>
          <w:u w:val="single"/>
        </w:rPr>
        <w:t xml:space="preserve">                  </w:t>
      </w:r>
    </w:p>
    <w:p w14:paraId="2A539E30">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姓名：</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性别：</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年龄：</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职务：</w:t>
      </w:r>
      <w:r>
        <w:rPr>
          <w:rFonts w:hint="eastAsia" w:ascii="宋体" w:hAnsi="宋体" w:eastAsia="宋体" w:cs="宋体"/>
          <w:snapToGrid w:val="0"/>
          <w:color w:val="auto"/>
          <w:kern w:val="0"/>
          <w:sz w:val="24"/>
          <w:szCs w:val="24"/>
          <w:highlight w:val="none"/>
          <w:u w:val="single"/>
        </w:rPr>
        <w:t xml:space="preserve">           </w:t>
      </w:r>
    </w:p>
    <w:p w14:paraId="431001FF">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w:t>
      </w:r>
    </w:p>
    <w:p w14:paraId="3FB51469">
      <w:pPr>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xml:space="preserve">    特此证明。</w:t>
      </w:r>
    </w:p>
    <w:p w14:paraId="3B4AAF0B">
      <w:pPr>
        <w:pStyle w:val="5"/>
        <w:spacing w:line="277" w:lineRule="auto"/>
        <w:rPr>
          <w:rFonts w:hint="eastAsia" w:ascii="宋体" w:hAnsi="宋体" w:eastAsia="宋体" w:cs="宋体"/>
          <w:color w:val="auto"/>
          <w:highlight w:val="none"/>
        </w:rPr>
      </w:pPr>
    </w:p>
    <w:p w14:paraId="6D7B4DE3">
      <w:pPr>
        <w:pStyle w:val="5"/>
        <w:spacing w:line="277" w:lineRule="auto"/>
        <w:rPr>
          <w:rFonts w:hint="eastAsia" w:ascii="宋体" w:hAnsi="宋体" w:eastAsia="宋体" w:cs="宋体"/>
          <w:color w:val="auto"/>
          <w:highlight w:val="none"/>
        </w:rPr>
      </w:pPr>
    </w:p>
    <w:p w14:paraId="2D9D6E99">
      <w:pPr>
        <w:pStyle w:val="5"/>
        <w:spacing w:line="278" w:lineRule="auto"/>
        <w:rPr>
          <w:rFonts w:hint="eastAsia" w:ascii="宋体" w:hAnsi="宋体" w:eastAsia="宋体" w:cs="宋体"/>
          <w:color w:val="auto"/>
          <w:highlight w:val="none"/>
        </w:rPr>
      </w:pPr>
    </w:p>
    <w:p w14:paraId="125D92B0">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盖单位章）</w:t>
      </w:r>
    </w:p>
    <w:p w14:paraId="027B6A92">
      <w:pPr>
        <w:pStyle w:val="5"/>
        <w:spacing w:line="317" w:lineRule="auto"/>
        <w:jc w:val="right"/>
        <w:rPr>
          <w:rFonts w:hint="eastAsia" w:ascii="宋体" w:hAnsi="宋体" w:eastAsia="宋体" w:cs="宋体"/>
          <w:color w:val="auto"/>
          <w:highlight w:val="none"/>
        </w:rPr>
      </w:pPr>
    </w:p>
    <w:p w14:paraId="6F4B4B3A">
      <w:pPr>
        <w:pStyle w:val="5"/>
        <w:spacing w:line="317" w:lineRule="auto"/>
        <w:jc w:val="right"/>
        <w:rPr>
          <w:rFonts w:hint="eastAsia" w:ascii="宋体" w:hAnsi="宋体" w:eastAsia="宋体" w:cs="宋体"/>
          <w:color w:val="auto"/>
          <w:highlight w:val="none"/>
        </w:rPr>
      </w:pPr>
    </w:p>
    <w:p w14:paraId="1110A429">
      <w:pPr>
        <w:pStyle w:val="5"/>
        <w:spacing w:line="317" w:lineRule="auto"/>
        <w:jc w:val="right"/>
        <w:rPr>
          <w:rFonts w:hint="eastAsia" w:ascii="宋体" w:hAnsi="宋体" w:eastAsia="宋体" w:cs="宋体"/>
          <w:color w:val="auto"/>
          <w:highlight w:val="none"/>
        </w:rPr>
      </w:pPr>
    </w:p>
    <w:p w14:paraId="0997B4DF">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72F193EB">
      <w:pPr>
        <w:pStyle w:val="5"/>
        <w:spacing w:line="257" w:lineRule="auto"/>
        <w:jc w:val="right"/>
        <w:rPr>
          <w:rFonts w:hint="eastAsia" w:ascii="宋体" w:hAnsi="宋体" w:eastAsia="宋体" w:cs="宋体"/>
          <w:color w:val="auto"/>
          <w:highlight w:val="none"/>
        </w:rPr>
      </w:pPr>
    </w:p>
    <w:p w14:paraId="407142E8">
      <w:pPr>
        <w:pStyle w:val="5"/>
        <w:spacing w:line="257" w:lineRule="auto"/>
        <w:jc w:val="right"/>
        <w:rPr>
          <w:rFonts w:hint="eastAsia" w:ascii="宋体" w:hAnsi="宋体" w:eastAsia="宋体" w:cs="宋体"/>
          <w:color w:val="auto"/>
          <w:highlight w:val="none"/>
        </w:rPr>
      </w:pPr>
    </w:p>
    <w:p w14:paraId="0A27F30D">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BF375B2">
      <w:pPr>
        <w:pStyle w:val="5"/>
        <w:spacing w:line="254" w:lineRule="auto"/>
        <w:rPr>
          <w:rFonts w:hint="eastAsia" w:ascii="宋体" w:hAnsi="宋体" w:eastAsia="宋体" w:cs="宋体"/>
          <w:color w:val="auto"/>
          <w:highlight w:val="none"/>
        </w:rPr>
      </w:pPr>
    </w:p>
    <w:p w14:paraId="03AC5067">
      <w:pPr>
        <w:pStyle w:val="5"/>
        <w:spacing w:line="254" w:lineRule="auto"/>
        <w:rPr>
          <w:rFonts w:hint="eastAsia" w:ascii="宋体" w:hAnsi="宋体" w:eastAsia="宋体" w:cs="宋体"/>
          <w:color w:val="auto"/>
          <w:highlight w:val="none"/>
        </w:rPr>
      </w:pPr>
    </w:p>
    <w:p w14:paraId="36A90F84">
      <w:pPr>
        <w:pStyle w:val="5"/>
        <w:spacing w:line="254" w:lineRule="auto"/>
        <w:rPr>
          <w:rFonts w:hint="eastAsia" w:ascii="宋体" w:hAnsi="宋体" w:eastAsia="宋体" w:cs="宋体"/>
          <w:color w:val="auto"/>
          <w:highlight w:val="none"/>
        </w:rPr>
      </w:pPr>
    </w:p>
    <w:p w14:paraId="259164D9">
      <w:pPr>
        <w:pStyle w:val="5"/>
        <w:spacing w:line="254" w:lineRule="auto"/>
        <w:rPr>
          <w:rFonts w:hint="eastAsia" w:ascii="宋体" w:hAnsi="宋体" w:eastAsia="宋体" w:cs="宋体"/>
          <w:color w:val="auto"/>
          <w:highlight w:val="none"/>
        </w:rPr>
      </w:pPr>
    </w:p>
    <w:p w14:paraId="0C625CC7">
      <w:pPr>
        <w:pStyle w:val="5"/>
        <w:spacing w:line="255" w:lineRule="auto"/>
        <w:rPr>
          <w:rFonts w:hint="eastAsia" w:ascii="宋体" w:hAnsi="宋体" w:eastAsia="宋体" w:cs="宋体"/>
          <w:color w:val="auto"/>
          <w:highlight w:val="none"/>
        </w:rPr>
      </w:pPr>
    </w:p>
    <w:p w14:paraId="1979E48F">
      <w:pPr>
        <w:pStyle w:val="5"/>
        <w:spacing w:line="255" w:lineRule="auto"/>
        <w:rPr>
          <w:rFonts w:hint="eastAsia" w:ascii="宋体" w:hAnsi="宋体" w:eastAsia="宋体" w:cs="宋体"/>
          <w:color w:val="auto"/>
          <w:highlight w:val="none"/>
        </w:rPr>
      </w:pPr>
    </w:p>
    <w:p w14:paraId="6E23282B">
      <w:pPr>
        <w:pStyle w:val="5"/>
        <w:spacing w:before="1" w:line="2510" w:lineRule="exact"/>
        <w:ind w:firstLine="2534"/>
        <w:rPr>
          <w:rFonts w:hint="eastAsia" w:ascii="宋体" w:hAnsi="宋体" w:eastAsia="宋体" w:cs="宋体"/>
          <w:color w:val="auto"/>
          <w:highlight w:val="none"/>
        </w:rPr>
      </w:pPr>
      <w:r>
        <w:rPr>
          <w:rFonts w:hint="eastAsia" w:ascii="宋体" w:hAnsi="宋体" w:eastAsia="宋体" w:cs="宋体"/>
          <w:color w:val="auto"/>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7"/>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59307053">
                              <w:pPr>
                                <w:spacing w:line="249" w:lineRule="auto"/>
                              </w:pPr>
                            </w:p>
                            <w:p w14:paraId="33DBE834">
                              <w:pPr>
                                <w:spacing w:line="249" w:lineRule="auto"/>
                              </w:pPr>
                            </w:p>
                            <w:p w14:paraId="5772CF5B">
                              <w:pPr>
                                <w:spacing w:line="249" w:lineRule="auto"/>
                              </w:pPr>
                            </w:p>
                            <w:p w14:paraId="5E8A9750">
                              <w:pPr>
                                <w:spacing w:line="249" w:lineRule="auto"/>
                              </w:pPr>
                            </w:p>
                            <w:p w14:paraId="029B95F9">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7"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9307053">
                        <w:pPr>
                          <w:spacing w:line="249" w:lineRule="auto"/>
                        </w:pPr>
                      </w:p>
                      <w:p w14:paraId="33DBE834">
                        <w:pPr>
                          <w:spacing w:line="249" w:lineRule="auto"/>
                        </w:pPr>
                      </w:p>
                      <w:p w14:paraId="5772CF5B">
                        <w:pPr>
                          <w:spacing w:line="249" w:lineRule="auto"/>
                        </w:pPr>
                      </w:p>
                      <w:p w14:paraId="5E8A9750">
                        <w:pPr>
                          <w:spacing w:line="249" w:lineRule="auto"/>
                        </w:pPr>
                      </w:p>
                      <w:p w14:paraId="029B95F9">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v:textbox>
                </v:shape>
                <w10:wrap type="none"/>
                <w10:anchorlock/>
              </v:group>
            </w:pict>
          </mc:Fallback>
        </mc:AlternateContent>
      </w:r>
    </w:p>
    <w:p w14:paraId="31936323">
      <w:pPr>
        <w:spacing w:line="2510" w:lineRule="exact"/>
        <w:rPr>
          <w:rFonts w:hint="eastAsia" w:ascii="宋体" w:hAnsi="宋体" w:eastAsia="宋体" w:cs="宋体"/>
          <w:color w:val="auto"/>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72FF65F">
      <w:pPr>
        <w:spacing w:before="78" w:line="220" w:lineRule="auto"/>
        <w:outlineLvl w:val="2"/>
        <w:rPr>
          <w:rFonts w:hint="eastAsia" w:ascii="宋体" w:hAnsi="宋体" w:eastAsia="宋体" w:cs="宋体"/>
          <w:b/>
          <w:bCs/>
          <w:color w:val="auto"/>
          <w:spacing w:val="-4"/>
          <w:sz w:val="24"/>
          <w:szCs w:val="24"/>
          <w:highlight w:val="none"/>
        </w:rPr>
      </w:pPr>
      <w:bookmarkStart w:id="223" w:name="_Toc8095"/>
      <w:r>
        <w:rPr>
          <w:rFonts w:hint="eastAsia" w:ascii="宋体" w:hAnsi="宋体" w:eastAsia="宋体" w:cs="宋体"/>
          <w:b/>
          <w:bCs/>
          <w:color w:val="auto"/>
          <w:spacing w:val="-4"/>
          <w:sz w:val="24"/>
          <w:szCs w:val="24"/>
          <w:highlight w:val="none"/>
        </w:rPr>
        <w:t>格式六 联合体协议书</w:t>
      </w:r>
      <w:bookmarkEnd w:id="223"/>
    </w:p>
    <w:p w14:paraId="48BC7635">
      <w:pPr>
        <w:spacing w:before="98" w:line="219" w:lineRule="auto"/>
        <w:ind w:left="3638"/>
        <w:rPr>
          <w:rFonts w:hint="eastAsia" w:ascii="宋体" w:hAnsi="宋体" w:eastAsia="宋体" w:cs="宋体"/>
          <w:color w:val="auto"/>
          <w:sz w:val="30"/>
          <w:szCs w:val="30"/>
          <w:highlight w:val="none"/>
        </w:rPr>
      </w:pPr>
      <w:bookmarkStart w:id="224" w:name="bookmark153"/>
      <w:bookmarkEnd w:id="224"/>
      <w:r>
        <w:rPr>
          <w:rFonts w:hint="eastAsia" w:ascii="宋体" w:hAnsi="宋体" w:eastAsia="宋体" w:cs="宋体"/>
          <w:b/>
          <w:bCs/>
          <w:color w:val="auto"/>
          <w:spacing w:val="-5"/>
          <w:sz w:val="30"/>
          <w:szCs w:val="30"/>
          <w:highlight w:val="none"/>
        </w:rPr>
        <w:t>联合体协议书</w:t>
      </w:r>
    </w:p>
    <w:p w14:paraId="2AC3F97F">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0C796E14">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12"/>
          <w:sz w:val="24"/>
          <w:szCs w:val="24"/>
          <w:highlight w:val="none"/>
        </w:rPr>
        <w:t>牵头人名称：</w:t>
      </w:r>
      <w:r>
        <w:rPr>
          <w:rFonts w:hint="eastAsia" w:ascii="宋体" w:hAnsi="宋体" w:eastAsia="宋体" w:cs="宋体"/>
          <w:color w:val="auto"/>
          <w:spacing w:val="4"/>
          <w:sz w:val="24"/>
          <w:szCs w:val="24"/>
          <w:highlight w:val="none"/>
        </w:rPr>
        <w:t xml:space="preserve"> </w:t>
      </w:r>
    </w:p>
    <w:p w14:paraId="78BE601B">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04808BC7">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法定住所：</w:t>
      </w:r>
    </w:p>
    <w:p w14:paraId="2D6BB855">
      <w:pPr>
        <w:outlineLvl w:val="9"/>
        <w:rPr>
          <w:rFonts w:hint="eastAsia"/>
          <w:color w:val="auto"/>
          <w:highlight w:val="none"/>
        </w:rPr>
      </w:pPr>
    </w:p>
    <w:p w14:paraId="1E8287CD">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成员二名称：</w:t>
      </w:r>
      <w:r>
        <w:rPr>
          <w:rFonts w:hint="eastAsia" w:ascii="宋体" w:hAnsi="宋体" w:eastAsia="宋体" w:cs="宋体"/>
          <w:color w:val="auto"/>
          <w:sz w:val="24"/>
          <w:szCs w:val="24"/>
          <w:highlight w:val="none"/>
        </w:rPr>
        <w:t xml:space="preserve"> </w:t>
      </w:r>
    </w:p>
    <w:p w14:paraId="7C1025DC">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391F3F76">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法定住所：</w:t>
      </w:r>
    </w:p>
    <w:p w14:paraId="1A5AB485">
      <w:pPr>
        <w:keepNext w:val="0"/>
        <w:keepLines w:val="0"/>
        <w:pageBreakBefore w:val="0"/>
        <w:widowControl/>
        <w:kinsoku w:val="0"/>
        <w:wordWrap/>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position w:val="3"/>
          <w:sz w:val="24"/>
          <w:szCs w:val="24"/>
          <w:highlight w:val="none"/>
        </w:rPr>
        <w:t>……</w:t>
      </w:r>
    </w:p>
    <w:p w14:paraId="6DDA5343">
      <w:pPr>
        <w:keepNext w:val="0"/>
        <w:keepLines w:val="0"/>
        <w:pageBreakBefore w:val="0"/>
        <w:widowControl/>
        <w:kinsoku w:val="0"/>
        <w:wordWrap/>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上述各成员单位经过友好协商，自愿组成联合体，</w:t>
      </w:r>
      <w:r>
        <w:rPr>
          <w:rFonts w:hint="eastAsia" w:ascii="宋体" w:hAnsi="宋体" w:eastAsia="宋体" w:cs="宋体"/>
          <w:color w:val="auto"/>
          <w:sz w:val="24"/>
          <w:szCs w:val="24"/>
          <w:highlight w:val="none"/>
        </w:rPr>
        <w:t>共同参加（项目名称</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以下简</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称“本项目</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”）的施工投标并争取赢得本项目施工承包</w:t>
      </w:r>
      <w:r>
        <w:rPr>
          <w:rFonts w:hint="eastAsia" w:ascii="宋体" w:hAnsi="宋体" w:eastAsia="宋体" w:cs="宋体"/>
          <w:color w:val="auto"/>
          <w:spacing w:val="-3"/>
          <w:sz w:val="24"/>
          <w:szCs w:val="24"/>
          <w:highlight w:val="none"/>
        </w:rPr>
        <w:t>合同（以下简称合同）。现就联</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合体投标事宜订立如下协议：</w:t>
      </w:r>
    </w:p>
    <w:p w14:paraId="35E1AD38">
      <w:pPr>
        <w:keepNext w:val="0"/>
        <w:keepLines w:val="0"/>
        <w:pageBreakBefore w:val="0"/>
        <w:widowControl/>
        <w:kinsoku w:val="0"/>
        <w:wordWrap/>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rPr>
        <w:t>某成员单位名称）为联合体牵头人。</w:t>
      </w:r>
    </w:p>
    <w:p w14:paraId="06B53A35">
      <w:pPr>
        <w:keepNext w:val="0"/>
        <w:keepLines w:val="0"/>
        <w:pageBreakBefore w:val="0"/>
        <w:widowControl/>
        <w:kinsoku w:val="0"/>
        <w:wordWrap/>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1"/>
          <w:sz w:val="24"/>
          <w:szCs w:val="24"/>
          <w:highlight w:val="none"/>
        </w:rPr>
        <w:t>．在本项目投标阶段，联合体牵头人合法代表联合体各成员负责本项目投标</w:t>
      </w:r>
      <w:r>
        <w:rPr>
          <w:rFonts w:hint="eastAsia" w:ascii="宋体" w:hAnsi="宋体" w:eastAsia="宋体" w:cs="宋体"/>
          <w:color w:val="auto"/>
          <w:spacing w:val="-2"/>
          <w:sz w:val="24"/>
          <w:szCs w:val="24"/>
          <w:highlight w:val="none"/>
        </w:rPr>
        <w:t>文件编制活动，代表联合体提交和接收相关的资料、信息及指示，并处理与投标和中标有关</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的一切事务；联合体中标后，联合体牵头人负责合同订立和合同实施阶段的主办、组织</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和协调工作。</w:t>
      </w:r>
    </w:p>
    <w:p w14:paraId="4950AC5C">
      <w:pPr>
        <w:keepNext w:val="0"/>
        <w:keepLines w:val="0"/>
        <w:pageBreakBefore w:val="0"/>
        <w:widowControl/>
        <w:kinsoku w:val="0"/>
        <w:wordWrap/>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．联合体将严格按照招标文件的各项要求，递交投标文件，履行</w:t>
      </w:r>
      <w:r>
        <w:rPr>
          <w:rFonts w:hint="eastAsia" w:ascii="宋体" w:hAnsi="宋体" w:eastAsia="宋体" w:cs="宋体"/>
          <w:color w:val="auto"/>
          <w:spacing w:val="-2"/>
          <w:sz w:val="24"/>
          <w:szCs w:val="24"/>
          <w:highlight w:val="none"/>
        </w:rPr>
        <w:t>投标义务和中标后的合同，共同承担合同规定的一切义务和责任，联合体各成员单位按照内部职责的部</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
          <w:sz w:val="24"/>
          <w:szCs w:val="24"/>
          <w:highlight w:val="none"/>
        </w:rPr>
        <w:t>分，承担各自所负的责任和风险，并向招标人承担连带责任。</w:t>
      </w:r>
    </w:p>
    <w:p w14:paraId="64C4A26A">
      <w:pPr>
        <w:keepNext w:val="0"/>
        <w:keepLines w:val="0"/>
        <w:pageBreakBefore w:val="0"/>
        <w:widowControl/>
        <w:kinsoku w:val="0"/>
        <w:wordWrap/>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auto"/>
          <w:sz w:val="24"/>
          <w:szCs w:val="24"/>
          <w:highlight w:val="none"/>
        </w:rPr>
      </w:pPr>
      <w:bookmarkStart w:id="225" w:name="_Toc5365"/>
      <w:bookmarkStart w:id="226" w:name="_Toc32149"/>
      <w:r>
        <w:rPr>
          <w:rFonts w:hint="eastAsia" w:ascii="宋体" w:hAnsi="宋体" w:eastAsia="宋体" w:cs="宋体"/>
          <w:color w:val="auto"/>
          <w:spacing w:val="-2"/>
          <w:sz w:val="24"/>
          <w:szCs w:val="24"/>
          <w:highlight w:val="none"/>
        </w:rPr>
        <w:t>4</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2"/>
          <w:sz w:val="24"/>
          <w:szCs w:val="24"/>
          <w:highlight w:val="none"/>
        </w:rPr>
        <w:t>．联合体各成员单位内部的职责分工如下：。</w:t>
      </w:r>
      <w:bookmarkEnd w:id="225"/>
      <w:bookmarkEnd w:id="226"/>
    </w:p>
    <w:p w14:paraId="1D71CD83">
      <w:pPr>
        <w:keepNext w:val="0"/>
        <w:keepLines w:val="0"/>
        <w:pageBreakBefore w:val="0"/>
        <w:widowControl/>
        <w:kinsoku w:val="0"/>
        <w:wordWrap/>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．投标工作和联合体在中标后工程实施过程中的有关费用按</w:t>
      </w:r>
      <w:r>
        <w:rPr>
          <w:rFonts w:hint="eastAsia" w:ascii="宋体" w:hAnsi="宋体" w:eastAsia="宋体" w:cs="宋体"/>
          <w:color w:val="auto"/>
          <w:spacing w:val="-2"/>
          <w:sz w:val="24"/>
          <w:szCs w:val="24"/>
          <w:highlight w:val="none"/>
        </w:rPr>
        <w:t>各自承担的工作量分</w:t>
      </w:r>
      <w:r>
        <w:rPr>
          <w:rFonts w:hint="eastAsia" w:ascii="宋体" w:hAnsi="宋体" w:eastAsia="宋体" w:cs="宋体"/>
          <w:color w:val="auto"/>
          <w:spacing w:val="-5"/>
          <w:sz w:val="24"/>
          <w:szCs w:val="24"/>
          <w:highlight w:val="none"/>
        </w:rPr>
        <w:t>摊。</w:t>
      </w:r>
    </w:p>
    <w:p w14:paraId="03389633">
      <w:pPr>
        <w:keepNext w:val="0"/>
        <w:keepLines w:val="0"/>
        <w:pageBreakBefore w:val="0"/>
        <w:widowControl/>
        <w:kinsoku w:val="0"/>
        <w:wordWrap/>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．联合体中标后，本联合体协议是合同的附件，对联合体各成</w:t>
      </w:r>
      <w:r>
        <w:rPr>
          <w:rFonts w:hint="eastAsia" w:ascii="宋体" w:hAnsi="宋体" w:eastAsia="宋体" w:cs="宋体"/>
          <w:color w:val="auto"/>
          <w:spacing w:val="-2"/>
          <w:sz w:val="24"/>
          <w:szCs w:val="24"/>
          <w:highlight w:val="none"/>
        </w:rPr>
        <w:t>员单位有合同约束</w:t>
      </w:r>
      <w:r>
        <w:rPr>
          <w:rFonts w:hint="eastAsia" w:ascii="宋体" w:hAnsi="宋体" w:eastAsia="宋体" w:cs="宋体"/>
          <w:color w:val="auto"/>
          <w:spacing w:val="-7"/>
          <w:sz w:val="24"/>
          <w:szCs w:val="24"/>
          <w:highlight w:val="none"/>
        </w:rPr>
        <w:t>力。</w:t>
      </w:r>
    </w:p>
    <w:p w14:paraId="3D9DFEE6">
      <w:pPr>
        <w:keepNext w:val="0"/>
        <w:keepLines w:val="0"/>
        <w:pageBreakBefore w:val="0"/>
        <w:widowControl/>
        <w:kinsoku w:val="0"/>
        <w:wordWrap/>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．本协议书自签署之日起生效，联合体未中标或者中标时合同履行</w:t>
      </w:r>
      <w:r>
        <w:rPr>
          <w:rFonts w:hint="eastAsia" w:ascii="宋体" w:hAnsi="宋体" w:eastAsia="宋体" w:cs="宋体"/>
          <w:color w:val="auto"/>
          <w:spacing w:val="-2"/>
          <w:sz w:val="24"/>
          <w:szCs w:val="24"/>
          <w:highlight w:val="none"/>
        </w:rPr>
        <w:t>完毕后自动失</w:t>
      </w:r>
      <w:r>
        <w:rPr>
          <w:rFonts w:hint="eastAsia" w:ascii="宋体" w:hAnsi="宋体" w:eastAsia="宋体" w:cs="宋体"/>
          <w:color w:val="auto"/>
          <w:spacing w:val="-8"/>
          <w:sz w:val="24"/>
          <w:szCs w:val="24"/>
          <w:highlight w:val="none"/>
        </w:rPr>
        <w:t>效。</w:t>
      </w:r>
    </w:p>
    <w:p w14:paraId="1DB0ADDC">
      <w:pPr>
        <w:keepNext w:val="0"/>
        <w:keepLines w:val="0"/>
        <w:pageBreakBefore w:val="0"/>
        <w:widowControl/>
        <w:kinsoku w:val="0"/>
        <w:wordWrap/>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z w:val="24"/>
          <w:szCs w:val="24"/>
          <w:highlight w:val="none"/>
        </w:rPr>
      </w:pPr>
      <w:bookmarkStart w:id="227" w:name="_Toc26708"/>
      <w:bookmarkStart w:id="228" w:name="_Toc22612"/>
      <w:r>
        <w:rPr>
          <w:rFonts w:hint="eastAsia" w:ascii="宋体" w:hAnsi="宋体" w:eastAsia="宋体" w:cs="宋体"/>
          <w:color w:val="auto"/>
          <w:spacing w:val="-2"/>
          <w:sz w:val="24"/>
          <w:szCs w:val="24"/>
          <w:highlight w:val="none"/>
        </w:rPr>
        <w:t>8</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．本协议书一式份，联合体成员和招标人各执一份。</w:t>
      </w:r>
      <w:bookmarkEnd w:id="227"/>
      <w:bookmarkEnd w:id="228"/>
    </w:p>
    <w:p w14:paraId="599B051B">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bookmarkStart w:id="229" w:name="bookmark154"/>
      <w:bookmarkEnd w:id="229"/>
      <w:r>
        <w:rPr>
          <w:rFonts w:hint="eastAsia" w:ascii="宋体" w:hAnsi="宋体" w:eastAsia="宋体" w:cs="宋体"/>
          <w:color w:val="auto"/>
          <w:sz w:val="24"/>
          <w:szCs w:val="24"/>
          <w:highlight w:val="none"/>
        </w:rPr>
        <w:t>牵头人名称</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rPr>
        <w:t>盖单位章）</w:t>
      </w:r>
    </w:p>
    <w:p w14:paraId="109CFDDE">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03AF1506">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1F0DAD0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成员二名称</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盖单位章）</w:t>
      </w:r>
    </w:p>
    <w:p w14:paraId="05AA9D56">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28E891F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6B70E035">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601F5F4F">
      <w:pPr>
        <w:pStyle w:val="5"/>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1EC8E023">
      <w:pPr>
        <w:keepNext w:val="0"/>
        <w:keepLines w:val="0"/>
        <w:pageBreakBefore w:val="0"/>
        <w:widowControl/>
        <w:kinsoku w:val="0"/>
        <w:wordWrap/>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说明：《联合体协议书》</w:t>
      </w:r>
      <w:r>
        <w:rPr>
          <w:rFonts w:hint="eastAsia" w:ascii="宋体" w:hAnsi="宋体" w:eastAsia="宋体" w:cs="宋体"/>
          <w:color w:val="auto"/>
          <w:spacing w:val="-55"/>
          <w:sz w:val="20"/>
          <w:szCs w:val="20"/>
          <w:highlight w:val="none"/>
        </w:rPr>
        <w:t xml:space="preserve"> </w:t>
      </w:r>
      <w:r>
        <w:rPr>
          <w:rFonts w:hint="eastAsia" w:ascii="宋体" w:hAnsi="宋体" w:eastAsia="宋体" w:cs="宋体"/>
          <w:color w:val="auto"/>
          <w:spacing w:val="9"/>
          <w:sz w:val="20"/>
          <w:szCs w:val="20"/>
          <w:highlight w:val="none"/>
        </w:rPr>
        <w:t>由委托代理人签字或盖章的，</w:t>
      </w:r>
      <w:r>
        <w:rPr>
          <w:rFonts w:hint="eastAsia" w:ascii="宋体" w:hAnsi="宋体" w:eastAsia="宋体" w:cs="宋体"/>
          <w:color w:val="auto"/>
          <w:spacing w:val="8"/>
          <w:sz w:val="20"/>
          <w:szCs w:val="20"/>
          <w:highlight w:val="none"/>
        </w:rPr>
        <w:t>应附法定代表人签字或盖章的授权委托</w:t>
      </w:r>
      <w:r>
        <w:rPr>
          <w:rFonts w:hint="eastAsia" w:ascii="宋体" w:hAnsi="宋体" w:eastAsia="宋体" w:cs="宋体"/>
          <w:color w:val="auto"/>
          <w:spacing w:val="-2"/>
          <w:sz w:val="20"/>
          <w:szCs w:val="20"/>
          <w:highlight w:val="none"/>
        </w:rPr>
        <w:t>书。</w:t>
      </w:r>
    </w:p>
    <w:p w14:paraId="14CA2F70">
      <w:pPr>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z w:val="20"/>
          <w:szCs w:val="20"/>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5F3704FE">
      <w:pPr>
        <w:spacing w:before="78" w:line="220" w:lineRule="auto"/>
        <w:outlineLvl w:val="2"/>
        <w:rPr>
          <w:rFonts w:hint="eastAsia" w:ascii="宋体" w:hAnsi="宋体" w:eastAsia="宋体" w:cs="宋体"/>
          <w:b/>
          <w:bCs/>
          <w:color w:val="auto"/>
          <w:spacing w:val="-4"/>
          <w:sz w:val="24"/>
          <w:szCs w:val="24"/>
          <w:highlight w:val="none"/>
        </w:rPr>
      </w:pPr>
      <w:bookmarkStart w:id="230" w:name="_Toc2036"/>
      <w:r>
        <w:rPr>
          <w:rFonts w:hint="eastAsia" w:ascii="宋体" w:hAnsi="宋体" w:eastAsia="宋体" w:cs="宋体"/>
          <w:b/>
          <w:bCs/>
          <w:color w:val="auto"/>
          <w:spacing w:val="-4"/>
          <w:sz w:val="24"/>
          <w:szCs w:val="24"/>
          <w:highlight w:val="none"/>
        </w:rPr>
        <w:t>格式七 投标人基本情况表</w:t>
      </w:r>
      <w:bookmarkEnd w:id="230"/>
    </w:p>
    <w:p w14:paraId="365D949B">
      <w:pPr>
        <w:spacing w:before="333" w:line="219" w:lineRule="auto"/>
        <w:ind w:left="3350"/>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rPr>
        <w:t>投标人基本情况表</w:t>
      </w:r>
    </w:p>
    <w:p w14:paraId="2CD970DC">
      <w:pPr>
        <w:spacing w:line="239" w:lineRule="exact"/>
        <w:rPr>
          <w:rFonts w:hint="eastAsia" w:ascii="宋体" w:hAnsi="宋体" w:eastAsia="宋体" w:cs="宋体"/>
          <w:color w:val="auto"/>
          <w:highlight w:val="none"/>
        </w:rPr>
      </w:pPr>
    </w:p>
    <w:tbl>
      <w:tblPr>
        <w:tblStyle w:val="14"/>
        <w:tblW w:w="9259"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44A25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20" w:type="dxa"/>
            <w:vAlign w:val="center"/>
          </w:tcPr>
          <w:p w14:paraId="07127D66">
            <w:pPr>
              <w:spacing w:before="149" w:line="229" w:lineRule="auto"/>
              <w:ind w:left="22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p>
        </w:tc>
        <w:tc>
          <w:tcPr>
            <w:tcW w:w="7639" w:type="dxa"/>
            <w:gridSpan w:val="8"/>
            <w:vAlign w:val="top"/>
          </w:tcPr>
          <w:p w14:paraId="686AB840">
            <w:pPr>
              <w:pStyle w:val="21"/>
              <w:rPr>
                <w:rFonts w:hint="eastAsia" w:ascii="宋体" w:hAnsi="宋体" w:eastAsia="宋体" w:cs="宋体"/>
                <w:color w:val="auto"/>
                <w:sz w:val="24"/>
                <w:szCs w:val="24"/>
                <w:highlight w:val="none"/>
              </w:rPr>
            </w:pPr>
          </w:p>
        </w:tc>
      </w:tr>
      <w:tr w14:paraId="4CC1D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620" w:type="dxa"/>
            <w:vAlign w:val="top"/>
          </w:tcPr>
          <w:p w14:paraId="19EABCF3">
            <w:pPr>
              <w:spacing w:before="144"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注册地址</w:t>
            </w:r>
          </w:p>
        </w:tc>
        <w:tc>
          <w:tcPr>
            <w:tcW w:w="3684" w:type="dxa"/>
            <w:gridSpan w:val="3"/>
            <w:vAlign w:val="top"/>
          </w:tcPr>
          <w:p w14:paraId="0AC65D35">
            <w:pPr>
              <w:pStyle w:val="21"/>
              <w:rPr>
                <w:rFonts w:hint="eastAsia" w:ascii="宋体" w:hAnsi="宋体" w:eastAsia="宋体" w:cs="宋体"/>
                <w:color w:val="auto"/>
                <w:sz w:val="24"/>
                <w:szCs w:val="24"/>
                <w:highlight w:val="none"/>
              </w:rPr>
            </w:pPr>
          </w:p>
        </w:tc>
        <w:tc>
          <w:tcPr>
            <w:tcW w:w="1354" w:type="dxa"/>
            <w:gridSpan w:val="2"/>
            <w:vAlign w:val="top"/>
          </w:tcPr>
          <w:p w14:paraId="031EC2C9">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邮政编码</w:t>
            </w:r>
          </w:p>
        </w:tc>
        <w:tc>
          <w:tcPr>
            <w:tcW w:w="2601" w:type="dxa"/>
            <w:gridSpan w:val="3"/>
            <w:vAlign w:val="top"/>
          </w:tcPr>
          <w:p w14:paraId="7AD354B7">
            <w:pPr>
              <w:pStyle w:val="21"/>
              <w:rPr>
                <w:rFonts w:hint="eastAsia" w:ascii="宋体" w:hAnsi="宋体" w:eastAsia="宋体" w:cs="宋体"/>
                <w:color w:val="auto"/>
                <w:sz w:val="24"/>
                <w:szCs w:val="24"/>
                <w:highlight w:val="none"/>
              </w:rPr>
            </w:pPr>
          </w:p>
        </w:tc>
      </w:tr>
      <w:tr w14:paraId="2574F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20" w:type="dxa"/>
            <w:vMerge w:val="restart"/>
            <w:tcBorders>
              <w:bottom w:val="nil"/>
            </w:tcBorders>
            <w:vAlign w:val="top"/>
          </w:tcPr>
          <w:p w14:paraId="15650E43">
            <w:pPr>
              <w:pStyle w:val="21"/>
              <w:spacing w:line="332" w:lineRule="auto"/>
              <w:rPr>
                <w:rFonts w:hint="eastAsia" w:ascii="宋体" w:hAnsi="宋体" w:eastAsia="宋体" w:cs="宋体"/>
                <w:color w:val="auto"/>
                <w:sz w:val="24"/>
                <w:szCs w:val="24"/>
                <w:highlight w:val="none"/>
              </w:rPr>
            </w:pPr>
          </w:p>
          <w:p w14:paraId="3917AF4F">
            <w:pPr>
              <w:spacing w:before="65" w:line="230" w:lineRule="auto"/>
              <w:ind w:left="32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联系方式</w:t>
            </w:r>
          </w:p>
        </w:tc>
        <w:tc>
          <w:tcPr>
            <w:tcW w:w="975" w:type="dxa"/>
            <w:vAlign w:val="top"/>
          </w:tcPr>
          <w:p w14:paraId="3D7FC625">
            <w:pPr>
              <w:spacing w:before="145" w:line="231" w:lineRule="auto"/>
              <w:ind w:left="13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联系人</w:t>
            </w:r>
          </w:p>
        </w:tc>
        <w:tc>
          <w:tcPr>
            <w:tcW w:w="2709" w:type="dxa"/>
            <w:gridSpan w:val="2"/>
            <w:vAlign w:val="top"/>
          </w:tcPr>
          <w:p w14:paraId="74C76AE1">
            <w:pPr>
              <w:pStyle w:val="21"/>
              <w:rPr>
                <w:rFonts w:hint="eastAsia" w:ascii="宋体" w:hAnsi="宋体" w:eastAsia="宋体" w:cs="宋体"/>
                <w:color w:val="auto"/>
                <w:sz w:val="24"/>
                <w:szCs w:val="24"/>
                <w:highlight w:val="none"/>
              </w:rPr>
            </w:pPr>
          </w:p>
        </w:tc>
        <w:tc>
          <w:tcPr>
            <w:tcW w:w="1354" w:type="dxa"/>
            <w:gridSpan w:val="2"/>
            <w:vAlign w:val="top"/>
          </w:tcPr>
          <w:p w14:paraId="65D93497">
            <w:pPr>
              <w:spacing w:before="145" w:line="231"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2"/>
                <w:sz w:val="24"/>
                <w:szCs w:val="24"/>
                <w:highlight w:val="none"/>
              </w:rPr>
              <w:t>话</w:t>
            </w:r>
          </w:p>
        </w:tc>
        <w:tc>
          <w:tcPr>
            <w:tcW w:w="2601" w:type="dxa"/>
            <w:gridSpan w:val="3"/>
            <w:vAlign w:val="top"/>
          </w:tcPr>
          <w:p w14:paraId="275175F8">
            <w:pPr>
              <w:pStyle w:val="21"/>
              <w:rPr>
                <w:rFonts w:hint="eastAsia" w:ascii="宋体" w:hAnsi="宋体" w:eastAsia="宋体" w:cs="宋体"/>
                <w:color w:val="auto"/>
                <w:sz w:val="24"/>
                <w:szCs w:val="24"/>
                <w:highlight w:val="none"/>
              </w:rPr>
            </w:pPr>
          </w:p>
        </w:tc>
      </w:tr>
      <w:tr w14:paraId="320F6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620" w:type="dxa"/>
            <w:vMerge w:val="continue"/>
            <w:tcBorders>
              <w:top w:val="nil"/>
            </w:tcBorders>
            <w:vAlign w:val="top"/>
          </w:tcPr>
          <w:p w14:paraId="173CE181">
            <w:pPr>
              <w:pStyle w:val="21"/>
              <w:rPr>
                <w:rFonts w:hint="eastAsia" w:ascii="宋体" w:hAnsi="宋体" w:eastAsia="宋体" w:cs="宋体"/>
                <w:color w:val="auto"/>
                <w:sz w:val="24"/>
                <w:szCs w:val="24"/>
                <w:highlight w:val="none"/>
              </w:rPr>
            </w:pPr>
          </w:p>
        </w:tc>
        <w:tc>
          <w:tcPr>
            <w:tcW w:w="975" w:type="dxa"/>
            <w:vAlign w:val="top"/>
          </w:tcPr>
          <w:p w14:paraId="42FC9B75">
            <w:pPr>
              <w:spacing w:before="143" w:line="228" w:lineRule="auto"/>
              <w:ind w:left="13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传</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真</w:t>
            </w:r>
          </w:p>
        </w:tc>
        <w:tc>
          <w:tcPr>
            <w:tcW w:w="2709" w:type="dxa"/>
            <w:gridSpan w:val="2"/>
            <w:vAlign w:val="top"/>
          </w:tcPr>
          <w:p w14:paraId="7E63A544">
            <w:pPr>
              <w:pStyle w:val="21"/>
              <w:rPr>
                <w:rFonts w:hint="eastAsia" w:ascii="宋体" w:hAnsi="宋体" w:eastAsia="宋体" w:cs="宋体"/>
                <w:color w:val="auto"/>
                <w:sz w:val="24"/>
                <w:szCs w:val="24"/>
                <w:highlight w:val="none"/>
              </w:rPr>
            </w:pPr>
          </w:p>
        </w:tc>
        <w:tc>
          <w:tcPr>
            <w:tcW w:w="1354" w:type="dxa"/>
            <w:gridSpan w:val="2"/>
            <w:vAlign w:val="top"/>
          </w:tcPr>
          <w:p w14:paraId="6612B606">
            <w:pPr>
              <w:spacing w:before="144" w:line="229" w:lineRule="auto"/>
              <w:ind w:left="23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电子邮箱</w:t>
            </w:r>
          </w:p>
        </w:tc>
        <w:tc>
          <w:tcPr>
            <w:tcW w:w="2601" w:type="dxa"/>
            <w:gridSpan w:val="3"/>
            <w:vAlign w:val="top"/>
          </w:tcPr>
          <w:p w14:paraId="5F4345F5">
            <w:pPr>
              <w:pStyle w:val="21"/>
              <w:rPr>
                <w:rFonts w:hint="eastAsia" w:ascii="宋体" w:hAnsi="宋体" w:eastAsia="宋体" w:cs="宋体"/>
                <w:color w:val="auto"/>
                <w:sz w:val="24"/>
                <w:szCs w:val="24"/>
                <w:highlight w:val="none"/>
              </w:rPr>
            </w:pPr>
          </w:p>
        </w:tc>
      </w:tr>
      <w:tr w14:paraId="17C69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620" w:type="dxa"/>
            <w:vAlign w:val="top"/>
          </w:tcPr>
          <w:p w14:paraId="45F28E6B">
            <w:pPr>
              <w:spacing w:before="14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单位性质</w:t>
            </w:r>
          </w:p>
        </w:tc>
        <w:tc>
          <w:tcPr>
            <w:tcW w:w="7639" w:type="dxa"/>
            <w:gridSpan w:val="8"/>
            <w:vAlign w:val="top"/>
          </w:tcPr>
          <w:p w14:paraId="1E0E32B6">
            <w:pPr>
              <w:pStyle w:val="21"/>
              <w:rPr>
                <w:rFonts w:hint="eastAsia" w:ascii="宋体" w:hAnsi="宋体" w:eastAsia="宋体" w:cs="宋体"/>
                <w:color w:val="auto"/>
                <w:sz w:val="24"/>
                <w:szCs w:val="24"/>
                <w:highlight w:val="none"/>
              </w:rPr>
            </w:pPr>
          </w:p>
        </w:tc>
      </w:tr>
      <w:tr w14:paraId="7ACAF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183ED7E1">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法定代表人</w:t>
            </w:r>
          </w:p>
        </w:tc>
        <w:tc>
          <w:tcPr>
            <w:tcW w:w="975" w:type="dxa"/>
            <w:vAlign w:val="top"/>
          </w:tcPr>
          <w:p w14:paraId="07222CE7">
            <w:pPr>
              <w:spacing w:before="144" w:line="228" w:lineRule="auto"/>
              <w:ind w:left="2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837" w:type="dxa"/>
            <w:vAlign w:val="top"/>
          </w:tcPr>
          <w:p w14:paraId="091073F5">
            <w:pPr>
              <w:pStyle w:val="21"/>
              <w:rPr>
                <w:rFonts w:hint="eastAsia" w:ascii="宋体" w:hAnsi="宋体" w:eastAsia="宋体" w:cs="宋体"/>
                <w:color w:val="auto"/>
                <w:sz w:val="24"/>
                <w:szCs w:val="24"/>
                <w:highlight w:val="none"/>
              </w:rPr>
            </w:pPr>
          </w:p>
        </w:tc>
        <w:tc>
          <w:tcPr>
            <w:tcW w:w="1183" w:type="dxa"/>
            <w:gridSpan w:val="2"/>
            <w:vAlign w:val="top"/>
          </w:tcPr>
          <w:p w14:paraId="4A11ACAE">
            <w:pPr>
              <w:spacing w:before="144" w:line="228"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技术职称</w:t>
            </w:r>
          </w:p>
        </w:tc>
        <w:tc>
          <w:tcPr>
            <w:tcW w:w="1326" w:type="dxa"/>
            <w:gridSpan w:val="2"/>
            <w:vAlign w:val="top"/>
          </w:tcPr>
          <w:p w14:paraId="6ADE5618">
            <w:pPr>
              <w:pStyle w:val="21"/>
              <w:rPr>
                <w:rFonts w:hint="eastAsia" w:ascii="宋体" w:hAnsi="宋体" w:eastAsia="宋体" w:cs="宋体"/>
                <w:color w:val="auto"/>
                <w:sz w:val="24"/>
                <w:szCs w:val="24"/>
                <w:highlight w:val="none"/>
              </w:rPr>
            </w:pPr>
          </w:p>
        </w:tc>
        <w:tc>
          <w:tcPr>
            <w:tcW w:w="770" w:type="dxa"/>
            <w:vAlign w:val="top"/>
          </w:tcPr>
          <w:p w14:paraId="5C8E96FC">
            <w:pPr>
              <w:spacing w:before="143" w:line="231" w:lineRule="auto"/>
              <w:ind w:left="17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电话</w:t>
            </w:r>
          </w:p>
        </w:tc>
        <w:tc>
          <w:tcPr>
            <w:tcW w:w="1548" w:type="dxa"/>
            <w:vAlign w:val="top"/>
          </w:tcPr>
          <w:p w14:paraId="6AD0C2BC">
            <w:pPr>
              <w:pStyle w:val="21"/>
              <w:rPr>
                <w:rFonts w:hint="eastAsia" w:ascii="宋体" w:hAnsi="宋体" w:eastAsia="宋体" w:cs="宋体"/>
                <w:color w:val="auto"/>
                <w:sz w:val="24"/>
                <w:szCs w:val="24"/>
                <w:highlight w:val="none"/>
              </w:rPr>
            </w:pPr>
          </w:p>
        </w:tc>
      </w:tr>
      <w:tr w14:paraId="19173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5ADD1B28">
            <w:pPr>
              <w:spacing w:before="145" w:line="230"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成立时间</w:t>
            </w:r>
          </w:p>
        </w:tc>
        <w:tc>
          <w:tcPr>
            <w:tcW w:w="2812" w:type="dxa"/>
            <w:gridSpan w:val="2"/>
            <w:vAlign w:val="top"/>
          </w:tcPr>
          <w:p w14:paraId="4BAD1642">
            <w:pPr>
              <w:pStyle w:val="21"/>
              <w:rPr>
                <w:rFonts w:hint="eastAsia" w:ascii="宋体" w:hAnsi="宋体" w:eastAsia="宋体" w:cs="宋体"/>
                <w:color w:val="auto"/>
                <w:sz w:val="24"/>
                <w:szCs w:val="24"/>
                <w:highlight w:val="none"/>
              </w:rPr>
            </w:pPr>
          </w:p>
        </w:tc>
        <w:tc>
          <w:tcPr>
            <w:tcW w:w="4827" w:type="dxa"/>
            <w:gridSpan w:val="6"/>
            <w:vAlign w:val="top"/>
          </w:tcPr>
          <w:p w14:paraId="30D24B75">
            <w:pPr>
              <w:spacing w:before="145" w:line="228" w:lineRule="auto"/>
              <w:ind w:left="1287"/>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员工总人数（个</w:t>
            </w:r>
            <w:r>
              <w:rPr>
                <w:rFonts w:hint="eastAsia" w:ascii="宋体" w:hAnsi="宋体" w:eastAsia="宋体" w:cs="宋体"/>
                <w:color w:val="auto"/>
                <w:sz w:val="24"/>
                <w:szCs w:val="24"/>
                <w:highlight w:val="none"/>
              </w:rPr>
              <w:t>）：</w:t>
            </w:r>
          </w:p>
        </w:tc>
      </w:tr>
      <w:tr w14:paraId="1229E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620" w:type="dxa"/>
            <w:vAlign w:val="top"/>
          </w:tcPr>
          <w:p w14:paraId="754966A2">
            <w:pPr>
              <w:spacing w:before="61" w:line="262" w:lineRule="auto"/>
              <w:ind w:right="22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企业资质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类型和等级</w:t>
            </w:r>
          </w:p>
        </w:tc>
        <w:tc>
          <w:tcPr>
            <w:tcW w:w="2812" w:type="dxa"/>
            <w:gridSpan w:val="2"/>
            <w:vAlign w:val="top"/>
          </w:tcPr>
          <w:p w14:paraId="782B0B60">
            <w:pPr>
              <w:pStyle w:val="21"/>
              <w:rPr>
                <w:rFonts w:hint="eastAsia" w:ascii="宋体" w:hAnsi="宋体" w:eastAsia="宋体" w:cs="宋体"/>
                <w:color w:val="auto"/>
                <w:sz w:val="24"/>
                <w:szCs w:val="24"/>
                <w:highlight w:val="none"/>
              </w:rPr>
            </w:pPr>
          </w:p>
        </w:tc>
        <w:tc>
          <w:tcPr>
            <w:tcW w:w="1183" w:type="dxa"/>
            <w:gridSpan w:val="2"/>
            <w:vMerge w:val="restart"/>
            <w:tcBorders>
              <w:bottom w:val="nil"/>
            </w:tcBorders>
            <w:vAlign w:val="top"/>
          </w:tcPr>
          <w:p w14:paraId="7A69FEFC">
            <w:pPr>
              <w:pStyle w:val="21"/>
              <w:spacing w:line="254" w:lineRule="auto"/>
              <w:rPr>
                <w:rFonts w:hint="eastAsia" w:ascii="宋体" w:hAnsi="宋体" w:eastAsia="宋体" w:cs="宋体"/>
                <w:color w:val="auto"/>
                <w:sz w:val="24"/>
                <w:szCs w:val="24"/>
                <w:highlight w:val="none"/>
              </w:rPr>
            </w:pPr>
          </w:p>
          <w:p w14:paraId="02C0E7FA">
            <w:pPr>
              <w:pStyle w:val="21"/>
              <w:spacing w:line="254" w:lineRule="auto"/>
              <w:rPr>
                <w:rFonts w:hint="eastAsia" w:ascii="宋体" w:hAnsi="宋体" w:eastAsia="宋体" w:cs="宋体"/>
                <w:color w:val="auto"/>
                <w:sz w:val="24"/>
                <w:szCs w:val="24"/>
                <w:highlight w:val="none"/>
              </w:rPr>
            </w:pPr>
          </w:p>
          <w:p w14:paraId="1FBAEACC">
            <w:pPr>
              <w:pStyle w:val="21"/>
              <w:spacing w:line="254" w:lineRule="auto"/>
              <w:rPr>
                <w:rFonts w:hint="eastAsia" w:ascii="宋体" w:hAnsi="宋体" w:eastAsia="宋体" w:cs="宋体"/>
                <w:color w:val="auto"/>
                <w:sz w:val="24"/>
                <w:szCs w:val="24"/>
                <w:highlight w:val="none"/>
              </w:rPr>
            </w:pPr>
          </w:p>
          <w:p w14:paraId="64C94A08">
            <w:pPr>
              <w:pStyle w:val="21"/>
              <w:spacing w:line="254" w:lineRule="auto"/>
              <w:rPr>
                <w:rFonts w:hint="eastAsia" w:ascii="宋体" w:hAnsi="宋体" w:eastAsia="宋体" w:cs="宋体"/>
                <w:color w:val="auto"/>
                <w:sz w:val="24"/>
                <w:szCs w:val="24"/>
                <w:highlight w:val="none"/>
              </w:rPr>
            </w:pPr>
          </w:p>
          <w:p w14:paraId="69BBE9A7">
            <w:pPr>
              <w:pStyle w:val="21"/>
              <w:spacing w:line="255" w:lineRule="auto"/>
              <w:rPr>
                <w:rFonts w:hint="eastAsia" w:ascii="宋体" w:hAnsi="宋体" w:eastAsia="宋体" w:cs="宋体"/>
                <w:color w:val="auto"/>
                <w:sz w:val="24"/>
                <w:szCs w:val="24"/>
                <w:highlight w:val="none"/>
              </w:rPr>
            </w:pPr>
          </w:p>
          <w:p w14:paraId="7C094C19">
            <w:pPr>
              <w:spacing w:before="65" w:line="229" w:lineRule="auto"/>
              <w:ind w:left="3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其中</w:t>
            </w:r>
          </w:p>
        </w:tc>
        <w:tc>
          <w:tcPr>
            <w:tcW w:w="2096" w:type="dxa"/>
            <w:gridSpan w:val="3"/>
            <w:vAlign w:val="top"/>
          </w:tcPr>
          <w:p w14:paraId="010F104F">
            <w:pPr>
              <w:spacing w:before="214" w:line="229" w:lineRule="auto"/>
              <w:ind w:left="5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48" w:type="dxa"/>
            <w:vAlign w:val="top"/>
          </w:tcPr>
          <w:p w14:paraId="67C64A1C">
            <w:pPr>
              <w:pStyle w:val="21"/>
              <w:rPr>
                <w:rFonts w:hint="eastAsia" w:ascii="宋体" w:hAnsi="宋体" w:eastAsia="宋体" w:cs="宋体"/>
                <w:color w:val="auto"/>
                <w:sz w:val="24"/>
                <w:szCs w:val="24"/>
                <w:highlight w:val="none"/>
              </w:rPr>
            </w:pPr>
          </w:p>
        </w:tc>
      </w:tr>
      <w:tr w14:paraId="4B800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620" w:type="dxa"/>
            <w:vAlign w:val="top"/>
          </w:tcPr>
          <w:p w14:paraId="6F14B77C">
            <w:pPr>
              <w:spacing w:before="146" w:line="228" w:lineRule="auto"/>
              <w:ind w:left="232"/>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营业执照号</w:t>
            </w:r>
          </w:p>
        </w:tc>
        <w:tc>
          <w:tcPr>
            <w:tcW w:w="2812" w:type="dxa"/>
            <w:gridSpan w:val="2"/>
            <w:vAlign w:val="top"/>
          </w:tcPr>
          <w:p w14:paraId="4431F67B">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425F8241">
            <w:pPr>
              <w:pStyle w:val="21"/>
              <w:rPr>
                <w:rFonts w:hint="eastAsia" w:ascii="宋体" w:hAnsi="宋体" w:eastAsia="宋体" w:cs="宋体"/>
                <w:color w:val="auto"/>
                <w:sz w:val="24"/>
                <w:szCs w:val="24"/>
                <w:highlight w:val="none"/>
              </w:rPr>
            </w:pPr>
          </w:p>
        </w:tc>
        <w:tc>
          <w:tcPr>
            <w:tcW w:w="2096" w:type="dxa"/>
            <w:gridSpan w:val="3"/>
            <w:vAlign w:val="top"/>
          </w:tcPr>
          <w:p w14:paraId="52E9EE82">
            <w:pPr>
              <w:spacing w:before="146" w:line="228" w:lineRule="auto"/>
              <w:ind w:left="3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高级职称人员</w:t>
            </w:r>
          </w:p>
        </w:tc>
        <w:tc>
          <w:tcPr>
            <w:tcW w:w="1548" w:type="dxa"/>
            <w:vAlign w:val="top"/>
          </w:tcPr>
          <w:p w14:paraId="5AB52FD6">
            <w:pPr>
              <w:pStyle w:val="21"/>
              <w:rPr>
                <w:rFonts w:hint="eastAsia" w:ascii="宋体" w:hAnsi="宋体" w:eastAsia="宋体" w:cs="宋体"/>
                <w:color w:val="auto"/>
                <w:sz w:val="24"/>
                <w:szCs w:val="24"/>
                <w:highlight w:val="none"/>
              </w:rPr>
            </w:pPr>
          </w:p>
        </w:tc>
      </w:tr>
      <w:tr w14:paraId="0C789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620" w:type="dxa"/>
            <w:vAlign w:val="top"/>
          </w:tcPr>
          <w:p w14:paraId="2B0CF379">
            <w:pPr>
              <w:spacing w:before="146"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注册资金</w:t>
            </w:r>
          </w:p>
        </w:tc>
        <w:tc>
          <w:tcPr>
            <w:tcW w:w="2812" w:type="dxa"/>
            <w:gridSpan w:val="2"/>
            <w:vAlign w:val="top"/>
          </w:tcPr>
          <w:p w14:paraId="55DE9293">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0C4A9705">
            <w:pPr>
              <w:pStyle w:val="21"/>
              <w:rPr>
                <w:rFonts w:hint="eastAsia" w:ascii="宋体" w:hAnsi="宋体" w:eastAsia="宋体" w:cs="宋体"/>
                <w:color w:val="auto"/>
                <w:sz w:val="24"/>
                <w:szCs w:val="24"/>
                <w:highlight w:val="none"/>
              </w:rPr>
            </w:pPr>
          </w:p>
        </w:tc>
        <w:tc>
          <w:tcPr>
            <w:tcW w:w="2096" w:type="dxa"/>
            <w:gridSpan w:val="3"/>
            <w:vAlign w:val="top"/>
          </w:tcPr>
          <w:p w14:paraId="4B26D2D4">
            <w:pPr>
              <w:spacing w:before="147"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中级职称人员</w:t>
            </w:r>
          </w:p>
        </w:tc>
        <w:tc>
          <w:tcPr>
            <w:tcW w:w="1548" w:type="dxa"/>
            <w:vAlign w:val="top"/>
          </w:tcPr>
          <w:p w14:paraId="262A2EE0">
            <w:pPr>
              <w:pStyle w:val="21"/>
              <w:rPr>
                <w:rFonts w:hint="eastAsia" w:ascii="宋体" w:hAnsi="宋体" w:eastAsia="宋体" w:cs="宋体"/>
                <w:color w:val="auto"/>
                <w:sz w:val="24"/>
                <w:szCs w:val="24"/>
                <w:highlight w:val="none"/>
              </w:rPr>
            </w:pPr>
          </w:p>
        </w:tc>
      </w:tr>
      <w:tr w14:paraId="47316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620" w:type="dxa"/>
            <w:vAlign w:val="top"/>
          </w:tcPr>
          <w:p w14:paraId="2688AE8B">
            <w:pPr>
              <w:spacing w:before="62" w:line="241"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开户银行</w:t>
            </w:r>
          </w:p>
        </w:tc>
        <w:tc>
          <w:tcPr>
            <w:tcW w:w="2812" w:type="dxa"/>
            <w:gridSpan w:val="2"/>
            <w:vAlign w:val="top"/>
          </w:tcPr>
          <w:p w14:paraId="45553C43">
            <w:pPr>
              <w:pStyle w:val="21"/>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56532354">
            <w:pPr>
              <w:pStyle w:val="21"/>
              <w:rPr>
                <w:rFonts w:hint="eastAsia" w:ascii="宋体" w:hAnsi="宋体" w:eastAsia="宋体" w:cs="宋体"/>
                <w:color w:val="auto"/>
                <w:sz w:val="24"/>
                <w:szCs w:val="24"/>
                <w:highlight w:val="none"/>
              </w:rPr>
            </w:pPr>
          </w:p>
        </w:tc>
        <w:tc>
          <w:tcPr>
            <w:tcW w:w="2096" w:type="dxa"/>
            <w:gridSpan w:val="3"/>
            <w:vAlign w:val="top"/>
          </w:tcPr>
          <w:p w14:paraId="5A3DA22F">
            <w:pPr>
              <w:spacing w:before="191" w:line="230"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初级职称人员</w:t>
            </w:r>
          </w:p>
        </w:tc>
        <w:tc>
          <w:tcPr>
            <w:tcW w:w="1548" w:type="dxa"/>
            <w:vAlign w:val="top"/>
          </w:tcPr>
          <w:p w14:paraId="184D3D43">
            <w:pPr>
              <w:pStyle w:val="21"/>
              <w:rPr>
                <w:rFonts w:hint="eastAsia" w:ascii="宋体" w:hAnsi="宋体" w:eastAsia="宋体" w:cs="宋体"/>
                <w:color w:val="auto"/>
                <w:sz w:val="24"/>
                <w:szCs w:val="24"/>
                <w:highlight w:val="none"/>
              </w:rPr>
            </w:pPr>
          </w:p>
        </w:tc>
      </w:tr>
      <w:tr w14:paraId="5D53F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620" w:type="dxa"/>
            <w:vAlign w:val="top"/>
          </w:tcPr>
          <w:p w14:paraId="301FBDE6">
            <w:pPr>
              <w:spacing w:before="62" w:line="259"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银行账号</w:t>
            </w:r>
          </w:p>
        </w:tc>
        <w:tc>
          <w:tcPr>
            <w:tcW w:w="2812" w:type="dxa"/>
            <w:gridSpan w:val="2"/>
            <w:vAlign w:val="top"/>
          </w:tcPr>
          <w:p w14:paraId="5B1DD5F7">
            <w:pPr>
              <w:pStyle w:val="21"/>
              <w:rPr>
                <w:rFonts w:hint="eastAsia" w:ascii="宋体" w:hAnsi="宋体" w:eastAsia="宋体" w:cs="宋体"/>
                <w:color w:val="auto"/>
                <w:sz w:val="24"/>
                <w:szCs w:val="24"/>
                <w:highlight w:val="none"/>
              </w:rPr>
            </w:pPr>
          </w:p>
        </w:tc>
        <w:tc>
          <w:tcPr>
            <w:tcW w:w="1183" w:type="dxa"/>
            <w:gridSpan w:val="2"/>
            <w:vMerge w:val="continue"/>
            <w:tcBorders>
              <w:top w:val="nil"/>
            </w:tcBorders>
            <w:vAlign w:val="top"/>
          </w:tcPr>
          <w:p w14:paraId="03520BE5">
            <w:pPr>
              <w:pStyle w:val="21"/>
              <w:rPr>
                <w:rFonts w:hint="eastAsia" w:ascii="宋体" w:hAnsi="宋体" w:eastAsia="宋体" w:cs="宋体"/>
                <w:color w:val="auto"/>
                <w:sz w:val="24"/>
                <w:szCs w:val="24"/>
                <w:highlight w:val="none"/>
              </w:rPr>
            </w:pPr>
          </w:p>
        </w:tc>
        <w:tc>
          <w:tcPr>
            <w:tcW w:w="2096" w:type="dxa"/>
            <w:gridSpan w:val="3"/>
            <w:vAlign w:val="top"/>
          </w:tcPr>
          <w:p w14:paraId="5C48DB8B">
            <w:pPr>
              <w:spacing w:before="211" w:line="228" w:lineRule="auto"/>
              <w:ind w:left="6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技术员</w:t>
            </w:r>
          </w:p>
        </w:tc>
        <w:tc>
          <w:tcPr>
            <w:tcW w:w="1548" w:type="dxa"/>
            <w:vAlign w:val="top"/>
          </w:tcPr>
          <w:p w14:paraId="773ECE69">
            <w:pPr>
              <w:pStyle w:val="21"/>
              <w:rPr>
                <w:rFonts w:hint="eastAsia" w:ascii="宋体" w:hAnsi="宋体" w:eastAsia="宋体" w:cs="宋体"/>
                <w:color w:val="auto"/>
                <w:sz w:val="24"/>
                <w:szCs w:val="24"/>
                <w:highlight w:val="none"/>
              </w:rPr>
            </w:pPr>
          </w:p>
        </w:tc>
      </w:tr>
      <w:tr w14:paraId="1B267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620" w:type="dxa"/>
            <w:vAlign w:val="top"/>
          </w:tcPr>
          <w:p w14:paraId="1C145867">
            <w:pPr>
              <w:spacing w:before="6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经营范围</w:t>
            </w:r>
          </w:p>
        </w:tc>
        <w:tc>
          <w:tcPr>
            <w:tcW w:w="7639" w:type="dxa"/>
            <w:gridSpan w:val="8"/>
            <w:vAlign w:val="top"/>
          </w:tcPr>
          <w:p w14:paraId="78175160">
            <w:pPr>
              <w:pStyle w:val="21"/>
              <w:rPr>
                <w:rFonts w:hint="eastAsia" w:ascii="宋体" w:hAnsi="宋体" w:eastAsia="宋体" w:cs="宋体"/>
                <w:color w:val="auto"/>
                <w:sz w:val="24"/>
                <w:szCs w:val="24"/>
                <w:highlight w:val="none"/>
              </w:rPr>
            </w:pPr>
          </w:p>
        </w:tc>
      </w:tr>
      <w:tr w14:paraId="5CA65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1" w:hRule="atLeast"/>
        </w:trPr>
        <w:tc>
          <w:tcPr>
            <w:tcW w:w="1620" w:type="dxa"/>
            <w:vAlign w:val="top"/>
          </w:tcPr>
          <w:p w14:paraId="3B43F663">
            <w:pPr>
              <w:pStyle w:val="21"/>
              <w:spacing w:line="295" w:lineRule="auto"/>
              <w:rPr>
                <w:rFonts w:hint="eastAsia" w:ascii="宋体" w:hAnsi="宋体" w:eastAsia="宋体" w:cs="宋体"/>
                <w:color w:val="auto"/>
                <w:sz w:val="24"/>
                <w:szCs w:val="24"/>
                <w:highlight w:val="none"/>
              </w:rPr>
            </w:pPr>
          </w:p>
          <w:p w14:paraId="598814F5">
            <w:pPr>
              <w:pStyle w:val="21"/>
              <w:spacing w:line="296" w:lineRule="auto"/>
              <w:rPr>
                <w:rFonts w:hint="eastAsia" w:ascii="宋体" w:hAnsi="宋体" w:eastAsia="宋体" w:cs="宋体"/>
                <w:color w:val="auto"/>
                <w:sz w:val="24"/>
                <w:szCs w:val="24"/>
                <w:highlight w:val="none"/>
              </w:rPr>
            </w:pPr>
          </w:p>
          <w:p w14:paraId="52A98BFF">
            <w:pPr>
              <w:spacing w:before="65" w:line="229"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关联企业情况</w:t>
            </w:r>
          </w:p>
        </w:tc>
        <w:tc>
          <w:tcPr>
            <w:tcW w:w="7639" w:type="dxa"/>
            <w:gridSpan w:val="8"/>
            <w:vAlign w:val="top"/>
          </w:tcPr>
          <w:p w14:paraId="5EFCA351">
            <w:pPr>
              <w:spacing w:before="168" w:line="228" w:lineRule="auto"/>
              <w:ind w:left="111"/>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包括但不限于与投标人存在以下关系的不同单位：</w:t>
            </w:r>
          </w:p>
          <w:p w14:paraId="4A7FA872">
            <w:pPr>
              <w:spacing w:before="81" w:line="228" w:lineRule="auto"/>
              <w:ind w:left="12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4"/>
                <w:sz w:val="24"/>
                <w:szCs w:val="24"/>
                <w:highlight w:val="none"/>
              </w:rPr>
              <w:t>．法定代表人为同一人的。</w:t>
            </w:r>
          </w:p>
          <w:p w14:paraId="416ED6EF">
            <w:pPr>
              <w:spacing w:before="81" w:line="228" w:lineRule="auto"/>
              <w:ind w:left="10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6"/>
                <w:sz w:val="24"/>
                <w:szCs w:val="24"/>
                <w:highlight w:val="none"/>
              </w:rPr>
              <w:t>．存在控股、管理关系的。</w:t>
            </w:r>
          </w:p>
          <w:p w14:paraId="2E78667B">
            <w:pPr>
              <w:spacing w:before="81" w:line="228" w:lineRule="auto"/>
              <w:ind w:left="1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5"/>
                <w:sz w:val="24"/>
                <w:szCs w:val="24"/>
                <w:highlight w:val="none"/>
              </w:rPr>
              <w:t>．主要人员相互任职的。</w:t>
            </w:r>
          </w:p>
        </w:tc>
      </w:tr>
      <w:tr w14:paraId="245E4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620" w:type="dxa"/>
            <w:vAlign w:val="top"/>
          </w:tcPr>
          <w:p w14:paraId="0B1A642B">
            <w:pPr>
              <w:spacing w:before="235" w:line="230" w:lineRule="auto"/>
              <w:ind w:left="54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备注</w:t>
            </w:r>
          </w:p>
        </w:tc>
        <w:tc>
          <w:tcPr>
            <w:tcW w:w="7639" w:type="dxa"/>
            <w:gridSpan w:val="8"/>
            <w:vAlign w:val="top"/>
          </w:tcPr>
          <w:p w14:paraId="63E087EA">
            <w:pPr>
              <w:pStyle w:val="21"/>
              <w:rPr>
                <w:rFonts w:hint="eastAsia" w:ascii="宋体" w:hAnsi="宋体" w:eastAsia="宋体" w:cs="宋体"/>
                <w:color w:val="auto"/>
                <w:sz w:val="24"/>
                <w:szCs w:val="24"/>
                <w:highlight w:val="none"/>
              </w:rPr>
            </w:pPr>
          </w:p>
        </w:tc>
      </w:tr>
    </w:tbl>
    <w:p w14:paraId="608E648E">
      <w:pPr>
        <w:spacing w:before="140" w:line="228" w:lineRule="auto"/>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说明：</w:t>
      </w:r>
    </w:p>
    <w:p w14:paraId="6972BAA3">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outlineLvl w:val="9"/>
        <w:rPr>
          <w:rFonts w:hint="eastAsia" w:ascii="宋体" w:hAnsi="宋体" w:eastAsia="宋体" w:cs="宋体"/>
          <w:color w:val="auto"/>
          <w:spacing w:val="4"/>
          <w:sz w:val="18"/>
          <w:szCs w:val="18"/>
          <w:highlight w:val="none"/>
        </w:rPr>
      </w:pPr>
      <w:bookmarkStart w:id="231" w:name="_Toc5131"/>
      <w:bookmarkStart w:id="232" w:name="_Toc14048"/>
      <w:r>
        <w:rPr>
          <w:rFonts w:hint="eastAsia" w:ascii="宋体" w:hAnsi="宋体" w:eastAsia="宋体" w:cs="宋体"/>
          <w:color w:val="auto"/>
          <w:spacing w:val="4"/>
          <w:sz w:val="18"/>
          <w:szCs w:val="18"/>
          <w:highlight w:val="none"/>
        </w:rPr>
        <w:t>1 ．《投标人基本情况表》后应附以下资料：</w:t>
      </w:r>
      <w:bookmarkEnd w:id="231"/>
      <w:bookmarkEnd w:id="232"/>
    </w:p>
    <w:p w14:paraId="56BD52AA">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pacing w:val="6"/>
          <w:sz w:val="18"/>
          <w:szCs w:val="18"/>
          <w:highlight w:val="none"/>
        </w:rPr>
      </w:pPr>
      <w:r>
        <w:rPr>
          <w:rFonts w:hint="eastAsia" w:ascii="宋体" w:hAnsi="宋体" w:eastAsia="宋体" w:cs="宋体"/>
          <w:color w:val="auto"/>
          <w:spacing w:val="9"/>
          <w:sz w:val="18"/>
          <w:szCs w:val="18"/>
          <w:highlight w:val="none"/>
          <w:lang w:eastAsia="zh-CN"/>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5F1F8270">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9"/>
          <w:sz w:val="18"/>
          <w:szCs w:val="18"/>
          <w:highlight w:val="none"/>
          <w:lang w:eastAsia="zh-CN"/>
        </w:rPr>
        <w:t>（2）</w:t>
      </w:r>
      <w:r>
        <w:rPr>
          <w:rFonts w:hint="eastAsia" w:ascii="宋体" w:hAnsi="宋体" w:eastAsia="宋体" w:cs="宋体"/>
          <w:color w:val="auto"/>
          <w:spacing w:val="9"/>
          <w:sz w:val="18"/>
          <w:szCs w:val="18"/>
          <w:highlight w:val="none"/>
        </w:rPr>
        <w:t>“进粤企业和人员诚信信息登记平台</w:t>
      </w:r>
      <w:r>
        <w:rPr>
          <w:rFonts w:hint="eastAsia" w:ascii="宋体" w:hAnsi="宋体" w:eastAsia="宋体" w:cs="宋体"/>
          <w:color w:val="auto"/>
          <w:spacing w:val="-72"/>
          <w:sz w:val="18"/>
          <w:szCs w:val="18"/>
          <w:highlight w:val="none"/>
        </w:rPr>
        <w:t xml:space="preserve"> </w:t>
      </w:r>
      <w:r>
        <w:rPr>
          <w:rFonts w:hint="eastAsia" w:ascii="宋体" w:hAnsi="宋体" w:eastAsia="宋体" w:cs="宋体"/>
          <w:color w:val="auto"/>
          <w:spacing w:val="8"/>
          <w:sz w:val="18"/>
          <w:szCs w:val="18"/>
          <w:highlight w:val="none"/>
        </w:rPr>
        <w:t>”企业信息情况打印页。（适用于省外建筑企业）</w:t>
      </w:r>
    </w:p>
    <w:p w14:paraId="359CA035">
      <w:pPr>
        <w:keepNext w:val="0"/>
        <w:keepLines w:val="0"/>
        <w:pageBreakBefore w:val="0"/>
        <w:widowControl/>
        <w:kinsoku w:val="0"/>
        <w:wordWrap/>
        <w:overflowPunct/>
        <w:topLinePunct w:val="0"/>
        <w:autoSpaceDE w:val="0"/>
        <w:autoSpaceDN w:val="0"/>
        <w:bidi w:val="0"/>
        <w:adjustRightInd w:val="0"/>
        <w:snapToGrid w:val="0"/>
        <w:spacing w:before="153" w:line="288" w:lineRule="auto"/>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8"/>
          <w:sz w:val="18"/>
          <w:szCs w:val="18"/>
          <w:highlight w:val="none"/>
          <w:lang w:eastAsia="zh-CN"/>
        </w:rPr>
        <w:t>（3）</w:t>
      </w:r>
      <w:r>
        <w:rPr>
          <w:rFonts w:hint="eastAsia" w:ascii="宋体" w:hAnsi="宋体" w:eastAsia="宋体" w:cs="宋体"/>
          <w:color w:val="auto"/>
          <w:spacing w:val="8"/>
          <w:sz w:val="18"/>
          <w:szCs w:val="18"/>
          <w:highlight w:val="none"/>
        </w:rPr>
        <w:t>《法人和非法人组织公共信用信息报告》（在“信用中国</w:t>
      </w:r>
      <w:r>
        <w:rPr>
          <w:rFonts w:hint="eastAsia" w:ascii="宋体" w:hAnsi="宋体" w:eastAsia="宋体" w:cs="宋体"/>
          <w:color w:val="auto"/>
          <w:spacing w:val="-70"/>
          <w:sz w:val="18"/>
          <w:szCs w:val="18"/>
          <w:highlight w:val="none"/>
        </w:rPr>
        <w:t xml:space="preserve"> </w:t>
      </w:r>
      <w:r>
        <w:rPr>
          <w:rFonts w:hint="eastAsia" w:ascii="宋体" w:hAnsi="宋体" w:eastAsia="宋体" w:cs="宋体"/>
          <w:color w:val="auto"/>
          <w:spacing w:val="8"/>
          <w:sz w:val="18"/>
          <w:szCs w:val="18"/>
          <w:highlight w:val="none"/>
        </w:rPr>
        <w:t>”网站企业查询界面</w:t>
      </w:r>
      <w:r>
        <w:rPr>
          <w:rFonts w:hint="eastAsia" w:ascii="宋体" w:hAnsi="宋体" w:eastAsia="宋体" w:cs="宋体"/>
          <w:color w:val="auto"/>
          <w:spacing w:val="7"/>
          <w:sz w:val="18"/>
          <w:szCs w:val="18"/>
          <w:highlight w:val="none"/>
        </w:rPr>
        <w:t>中下载）。</w:t>
      </w:r>
    </w:p>
    <w:p w14:paraId="3AE0E693">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9"/>
          <w:sz w:val="18"/>
          <w:szCs w:val="18"/>
          <w:highlight w:val="none"/>
        </w:rPr>
        <w:t>2</w:t>
      </w:r>
      <w:r>
        <w:rPr>
          <w:rFonts w:hint="eastAsia" w:ascii="宋体" w:hAnsi="宋体" w:eastAsia="宋体" w:cs="宋体"/>
          <w:color w:val="auto"/>
          <w:spacing w:val="-21"/>
          <w:sz w:val="18"/>
          <w:szCs w:val="18"/>
          <w:highlight w:val="none"/>
        </w:rPr>
        <w:t xml:space="preserve"> </w:t>
      </w:r>
      <w:r>
        <w:rPr>
          <w:rFonts w:hint="eastAsia" w:ascii="宋体" w:hAnsi="宋体" w:eastAsia="宋体" w:cs="宋体"/>
          <w:color w:val="auto"/>
          <w:spacing w:val="9"/>
          <w:sz w:val="18"/>
          <w:szCs w:val="18"/>
          <w:highlight w:val="none"/>
        </w:rPr>
        <w:t>．联合体投标的，联合体成员单位均应填写《投标人基本情况</w:t>
      </w:r>
      <w:r>
        <w:rPr>
          <w:rFonts w:hint="eastAsia" w:ascii="宋体" w:hAnsi="宋体" w:eastAsia="宋体" w:cs="宋体"/>
          <w:color w:val="auto"/>
          <w:spacing w:val="8"/>
          <w:sz w:val="18"/>
          <w:szCs w:val="18"/>
          <w:highlight w:val="none"/>
        </w:rPr>
        <w:t>表》并提供以上所需资料。</w:t>
      </w:r>
    </w:p>
    <w:p w14:paraId="4E6AB364">
      <w:pPr>
        <w:spacing w:before="78" w:line="220" w:lineRule="auto"/>
        <w:outlineLvl w:val="2"/>
        <w:rPr>
          <w:rFonts w:hint="eastAsia" w:ascii="宋体" w:hAnsi="宋体" w:eastAsia="宋体" w:cs="宋体"/>
          <w:b/>
          <w:bCs/>
          <w:color w:val="auto"/>
          <w:spacing w:val="-4"/>
          <w:sz w:val="24"/>
          <w:szCs w:val="24"/>
          <w:highlight w:val="none"/>
        </w:rPr>
      </w:pPr>
      <w:bookmarkStart w:id="233" w:name="_Toc11428"/>
      <w:r>
        <w:rPr>
          <w:rFonts w:hint="eastAsia" w:ascii="宋体" w:hAnsi="宋体" w:eastAsia="宋体" w:cs="宋体"/>
          <w:b/>
          <w:bCs/>
          <w:color w:val="auto"/>
          <w:spacing w:val="-4"/>
          <w:sz w:val="24"/>
          <w:szCs w:val="24"/>
          <w:highlight w:val="none"/>
        </w:rPr>
        <w:t>格式八 项目经理简历表</w:t>
      </w:r>
      <w:bookmarkEnd w:id="233"/>
    </w:p>
    <w:p w14:paraId="1DBA7B98">
      <w:pPr>
        <w:pStyle w:val="5"/>
        <w:spacing w:line="444" w:lineRule="auto"/>
        <w:rPr>
          <w:rFonts w:hint="eastAsia" w:ascii="宋体" w:hAnsi="宋体" w:eastAsia="宋体" w:cs="宋体"/>
          <w:color w:val="auto"/>
          <w:highlight w:val="none"/>
        </w:rPr>
      </w:pPr>
    </w:p>
    <w:p w14:paraId="0CAE90B5">
      <w:pPr>
        <w:spacing w:before="97" w:line="219" w:lineRule="auto"/>
        <w:ind w:left="3538"/>
        <w:outlineLvl w:val="9"/>
        <w:rPr>
          <w:rFonts w:hint="eastAsia" w:ascii="宋体" w:hAnsi="宋体" w:eastAsia="宋体" w:cs="宋体"/>
          <w:color w:val="auto"/>
          <w:sz w:val="30"/>
          <w:szCs w:val="30"/>
          <w:highlight w:val="none"/>
        </w:rPr>
      </w:pPr>
      <w:bookmarkStart w:id="234" w:name="bookmark156"/>
      <w:bookmarkEnd w:id="234"/>
      <w:bookmarkStart w:id="235" w:name="bookmark89"/>
      <w:bookmarkEnd w:id="235"/>
      <w:bookmarkStart w:id="236" w:name="_Toc24489"/>
      <w:bookmarkStart w:id="237" w:name="_Toc31533"/>
      <w:r>
        <w:rPr>
          <w:rFonts w:hint="eastAsia" w:ascii="宋体" w:hAnsi="宋体" w:eastAsia="宋体" w:cs="宋体"/>
          <w:b/>
          <w:bCs/>
          <w:color w:val="auto"/>
          <w:spacing w:val="-5"/>
          <w:sz w:val="30"/>
          <w:szCs w:val="30"/>
          <w:highlight w:val="none"/>
        </w:rPr>
        <w:t>项目经理简历表</w:t>
      </w:r>
      <w:bookmarkEnd w:id="236"/>
      <w:bookmarkEnd w:id="237"/>
    </w:p>
    <w:p w14:paraId="59593258">
      <w:pPr>
        <w:spacing w:line="240" w:lineRule="exact"/>
        <w:rPr>
          <w:rFonts w:hint="eastAsia" w:ascii="宋体" w:hAnsi="宋体" w:eastAsia="宋体" w:cs="宋体"/>
          <w:color w:val="auto"/>
          <w:highlight w:val="none"/>
        </w:rPr>
      </w:pPr>
    </w:p>
    <w:tbl>
      <w:tblPr>
        <w:tblStyle w:val="14"/>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4554F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top"/>
          </w:tcPr>
          <w:p w14:paraId="38F4F2C1">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94" w:type="dxa"/>
            <w:gridSpan w:val="2"/>
            <w:vAlign w:val="top"/>
          </w:tcPr>
          <w:p w14:paraId="0E27BBB7">
            <w:pPr>
              <w:pStyle w:val="21"/>
              <w:rPr>
                <w:rFonts w:hint="eastAsia" w:ascii="宋体" w:hAnsi="宋体" w:eastAsia="宋体" w:cs="宋体"/>
                <w:color w:val="auto"/>
                <w:sz w:val="24"/>
                <w:szCs w:val="24"/>
                <w:highlight w:val="none"/>
              </w:rPr>
            </w:pPr>
          </w:p>
        </w:tc>
        <w:tc>
          <w:tcPr>
            <w:tcW w:w="1357" w:type="dxa"/>
            <w:vAlign w:val="top"/>
          </w:tcPr>
          <w:p w14:paraId="5E64039D">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62" w:type="dxa"/>
            <w:vAlign w:val="top"/>
          </w:tcPr>
          <w:p w14:paraId="68D9664A">
            <w:pPr>
              <w:pStyle w:val="21"/>
              <w:rPr>
                <w:rFonts w:hint="eastAsia" w:ascii="宋体" w:hAnsi="宋体" w:eastAsia="宋体" w:cs="宋体"/>
                <w:color w:val="auto"/>
                <w:sz w:val="24"/>
                <w:szCs w:val="24"/>
                <w:highlight w:val="none"/>
              </w:rPr>
            </w:pPr>
          </w:p>
        </w:tc>
        <w:tc>
          <w:tcPr>
            <w:tcW w:w="1798" w:type="dxa"/>
            <w:vAlign w:val="top"/>
          </w:tcPr>
          <w:p w14:paraId="3FC87041">
            <w:pPr>
              <w:spacing w:before="177" w:line="228" w:lineRule="auto"/>
              <w:ind w:left="48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98" w:type="dxa"/>
            <w:vAlign w:val="top"/>
          </w:tcPr>
          <w:p w14:paraId="02E0EF39">
            <w:pPr>
              <w:pStyle w:val="21"/>
              <w:rPr>
                <w:rFonts w:hint="eastAsia" w:ascii="宋体" w:hAnsi="宋体" w:eastAsia="宋体" w:cs="宋体"/>
                <w:color w:val="auto"/>
                <w:sz w:val="24"/>
                <w:szCs w:val="24"/>
                <w:highlight w:val="none"/>
              </w:rPr>
            </w:pPr>
          </w:p>
        </w:tc>
      </w:tr>
      <w:tr w14:paraId="59723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top"/>
          </w:tcPr>
          <w:p w14:paraId="6E04C4D2">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94" w:type="dxa"/>
            <w:gridSpan w:val="2"/>
            <w:vAlign w:val="top"/>
          </w:tcPr>
          <w:p w14:paraId="59BA2A8F">
            <w:pPr>
              <w:pStyle w:val="21"/>
              <w:rPr>
                <w:rFonts w:hint="eastAsia" w:ascii="宋体" w:hAnsi="宋体" w:eastAsia="宋体" w:cs="宋体"/>
                <w:color w:val="auto"/>
                <w:sz w:val="24"/>
                <w:szCs w:val="24"/>
                <w:highlight w:val="none"/>
              </w:rPr>
            </w:pPr>
          </w:p>
        </w:tc>
        <w:tc>
          <w:tcPr>
            <w:tcW w:w="1357" w:type="dxa"/>
            <w:vAlign w:val="top"/>
          </w:tcPr>
          <w:p w14:paraId="5913F49D">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62" w:type="dxa"/>
            <w:vAlign w:val="top"/>
          </w:tcPr>
          <w:p w14:paraId="0D719B3D">
            <w:pPr>
              <w:pStyle w:val="21"/>
              <w:rPr>
                <w:rFonts w:hint="eastAsia" w:ascii="宋体" w:hAnsi="宋体" w:eastAsia="宋体" w:cs="宋体"/>
                <w:color w:val="auto"/>
                <w:sz w:val="24"/>
                <w:szCs w:val="24"/>
                <w:highlight w:val="none"/>
              </w:rPr>
            </w:pPr>
          </w:p>
        </w:tc>
        <w:tc>
          <w:tcPr>
            <w:tcW w:w="1798" w:type="dxa"/>
            <w:vAlign w:val="top"/>
          </w:tcPr>
          <w:p w14:paraId="3C4F5945">
            <w:pPr>
              <w:spacing w:before="175" w:line="230"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98" w:type="dxa"/>
            <w:vAlign w:val="top"/>
          </w:tcPr>
          <w:p w14:paraId="772D8AB2">
            <w:pPr>
              <w:pStyle w:val="21"/>
              <w:rPr>
                <w:rFonts w:hint="eastAsia" w:ascii="宋体" w:hAnsi="宋体" w:eastAsia="宋体" w:cs="宋体"/>
                <w:color w:val="auto"/>
                <w:sz w:val="24"/>
                <w:szCs w:val="24"/>
                <w:highlight w:val="none"/>
              </w:rPr>
            </w:pPr>
          </w:p>
        </w:tc>
      </w:tr>
      <w:tr w14:paraId="41BAF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top"/>
          </w:tcPr>
          <w:p w14:paraId="3D285945">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51" w:type="dxa"/>
            <w:gridSpan w:val="3"/>
            <w:vAlign w:val="top"/>
          </w:tcPr>
          <w:p w14:paraId="4D8E12D6">
            <w:pPr>
              <w:pStyle w:val="21"/>
              <w:rPr>
                <w:rFonts w:hint="eastAsia" w:ascii="宋体" w:hAnsi="宋体" w:eastAsia="宋体" w:cs="宋体"/>
                <w:color w:val="auto"/>
                <w:sz w:val="24"/>
                <w:szCs w:val="24"/>
                <w:highlight w:val="none"/>
              </w:rPr>
            </w:pPr>
          </w:p>
        </w:tc>
        <w:tc>
          <w:tcPr>
            <w:tcW w:w="3860" w:type="dxa"/>
            <w:gridSpan w:val="2"/>
            <w:vAlign w:val="top"/>
          </w:tcPr>
          <w:p w14:paraId="3410F97D">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98" w:type="dxa"/>
            <w:vAlign w:val="top"/>
          </w:tcPr>
          <w:p w14:paraId="5CA4498F">
            <w:pPr>
              <w:pStyle w:val="21"/>
              <w:rPr>
                <w:rFonts w:hint="eastAsia" w:ascii="宋体" w:hAnsi="宋体" w:eastAsia="宋体" w:cs="宋体"/>
                <w:color w:val="auto"/>
                <w:sz w:val="24"/>
                <w:szCs w:val="24"/>
                <w:highlight w:val="none"/>
              </w:rPr>
            </w:pPr>
          </w:p>
        </w:tc>
      </w:tr>
      <w:tr w14:paraId="0792C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top"/>
          </w:tcPr>
          <w:p w14:paraId="19780F0C">
            <w:pPr>
              <w:spacing w:before="176" w:line="228" w:lineRule="auto"/>
              <w:ind w:left="23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以项目经理身份参与过的主要业绩（已完工项目）</w:t>
            </w:r>
          </w:p>
        </w:tc>
      </w:tr>
      <w:tr w14:paraId="44C6D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top"/>
          </w:tcPr>
          <w:p w14:paraId="2CA330A6">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24" w:type="dxa"/>
            <w:gridSpan w:val="2"/>
            <w:vAlign w:val="top"/>
          </w:tcPr>
          <w:p w14:paraId="387E6BB1">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37" w:type="dxa"/>
            <w:gridSpan w:val="2"/>
            <w:vAlign w:val="top"/>
          </w:tcPr>
          <w:p w14:paraId="60841D39">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62" w:type="dxa"/>
            <w:vAlign w:val="top"/>
          </w:tcPr>
          <w:p w14:paraId="0511F79F">
            <w:pPr>
              <w:spacing w:before="176" w:line="228" w:lineRule="auto"/>
              <w:ind w:left="26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98" w:type="dxa"/>
            <w:vAlign w:val="top"/>
          </w:tcPr>
          <w:p w14:paraId="1FA090F6">
            <w:pPr>
              <w:spacing w:before="176" w:line="228" w:lineRule="auto"/>
              <w:ind w:left="2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98" w:type="dxa"/>
            <w:vAlign w:val="top"/>
          </w:tcPr>
          <w:p w14:paraId="46379B80">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216D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4A3F448C">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24" w:type="dxa"/>
            <w:gridSpan w:val="2"/>
            <w:vAlign w:val="top"/>
          </w:tcPr>
          <w:p w14:paraId="0F1E5CCA">
            <w:pPr>
              <w:pStyle w:val="21"/>
              <w:rPr>
                <w:rFonts w:hint="eastAsia" w:ascii="宋体" w:hAnsi="宋体" w:eastAsia="宋体" w:cs="宋体"/>
                <w:color w:val="auto"/>
                <w:sz w:val="24"/>
                <w:szCs w:val="24"/>
                <w:highlight w:val="none"/>
              </w:rPr>
            </w:pPr>
          </w:p>
        </w:tc>
        <w:tc>
          <w:tcPr>
            <w:tcW w:w="2037" w:type="dxa"/>
            <w:gridSpan w:val="2"/>
            <w:vAlign w:val="top"/>
          </w:tcPr>
          <w:p w14:paraId="78888A3B">
            <w:pPr>
              <w:pStyle w:val="21"/>
              <w:rPr>
                <w:rFonts w:hint="eastAsia" w:ascii="宋体" w:hAnsi="宋体" w:eastAsia="宋体" w:cs="宋体"/>
                <w:color w:val="auto"/>
                <w:sz w:val="24"/>
                <w:szCs w:val="24"/>
                <w:highlight w:val="none"/>
              </w:rPr>
            </w:pPr>
          </w:p>
        </w:tc>
        <w:tc>
          <w:tcPr>
            <w:tcW w:w="2062" w:type="dxa"/>
            <w:vAlign w:val="top"/>
          </w:tcPr>
          <w:p w14:paraId="74289F65">
            <w:pPr>
              <w:pStyle w:val="21"/>
              <w:rPr>
                <w:rFonts w:hint="eastAsia" w:ascii="宋体" w:hAnsi="宋体" w:eastAsia="宋体" w:cs="宋体"/>
                <w:color w:val="auto"/>
                <w:sz w:val="24"/>
                <w:szCs w:val="24"/>
                <w:highlight w:val="none"/>
              </w:rPr>
            </w:pPr>
          </w:p>
        </w:tc>
        <w:tc>
          <w:tcPr>
            <w:tcW w:w="1798" w:type="dxa"/>
            <w:vAlign w:val="top"/>
          </w:tcPr>
          <w:p w14:paraId="22429141">
            <w:pPr>
              <w:pStyle w:val="21"/>
              <w:rPr>
                <w:rFonts w:hint="eastAsia" w:ascii="宋体" w:hAnsi="宋体" w:eastAsia="宋体" w:cs="宋体"/>
                <w:color w:val="auto"/>
                <w:sz w:val="24"/>
                <w:szCs w:val="24"/>
                <w:highlight w:val="none"/>
              </w:rPr>
            </w:pPr>
          </w:p>
        </w:tc>
        <w:tc>
          <w:tcPr>
            <w:tcW w:w="1398" w:type="dxa"/>
            <w:vAlign w:val="top"/>
          </w:tcPr>
          <w:p w14:paraId="0CCA428D">
            <w:pPr>
              <w:pStyle w:val="21"/>
              <w:rPr>
                <w:rFonts w:hint="eastAsia" w:ascii="宋体" w:hAnsi="宋体" w:eastAsia="宋体" w:cs="宋体"/>
                <w:color w:val="auto"/>
                <w:sz w:val="24"/>
                <w:szCs w:val="24"/>
                <w:highlight w:val="none"/>
              </w:rPr>
            </w:pPr>
          </w:p>
        </w:tc>
      </w:tr>
      <w:tr w14:paraId="41D90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top"/>
          </w:tcPr>
          <w:p w14:paraId="2AE59E84">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24" w:type="dxa"/>
            <w:gridSpan w:val="2"/>
            <w:vAlign w:val="top"/>
          </w:tcPr>
          <w:p w14:paraId="64A79A29">
            <w:pPr>
              <w:pStyle w:val="21"/>
              <w:rPr>
                <w:rFonts w:hint="eastAsia" w:ascii="宋体" w:hAnsi="宋体" w:eastAsia="宋体" w:cs="宋体"/>
                <w:color w:val="auto"/>
                <w:sz w:val="24"/>
                <w:szCs w:val="24"/>
                <w:highlight w:val="none"/>
              </w:rPr>
            </w:pPr>
          </w:p>
        </w:tc>
        <w:tc>
          <w:tcPr>
            <w:tcW w:w="2037" w:type="dxa"/>
            <w:gridSpan w:val="2"/>
            <w:vAlign w:val="top"/>
          </w:tcPr>
          <w:p w14:paraId="6061C8EF">
            <w:pPr>
              <w:pStyle w:val="21"/>
              <w:rPr>
                <w:rFonts w:hint="eastAsia" w:ascii="宋体" w:hAnsi="宋体" w:eastAsia="宋体" w:cs="宋体"/>
                <w:color w:val="auto"/>
                <w:sz w:val="24"/>
                <w:szCs w:val="24"/>
                <w:highlight w:val="none"/>
              </w:rPr>
            </w:pPr>
          </w:p>
        </w:tc>
        <w:tc>
          <w:tcPr>
            <w:tcW w:w="2062" w:type="dxa"/>
            <w:vAlign w:val="top"/>
          </w:tcPr>
          <w:p w14:paraId="37C2C8FD">
            <w:pPr>
              <w:pStyle w:val="21"/>
              <w:rPr>
                <w:rFonts w:hint="eastAsia" w:ascii="宋体" w:hAnsi="宋体" w:eastAsia="宋体" w:cs="宋体"/>
                <w:color w:val="auto"/>
                <w:sz w:val="24"/>
                <w:szCs w:val="24"/>
                <w:highlight w:val="none"/>
              </w:rPr>
            </w:pPr>
          </w:p>
        </w:tc>
        <w:tc>
          <w:tcPr>
            <w:tcW w:w="1798" w:type="dxa"/>
            <w:vAlign w:val="top"/>
          </w:tcPr>
          <w:p w14:paraId="35838BEB">
            <w:pPr>
              <w:pStyle w:val="21"/>
              <w:rPr>
                <w:rFonts w:hint="eastAsia" w:ascii="宋体" w:hAnsi="宋体" w:eastAsia="宋体" w:cs="宋体"/>
                <w:color w:val="auto"/>
                <w:sz w:val="24"/>
                <w:szCs w:val="24"/>
                <w:highlight w:val="none"/>
              </w:rPr>
            </w:pPr>
          </w:p>
        </w:tc>
        <w:tc>
          <w:tcPr>
            <w:tcW w:w="1398" w:type="dxa"/>
            <w:vAlign w:val="top"/>
          </w:tcPr>
          <w:p w14:paraId="1A7FF52A">
            <w:pPr>
              <w:pStyle w:val="21"/>
              <w:rPr>
                <w:rFonts w:hint="eastAsia" w:ascii="宋体" w:hAnsi="宋体" w:eastAsia="宋体" w:cs="宋体"/>
                <w:color w:val="auto"/>
                <w:sz w:val="24"/>
                <w:szCs w:val="24"/>
                <w:highlight w:val="none"/>
              </w:rPr>
            </w:pPr>
          </w:p>
        </w:tc>
      </w:tr>
      <w:tr w14:paraId="748CF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49A8215C">
            <w:pPr>
              <w:spacing w:before="213" w:line="195" w:lineRule="auto"/>
              <w:ind w:left="3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24" w:type="dxa"/>
            <w:gridSpan w:val="2"/>
            <w:vAlign w:val="top"/>
          </w:tcPr>
          <w:p w14:paraId="6B3BD65C">
            <w:pPr>
              <w:pStyle w:val="21"/>
              <w:rPr>
                <w:rFonts w:hint="eastAsia" w:ascii="宋体" w:hAnsi="宋体" w:eastAsia="宋体" w:cs="宋体"/>
                <w:color w:val="auto"/>
                <w:sz w:val="24"/>
                <w:szCs w:val="24"/>
                <w:highlight w:val="none"/>
              </w:rPr>
            </w:pPr>
          </w:p>
        </w:tc>
        <w:tc>
          <w:tcPr>
            <w:tcW w:w="2037" w:type="dxa"/>
            <w:gridSpan w:val="2"/>
            <w:vAlign w:val="top"/>
          </w:tcPr>
          <w:p w14:paraId="49395E10">
            <w:pPr>
              <w:pStyle w:val="21"/>
              <w:rPr>
                <w:rFonts w:hint="eastAsia" w:ascii="宋体" w:hAnsi="宋体" w:eastAsia="宋体" w:cs="宋体"/>
                <w:color w:val="auto"/>
                <w:sz w:val="24"/>
                <w:szCs w:val="24"/>
                <w:highlight w:val="none"/>
              </w:rPr>
            </w:pPr>
          </w:p>
        </w:tc>
        <w:tc>
          <w:tcPr>
            <w:tcW w:w="2062" w:type="dxa"/>
            <w:vAlign w:val="top"/>
          </w:tcPr>
          <w:p w14:paraId="38C89432">
            <w:pPr>
              <w:pStyle w:val="21"/>
              <w:rPr>
                <w:rFonts w:hint="eastAsia" w:ascii="宋体" w:hAnsi="宋体" w:eastAsia="宋体" w:cs="宋体"/>
                <w:color w:val="auto"/>
                <w:sz w:val="24"/>
                <w:szCs w:val="24"/>
                <w:highlight w:val="none"/>
              </w:rPr>
            </w:pPr>
          </w:p>
        </w:tc>
        <w:tc>
          <w:tcPr>
            <w:tcW w:w="1798" w:type="dxa"/>
            <w:vAlign w:val="top"/>
          </w:tcPr>
          <w:p w14:paraId="5214B6C3">
            <w:pPr>
              <w:pStyle w:val="21"/>
              <w:rPr>
                <w:rFonts w:hint="eastAsia" w:ascii="宋体" w:hAnsi="宋体" w:eastAsia="宋体" w:cs="宋体"/>
                <w:color w:val="auto"/>
                <w:sz w:val="24"/>
                <w:szCs w:val="24"/>
                <w:highlight w:val="none"/>
              </w:rPr>
            </w:pPr>
          </w:p>
        </w:tc>
        <w:tc>
          <w:tcPr>
            <w:tcW w:w="1398" w:type="dxa"/>
            <w:vAlign w:val="top"/>
          </w:tcPr>
          <w:p w14:paraId="359AD966">
            <w:pPr>
              <w:pStyle w:val="21"/>
              <w:rPr>
                <w:rFonts w:hint="eastAsia" w:ascii="宋体" w:hAnsi="宋体" w:eastAsia="宋体" w:cs="宋体"/>
                <w:color w:val="auto"/>
                <w:sz w:val="24"/>
                <w:szCs w:val="24"/>
                <w:highlight w:val="none"/>
              </w:rPr>
            </w:pPr>
          </w:p>
        </w:tc>
      </w:tr>
      <w:tr w14:paraId="132C3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top"/>
          </w:tcPr>
          <w:p w14:paraId="203D061C">
            <w:pPr>
              <w:spacing w:before="177" w:line="325"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24" w:type="dxa"/>
            <w:gridSpan w:val="2"/>
            <w:vAlign w:val="top"/>
          </w:tcPr>
          <w:p w14:paraId="3022258E">
            <w:pPr>
              <w:pStyle w:val="21"/>
              <w:rPr>
                <w:rFonts w:hint="eastAsia" w:ascii="宋体" w:hAnsi="宋体" w:eastAsia="宋体" w:cs="宋体"/>
                <w:color w:val="auto"/>
                <w:sz w:val="24"/>
                <w:szCs w:val="24"/>
                <w:highlight w:val="none"/>
              </w:rPr>
            </w:pPr>
          </w:p>
        </w:tc>
        <w:tc>
          <w:tcPr>
            <w:tcW w:w="2037" w:type="dxa"/>
            <w:gridSpan w:val="2"/>
            <w:vAlign w:val="top"/>
          </w:tcPr>
          <w:p w14:paraId="13591C1A">
            <w:pPr>
              <w:pStyle w:val="21"/>
              <w:rPr>
                <w:rFonts w:hint="eastAsia" w:ascii="宋体" w:hAnsi="宋体" w:eastAsia="宋体" w:cs="宋体"/>
                <w:color w:val="auto"/>
                <w:sz w:val="24"/>
                <w:szCs w:val="24"/>
                <w:highlight w:val="none"/>
              </w:rPr>
            </w:pPr>
          </w:p>
        </w:tc>
        <w:tc>
          <w:tcPr>
            <w:tcW w:w="2062" w:type="dxa"/>
            <w:vAlign w:val="top"/>
          </w:tcPr>
          <w:p w14:paraId="7E190888">
            <w:pPr>
              <w:pStyle w:val="21"/>
              <w:rPr>
                <w:rFonts w:hint="eastAsia" w:ascii="宋体" w:hAnsi="宋体" w:eastAsia="宋体" w:cs="宋体"/>
                <w:color w:val="auto"/>
                <w:sz w:val="24"/>
                <w:szCs w:val="24"/>
                <w:highlight w:val="none"/>
              </w:rPr>
            </w:pPr>
          </w:p>
        </w:tc>
        <w:tc>
          <w:tcPr>
            <w:tcW w:w="1798" w:type="dxa"/>
            <w:vAlign w:val="top"/>
          </w:tcPr>
          <w:p w14:paraId="465A33C8">
            <w:pPr>
              <w:pStyle w:val="21"/>
              <w:rPr>
                <w:rFonts w:hint="eastAsia" w:ascii="宋体" w:hAnsi="宋体" w:eastAsia="宋体" w:cs="宋体"/>
                <w:color w:val="auto"/>
                <w:sz w:val="24"/>
                <w:szCs w:val="24"/>
                <w:highlight w:val="none"/>
              </w:rPr>
            </w:pPr>
          </w:p>
        </w:tc>
        <w:tc>
          <w:tcPr>
            <w:tcW w:w="1398" w:type="dxa"/>
            <w:vAlign w:val="top"/>
          </w:tcPr>
          <w:p w14:paraId="3E8CFEF8">
            <w:pPr>
              <w:pStyle w:val="21"/>
              <w:rPr>
                <w:rFonts w:hint="eastAsia" w:ascii="宋体" w:hAnsi="宋体" w:eastAsia="宋体" w:cs="宋体"/>
                <w:color w:val="auto"/>
                <w:sz w:val="24"/>
                <w:szCs w:val="24"/>
                <w:highlight w:val="none"/>
              </w:rPr>
            </w:pPr>
          </w:p>
        </w:tc>
      </w:tr>
    </w:tbl>
    <w:p w14:paraId="31E2A55D">
      <w:pPr>
        <w:pStyle w:val="5"/>
        <w:spacing w:line="315" w:lineRule="auto"/>
        <w:rPr>
          <w:rFonts w:hint="eastAsia" w:ascii="宋体" w:hAnsi="宋体" w:eastAsia="宋体" w:cs="宋体"/>
          <w:color w:val="auto"/>
          <w:highlight w:val="none"/>
        </w:rPr>
      </w:pPr>
    </w:p>
    <w:p w14:paraId="4A488FFC">
      <w:pPr>
        <w:spacing w:before="78" w:line="220" w:lineRule="auto"/>
        <w:ind w:left="696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项目经理</w:t>
      </w:r>
      <w:r>
        <w:rPr>
          <w:rFonts w:hint="eastAsia" w:ascii="宋体" w:hAnsi="宋体" w:eastAsia="宋体" w:cs="宋体"/>
          <w:color w:val="auto"/>
          <w:spacing w:val="-18"/>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3"/>
          <w:sz w:val="24"/>
          <w:szCs w:val="24"/>
          <w:highlight w:val="none"/>
        </w:rPr>
        <w:t>签字）</w:t>
      </w:r>
    </w:p>
    <w:p w14:paraId="55084914">
      <w:pPr>
        <w:pStyle w:val="5"/>
        <w:spacing w:line="256" w:lineRule="auto"/>
        <w:rPr>
          <w:rFonts w:hint="eastAsia" w:ascii="宋体" w:hAnsi="宋体" w:eastAsia="宋体" w:cs="宋体"/>
          <w:color w:val="auto"/>
          <w:highlight w:val="none"/>
        </w:rPr>
      </w:pPr>
    </w:p>
    <w:p w14:paraId="04095A12">
      <w:pPr>
        <w:pStyle w:val="5"/>
        <w:spacing w:line="254" w:lineRule="auto"/>
        <w:jc w:val="right"/>
        <w:rPr>
          <w:rFonts w:hint="eastAsia" w:ascii="宋体" w:hAnsi="宋体" w:eastAsia="宋体" w:cs="宋体"/>
          <w:color w:val="auto"/>
          <w:highlight w:val="none"/>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39040016">
      <w:pPr>
        <w:spacing w:before="78" w:line="220" w:lineRule="auto"/>
        <w:ind w:left="4226"/>
        <w:jc w:val="center"/>
        <w:rPr>
          <w:rFonts w:hint="eastAsia" w:ascii="宋体" w:hAnsi="宋体" w:eastAsia="宋体" w:cs="宋体"/>
          <w:color w:val="auto"/>
          <w:highlight w:val="none"/>
        </w:rPr>
      </w:pPr>
    </w:p>
    <w:p w14:paraId="09DFFC47">
      <w:pPr>
        <w:pStyle w:val="5"/>
        <w:spacing w:line="241" w:lineRule="auto"/>
        <w:rPr>
          <w:rFonts w:hint="eastAsia" w:ascii="宋体" w:hAnsi="宋体" w:eastAsia="宋体" w:cs="宋体"/>
          <w:color w:val="auto"/>
          <w:highlight w:val="none"/>
        </w:rPr>
      </w:pPr>
    </w:p>
    <w:p w14:paraId="19347D26">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说明：《项目经理简历表》后应附拟派项目经理以下资料：</w:t>
      </w:r>
    </w:p>
    <w:p w14:paraId="5F52ECB2">
      <w:pPr>
        <w:spacing w:before="152" w:line="228" w:lineRule="auto"/>
        <w:ind w:left="484"/>
        <w:outlineLvl w:val="9"/>
        <w:rPr>
          <w:rFonts w:hint="eastAsia" w:ascii="宋体" w:hAnsi="宋体" w:eastAsia="宋体" w:cs="宋体"/>
          <w:color w:val="auto"/>
          <w:sz w:val="24"/>
          <w:szCs w:val="24"/>
          <w:highlight w:val="none"/>
        </w:rPr>
      </w:pPr>
      <w:bookmarkStart w:id="238" w:name="_Toc25271"/>
      <w:bookmarkStart w:id="239" w:name="_Toc1942"/>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bookmarkEnd w:id="238"/>
      <w:bookmarkEnd w:id="239"/>
    </w:p>
    <w:p w14:paraId="4FCFE8D7">
      <w:pPr>
        <w:spacing w:before="153"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8"/>
          <w:sz w:val="24"/>
          <w:szCs w:val="24"/>
          <w:highlight w:val="none"/>
        </w:rPr>
        <w:t>．建造师电子注册证书（在使用有效期内的有效电子证书）彩色扫描件；</w:t>
      </w:r>
    </w:p>
    <w:p w14:paraId="439F755F">
      <w:pPr>
        <w:spacing w:before="154" w:line="298" w:lineRule="auto"/>
        <w:ind w:left="50" w:right="167" w:firstLine="41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3．B 类安全生产考核合格证书彩色扫描件或广东省建筑施工企业管理人员安全生产考核系统考</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7"/>
          <w:sz w:val="24"/>
          <w:szCs w:val="24"/>
          <w:highlight w:val="none"/>
        </w:rPr>
        <w:t>核合格信息彩色扫描件；</w:t>
      </w:r>
    </w:p>
    <w:p w14:paraId="540AD7C6">
      <w:pPr>
        <w:spacing w:before="153" w:line="299" w:lineRule="auto"/>
        <w:ind w:left="49" w:right="167" w:firstLine="41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8"/>
          <w:sz w:val="24"/>
          <w:szCs w:val="24"/>
          <w:highlight w:val="none"/>
        </w:rPr>
        <w:t>．在本单位缴纳社保</w:t>
      </w:r>
      <w:r>
        <w:rPr>
          <w:rFonts w:hint="eastAsia" w:ascii="宋体" w:hAnsi="宋体" w:eastAsia="宋体" w:cs="宋体"/>
          <w:color w:val="auto"/>
          <w:sz w:val="24"/>
          <w:szCs w:val="24"/>
          <w:highlight w:val="none"/>
          <w:lang w:eastAsia="zh-CN"/>
        </w:rPr>
        <w:t>的证明（至少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个月，其</w:t>
      </w:r>
      <w:bookmarkStart w:id="240" w:name="OLE_LINK38"/>
      <w:r>
        <w:rPr>
          <w:rFonts w:hint="eastAsia" w:ascii="宋体" w:hAnsi="宋体" w:eastAsia="宋体" w:cs="宋体"/>
          <w:color w:val="auto"/>
          <w:sz w:val="24"/>
          <w:szCs w:val="24"/>
          <w:highlight w:val="none"/>
          <w:lang w:eastAsia="zh-CN"/>
        </w:rPr>
        <w:t>中必须有20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月</w:t>
      </w:r>
      <w:bookmarkEnd w:id="240"/>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彩色扫描件或打印件。拟</w:t>
      </w:r>
      <w:r>
        <w:rPr>
          <w:rFonts w:hint="eastAsia" w:ascii="宋体" w:hAnsi="宋体" w:eastAsia="宋体" w:cs="宋体"/>
          <w:color w:val="auto"/>
          <w:spacing w:val="9"/>
          <w:sz w:val="24"/>
          <w:szCs w:val="24"/>
          <w:highlight w:val="none"/>
        </w:rPr>
        <w:t>派项目经理为退休返聘人员无法提供社保证明的，提供退休证和劳动合同彩色扫描件。</w:t>
      </w:r>
    </w:p>
    <w:p w14:paraId="0D76B9F6">
      <w:pPr>
        <w:spacing w:before="150" w:line="300" w:lineRule="auto"/>
        <w:ind w:left="49" w:right="170" w:firstLine="42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5</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7"/>
          <w:sz w:val="24"/>
          <w:szCs w:val="24"/>
          <w:highlight w:val="none"/>
        </w:rPr>
        <w:t>．“进粤企业和人员诚信信息登记平台</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7"/>
          <w:sz w:val="24"/>
          <w:szCs w:val="24"/>
          <w:highlight w:val="none"/>
        </w:rPr>
        <w:t>”个人（项目经理等）信息</w:t>
      </w:r>
      <w:r>
        <w:rPr>
          <w:rFonts w:hint="eastAsia" w:ascii="宋体" w:hAnsi="宋体" w:eastAsia="宋体" w:cs="宋体"/>
          <w:color w:val="auto"/>
          <w:spacing w:val="6"/>
          <w:sz w:val="24"/>
          <w:szCs w:val="24"/>
          <w:highlight w:val="none"/>
        </w:rPr>
        <w:t>情况截图。（适用于省外建</w:t>
      </w:r>
      <w:r>
        <w:rPr>
          <w:rFonts w:hint="eastAsia" w:ascii="宋体" w:hAnsi="宋体" w:eastAsia="宋体" w:cs="宋体"/>
          <w:color w:val="auto"/>
          <w:spacing w:val="4"/>
          <w:sz w:val="24"/>
          <w:szCs w:val="24"/>
          <w:highlight w:val="none"/>
        </w:rPr>
        <w:t>筑企业）</w:t>
      </w:r>
    </w:p>
    <w:p w14:paraId="0073D580">
      <w:pPr>
        <w:spacing w:line="300" w:lineRule="auto"/>
        <w:rPr>
          <w:rFonts w:hint="eastAsia" w:ascii="宋体" w:hAnsi="宋体" w:eastAsia="宋体" w:cs="宋体"/>
          <w:color w:val="auto"/>
          <w:sz w:val="20"/>
          <w:szCs w:val="20"/>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3EA23D5">
      <w:pPr>
        <w:spacing w:before="78" w:line="220" w:lineRule="auto"/>
        <w:outlineLvl w:val="2"/>
        <w:rPr>
          <w:rFonts w:hint="eastAsia" w:ascii="宋体" w:hAnsi="宋体" w:eastAsia="宋体" w:cs="宋体"/>
          <w:b/>
          <w:bCs/>
          <w:color w:val="auto"/>
          <w:spacing w:val="-4"/>
          <w:sz w:val="24"/>
          <w:szCs w:val="24"/>
          <w:highlight w:val="none"/>
        </w:rPr>
      </w:pPr>
      <w:bookmarkStart w:id="241" w:name="_Toc26618"/>
      <w:r>
        <w:rPr>
          <w:rFonts w:hint="eastAsia" w:ascii="宋体" w:hAnsi="宋体" w:eastAsia="宋体" w:cs="宋体"/>
          <w:b/>
          <w:bCs/>
          <w:color w:val="auto"/>
          <w:spacing w:val="-4"/>
          <w:sz w:val="24"/>
          <w:szCs w:val="24"/>
          <w:highlight w:val="none"/>
        </w:rPr>
        <w:t>格式九 项目经理任职声明</w:t>
      </w:r>
      <w:bookmarkEnd w:id="241"/>
    </w:p>
    <w:p w14:paraId="612F2BD3">
      <w:pPr>
        <w:pStyle w:val="5"/>
        <w:spacing w:line="350" w:lineRule="auto"/>
        <w:rPr>
          <w:rFonts w:hint="eastAsia" w:ascii="宋体" w:hAnsi="宋体" w:eastAsia="宋体" w:cs="宋体"/>
          <w:color w:val="auto"/>
          <w:highlight w:val="none"/>
        </w:rPr>
      </w:pPr>
    </w:p>
    <w:p w14:paraId="64BA9CAE">
      <w:pPr>
        <w:pStyle w:val="5"/>
        <w:spacing w:line="350" w:lineRule="auto"/>
        <w:rPr>
          <w:rFonts w:hint="eastAsia" w:ascii="宋体" w:hAnsi="宋体" w:eastAsia="宋体" w:cs="宋体"/>
          <w:color w:val="auto"/>
          <w:highlight w:val="none"/>
        </w:rPr>
      </w:pPr>
    </w:p>
    <w:p w14:paraId="2CD81D3B">
      <w:pPr>
        <w:spacing w:before="98" w:line="220" w:lineRule="auto"/>
        <w:ind w:left="3338"/>
        <w:rPr>
          <w:rFonts w:hint="eastAsia" w:ascii="宋体" w:hAnsi="宋体" w:eastAsia="宋体" w:cs="宋体"/>
          <w:color w:val="auto"/>
          <w:sz w:val="30"/>
          <w:szCs w:val="30"/>
          <w:highlight w:val="none"/>
        </w:rPr>
      </w:pPr>
      <w:bookmarkStart w:id="242" w:name="bookmark157"/>
      <w:bookmarkEnd w:id="242"/>
      <w:r>
        <w:rPr>
          <w:rFonts w:hint="eastAsia" w:ascii="宋体" w:hAnsi="宋体" w:eastAsia="宋体" w:cs="宋体"/>
          <w:b/>
          <w:bCs/>
          <w:color w:val="auto"/>
          <w:spacing w:val="-5"/>
          <w:sz w:val="30"/>
          <w:szCs w:val="30"/>
          <w:highlight w:val="none"/>
        </w:rPr>
        <w:t>项目经理任职声明</w:t>
      </w:r>
    </w:p>
    <w:p w14:paraId="5E27ED4C">
      <w:pPr>
        <w:pStyle w:val="5"/>
        <w:spacing w:line="250" w:lineRule="auto"/>
        <w:rPr>
          <w:rFonts w:hint="eastAsia" w:ascii="宋体" w:hAnsi="宋体" w:eastAsia="宋体" w:cs="宋体"/>
          <w:color w:val="auto"/>
          <w:highlight w:val="none"/>
        </w:rPr>
      </w:pPr>
    </w:p>
    <w:p w14:paraId="2F282189">
      <w:pPr>
        <w:pStyle w:val="5"/>
        <w:spacing w:line="250" w:lineRule="auto"/>
        <w:rPr>
          <w:rFonts w:hint="eastAsia" w:ascii="宋体" w:hAnsi="宋体" w:eastAsia="宋体" w:cs="宋体"/>
          <w:color w:val="auto"/>
          <w:highlight w:val="none"/>
        </w:rPr>
      </w:pPr>
    </w:p>
    <w:p w14:paraId="5C8AA10A">
      <w:pPr>
        <w:pStyle w:val="5"/>
        <w:spacing w:line="251" w:lineRule="auto"/>
        <w:rPr>
          <w:rFonts w:hint="eastAsia" w:ascii="宋体" w:hAnsi="宋体" w:eastAsia="宋体" w:cs="宋体"/>
          <w:color w:val="auto"/>
          <w:highlight w:val="none"/>
        </w:rPr>
      </w:pPr>
    </w:p>
    <w:p w14:paraId="482F2F4D">
      <w:pPr>
        <w:spacing w:before="78" w:line="221"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u w:val="single"/>
          <w:lang w:val="en-US" w:eastAsia="zh-CN"/>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0904F3EC">
      <w:pPr>
        <w:spacing w:before="155"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我方在此声明，我方拟派往</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（项目名称）的项目经理</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（项目经理姓名）现阶段没有</w:t>
      </w:r>
      <w:r>
        <w:rPr>
          <w:rFonts w:hint="eastAsia" w:ascii="宋体" w:hAnsi="宋体" w:eastAsia="宋体" w:cs="宋体"/>
          <w:color w:val="auto"/>
          <w:sz w:val="24"/>
          <w:szCs w:val="24"/>
          <w:highlight w:val="none"/>
        </w:rPr>
        <w:t>担任任何在施（包括已中标未开工、已开工未竣工）</w:t>
      </w:r>
      <w:r>
        <w:rPr>
          <w:rFonts w:hint="eastAsia" w:ascii="宋体" w:hAnsi="宋体" w:eastAsia="宋体" w:cs="宋体"/>
          <w:color w:val="auto"/>
          <w:spacing w:val="-1"/>
          <w:sz w:val="24"/>
          <w:szCs w:val="24"/>
          <w:highlight w:val="none"/>
        </w:rPr>
        <w:t>建设工程项目的项目经理。</w:t>
      </w:r>
    </w:p>
    <w:p w14:paraId="640324F8">
      <w:pPr>
        <w:spacing w:before="35" w:line="326" w:lineRule="auto"/>
        <w:ind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我方保证上述信息的真实和准确，并愿意承担因我方就此弄虚作假所引起的一切法</w:t>
      </w:r>
      <w:r>
        <w:rPr>
          <w:rFonts w:hint="eastAsia" w:ascii="宋体" w:hAnsi="宋体" w:eastAsia="宋体" w:cs="宋体"/>
          <w:color w:val="auto"/>
          <w:spacing w:val="-3"/>
          <w:sz w:val="24"/>
          <w:szCs w:val="24"/>
          <w:highlight w:val="none"/>
        </w:rPr>
        <w:t>律后果。</w:t>
      </w:r>
    </w:p>
    <w:p w14:paraId="509BB5DB">
      <w:pPr>
        <w:pStyle w:val="5"/>
        <w:spacing w:line="391" w:lineRule="auto"/>
        <w:rPr>
          <w:rFonts w:hint="eastAsia" w:ascii="宋体" w:hAnsi="宋体" w:eastAsia="宋体" w:cs="宋体"/>
          <w:color w:val="auto"/>
          <w:highlight w:val="none"/>
        </w:rPr>
      </w:pPr>
    </w:p>
    <w:p w14:paraId="7EA0A4E9">
      <w:pPr>
        <w:spacing w:before="78" w:line="220" w:lineRule="auto"/>
        <w:ind w:left="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特此承诺</w:t>
      </w:r>
    </w:p>
    <w:p w14:paraId="47C7F522">
      <w:pPr>
        <w:pStyle w:val="5"/>
        <w:spacing w:line="316" w:lineRule="auto"/>
        <w:rPr>
          <w:rFonts w:hint="eastAsia" w:ascii="宋体" w:hAnsi="宋体" w:eastAsia="宋体" w:cs="宋体"/>
          <w:color w:val="auto"/>
          <w:highlight w:val="none"/>
        </w:rPr>
      </w:pPr>
    </w:p>
    <w:p w14:paraId="166EE9AC">
      <w:pPr>
        <w:pStyle w:val="5"/>
        <w:spacing w:line="317" w:lineRule="auto"/>
        <w:rPr>
          <w:rFonts w:hint="eastAsia" w:ascii="宋体" w:hAnsi="宋体" w:eastAsia="宋体" w:cs="宋体"/>
          <w:color w:val="auto"/>
          <w:highlight w:val="none"/>
        </w:rPr>
      </w:pPr>
    </w:p>
    <w:p w14:paraId="708846AD">
      <w:pPr>
        <w:pStyle w:val="5"/>
        <w:spacing w:line="317" w:lineRule="auto"/>
        <w:rPr>
          <w:rFonts w:hint="eastAsia" w:ascii="宋体" w:hAnsi="宋体" w:eastAsia="宋体" w:cs="宋体"/>
          <w:color w:val="auto"/>
          <w:highlight w:val="none"/>
        </w:rPr>
      </w:pPr>
    </w:p>
    <w:p w14:paraId="07D0B977">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4F711471">
      <w:pPr>
        <w:pStyle w:val="5"/>
        <w:spacing w:line="317" w:lineRule="auto"/>
        <w:rPr>
          <w:rFonts w:hint="eastAsia" w:ascii="宋体" w:hAnsi="宋体" w:eastAsia="宋体" w:cs="宋体"/>
          <w:color w:val="auto"/>
          <w:highlight w:val="none"/>
        </w:rPr>
      </w:pPr>
    </w:p>
    <w:p w14:paraId="38491E5D">
      <w:pPr>
        <w:pStyle w:val="5"/>
        <w:spacing w:line="317" w:lineRule="auto"/>
        <w:rPr>
          <w:rFonts w:hint="eastAsia" w:ascii="宋体" w:hAnsi="宋体" w:eastAsia="宋体" w:cs="宋体"/>
          <w:color w:val="auto"/>
          <w:highlight w:val="none"/>
        </w:rPr>
      </w:pPr>
    </w:p>
    <w:p w14:paraId="2845CC21">
      <w:pPr>
        <w:pStyle w:val="5"/>
        <w:spacing w:line="317" w:lineRule="auto"/>
        <w:rPr>
          <w:rFonts w:hint="eastAsia" w:ascii="宋体" w:hAnsi="宋体" w:eastAsia="宋体" w:cs="宋体"/>
          <w:color w:val="auto"/>
          <w:highlight w:val="none"/>
        </w:rPr>
      </w:pPr>
    </w:p>
    <w:p w14:paraId="270F977A">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4FF68B7A">
      <w:pPr>
        <w:pStyle w:val="5"/>
        <w:spacing w:line="257" w:lineRule="auto"/>
        <w:rPr>
          <w:rFonts w:hint="eastAsia" w:ascii="宋体" w:hAnsi="宋体" w:eastAsia="宋体" w:cs="宋体"/>
          <w:color w:val="auto"/>
          <w:highlight w:val="none"/>
        </w:rPr>
      </w:pPr>
    </w:p>
    <w:p w14:paraId="24BB67B8">
      <w:pPr>
        <w:pStyle w:val="5"/>
        <w:spacing w:line="257" w:lineRule="auto"/>
        <w:rPr>
          <w:rFonts w:hint="eastAsia" w:ascii="宋体" w:hAnsi="宋体" w:eastAsia="宋体" w:cs="宋体"/>
          <w:color w:val="auto"/>
          <w:highlight w:val="none"/>
        </w:rPr>
      </w:pPr>
    </w:p>
    <w:p w14:paraId="1DEB93F9">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9C55D77">
      <w:pPr>
        <w:spacing w:line="220" w:lineRule="auto"/>
        <w:rPr>
          <w:rFonts w:hint="eastAsia" w:ascii="宋体" w:hAnsi="宋体" w:eastAsia="宋体" w:cs="宋体"/>
          <w:color w:val="auto"/>
          <w:sz w:val="24"/>
          <w:szCs w:val="24"/>
          <w:highlight w:val="none"/>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C279ED4">
      <w:pPr>
        <w:spacing w:before="78" w:line="220" w:lineRule="auto"/>
        <w:outlineLvl w:val="2"/>
        <w:rPr>
          <w:rFonts w:hint="eastAsia" w:ascii="宋体" w:hAnsi="宋体" w:eastAsia="宋体" w:cs="宋体"/>
          <w:b/>
          <w:bCs/>
          <w:color w:val="auto"/>
          <w:spacing w:val="-4"/>
          <w:sz w:val="24"/>
          <w:szCs w:val="24"/>
          <w:highlight w:val="none"/>
        </w:rPr>
      </w:pPr>
      <w:bookmarkStart w:id="243" w:name="_Toc12919"/>
      <w:r>
        <w:rPr>
          <w:rFonts w:hint="eastAsia" w:ascii="宋体" w:hAnsi="宋体" w:eastAsia="宋体" w:cs="宋体"/>
          <w:b/>
          <w:bCs/>
          <w:color w:val="auto"/>
          <w:spacing w:val="-4"/>
          <w:sz w:val="24"/>
          <w:szCs w:val="24"/>
          <w:highlight w:val="none"/>
        </w:rPr>
        <w:t>格式十 项目技术负责人简历表</w:t>
      </w:r>
      <w:bookmarkEnd w:id="243"/>
    </w:p>
    <w:p w14:paraId="675D0539">
      <w:pPr>
        <w:pStyle w:val="5"/>
        <w:spacing w:line="444" w:lineRule="auto"/>
        <w:rPr>
          <w:rFonts w:hint="eastAsia" w:ascii="宋体" w:hAnsi="宋体" w:eastAsia="宋体" w:cs="宋体"/>
          <w:color w:val="auto"/>
          <w:highlight w:val="none"/>
        </w:rPr>
      </w:pPr>
    </w:p>
    <w:p w14:paraId="0EE5F1FB">
      <w:pPr>
        <w:spacing w:before="97" w:line="219" w:lineRule="auto"/>
        <w:ind w:left="3087"/>
        <w:outlineLvl w:val="9"/>
        <w:rPr>
          <w:rFonts w:hint="eastAsia" w:ascii="宋体" w:hAnsi="宋体" w:eastAsia="宋体" w:cs="宋体"/>
          <w:color w:val="auto"/>
          <w:sz w:val="30"/>
          <w:szCs w:val="30"/>
          <w:highlight w:val="none"/>
        </w:rPr>
      </w:pPr>
      <w:bookmarkStart w:id="244" w:name="_Toc1553"/>
      <w:bookmarkStart w:id="245" w:name="_Toc25712"/>
      <w:r>
        <w:rPr>
          <w:rFonts w:hint="eastAsia" w:ascii="宋体" w:hAnsi="宋体" w:eastAsia="宋体" w:cs="宋体"/>
          <w:b/>
          <w:bCs/>
          <w:color w:val="auto"/>
          <w:spacing w:val="-4"/>
          <w:sz w:val="30"/>
          <w:szCs w:val="30"/>
          <w:highlight w:val="none"/>
        </w:rPr>
        <w:t>项目技术负责人简历表</w:t>
      </w:r>
      <w:bookmarkEnd w:id="244"/>
      <w:bookmarkEnd w:id="245"/>
    </w:p>
    <w:p w14:paraId="0C4EC7B8">
      <w:pPr>
        <w:spacing w:line="240" w:lineRule="exact"/>
        <w:rPr>
          <w:rFonts w:hint="eastAsia" w:ascii="宋体" w:hAnsi="宋体" w:eastAsia="宋体" w:cs="宋体"/>
          <w:color w:val="auto"/>
          <w:highlight w:val="none"/>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54649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top"/>
          </w:tcPr>
          <w:p w14:paraId="07401C12">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82" w:type="dxa"/>
            <w:gridSpan w:val="2"/>
            <w:vAlign w:val="top"/>
          </w:tcPr>
          <w:p w14:paraId="1DDDCFB5">
            <w:pPr>
              <w:pStyle w:val="21"/>
              <w:rPr>
                <w:rFonts w:hint="eastAsia" w:ascii="宋体" w:hAnsi="宋体" w:eastAsia="宋体" w:cs="宋体"/>
                <w:color w:val="auto"/>
                <w:sz w:val="24"/>
                <w:szCs w:val="24"/>
                <w:highlight w:val="none"/>
              </w:rPr>
            </w:pPr>
          </w:p>
        </w:tc>
        <w:tc>
          <w:tcPr>
            <w:tcW w:w="1346" w:type="dxa"/>
            <w:vAlign w:val="top"/>
          </w:tcPr>
          <w:p w14:paraId="3A00E866">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47" w:type="dxa"/>
            <w:vAlign w:val="top"/>
          </w:tcPr>
          <w:p w14:paraId="2C9F5B8C">
            <w:pPr>
              <w:pStyle w:val="21"/>
              <w:rPr>
                <w:rFonts w:hint="eastAsia" w:ascii="宋体" w:hAnsi="宋体" w:eastAsia="宋体" w:cs="宋体"/>
                <w:color w:val="auto"/>
                <w:sz w:val="24"/>
                <w:szCs w:val="24"/>
                <w:highlight w:val="none"/>
              </w:rPr>
            </w:pPr>
          </w:p>
        </w:tc>
        <w:tc>
          <w:tcPr>
            <w:tcW w:w="1783" w:type="dxa"/>
            <w:vAlign w:val="top"/>
          </w:tcPr>
          <w:p w14:paraId="7B35F84B">
            <w:pPr>
              <w:spacing w:before="177" w:line="228" w:lineRule="auto"/>
              <w:ind w:left="4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86" w:type="dxa"/>
            <w:vAlign w:val="top"/>
          </w:tcPr>
          <w:p w14:paraId="60520BF4">
            <w:pPr>
              <w:pStyle w:val="21"/>
              <w:rPr>
                <w:rFonts w:hint="eastAsia" w:ascii="宋体" w:hAnsi="宋体" w:eastAsia="宋体" w:cs="宋体"/>
                <w:color w:val="auto"/>
                <w:sz w:val="24"/>
                <w:szCs w:val="24"/>
                <w:highlight w:val="none"/>
              </w:rPr>
            </w:pPr>
          </w:p>
        </w:tc>
      </w:tr>
      <w:tr w14:paraId="0D966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top"/>
          </w:tcPr>
          <w:p w14:paraId="1C3F8DB8">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82" w:type="dxa"/>
            <w:gridSpan w:val="2"/>
            <w:vAlign w:val="top"/>
          </w:tcPr>
          <w:p w14:paraId="19790CAF">
            <w:pPr>
              <w:pStyle w:val="21"/>
              <w:rPr>
                <w:rFonts w:hint="eastAsia" w:ascii="宋体" w:hAnsi="宋体" w:eastAsia="宋体" w:cs="宋体"/>
                <w:color w:val="auto"/>
                <w:sz w:val="24"/>
                <w:szCs w:val="24"/>
                <w:highlight w:val="none"/>
              </w:rPr>
            </w:pPr>
          </w:p>
        </w:tc>
        <w:tc>
          <w:tcPr>
            <w:tcW w:w="1346" w:type="dxa"/>
            <w:vAlign w:val="top"/>
          </w:tcPr>
          <w:p w14:paraId="1732E3C0">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47" w:type="dxa"/>
            <w:vAlign w:val="top"/>
          </w:tcPr>
          <w:p w14:paraId="481B37E4">
            <w:pPr>
              <w:pStyle w:val="21"/>
              <w:rPr>
                <w:rFonts w:hint="eastAsia" w:ascii="宋体" w:hAnsi="宋体" w:eastAsia="宋体" w:cs="宋体"/>
                <w:color w:val="auto"/>
                <w:sz w:val="24"/>
                <w:szCs w:val="24"/>
                <w:highlight w:val="none"/>
              </w:rPr>
            </w:pPr>
          </w:p>
        </w:tc>
        <w:tc>
          <w:tcPr>
            <w:tcW w:w="1783" w:type="dxa"/>
            <w:vAlign w:val="top"/>
          </w:tcPr>
          <w:p w14:paraId="56AB3CDE">
            <w:pPr>
              <w:spacing w:before="175" w:line="230" w:lineRule="auto"/>
              <w:ind w:left="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86" w:type="dxa"/>
            <w:vAlign w:val="top"/>
          </w:tcPr>
          <w:p w14:paraId="5C9CA710">
            <w:pPr>
              <w:pStyle w:val="21"/>
              <w:rPr>
                <w:rFonts w:hint="eastAsia" w:ascii="宋体" w:hAnsi="宋体" w:eastAsia="宋体" w:cs="宋体"/>
                <w:color w:val="auto"/>
                <w:sz w:val="24"/>
                <w:szCs w:val="24"/>
                <w:highlight w:val="none"/>
              </w:rPr>
            </w:pPr>
          </w:p>
        </w:tc>
      </w:tr>
      <w:tr w14:paraId="06ECC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top"/>
          </w:tcPr>
          <w:p w14:paraId="2C6D39E6">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28" w:type="dxa"/>
            <w:gridSpan w:val="3"/>
            <w:vAlign w:val="top"/>
          </w:tcPr>
          <w:p w14:paraId="51D2A335">
            <w:pPr>
              <w:pStyle w:val="21"/>
              <w:rPr>
                <w:rFonts w:hint="eastAsia" w:ascii="宋体" w:hAnsi="宋体" w:eastAsia="宋体" w:cs="宋体"/>
                <w:color w:val="auto"/>
                <w:sz w:val="24"/>
                <w:szCs w:val="24"/>
                <w:highlight w:val="none"/>
              </w:rPr>
            </w:pPr>
          </w:p>
        </w:tc>
        <w:tc>
          <w:tcPr>
            <w:tcW w:w="3830" w:type="dxa"/>
            <w:gridSpan w:val="2"/>
            <w:vAlign w:val="top"/>
          </w:tcPr>
          <w:p w14:paraId="43C0FC45">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86" w:type="dxa"/>
            <w:vAlign w:val="top"/>
          </w:tcPr>
          <w:p w14:paraId="75D20512">
            <w:pPr>
              <w:pStyle w:val="21"/>
              <w:rPr>
                <w:rFonts w:hint="eastAsia" w:ascii="宋体" w:hAnsi="宋体" w:eastAsia="宋体" w:cs="宋体"/>
                <w:color w:val="auto"/>
                <w:sz w:val="24"/>
                <w:szCs w:val="24"/>
                <w:highlight w:val="none"/>
              </w:rPr>
            </w:pPr>
          </w:p>
        </w:tc>
      </w:tr>
      <w:tr w14:paraId="40C13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top"/>
          </w:tcPr>
          <w:p w14:paraId="43E8CDA2">
            <w:pPr>
              <w:spacing w:before="176" w:line="228" w:lineRule="auto"/>
              <w:ind w:left="204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以项目技术负责人身份参与过的主要业绩（已完工项目）</w:t>
            </w:r>
          </w:p>
        </w:tc>
      </w:tr>
      <w:tr w14:paraId="705EE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top"/>
          </w:tcPr>
          <w:p w14:paraId="36F5A08A">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10" w:type="dxa"/>
            <w:gridSpan w:val="2"/>
            <w:vAlign w:val="top"/>
          </w:tcPr>
          <w:p w14:paraId="1A081902">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21" w:type="dxa"/>
            <w:gridSpan w:val="2"/>
            <w:vAlign w:val="top"/>
          </w:tcPr>
          <w:p w14:paraId="773730B3">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47" w:type="dxa"/>
            <w:vAlign w:val="top"/>
          </w:tcPr>
          <w:p w14:paraId="271BA220">
            <w:pPr>
              <w:spacing w:before="176"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83" w:type="dxa"/>
            <w:vAlign w:val="top"/>
          </w:tcPr>
          <w:p w14:paraId="26A77878">
            <w:pPr>
              <w:spacing w:before="176" w:line="228" w:lineRule="auto"/>
              <w:ind w:left="23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86" w:type="dxa"/>
            <w:vAlign w:val="top"/>
          </w:tcPr>
          <w:p w14:paraId="311F0986">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0A13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49B2F7FC">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10" w:type="dxa"/>
            <w:gridSpan w:val="2"/>
            <w:vAlign w:val="top"/>
          </w:tcPr>
          <w:p w14:paraId="1D017C43">
            <w:pPr>
              <w:pStyle w:val="21"/>
              <w:rPr>
                <w:rFonts w:hint="eastAsia" w:ascii="宋体" w:hAnsi="宋体" w:eastAsia="宋体" w:cs="宋体"/>
                <w:color w:val="auto"/>
                <w:sz w:val="24"/>
                <w:szCs w:val="24"/>
                <w:highlight w:val="none"/>
              </w:rPr>
            </w:pPr>
          </w:p>
        </w:tc>
        <w:tc>
          <w:tcPr>
            <w:tcW w:w="2021" w:type="dxa"/>
            <w:gridSpan w:val="2"/>
            <w:vAlign w:val="top"/>
          </w:tcPr>
          <w:p w14:paraId="270436EC">
            <w:pPr>
              <w:pStyle w:val="21"/>
              <w:rPr>
                <w:rFonts w:hint="eastAsia" w:ascii="宋体" w:hAnsi="宋体" w:eastAsia="宋体" w:cs="宋体"/>
                <w:color w:val="auto"/>
                <w:sz w:val="24"/>
                <w:szCs w:val="24"/>
                <w:highlight w:val="none"/>
              </w:rPr>
            </w:pPr>
          </w:p>
        </w:tc>
        <w:tc>
          <w:tcPr>
            <w:tcW w:w="2047" w:type="dxa"/>
            <w:vAlign w:val="top"/>
          </w:tcPr>
          <w:p w14:paraId="254FE938">
            <w:pPr>
              <w:pStyle w:val="21"/>
              <w:rPr>
                <w:rFonts w:hint="eastAsia" w:ascii="宋体" w:hAnsi="宋体" w:eastAsia="宋体" w:cs="宋体"/>
                <w:color w:val="auto"/>
                <w:sz w:val="24"/>
                <w:szCs w:val="24"/>
                <w:highlight w:val="none"/>
              </w:rPr>
            </w:pPr>
          </w:p>
        </w:tc>
        <w:tc>
          <w:tcPr>
            <w:tcW w:w="1783" w:type="dxa"/>
            <w:vAlign w:val="top"/>
          </w:tcPr>
          <w:p w14:paraId="355EA15C">
            <w:pPr>
              <w:pStyle w:val="21"/>
              <w:rPr>
                <w:rFonts w:hint="eastAsia" w:ascii="宋体" w:hAnsi="宋体" w:eastAsia="宋体" w:cs="宋体"/>
                <w:color w:val="auto"/>
                <w:sz w:val="24"/>
                <w:szCs w:val="24"/>
                <w:highlight w:val="none"/>
              </w:rPr>
            </w:pPr>
          </w:p>
        </w:tc>
        <w:tc>
          <w:tcPr>
            <w:tcW w:w="1386" w:type="dxa"/>
            <w:vAlign w:val="top"/>
          </w:tcPr>
          <w:p w14:paraId="3A063067">
            <w:pPr>
              <w:pStyle w:val="21"/>
              <w:rPr>
                <w:rFonts w:hint="eastAsia" w:ascii="宋体" w:hAnsi="宋体" w:eastAsia="宋体" w:cs="宋体"/>
                <w:color w:val="auto"/>
                <w:sz w:val="24"/>
                <w:szCs w:val="24"/>
                <w:highlight w:val="none"/>
              </w:rPr>
            </w:pPr>
          </w:p>
        </w:tc>
      </w:tr>
      <w:tr w14:paraId="76EDB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top"/>
          </w:tcPr>
          <w:p w14:paraId="08B6618B">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10" w:type="dxa"/>
            <w:gridSpan w:val="2"/>
            <w:vAlign w:val="top"/>
          </w:tcPr>
          <w:p w14:paraId="0C5944E3">
            <w:pPr>
              <w:pStyle w:val="21"/>
              <w:rPr>
                <w:rFonts w:hint="eastAsia" w:ascii="宋体" w:hAnsi="宋体" w:eastAsia="宋体" w:cs="宋体"/>
                <w:color w:val="auto"/>
                <w:sz w:val="24"/>
                <w:szCs w:val="24"/>
                <w:highlight w:val="none"/>
              </w:rPr>
            </w:pPr>
          </w:p>
        </w:tc>
        <w:tc>
          <w:tcPr>
            <w:tcW w:w="2021" w:type="dxa"/>
            <w:gridSpan w:val="2"/>
            <w:vAlign w:val="top"/>
          </w:tcPr>
          <w:p w14:paraId="4FF33181">
            <w:pPr>
              <w:pStyle w:val="21"/>
              <w:rPr>
                <w:rFonts w:hint="eastAsia" w:ascii="宋体" w:hAnsi="宋体" w:eastAsia="宋体" w:cs="宋体"/>
                <w:color w:val="auto"/>
                <w:sz w:val="24"/>
                <w:szCs w:val="24"/>
                <w:highlight w:val="none"/>
              </w:rPr>
            </w:pPr>
          </w:p>
        </w:tc>
        <w:tc>
          <w:tcPr>
            <w:tcW w:w="2047" w:type="dxa"/>
            <w:vAlign w:val="top"/>
          </w:tcPr>
          <w:p w14:paraId="7DB0E2CE">
            <w:pPr>
              <w:pStyle w:val="21"/>
              <w:rPr>
                <w:rFonts w:hint="eastAsia" w:ascii="宋体" w:hAnsi="宋体" w:eastAsia="宋体" w:cs="宋体"/>
                <w:color w:val="auto"/>
                <w:sz w:val="24"/>
                <w:szCs w:val="24"/>
                <w:highlight w:val="none"/>
              </w:rPr>
            </w:pPr>
          </w:p>
        </w:tc>
        <w:tc>
          <w:tcPr>
            <w:tcW w:w="1783" w:type="dxa"/>
            <w:vAlign w:val="top"/>
          </w:tcPr>
          <w:p w14:paraId="026AE2C4">
            <w:pPr>
              <w:pStyle w:val="21"/>
              <w:rPr>
                <w:rFonts w:hint="eastAsia" w:ascii="宋体" w:hAnsi="宋体" w:eastAsia="宋体" w:cs="宋体"/>
                <w:color w:val="auto"/>
                <w:sz w:val="24"/>
                <w:szCs w:val="24"/>
                <w:highlight w:val="none"/>
              </w:rPr>
            </w:pPr>
          </w:p>
        </w:tc>
        <w:tc>
          <w:tcPr>
            <w:tcW w:w="1386" w:type="dxa"/>
            <w:vAlign w:val="top"/>
          </w:tcPr>
          <w:p w14:paraId="371023C5">
            <w:pPr>
              <w:pStyle w:val="21"/>
              <w:rPr>
                <w:rFonts w:hint="eastAsia" w:ascii="宋体" w:hAnsi="宋体" w:eastAsia="宋体" w:cs="宋体"/>
                <w:color w:val="auto"/>
                <w:sz w:val="24"/>
                <w:szCs w:val="24"/>
                <w:highlight w:val="none"/>
              </w:rPr>
            </w:pPr>
          </w:p>
        </w:tc>
      </w:tr>
      <w:tr w14:paraId="69277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F6C5487">
            <w:pPr>
              <w:spacing w:before="178" w:line="324"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10" w:type="dxa"/>
            <w:gridSpan w:val="2"/>
            <w:vAlign w:val="top"/>
          </w:tcPr>
          <w:p w14:paraId="4A2416CF">
            <w:pPr>
              <w:pStyle w:val="21"/>
              <w:rPr>
                <w:rFonts w:hint="eastAsia" w:ascii="宋体" w:hAnsi="宋体" w:eastAsia="宋体" w:cs="宋体"/>
                <w:color w:val="auto"/>
                <w:sz w:val="24"/>
                <w:szCs w:val="24"/>
                <w:highlight w:val="none"/>
              </w:rPr>
            </w:pPr>
          </w:p>
        </w:tc>
        <w:tc>
          <w:tcPr>
            <w:tcW w:w="2021" w:type="dxa"/>
            <w:gridSpan w:val="2"/>
            <w:vAlign w:val="top"/>
          </w:tcPr>
          <w:p w14:paraId="5DC4416F">
            <w:pPr>
              <w:pStyle w:val="21"/>
              <w:rPr>
                <w:rFonts w:hint="eastAsia" w:ascii="宋体" w:hAnsi="宋体" w:eastAsia="宋体" w:cs="宋体"/>
                <w:color w:val="auto"/>
                <w:sz w:val="24"/>
                <w:szCs w:val="24"/>
                <w:highlight w:val="none"/>
              </w:rPr>
            </w:pPr>
          </w:p>
        </w:tc>
        <w:tc>
          <w:tcPr>
            <w:tcW w:w="2047" w:type="dxa"/>
            <w:vAlign w:val="top"/>
          </w:tcPr>
          <w:p w14:paraId="2AF0F04E">
            <w:pPr>
              <w:pStyle w:val="21"/>
              <w:rPr>
                <w:rFonts w:hint="eastAsia" w:ascii="宋体" w:hAnsi="宋体" w:eastAsia="宋体" w:cs="宋体"/>
                <w:color w:val="auto"/>
                <w:sz w:val="24"/>
                <w:szCs w:val="24"/>
                <w:highlight w:val="none"/>
              </w:rPr>
            </w:pPr>
          </w:p>
        </w:tc>
        <w:tc>
          <w:tcPr>
            <w:tcW w:w="1783" w:type="dxa"/>
            <w:vAlign w:val="top"/>
          </w:tcPr>
          <w:p w14:paraId="400EE5B7">
            <w:pPr>
              <w:pStyle w:val="21"/>
              <w:rPr>
                <w:rFonts w:hint="eastAsia" w:ascii="宋体" w:hAnsi="宋体" w:eastAsia="宋体" w:cs="宋体"/>
                <w:color w:val="auto"/>
                <w:sz w:val="24"/>
                <w:szCs w:val="24"/>
                <w:highlight w:val="none"/>
              </w:rPr>
            </w:pPr>
          </w:p>
        </w:tc>
        <w:tc>
          <w:tcPr>
            <w:tcW w:w="1386" w:type="dxa"/>
            <w:vAlign w:val="top"/>
          </w:tcPr>
          <w:p w14:paraId="1734BD0B">
            <w:pPr>
              <w:pStyle w:val="21"/>
              <w:rPr>
                <w:rFonts w:hint="eastAsia" w:ascii="宋体" w:hAnsi="宋体" w:eastAsia="宋体" w:cs="宋体"/>
                <w:color w:val="auto"/>
                <w:sz w:val="24"/>
                <w:szCs w:val="24"/>
                <w:highlight w:val="none"/>
              </w:rPr>
            </w:pPr>
          </w:p>
        </w:tc>
      </w:tr>
      <w:tr w14:paraId="58719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EA1F3C9">
            <w:pPr>
              <w:pStyle w:val="21"/>
              <w:rPr>
                <w:rFonts w:hint="eastAsia" w:ascii="宋体" w:hAnsi="宋体" w:eastAsia="宋体" w:cs="宋体"/>
                <w:color w:val="auto"/>
                <w:sz w:val="24"/>
                <w:szCs w:val="24"/>
                <w:highlight w:val="none"/>
              </w:rPr>
            </w:pPr>
          </w:p>
        </w:tc>
        <w:tc>
          <w:tcPr>
            <w:tcW w:w="1610" w:type="dxa"/>
            <w:gridSpan w:val="2"/>
            <w:vAlign w:val="top"/>
          </w:tcPr>
          <w:p w14:paraId="698F5787">
            <w:pPr>
              <w:pStyle w:val="21"/>
              <w:rPr>
                <w:rFonts w:hint="eastAsia" w:ascii="宋体" w:hAnsi="宋体" w:eastAsia="宋体" w:cs="宋体"/>
                <w:color w:val="auto"/>
                <w:sz w:val="24"/>
                <w:szCs w:val="24"/>
                <w:highlight w:val="none"/>
              </w:rPr>
            </w:pPr>
          </w:p>
        </w:tc>
        <w:tc>
          <w:tcPr>
            <w:tcW w:w="2021" w:type="dxa"/>
            <w:gridSpan w:val="2"/>
            <w:vAlign w:val="top"/>
          </w:tcPr>
          <w:p w14:paraId="69858A0D">
            <w:pPr>
              <w:pStyle w:val="21"/>
              <w:rPr>
                <w:rFonts w:hint="eastAsia" w:ascii="宋体" w:hAnsi="宋体" w:eastAsia="宋体" w:cs="宋体"/>
                <w:color w:val="auto"/>
                <w:sz w:val="24"/>
                <w:szCs w:val="24"/>
                <w:highlight w:val="none"/>
              </w:rPr>
            </w:pPr>
          </w:p>
        </w:tc>
        <w:tc>
          <w:tcPr>
            <w:tcW w:w="2047" w:type="dxa"/>
            <w:vAlign w:val="top"/>
          </w:tcPr>
          <w:p w14:paraId="2BD7DCDB">
            <w:pPr>
              <w:pStyle w:val="21"/>
              <w:rPr>
                <w:rFonts w:hint="eastAsia" w:ascii="宋体" w:hAnsi="宋体" w:eastAsia="宋体" w:cs="宋体"/>
                <w:color w:val="auto"/>
                <w:sz w:val="24"/>
                <w:szCs w:val="24"/>
                <w:highlight w:val="none"/>
              </w:rPr>
            </w:pPr>
          </w:p>
        </w:tc>
        <w:tc>
          <w:tcPr>
            <w:tcW w:w="1783" w:type="dxa"/>
            <w:vAlign w:val="top"/>
          </w:tcPr>
          <w:p w14:paraId="4D125A3E">
            <w:pPr>
              <w:pStyle w:val="21"/>
              <w:rPr>
                <w:rFonts w:hint="eastAsia" w:ascii="宋体" w:hAnsi="宋体" w:eastAsia="宋体" w:cs="宋体"/>
                <w:color w:val="auto"/>
                <w:sz w:val="24"/>
                <w:szCs w:val="24"/>
                <w:highlight w:val="none"/>
              </w:rPr>
            </w:pPr>
          </w:p>
        </w:tc>
        <w:tc>
          <w:tcPr>
            <w:tcW w:w="1386" w:type="dxa"/>
            <w:vAlign w:val="top"/>
          </w:tcPr>
          <w:p w14:paraId="39C6E406">
            <w:pPr>
              <w:pStyle w:val="21"/>
              <w:rPr>
                <w:rFonts w:hint="eastAsia" w:ascii="宋体" w:hAnsi="宋体" w:eastAsia="宋体" w:cs="宋体"/>
                <w:color w:val="auto"/>
                <w:sz w:val="24"/>
                <w:szCs w:val="24"/>
                <w:highlight w:val="none"/>
              </w:rPr>
            </w:pPr>
          </w:p>
        </w:tc>
      </w:tr>
      <w:tr w14:paraId="320ED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5" w:hRule="atLeast"/>
          <w:jc w:val="center"/>
        </w:trPr>
        <w:tc>
          <w:tcPr>
            <w:tcW w:w="810" w:type="dxa"/>
            <w:vAlign w:val="top"/>
          </w:tcPr>
          <w:p w14:paraId="2C145747">
            <w:pPr>
              <w:pStyle w:val="21"/>
              <w:rPr>
                <w:rFonts w:hint="eastAsia" w:ascii="宋体" w:hAnsi="宋体" w:eastAsia="宋体" w:cs="宋体"/>
                <w:color w:val="auto"/>
                <w:sz w:val="24"/>
                <w:szCs w:val="24"/>
                <w:highlight w:val="none"/>
              </w:rPr>
            </w:pPr>
          </w:p>
        </w:tc>
        <w:tc>
          <w:tcPr>
            <w:tcW w:w="1610" w:type="dxa"/>
            <w:gridSpan w:val="2"/>
            <w:vAlign w:val="top"/>
          </w:tcPr>
          <w:p w14:paraId="51FAB6E2">
            <w:pPr>
              <w:pStyle w:val="21"/>
              <w:rPr>
                <w:rFonts w:hint="eastAsia" w:ascii="宋体" w:hAnsi="宋体" w:eastAsia="宋体" w:cs="宋体"/>
                <w:color w:val="auto"/>
                <w:sz w:val="24"/>
                <w:szCs w:val="24"/>
                <w:highlight w:val="none"/>
              </w:rPr>
            </w:pPr>
          </w:p>
        </w:tc>
        <w:tc>
          <w:tcPr>
            <w:tcW w:w="2021" w:type="dxa"/>
            <w:gridSpan w:val="2"/>
            <w:vAlign w:val="top"/>
          </w:tcPr>
          <w:p w14:paraId="61875FD1">
            <w:pPr>
              <w:pStyle w:val="21"/>
              <w:rPr>
                <w:rFonts w:hint="eastAsia" w:ascii="宋体" w:hAnsi="宋体" w:eastAsia="宋体" w:cs="宋体"/>
                <w:color w:val="auto"/>
                <w:sz w:val="24"/>
                <w:szCs w:val="24"/>
                <w:highlight w:val="none"/>
              </w:rPr>
            </w:pPr>
          </w:p>
        </w:tc>
        <w:tc>
          <w:tcPr>
            <w:tcW w:w="2047" w:type="dxa"/>
            <w:vAlign w:val="top"/>
          </w:tcPr>
          <w:p w14:paraId="404E5FF7">
            <w:pPr>
              <w:pStyle w:val="21"/>
              <w:rPr>
                <w:rFonts w:hint="eastAsia" w:ascii="宋体" w:hAnsi="宋体" w:eastAsia="宋体" w:cs="宋体"/>
                <w:color w:val="auto"/>
                <w:sz w:val="24"/>
                <w:szCs w:val="24"/>
                <w:highlight w:val="none"/>
              </w:rPr>
            </w:pPr>
          </w:p>
        </w:tc>
        <w:tc>
          <w:tcPr>
            <w:tcW w:w="1783" w:type="dxa"/>
            <w:vAlign w:val="top"/>
          </w:tcPr>
          <w:p w14:paraId="6ADD1E7F">
            <w:pPr>
              <w:pStyle w:val="21"/>
              <w:rPr>
                <w:rFonts w:hint="eastAsia" w:ascii="宋体" w:hAnsi="宋体" w:eastAsia="宋体" w:cs="宋体"/>
                <w:color w:val="auto"/>
                <w:sz w:val="24"/>
                <w:szCs w:val="24"/>
                <w:highlight w:val="none"/>
              </w:rPr>
            </w:pPr>
          </w:p>
        </w:tc>
        <w:tc>
          <w:tcPr>
            <w:tcW w:w="1386" w:type="dxa"/>
            <w:vAlign w:val="top"/>
          </w:tcPr>
          <w:p w14:paraId="384217C7">
            <w:pPr>
              <w:pStyle w:val="21"/>
              <w:rPr>
                <w:rFonts w:hint="eastAsia" w:ascii="宋体" w:hAnsi="宋体" w:eastAsia="宋体" w:cs="宋体"/>
                <w:color w:val="auto"/>
                <w:sz w:val="24"/>
                <w:szCs w:val="24"/>
                <w:highlight w:val="none"/>
              </w:rPr>
            </w:pPr>
          </w:p>
        </w:tc>
      </w:tr>
    </w:tbl>
    <w:p w14:paraId="45EB821D">
      <w:pPr>
        <w:pStyle w:val="5"/>
        <w:spacing w:line="314" w:lineRule="auto"/>
        <w:rPr>
          <w:rFonts w:hint="eastAsia" w:ascii="宋体" w:hAnsi="宋体" w:eastAsia="宋体" w:cs="宋体"/>
          <w:color w:val="auto"/>
          <w:sz w:val="24"/>
          <w:szCs w:val="24"/>
          <w:highlight w:val="none"/>
        </w:rPr>
      </w:pPr>
    </w:p>
    <w:p w14:paraId="02839B71">
      <w:pPr>
        <w:pStyle w:val="5"/>
        <w:spacing w:line="315" w:lineRule="auto"/>
        <w:rPr>
          <w:rFonts w:hint="eastAsia" w:ascii="宋体" w:hAnsi="宋体" w:eastAsia="宋体" w:cs="宋体"/>
          <w:color w:val="auto"/>
          <w:sz w:val="24"/>
          <w:szCs w:val="24"/>
          <w:highlight w:val="none"/>
        </w:rPr>
      </w:pPr>
    </w:p>
    <w:p w14:paraId="75FEC917">
      <w:pPr>
        <w:pStyle w:val="5"/>
        <w:spacing w:line="315" w:lineRule="auto"/>
        <w:rPr>
          <w:rFonts w:hint="eastAsia" w:ascii="宋体" w:hAnsi="宋体" w:eastAsia="宋体" w:cs="宋体"/>
          <w:color w:val="auto"/>
          <w:sz w:val="24"/>
          <w:szCs w:val="24"/>
          <w:highlight w:val="none"/>
        </w:rPr>
      </w:pPr>
    </w:p>
    <w:p w14:paraId="443E0EA6">
      <w:pPr>
        <w:spacing w:before="78" w:line="220" w:lineRule="auto"/>
        <w:ind w:left="5165"/>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项目技术负责人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2"/>
          <w:sz w:val="24"/>
          <w:szCs w:val="24"/>
          <w:highlight w:val="none"/>
        </w:rPr>
        <w:t>签字）</w:t>
      </w:r>
    </w:p>
    <w:p w14:paraId="06231E95">
      <w:pPr>
        <w:pStyle w:val="5"/>
        <w:spacing w:line="256" w:lineRule="auto"/>
        <w:jc w:val="right"/>
        <w:rPr>
          <w:rFonts w:hint="eastAsia" w:ascii="宋体" w:hAnsi="宋体" w:eastAsia="宋体" w:cs="宋体"/>
          <w:color w:val="auto"/>
          <w:sz w:val="24"/>
          <w:szCs w:val="24"/>
          <w:highlight w:val="none"/>
        </w:rPr>
      </w:pPr>
    </w:p>
    <w:p w14:paraId="48AD0385">
      <w:pPr>
        <w:pStyle w:val="5"/>
        <w:spacing w:line="257" w:lineRule="auto"/>
        <w:jc w:val="right"/>
        <w:rPr>
          <w:rFonts w:hint="eastAsia" w:ascii="宋体" w:hAnsi="宋体" w:eastAsia="宋体" w:cs="宋体"/>
          <w:color w:val="auto"/>
          <w:sz w:val="24"/>
          <w:szCs w:val="24"/>
          <w:highlight w:val="none"/>
        </w:rPr>
      </w:pPr>
    </w:p>
    <w:p w14:paraId="50CB5F37">
      <w:pPr>
        <w:pStyle w:val="5"/>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1408BD7">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说明：《项目技术负责人简历表》后应附拟派项目技术负责人以下资料：</w:t>
      </w:r>
    </w:p>
    <w:p w14:paraId="2DD6422C">
      <w:pPr>
        <w:spacing w:before="155" w:line="228" w:lineRule="auto"/>
        <w:ind w:left="484"/>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p>
    <w:p w14:paraId="2AC7099F">
      <w:pPr>
        <w:spacing w:before="151"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5"/>
          <w:sz w:val="24"/>
          <w:szCs w:val="24"/>
          <w:highlight w:val="none"/>
        </w:rPr>
        <w:t>．职称证彩色扫描件；</w:t>
      </w:r>
    </w:p>
    <w:p w14:paraId="531EC1B5">
      <w:pPr>
        <w:spacing w:before="153" w:line="299" w:lineRule="auto"/>
        <w:ind w:left="47" w:right="95" w:firstLine="42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8"/>
          <w:sz w:val="24"/>
          <w:szCs w:val="24"/>
          <w:highlight w:val="none"/>
        </w:rPr>
        <w:t>．在本单位缴纳社保的证明（</w:t>
      </w:r>
      <w:r>
        <w:rPr>
          <w:rFonts w:hint="eastAsia" w:ascii="宋体" w:hAnsi="宋体" w:eastAsia="宋体" w:cs="宋体"/>
          <w:color w:val="auto"/>
          <w:sz w:val="24"/>
          <w:szCs w:val="24"/>
          <w:highlight w:val="none"/>
          <w:lang w:eastAsia="zh-CN"/>
        </w:rPr>
        <w:t>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w:t>
      </w:r>
      <w:r>
        <w:rPr>
          <w:rFonts w:hint="eastAsia" w:ascii="宋体" w:hAnsi="宋体" w:eastAsia="宋体" w:cs="宋体"/>
          <w:color w:val="auto"/>
          <w:spacing w:val="8"/>
          <w:sz w:val="24"/>
          <w:szCs w:val="24"/>
          <w:highlight w:val="none"/>
        </w:rPr>
        <w:t>，其中必须有</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z w:val="24"/>
          <w:szCs w:val="24"/>
          <w:highlight w:val="none"/>
          <w:lang w:eastAsia="zh-CN"/>
        </w:rPr>
        <w:t>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pacing w:val="8"/>
          <w:sz w:val="24"/>
          <w:szCs w:val="24"/>
          <w:highlight w:val="none"/>
        </w:rPr>
        <w:t>年</w:t>
      </w:r>
      <w:r>
        <w:rPr>
          <w:rFonts w:hint="eastAsia" w:ascii="宋体" w:hAnsi="宋体" w:eastAsia="宋体" w:cs="宋体"/>
          <w:color w:val="auto"/>
          <w:spacing w:val="8"/>
          <w:sz w:val="24"/>
          <w:szCs w:val="24"/>
          <w:highlight w:val="none"/>
          <w:lang w:val="en-US" w:eastAsia="zh-CN"/>
        </w:rPr>
        <w:t>5</w:t>
      </w:r>
      <w:r>
        <w:rPr>
          <w:rFonts w:hint="eastAsia" w:ascii="宋体" w:hAnsi="宋体" w:eastAsia="宋体" w:cs="宋体"/>
          <w:color w:val="auto"/>
          <w:spacing w:val="8"/>
          <w:sz w:val="24"/>
          <w:szCs w:val="24"/>
          <w:highlight w:val="none"/>
        </w:rPr>
        <w:t>月）彩色扫描件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784C2F67">
      <w:pPr>
        <w:spacing w:before="153" w:line="228" w:lineRule="auto"/>
        <w:ind w:left="46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8"/>
          <w:sz w:val="24"/>
          <w:szCs w:val="24"/>
          <w:highlight w:val="none"/>
        </w:rPr>
        <w:t>．“进粤企业和人员诚信信息登记平台</w:t>
      </w:r>
      <w:r>
        <w:rPr>
          <w:rFonts w:hint="eastAsia" w:ascii="宋体" w:hAnsi="宋体" w:eastAsia="宋体" w:cs="宋体"/>
          <w:color w:val="auto"/>
          <w:spacing w:val="-70"/>
          <w:sz w:val="24"/>
          <w:szCs w:val="24"/>
          <w:highlight w:val="none"/>
        </w:rPr>
        <w:t xml:space="preserve"> </w:t>
      </w:r>
      <w:r>
        <w:rPr>
          <w:rFonts w:hint="eastAsia" w:ascii="宋体" w:hAnsi="宋体" w:eastAsia="宋体" w:cs="宋体"/>
          <w:color w:val="auto"/>
          <w:spacing w:val="8"/>
          <w:sz w:val="24"/>
          <w:szCs w:val="24"/>
          <w:highlight w:val="none"/>
        </w:rPr>
        <w:t>”个人信息情况截图。（适用于省外建筑企业）</w:t>
      </w:r>
    </w:p>
    <w:p w14:paraId="0CA53D6E">
      <w:pPr>
        <w:spacing w:line="228" w:lineRule="auto"/>
        <w:rPr>
          <w:rFonts w:hint="eastAsia" w:ascii="宋体" w:hAnsi="宋体" w:eastAsia="宋体" w:cs="宋体"/>
          <w:color w:val="auto"/>
          <w:sz w:val="20"/>
          <w:szCs w:val="20"/>
          <w:highlight w:val="none"/>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A79FF21">
      <w:pPr>
        <w:spacing w:before="78" w:line="220" w:lineRule="auto"/>
        <w:outlineLvl w:val="2"/>
        <w:rPr>
          <w:rFonts w:hint="eastAsia" w:ascii="宋体" w:hAnsi="宋体" w:eastAsia="宋体" w:cs="宋体"/>
          <w:b/>
          <w:bCs/>
          <w:color w:val="auto"/>
          <w:spacing w:val="-4"/>
          <w:sz w:val="24"/>
          <w:szCs w:val="24"/>
          <w:highlight w:val="none"/>
        </w:rPr>
      </w:pPr>
      <w:bookmarkStart w:id="246" w:name="_Toc13177"/>
      <w:r>
        <w:rPr>
          <w:rFonts w:hint="eastAsia" w:ascii="宋体" w:hAnsi="宋体" w:eastAsia="宋体" w:cs="宋体"/>
          <w:b/>
          <w:bCs/>
          <w:color w:val="auto"/>
          <w:spacing w:val="-4"/>
          <w:sz w:val="24"/>
          <w:szCs w:val="24"/>
          <w:highlight w:val="none"/>
        </w:rPr>
        <w:t>格式十一 项目管理机构组成表</w:t>
      </w:r>
      <w:bookmarkEnd w:id="246"/>
    </w:p>
    <w:p w14:paraId="555428D3">
      <w:pPr>
        <w:pStyle w:val="5"/>
        <w:spacing w:line="351" w:lineRule="auto"/>
        <w:rPr>
          <w:rFonts w:hint="eastAsia" w:ascii="宋体" w:hAnsi="宋体" w:eastAsia="宋体" w:cs="宋体"/>
          <w:color w:val="auto"/>
          <w:highlight w:val="none"/>
        </w:rPr>
      </w:pPr>
    </w:p>
    <w:p w14:paraId="162B07EA">
      <w:pPr>
        <w:pStyle w:val="5"/>
        <w:spacing w:line="351" w:lineRule="auto"/>
        <w:rPr>
          <w:rFonts w:hint="eastAsia" w:ascii="宋体" w:hAnsi="宋体" w:eastAsia="宋体" w:cs="宋体"/>
          <w:color w:val="auto"/>
          <w:highlight w:val="none"/>
        </w:rPr>
      </w:pPr>
    </w:p>
    <w:p w14:paraId="3C7DD617">
      <w:pPr>
        <w:spacing w:before="97" w:line="219" w:lineRule="auto"/>
        <w:ind w:left="3200"/>
        <w:outlineLvl w:val="9"/>
        <w:rPr>
          <w:rFonts w:hint="eastAsia" w:ascii="宋体" w:hAnsi="宋体" w:eastAsia="宋体" w:cs="宋体"/>
          <w:color w:val="auto"/>
          <w:sz w:val="30"/>
          <w:szCs w:val="30"/>
          <w:highlight w:val="none"/>
        </w:rPr>
      </w:pPr>
      <w:bookmarkStart w:id="247" w:name="bookmark158"/>
      <w:bookmarkEnd w:id="247"/>
      <w:bookmarkStart w:id="248" w:name="_Toc28765"/>
      <w:bookmarkStart w:id="249" w:name="_Toc19973"/>
      <w:r>
        <w:rPr>
          <w:rFonts w:hint="eastAsia" w:ascii="宋体" w:hAnsi="宋体" w:eastAsia="宋体" w:cs="宋体"/>
          <w:b/>
          <w:bCs/>
          <w:color w:val="auto"/>
          <w:spacing w:val="-4"/>
          <w:sz w:val="30"/>
          <w:szCs w:val="30"/>
          <w:highlight w:val="none"/>
        </w:rPr>
        <w:t>项目管理机构组成表</w:t>
      </w:r>
      <w:bookmarkEnd w:id="248"/>
      <w:bookmarkEnd w:id="249"/>
    </w:p>
    <w:p w14:paraId="1EDDD763">
      <w:pPr>
        <w:spacing w:before="7"/>
        <w:rPr>
          <w:rFonts w:hint="eastAsia" w:ascii="宋体" w:hAnsi="宋体" w:eastAsia="宋体" w:cs="宋体"/>
          <w:color w:val="auto"/>
          <w:highlight w:val="none"/>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2173B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top"/>
          </w:tcPr>
          <w:p w14:paraId="2D248E3F">
            <w:pPr>
              <w:spacing w:before="229" w:line="231" w:lineRule="auto"/>
              <w:ind w:left="9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序号</w:t>
            </w:r>
          </w:p>
        </w:tc>
        <w:tc>
          <w:tcPr>
            <w:tcW w:w="1939" w:type="dxa"/>
            <w:vAlign w:val="top"/>
          </w:tcPr>
          <w:p w14:paraId="5F461AAD">
            <w:pPr>
              <w:spacing w:before="228" w:line="231" w:lineRule="auto"/>
              <w:ind w:left="70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岗位</w:t>
            </w:r>
          </w:p>
        </w:tc>
        <w:tc>
          <w:tcPr>
            <w:tcW w:w="1567" w:type="dxa"/>
            <w:vAlign w:val="top"/>
          </w:tcPr>
          <w:p w14:paraId="1DD6F3D6">
            <w:pPr>
              <w:spacing w:before="228" w:line="231" w:lineRule="auto"/>
              <w:ind w:left="52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017" w:type="dxa"/>
            <w:vAlign w:val="top"/>
          </w:tcPr>
          <w:p w14:paraId="3FF2F319">
            <w:pPr>
              <w:spacing w:before="228" w:line="230" w:lineRule="auto"/>
              <w:ind w:left="26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性别</w:t>
            </w:r>
          </w:p>
        </w:tc>
        <w:tc>
          <w:tcPr>
            <w:tcW w:w="1002" w:type="dxa"/>
            <w:vAlign w:val="top"/>
          </w:tcPr>
          <w:p w14:paraId="1F45BB1E">
            <w:pPr>
              <w:spacing w:before="229" w:line="231" w:lineRule="auto"/>
              <w:ind w:left="26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年龄</w:t>
            </w:r>
          </w:p>
        </w:tc>
        <w:tc>
          <w:tcPr>
            <w:tcW w:w="1551" w:type="dxa"/>
            <w:vAlign w:val="top"/>
          </w:tcPr>
          <w:p w14:paraId="3EC28A26">
            <w:pPr>
              <w:spacing w:before="228" w:line="230" w:lineRule="auto"/>
              <w:ind w:left="51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职称</w:t>
            </w:r>
          </w:p>
        </w:tc>
        <w:tc>
          <w:tcPr>
            <w:tcW w:w="1926" w:type="dxa"/>
            <w:vAlign w:val="top"/>
          </w:tcPr>
          <w:p w14:paraId="2B3131B4">
            <w:pPr>
              <w:spacing w:before="228" w:line="230" w:lineRule="auto"/>
              <w:ind w:left="687"/>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备注</w:t>
            </w:r>
          </w:p>
        </w:tc>
      </w:tr>
      <w:tr w14:paraId="66C7A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283EB046">
            <w:pPr>
              <w:spacing w:before="185" w:line="195" w:lineRule="auto"/>
              <w:ind w:left="2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39" w:type="dxa"/>
            <w:vAlign w:val="top"/>
          </w:tcPr>
          <w:p w14:paraId="197454C5">
            <w:pPr>
              <w:spacing w:before="150" w:line="229" w:lineRule="auto"/>
              <w:ind w:left="48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67" w:type="dxa"/>
            <w:vAlign w:val="top"/>
          </w:tcPr>
          <w:p w14:paraId="33D1707C">
            <w:pPr>
              <w:pStyle w:val="21"/>
              <w:rPr>
                <w:rFonts w:hint="eastAsia" w:ascii="宋体" w:hAnsi="宋体" w:eastAsia="宋体" w:cs="宋体"/>
                <w:color w:val="auto"/>
                <w:sz w:val="24"/>
                <w:szCs w:val="24"/>
                <w:highlight w:val="none"/>
              </w:rPr>
            </w:pPr>
          </w:p>
        </w:tc>
        <w:tc>
          <w:tcPr>
            <w:tcW w:w="1017" w:type="dxa"/>
            <w:vAlign w:val="top"/>
          </w:tcPr>
          <w:p w14:paraId="4EA01CAF">
            <w:pPr>
              <w:pStyle w:val="21"/>
              <w:rPr>
                <w:rFonts w:hint="eastAsia" w:ascii="宋体" w:hAnsi="宋体" w:eastAsia="宋体" w:cs="宋体"/>
                <w:color w:val="auto"/>
                <w:sz w:val="24"/>
                <w:szCs w:val="24"/>
                <w:highlight w:val="none"/>
              </w:rPr>
            </w:pPr>
          </w:p>
        </w:tc>
        <w:tc>
          <w:tcPr>
            <w:tcW w:w="1002" w:type="dxa"/>
            <w:vAlign w:val="top"/>
          </w:tcPr>
          <w:p w14:paraId="784E4E86">
            <w:pPr>
              <w:pStyle w:val="21"/>
              <w:rPr>
                <w:rFonts w:hint="eastAsia" w:ascii="宋体" w:hAnsi="宋体" w:eastAsia="宋体" w:cs="宋体"/>
                <w:color w:val="auto"/>
                <w:sz w:val="24"/>
                <w:szCs w:val="24"/>
                <w:highlight w:val="none"/>
              </w:rPr>
            </w:pPr>
          </w:p>
        </w:tc>
        <w:tc>
          <w:tcPr>
            <w:tcW w:w="1551" w:type="dxa"/>
            <w:vAlign w:val="top"/>
          </w:tcPr>
          <w:p w14:paraId="5F4F3964">
            <w:pPr>
              <w:pStyle w:val="21"/>
              <w:rPr>
                <w:rFonts w:hint="eastAsia" w:ascii="宋体" w:hAnsi="宋体" w:eastAsia="宋体" w:cs="宋体"/>
                <w:color w:val="auto"/>
                <w:sz w:val="24"/>
                <w:szCs w:val="24"/>
                <w:highlight w:val="none"/>
              </w:rPr>
            </w:pPr>
          </w:p>
        </w:tc>
        <w:tc>
          <w:tcPr>
            <w:tcW w:w="1926" w:type="dxa"/>
            <w:vAlign w:val="top"/>
          </w:tcPr>
          <w:p w14:paraId="7E0A4FFA">
            <w:pPr>
              <w:pStyle w:val="21"/>
              <w:rPr>
                <w:rFonts w:hint="eastAsia" w:ascii="宋体" w:hAnsi="宋体" w:eastAsia="宋体" w:cs="宋体"/>
                <w:color w:val="auto"/>
                <w:sz w:val="24"/>
                <w:szCs w:val="24"/>
                <w:highlight w:val="none"/>
              </w:rPr>
            </w:pPr>
          </w:p>
        </w:tc>
      </w:tr>
      <w:tr w14:paraId="5BB57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top"/>
          </w:tcPr>
          <w:p w14:paraId="2ACB0DD0">
            <w:pPr>
              <w:spacing w:before="187" w:line="195" w:lineRule="auto"/>
              <w:ind w:left="2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39" w:type="dxa"/>
            <w:vAlign w:val="top"/>
          </w:tcPr>
          <w:p w14:paraId="33B30217">
            <w:pPr>
              <w:spacing w:before="152"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项目技术负责人</w:t>
            </w:r>
          </w:p>
        </w:tc>
        <w:tc>
          <w:tcPr>
            <w:tcW w:w="1567" w:type="dxa"/>
            <w:vAlign w:val="top"/>
          </w:tcPr>
          <w:p w14:paraId="101658E3">
            <w:pPr>
              <w:pStyle w:val="21"/>
              <w:rPr>
                <w:rFonts w:hint="eastAsia" w:ascii="宋体" w:hAnsi="宋体" w:eastAsia="宋体" w:cs="宋体"/>
                <w:color w:val="auto"/>
                <w:sz w:val="24"/>
                <w:szCs w:val="24"/>
                <w:highlight w:val="none"/>
              </w:rPr>
            </w:pPr>
          </w:p>
        </w:tc>
        <w:tc>
          <w:tcPr>
            <w:tcW w:w="1017" w:type="dxa"/>
            <w:vAlign w:val="top"/>
          </w:tcPr>
          <w:p w14:paraId="13CFB6FB">
            <w:pPr>
              <w:pStyle w:val="21"/>
              <w:rPr>
                <w:rFonts w:hint="eastAsia" w:ascii="宋体" w:hAnsi="宋体" w:eastAsia="宋体" w:cs="宋体"/>
                <w:color w:val="auto"/>
                <w:sz w:val="24"/>
                <w:szCs w:val="24"/>
                <w:highlight w:val="none"/>
              </w:rPr>
            </w:pPr>
          </w:p>
        </w:tc>
        <w:tc>
          <w:tcPr>
            <w:tcW w:w="1002" w:type="dxa"/>
            <w:vAlign w:val="top"/>
          </w:tcPr>
          <w:p w14:paraId="01708B9A">
            <w:pPr>
              <w:pStyle w:val="21"/>
              <w:rPr>
                <w:rFonts w:hint="eastAsia" w:ascii="宋体" w:hAnsi="宋体" w:eastAsia="宋体" w:cs="宋体"/>
                <w:color w:val="auto"/>
                <w:sz w:val="24"/>
                <w:szCs w:val="24"/>
                <w:highlight w:val="none"/>
              </w:rPr>
            </w:pPr>
          </w:p>
        </w:tc>
        <w:tc>
          <w:tcPr>
            <w:tcW w:w="1551" w:type="dxa"/>
            <w:vAlign w:val="top"/>
          </w:tcPr>
          <w:p w14:paraId="2DA12024">
            <w:pPr>
              <w:pStyle w:val="21"/>
              <w:rPr>
                <w:rFonts w:hint="eastAsia" w:ascii="宋体" w:hAnsi="宋体" w:eastAsia="宋体" w:cs="宋体"/>
                <w:color w:val="auto"/>
                <w:sz w:val="24"/>
                <w:szCs w:val="24"/>
                <w:highlight w:val="none"/>
              </w:rPr>
            </w:pPr>
          </w:p>
        </w:tc>
        <w:tc>
          <w:tcPr>
            <w:tcW w:w="1926" w:type="dxa"/>
            <w:vAlign w:val="top"/>
          </w:tcPr>
          <w:p w14:paraId="7E36E9CF">
            <w:pPr>
              <w:pStyle w:val="21"/>
              <w:rPr>
                <w:rFonts w:hint="eastAsia" w:ascii="宋体" w:hAnsi="宋体" w:eastAsia="宋体" w:cs="宋体"/>
                <w:color w:val="auto"/>
                <w:sz w:val="24"/>
                <w:szCs w:val="24"/>
                <w:highlight w:val="none"/>
              </w:rPr>
            </w:pPr>
          </w:p>
        </w:tc>
      </w:tr>
      <w:tr w14:paraId="72AE8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185BE277">
            <w:pPr>
              <w:spacing w:before="189" w:line="195" w:lineRule="auto"/>
              <w:ind w:left="24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939" w:type="dxa"/>
            <w:vAlign w:val="center"/>
          </w:tcPr>
          <w:p w14:paraId="46937765">
            <w:pPr>
              <w:spacing w:before="153" w:line="229" w:lineRule="auto"/>
              <w:ind w:left="37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专职安全员</w:t>
            </w:r>
          </w:p>
        </w:tc>
        <w:tc>
          <w:tcPr>
            <w:tcW w:w="1567" w:type="dxa"/>
            <w:vAlign w:val="top"/>
          </w:tcPr>
          <w:p w14:paraId="15C126D8">
            <w:pPr>
              <w:pStyle w:val="21"/>
              <w:rPr>
                <w:rFonts w:hint="eastAsia" w:ascii="宋体" w:hAnsi="宋体" w:eastAsia="宋体" w:cs="宋体"/>
                <w:color w:val="auto"/>
                <w:sz w:val="24"/>
                <w:szCs w:val="24"/>
                <w:highlight w:val="none"/>
              </w:rPr>
            </w:pPr>
          </w:p>
        </w:tc>
        <w:tc>
          <w:tcPr>
            <w:tcW w:w="1017" w:type="dxa"/>
            <w:vAlign w:val="top"/>
          </w:tcPr>
          <w:p w14:paraId="7B9FA270">
            <w:pPr>
              <w:pStyle w:val="21"/>
              <w:rPr>
                <w:rFonts w:hint="eastAsia" w:ascii="宋体" w:hAnsi="宋体" w:eastAsia="宋体" w:cs="宋体"/>
                <w:color w:val="auto"/>
                <w:sz w:val="24"/>
                <w:szCs w:val="24"/>
                <w:highlight w:val="none"/>
              </w:rPr>
            </w:pPr>
          </w:p>
        </w:tc>
        <w:tc>
          <w:tcPr>
            <w:tcW w:w="1002" w:type="dxa"/>
            <w:vAlign w:val="top"/>
          </w:tcPr>
          <w:p w14:paraId="1060A9BD">
            <w:pPr>
              <w:pStyle w:val="21"/>
              <w:rPr>
                <w:rFonts w:hint="eastAsia" w:ascii="宋体" w:hAnsi="宋体" w:eastAsia="宋体" w:cs="宋体"/>
                <w:color w:val="auto"/>
                <w:sz w:val="24"/>
                <w:szCs w:val="24"/>
                <w:highlight w:val="none"/>
              </w:rPr>
            </w:pPr>
          </w:p>
        </w:tc>
        <w:tc>
          <w:tcPr>
            <w:tcW w:w="1551" w:type="dxa"/>
            <w:vAlign w:val="top"/>
          </w:tcPr>
          <w:p w14:paraId="5301968F">
            <w:pPr>
              <w:pStyle w:val="21"/>
              <w:rPr>
                <w:rFonts w:hint="eastAsia" w:ascii="宋体" w:hAnsi="宋体" w:eastAsia="宋体" w:cs="宋体"/>
                <w:color w:val="auto"/>
                <w:sz w:val="24"/>
                <w:szCs w:val="24"/>
                <w:highlight w:val="none"/>
              </w:rPr>
            </w:pPr>
          </w:p>
        </w:tc>
        <w:tc>
          <w:tcPr>
            <w:tcW w:w="1926" w:type="dxa"/>
            <w:vAlign w:val="top"/>
          </w:tcPr>
          <w:p w14:paraId="6D41F555">
            <w:pPr>
              <w:pStyle w:val="21"/>
              <w:rPr>
                <w:rFonts w:hint="eastAsia" w:ascii="宋体" w:hAnsi="宋体" w:eastAsia="宋体" w:cs="宋体"/>
                <w:color w:val="auto"/>
                <w:sz w:val="24"/>
                <w:szCs w:val="24"/>
                <w:highlight w:val="none"/>
              </w:rPr>
            </w:pPr>
          </w:p>
        </w:tc>
      </w:tr>
      <w:tr w14:paraId="74871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30DCE2EF">
            <w:pPr>
              <w:spacing w:before="188" w:line="195" w:lineRule="auto"/>
              <w:ind w:left="24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939" w:type="dxa"/>
            <w:vAlign w:val="top"/>
          </w:tcPr>
          <w:p w14:paraId="696539CB">
            <w:pPr>
              <w:spacing w:before="152" w:line="230" w:lineRule="auto"/>
              <w:ind w:left="58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施工员</w:t>
            </w:r>
          </w:p>
        </w:tc>
        <w:tc>
          <w:tcPr>
            <w:tcW w:w="1567" w:type="dxa"/>
            <w:vAlign w:val="top"/>
          </w:tcPr>
          <w:p w14:paraId="18E417E4">
            <w:pPr>
              <w:pStyle w:val="21"/>
              <w:rPr>
                <w:rFonts w:hint="eastAsia" w:ascii="宋体" w:hAnsi="宋体" w:eastAsia="宋体" w:cs="宋体"/>
                <w:color w:val="auto"/>
                <w:sz w:val="24"/>
                <w:szCs w:val="24"/>
                <w:highlight w:val="none"/>
              </w:rPr>
            </w:pPr>
          </w:p>
        </w:tc>
        <w:tc>
          <w:tcPr>
            <w:tcW w:w="1017" w:type="dxa"/>
            <w:vAlign w:val="top"/>
          </w:tcPr>
          <w:p w14:paraId="34BD54A5">
            <w:pPr>
              <w:pStyle w:val="21"/>
              <w:rPr>
                <w:rFonts w:hint="eastAsia" w:ascii="宋体" w:hAnsi="宋体" w:eastAsia="宋体" w:cs="宋体"/>
                <w:color w:val="auto"/>
                <w:sz w:val="24"/>
                <w:szCs w:val="24"/>
                <w:highlight w:val="none"/>
              </w:rPr>
            </w:pPr>
          </w:p>
        </w:tc>
        <w:tc>
          <w:tcPr>
            <w:tcW w:w="1002" w:type="dxa"/>
            <w:vAlign w:val="top"/>
          </w:tcPr>
          <w:p w14:paraId="35F0DD07">
            <w:pPr>
              <w:pStyle w:val="21"/>
              <w:rPr>
                <w:rFonts w:hint="eastAsia" w:ascii="宋体" w:hAnsi="宋体" w:eastAsia="宋体" w:cs="宋体"/>
                <w:color w:val="auto"/>
                <w:sz w:val="24"/>
                <w:szCs w:val="24"/>
                <w:highlight w:val="none"/>
              </w:rPr>
            </w:pPr>
          </w:p>
        </w:tc>
        <w:tc>
          <w:tcPr>
            <w:tcW w:w="1551" w:type="dxa"/>
            <w:vAlign w:val="top"/>
          </w:tcPr>
          <w:p w14:paraId="267F23C7">
            <w:pPr>
              <w:pStyle w:val="21"/>
              <w:rPr>
                <w:rFonts w:hint="eastAsia" w:ascii="宋体" w:hAnsi="宋体" w:eastAsia="宋体" w:cs="宋体"/>
                <w:color w:val="auto"/>
                <w:sz w:val="24"/>
                <w:szCs w:val="24"/>
                <w:highlight w:val="none"/>
              </w:rPr>
            </w:pPr>
          </w:p>
        </w:tc>
        <w:tc>
          <w:tcPr>
            <w:tcW w:w="1926" w:type="dxa"/>
            <w:vAlign w:val="top"/>
          </w:tcPr>
          <w:p w14:paraId="20919564">
            <w:pPr>
              <w:pStyle w:val="21"/>
              <w:rPr>
                <w:rFonts w:hint="eastAsia" w:ascii="宋体" w:hAnsi="宋体" w:eastAsia="宋体" w:cs="宋体"/>
                <w:color w:val="auto"/>
                <w:sz w:val="24"/>
                <w:szCs w:val="24"/>
                <w:highlight w:val="none"/>
              </w:rPr>
            </w:pPr>
          </w:p>
        </w:tc>
      </w:tr>
      <w:tr w14:paraId="0060E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7913FB8">
            <w:pPr>
              <w:spacing w:before="193" w:line="192" w:lineRule="auto"/>
              <w:ind w:left="24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39" w:type="dxa"/>
            <w:vAlign w:val="top"/>
          </w:tcPr>
          <w:p w14:paraId="77726B25">
            <w:pPr>
              <w:spacing w:before="154" w:line="229"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质量员</w:t>
            </w:r>
          </w:p>
        </w:tc>
        <w:tc>
          <w:tcPr>
            <w:tcW w:w="1567" w:type="dxa"/>
            <w:vAlign w:val="top"/>
          </w:tcPr>
          <w:p w14:paraId="7AF367BA">
            <w:pPr>
              <w:pStyle w:val="21"/>
              <w:rPr>
                <w:rFonts w:hint="eastAsia" w:ascii="宋体" w:hAnsi="宋体" w:eastAsia="宋体" w:cs="宋体"/>
                <w:color w:val="auto"/>
                <w:sz w:val="24"/>
                <w:szCs w:val="24"/>
                <w:highlight w:val="none"/>
              </w:rPr>
            </w:pPr>
          </w:p>
        </w:tc>
        <w:tc>
          <w:tcPr>
            <w:tcW w:w="1017" w:type="dxa"/>
            <w:vAlign w:val="top"/>
          </w:tcPr>
          <w:p w14:paraId="28C0AB4F">
            <w:pPr>
              <w:pStyle w:val="21"/>
              <w:rPr>
                <w:rFonts w:hint="eastAsia" w:ascii="宋体" w:hAnsi="宋体" w:eastAsia="宋体" w:cs="宋体"/>
                <w:color w:val="auto"/>
                <w:sz w:val="24"/>
                <w:szCs w:val="24"/>
                <w:highlight w:val="none"/>
              </w:rPr>
            </w:pPr>
          </w:p>
        </w:tc>
        <w:tc>
          <w:tcPr>
            <w:tcW w:w="1002" w:type="dxa"/>
            <w:vAlign w:val="top"/>
          </w:tcPr>
          <w:p w14:paraId="4F2CE8AB">
            <w:pPr>
              <w:pStyle w:val="21"/>
              <w:rPr>
                <w:rFonts w:hint="eastAsia" w:ascii="宋体" w:hAnsi="宋体" w:eastAsia="宋体" w:cs="宋体"/>
                <w:color w:val="auto"/>
                <w:sz w:val="24"/>
                <w:szCs w:val="24"/>
                <w:highlight w:val="none"/>
              </w:rPr>
            </w:pPr>
          </w:p>
        </w:tc>
        <w:tc>
          <w:tcPr>
            <w:tcW w:w="1551" w:type="dxa"/>
            <w:vAlign w:val="top"/>
          </w:tcPr>
          <w:p w14:paraId="0E48A750">
            <w:pPr>
              <w:pStyle w:val="21"/>
              <w:rPr>
                <w:rFonts w:hint="eastAsia" w:ascii="宋体" w:hAnsi="宋体" w:eastAsia="宋体" w:cs="宋体"/>
                <w:color w:val="auto"/>
                <w:sz w:val="24"/>
                <w:szCs w:val="24"/>
                <w:highlight w:val="none"/>
              </w:rPr>
            </w:pPr>
          </w:p>
        </w:tc>
        <w:tc>
          <w:tcPr>
            <w:tcW w:w="1926" w:type="dxa"/>
            <w:vAlign w:val="top"/>
          </w:tcPr>
          <w:p w14:paraId="23F7D129">
            <w:pPr>
              <w:pStyle w:val="21"/>
              <w:rPr>
                <w:rFonts w:hint="eastAsia" w:ascii="宋体" w:hAnsi="宋体" w:eastAsia="宋体" w:cs="宋体"/>
                <w:color w:val="auto"/>
                <w:sz w:val="24"/>
                <w:szCs w:val="24"/>
                <w:highlight w:val="none"/>
              </w:rPr>
            </w:pPr>
          </w:p>
        </w:tc>
      </w:tr>
      <w:tr w14:paraId="28B3C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4353BB91">
            <w:pPr>
              <w:spacing w:before="191" w:line="195" w:lineRule="auto"/>
              <w:ind w:left="2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39" w:type="dxa"/>
            <w:vAlign w:val="top"/>
          </w:tcPr>
          <w:p w14:paraId="36757C05">
            <w:pPr>
              <w:spacing w:before="155" w:line="228"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材料员</w:t>
            </w:r>
          </w:p>
        </w:tc>
        <w:tc>
          <w:tcPr>
            <w:tcW w:w="1567" w:type="dxa"/>
            <w:vAlign w:val="top"/>
          </w:tcPr>
          <w:p w14:paraId="7CA93473">
            <w:pPr>
              <w:pStyle w:val="21"/>
              <w:rPr>
                <w:rFonts w:hint="eastAsia" w:ascii="宋体" w:hAnsi="宋体" w:eastAsia="宋体" w:cs="宋体"/>
                <w:color w:val="auto"/>
                <w:sz w:val="24"/>
                <w:szCs w:val="24"/>
                <w:highlight w:val="none"/>
              </w:rPr>
            </w:pPr>
          </w:p>
        </w:tc>
        <w:tc>
          <w:tcPr>
            <w:tcW w:w="1017" w:type="dxa"/>
            <w:vAlign w:val="top"/>
          </w:tcPr>
          <w:p w14:paraId="22CBD8CF">
            <w:pPr>
              <w:pStyle w:val="21"/>
              <w:rPr>
                <w:rFonts w:hint="eastAsia" w:ascii="宋体" w:hAnsi="宋体" w:eastAsia="宋体" w:cs="宋体"/>
                <w:color w:val="auto"/>
                <w:sz w:val="24"/>
                <w:szCs w:val="24"/>
                <w:highlight w:val="none"/>
              </w:rPr>
            </w:pPr>
          </w:p>
        </w:tc>
        <w:tc>
          <w:tcPr>
            <w:tcW w:w="1002" w:type="dxa"/>
            <w:vAlign w:val="top"/>
          </w:tcPr>
          <w:p w14:paraId="215EF28A">
            <w:pPr>
              <w:pStyle w:val="21"/>
              <w:rPr>
                <w:rFonts w:hint="eastAsia" w:ascii="宋体" w:hAnsi="宋体" w:eastAsia="宋体" w:cs="宋体"/>
                <w:color w:val="auto"/>
                <w:sz w:val="24"/>
                <w:szCs w:val="24"/>
                <w:highlight w:val="none"/>
              </w:rPr>
            </w:pPr>
          </w:p>
        </w:tc>
        <w:tc>
          <w:tcPr>
            <w:tcW w:w="1551" w:type="dxa"/>
            <w:vAlign w:val="top"/>
          </w:tcPr>
          <w:p w14:paraId="4B59D5A3">
            <w:pPr>
              <w:pStyle w:val="21"/>
              <w:rPr>
                <w:rFonts w:hint="eastAsia" w:ascii="宋体" w:hAnsi="宋体" w:eastAsia="宋体" w:cs="宋体"/>
                <w:color w:val="auto"/>
                <w:sz w:val="24"/>
                <w:szCs w:val="24"/>
                <w:highlight w:val="none"/>
              </w:rPr>
            </w:pPr>
          </w:p>
        </w:tc>
        <w:tc>
          <w:tcPr>
            <w:tcW w:w="1926" w:type="dxa"/>
            <w:vAlign w:val="top"/>
          </w:tcPr>
          <w:p w14:paraId="6D3A902C">
            <w:pPr>
              <w:pStyle w:val="21"/>
              <w:rPr>
                <w:rFonts w:hint="eastAsia" w:ascii="宋体" w:hAnsi="宋体" w:eastAsia="宋体" w:cs="宋体"/>
                <w:color w:val="auto"/>
                <w:sz w:val="24"/>
                <w:szCs w:val="24"/>
                <w:highlight w:val="none"/>
              </w:rPr>
            </w:pPr>
          </w:p>
        </w:tc>
      </w:tr>
      <w:tr w14:paraId="024F7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129B6BD">
            <w:pPr>
              <w:spacing w:before="192" w:line="192" w:lineRule="auto"/>
              <w:ind w:left="24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39" w:type="dxa"/>
            <w:vAlign w:val="top"/>
          </w:tcPr>
          <w:p w14:paraId="43618D94">
            <w:pPr>
              <w:spacing w:before="154" w:line="229" w:lineRule="auto"/>
              <w:ind w:left="59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资料员</w:t>
            </w:r>
          </w:p>
        </w:tc>
        <w:tc>
          <w:tcPr>
            <w:tcW w:w="1567" w:type="dxa"/>
            <w:vAlign w:val="top"/>
          </w:tcPr>
          <w:p w14:paraId="7F6F6292">
            <w:pPr>
              <w:pStyle w:val="21"/>
              <w:rPr>
                <w:rFonts w:hint="eastAsia" w:ascii="宋体" w:hAnsi="宋体" w:eastAsia="宋体" w:cs="宋体"/>
                <w:color w:val="auto"/>
                <w:sz w:val="24"/>
                <w:szCs w:val="24"/>
                <w:highlight w:val="none"/>
              </w:rPr>
            </w:pPr>
          </w:p>
        </w:tc>
        <w:tc>
          <w:tcPr>
            <w:tcW w:w="1017" w:type="dxa"/>
            <w:vAlign w:val="top"/>
          </w:tcPr>
          <w:p w14:paraId="6F5A3CD1">
            <w:pPr>
              <w:pStyle w:val="21"/>
              <w:rPr>
                <w:rFonts w:hint="eastAsia" w:ascii="宋体" w:hAnsi="宋体" w:eastAsia="宋体" w:cs="宋体"/>
                <w:color w:val="auto"/>
                <w:sz w:val="24"/>
                <w:szCs w:val="24"/>
                <w:highlight w:val="none"/>
              </w:rPr>
            </w:pPr>
          </w:p>
        </w:tc>
        <w:tc>
          <w:tcPr>
            <w:tcW w:w="1002" w:type="dxa"/>
            <w:vAlign w:val="top"/>
          </w:tcPr>
          <w:p w14:paraId="0A3F0696">
            <w:pPr>
              <w:pStyle w:val="21"/>
              <w:rPr>
                <w:rFonts w:hint="eastAsia" w:ascii="宋体" w:hAnsi="宋体" w:eastAsia="宋体" w:cs="宋体"/>
                <w:color w:val="auto"/>
                <w:sz w:val="24"/>
                <w:szCs w:val="24"/>
                <w:highlight w:val="none"/>
              </w:rPr>
            </w:pPr>
          </w:p>
        </w:tc>
        <w:tc>
          <w:tcPr>
            <w:tcW w:w="1551" w:type="dxa"/>
            <w:vAlign w:val="top"/>
          </w:tcPr>
          <w:p w14:paraId="33CF7C3A">
            <w:pPr>
              <w:pStyle w:val="21"/>
              <w:rPr>
                <w:rFonts w:hint="eastAsia" w:ascii="宋体" w:hAnsi="宋体" w:eastAsia="宋体" w:cs="宋体"/>
                <w:color w:val="auto"/>
                <w:sz w:val="24"/>
                <w:szCs w:val="24"/>
                <w:highlight w:val="none"/>
              </w:rPr>
            </w:pPr>
          </w:p>
        </w:tc>
        <w:tc>
          <w:tcPr>
            <w:tcW w:w="1926" w:type="dxa"/>
            <w:vAlign w:val="top"/>
          </w:tcPr>
          <w:p w14:paraId="2FDF9A49">
            <w:pPr>
              <w:pStyle w:val="21"/>
              <w:rPr>
                <w:rFonts w:hint="eastAsia" w:ascii="宋体" w:hAnsi="宋体" w:eastAsia="宋体" w:cs="宋体"/>
                <w:color w:val="auto"/>
                <w:sz w:val="24"/>
                <w:szCs w:val="24"/>
                <w:highlight w:val="none"/>
              </w:rPr>
            </w:pPr>
          </w:p>
        </w:tc>
      </w:tr>
      <w:tr w14:paraId="330E4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top"/>
          </w:tcPr>
          <w:p w14:paraId="761367CA">
            <w:pPr>
              <w:spacing w:before="154" w:line="325" w:lineRule="exact"/>
              <w:ind w:left="104"/>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939" w:type="dxa"/>
            <w:vAlign w:val="top"/>
          </w:tcPr>
          <w:p w14:paraId="6C0AA321">
            <w:pPr>
              <w:pStyle w:val="21"/>
              <w:rPr>
                <w:rFonts w:hint="eastAsia" w:ascii="宋体" w:hAnsi="宋体" w:eastAsia="宋体" w:cs="宋体"/>
                <w:color w:val="auto"/>
                <w:sz w:val="24"/>
                <w:szCs w:val="24"/>
                <w:highlight w:val="none"/>
              </w:rPr>
            </w:pPr>
          </w:p>
        </w:tc>
        <w:tc>
          <w:tcPr>
            <w:tcW w:w="1567" w:type="dxa"/>
            <w:vAlign w:val="top"/>
          </w:tcPr>
          <w:p w14:paraId="6B481C93">
            <w:pPr>
              <w:pStyle w:val="21"/>
              <w:rPr>
                <w:rFonts w:hint="eastAsia" w:ascii="宋体" w:hAnsi="宋体" w:eastAsia="宋体" w:cs="宋体"/>
                <w:color w:val="auto"/>
                <w:sz w:val="24"/>
                <w:szCs w:val="24"/>
                <w:highlight w:val="none"/>
              </w:rPr>
            </w:pPr>
          </w:p>
        </w:tc>
        <w:tc>
          <w:tcPr>
            <w:tcW w:w="1017" w:type="dxa"/>
            <w:vAlign w:val="top"/>
          </w:tcPr>
          <w:p w14:paraId="2186C8F6">
            <w:pPr>
              <w:pStyle w:val="21"/>
              <w:rPr>
                <w:rFonts w:hint="eastAsia" w:ascii="宋体" w:hAnsi="宋体" w:eastAsia="宋体" w:cs="宋体"/>
                <w:color w:val="auto"/>
                <w:sz w:val="24"/>
                <w:szCs w:val="24"/>
                <w:highlight w:val="none"/>
              </w:rPr>
            </w:pPr>
          </w:p>
        </w:tc>
        <w:tc>
          <w:tcPr>
            <w:tcW w:w="1002" w:type="dxa"/>
            <w:vAlign w:val="top"/>
          </w:tcPr>
          <w:p w14:paraId="458500AA">
            <w:pPr>
              <w:pStyle w:val="21"/>
              <w:rPr>
                <w:rFonts w:hint="eastAsia" w:ascii="宋体" w:hAnsi="宋体" w:eastAsia="宋体" w:cs="宋体"/>
                <w:color w:val="auto"/>
                <w:sz w:val="24"/>
                <w:szCs w:val="24"/>
                <w:highlight w:val="none"/>
              </w:rPr>
            </w:pPr>
          </w:p>
        </w:tc>
        <w:tc>
          <w:tcPr>
            <w:tcW w:w="1551" w:type="dxa"/>
            <w:vAlign w:val="top"/>
          </w:tcPr>
          <w:p w14:paraId="69CC634F">
            <w:pPr>
              <w:pStyle w:val="21"/>
              <w:rPr>
                <w:rFonts w:hint="eastAsia" w:ascii="宋体" w:hAnsi="宋体" w:eastAsia="宋体" w:cs="宋体"/>
                <w:color w:val="auto"/>
                <w:sz w:val="24"/>
                <w:szCs w:val="24"/>
                <w:highlight w:val="none"/>
              </w:rPr>
            </w:pPr>
          </w:p>
        </w:tc>
        <w:tc>
          <w:tcPr>
            <w:tcW w:w="1926" w:type="dxa"/>
            <w:vAlign w:val="top"/>
          </w:tcPr>
          <w:p w14:paraId="0E3F8717">
            <w:pPr>
              <w:pStyle w:val="21"/>
              <w:rPr>
                <w:rFonts w:hint="eastAsia" w:ascii="宋体" w:hAnsi="宋体" w:eastAsia="宋体" w:cs="宋体"/>
                <w:color w:val="auto"/>
                <w:sz w:val="24"/>
                <w:szCs w:val="24"/>
                <w:highlight w:val="none"/>
              </w:rPr>
            </w:pPr>
          </w:p>
        </w:tc>
      </w:tr>
    </w:tbl>
    <w:p w14:paraId="2C506F4A">
      <w:pPr>
        <w:pStyle w:val="5"/>
        <w:spacing w:line="395" w:lineRule="auto"/>
        <w:rPr>
          <w:rFonts w:hint="eastAsia" w:ascii="宋体" w:hAnsi="宋体" w:eastAsia="宋体" w:cs="宋体"/>
          <w:color w:val="auto"/>
          <w:sz w:val="24"/>
          <w:szCs w:val="24"/>
          <w:highlight w:val="none"/>
        </w:rPr>
      </w:pPr>
    </w:p>
    <w:p w14:paraId="48D3ED77">
      <w:pPr>
        <w:spacing w:before="65" w:line="228" w:lineRule="auto"/>
        <w:ind w:left="43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说明：</w:t>
      </w:r>
    </w:p>
    <w:p w14:paraId="3E8C578A">
      <w:pPr>
        <w:spacing w:before="153" w:line="228" w:lineRule="auto"/>
        <w:ind w:firstLine="496"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4"/>
          <w:sz w:val="24"/>
          <w:szCs w:val="24"/>
          <w:highlight w:val="none"/>
        </w:rPr>
        <w:t>．《项目管理机构组成表》后应附表中拟派人</w:t>
      </w:r>
      <w:r>
        <w:rPr>
          <w:rFonts w:hint="eastAsia" w:ascii="宋体" w:hAnsi="宋体" w:eastAsia="宋体" w:cs="宋体"/>
          <w:color w:val="auto"/>
          <w:spacing w:val="3"/>
          <w:sz w:val="24"/>
          <w:szCs w:val="24"/>
          <w:highlight w:val="none"/>
        </w:rPr>
        <w:t>员（项目经理、项目技术负责人除外）以下资料：</w:t>
      </w:r>
    </w:p>
    <w:p w14:paraId="5D1DDFC3">
      <w:pPr>
        <w:spacing w:before="154" w:line="228" w:lineRule="auto"/>
        <w:ind w:left="448"/>
        <w:jc w:val="left"/>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身份证彩色扫描件；</w:t>
      </w:r>
    </w:p>
    <w:p w14:paraId="53B8EA83">
      <w:pPr>
        <w:spacing w:before="152" w:line="228" w:lineRule="auto"/>
        <w:ind w:left="42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2</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9"/>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40814848">
      <w:pPr>
        <w:spacing w:before="153" w:line="299" w:lineRule="auto"/>
        <w:ind w:left="11" w:right="89" w:firstLine="42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lang w:val="en-US" w:eastAsia="zh-CN"/>
        </w:rPr>
        <w:t>3</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在本单位缴纳社保的证明（</w:t>
      </w:r>
      <w:r>
        <w:rPr>
          <w:rFonts w:hint="eastAsia" w:ascii="宋体" w:hAnsi="宋体" w:eastAsia="宋体" w:cs="宋体"/>
          <w:color w:val="auto"/>
          <w:sz w:val="24"/>
          <w:szCs w:val="24"/>
          <w:highlight w:val="none"/>
          <w:lang w:eastAsia="zh-CN"/>
        </w:rPr>
        <w:t>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w:t>
      </w:r>
      <w:r>
        <w:rPr>
          <w:rFonts w:hint="eastAsia" w:ascii="宋体" w:hAnsi="宋体" w:eastAsia="宋体" w:cs="宋体"/>
          <w:color w:val="auto"/>
          <w:spacing w:val="9"/>
          <w:sz w:val="24"/>
          <w:szCs w:val="24"/>
          <w:highlight w:val="none"/>
        </w:rPr>
        <w:t>，其中必</w:t>
      </w:r>
      <w:r>
        <w:rPr>
          <w:rFonts w:hint="eastAsia" w:ascii="宋体" w:hAnsi="宋体" w:eastAsia="宋体" w:cs="宋体"/>
          <w:color w:val="auto"/>
          <w:spacing w:val="8"/>
          <w:sz w:val="24"/>
          <w:szCs w:val="24"/>
          <w:highlight w:val="none"/>
        </w:rPr>
        <w:t>须有</w:t>
      </w:r>
      <w:r>
        <w:rPr>
          <w:rFonts w:hint="eastAsia" w:ascii="宋体" w:hAnsi="宋体" w:eastAsia="宋体" w:cs="宋体"/>
          <w:color w:val="auto"/>
          <w:spacing w:val="8"/>
          <w:sz w:val="24"/>
          <w:szCs w:val="24"/>
          <w:highlight w:val="none"/>
          <w:lang w:eastAsia="zh-CN"/>
        </w:rPr>
        <w:t>20</w:t>
      </w:r>
      <w:r>
        <w:rPr>
          <w:rFonts w:hint="eastAsia" w:ascii="宋体" w:hAnsi="宋体" w:eastAsia="宋体" w:cs="宋体"/>
          <w:color w:val="auto"/>
          <w:spacing w:val="8"/>
          <w:sz w:val="24"/>
          <w:szCs w:val="24"/>
          <w:highlight w:val="none"/>
          <w:lang w:val="en-US" w:eastAsia="zh-CN"/>
        </w:rPr>
        <w:t>26</w:t>
      </w:r>
      <w:r>
        <w:rPr>
          <w:rFonts w:hint="eastAsia" w:ascii="宋体" w:hAnsi="宋体" w:eastAsia="宋体" w:cs="宋体"/>
          <w:color w:val="auto"/>
          <w:spacing w:val="8"/>
          <w:sz w:val="24"/>
          <w:szCs w:val="24"/>
          <w:highlight w:val="none"/>
        </w:rPr>
        <w:t>年</w:t>
      </w:r>
      <w:r>
        <w:rPr>
          <w:rFonts w:hint="eastAsia" w:ascii="宋体" w:hAnsi="宋体" w:eastAsia="宋体" w:cs="宋体"/>
          <w:color w:val="auto"/>
          <w:spacing w:val="8"/>
          <w:sz w:val="24"/>
          <w:szCs w:val="24"/>
          <w:highlight w:val="none"/>
          <w:lang w:val="en-US" w:eastAsia="zh-CN"/>
        </w:rPr>
        <w:t>5</w:t>
      </w:r>
      <w:r>
        <w:rPr>
          <w:rFonts w:hint="eastAsia" w:ascii="宋体" w:hAnsi="宋体" w:eastAsia="宋体" w:cs="宋体"/>
          <w:color w:val="auto"/>
          <w:spacing w:val="8"/>
          <w:sz w:val="24"/>
          <w:szCs w:val="24"/>
          <w:highlight w:val="none"/>
        </w:rPr>
        <w:t>月）彩色扫描件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2488CB38">
      <w:pPr>
        <w:spacing w:before="152" w:line="228" w:lineRule="auto"/>
        <w:ind w:left="0" w:leftChars="0" w:firstLine="419" w:firstLineChars="164"/>
        <w:rPr>
          <w:rFonts w:hint="eastAsia" w:ascii="宋体" w:hAnsi="宋体" w:eastAsia="宋体" w:cs="宋体"/>
          <w:color w:val="auto"/>
          <w:spacing w:val="9"/>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9"/>
          <w:sz w:val="24"/>
          <w:szCs w:val="24"/>
          <w:highlight w:val="none"/>
        </w:rPr>
        <w:t>“进粤企业和人员诚信信息登记平台 ”个人信息情况截图。（适用于省外建筑企业）</w:t>
      </w:r>
    </w:p>
    <w:p w14:paraId="7D04B8DB">
      <w:pPr>
        <w:spacing w:before="153" w:line="299" w:lineRule="auto"/>
        <w:ind w:left="16" w:right="40" w:firstLine="41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2.</w:t>
      </w:r>
      <w:r>
        <w:rPr>
          <w:rFonts w:hint="eastAsia" w:ascii="宋体" w:hAnsi="宋体" w:eastAsia="宋体" w:cs="宋体"/>
          <w:color w:val="auto"/>
          <w:spacing w:val="8"/>
          <w:sz w:val="24"/>
          <w:szCs w:val="24"/>
          <w:highlight w:val="none"/>
        </w:rPr>
        <w:t>联合体投标的，《项目管理机构组成表》应包括联合体成员单位参与项目管理</w:t>
      </w:r>
      <w:r>
        <w:rPr>
          <w:rFonts w:hint="eastAsia" w:ascii="宋体" w:hAnsi="宋体" w:eastAsia="宋体" w:cs="宋体"/>
          <w:color w:val="auto"/>
          <w:spacing w:val="7"/>
          <w:sz w:val="24"/>
          <w:szCs w:val="24"/>
          <w:highlight w:val="none"/>
        </w:rPr>
        <w:t>机构的人员，并提供以上所需资料。</w:t>
      </w:r>
    </w:p>
    <w:p w14:paraId="270AB728">
      <w:pPr>
        <w:pStyle w:val="5"/>
        <w:spacing w:line="248" w:lineRule="auto"/>
        <w:rPr>
          <w:rFonts w:hint="eastAsia" w:ascii="宋体" w:hAnsi="宋体" w:eastAsia="宋体" w:cs="宋体"/>
          <w:color w:val="auto"/>
          <w:sz w:val="24"/>
          <w:szCs w:val="24"/>
          <w:highlight w:val="none"/>
        </w:rPr>
      </w:pPr>
    </w:p>
    <w:p w14:paraId="67BB345D">
      <w:pPr>
        <w:pStyle w:val="5"/>
        <w:spacing w:line="248" w:lineRule="auto"/>
        <w:rPr>
          <w:rFonts w:hint="eastAsia" w:ascii="宋体" w:hAnsi="宋体" w:eastAsia="宋体" w:cs="宋体"/>
          <w:color w:val="auto"/>
          <w:sz w:val="24"/>
          <w:szCs w:val="24"/>
          <w:highlight w:val="none"/>
        </w:rPr>
      </w:pPr>
    </w:p>
    <w:p w14:paraId="7B06C124">
      <w:pPr>
        <w:pStyle w:val="5"/>
        <w:spacing w:line="248" w:lineRule="auto"/>
        <w:rPr>
          <w:rFonts w:hint="eastAsia" w:ascii="宋体" w:hAnsi="宋体" w:eastAsia="宋体" w:cs="宋体"/>
          <w:color w:val="auto"/>
          <w:highlight w:val="none"/>
        </w:rPr>
      </w:pPr>
    </w:p>
    <w:p w14:paraId="4D41C197">
      <w:pPr>
        <w:pStyle w:val="5"/>
        <w:spacing w:line="248" w:lineRule="auto"/>
        <w:rPr>
          <w:rFonts w:hint="eastAsia" w:ascii="宋体" w:hAnsi="宋体" w:eastAsia="宋体" w:cs="宋体"/>
          <w:color w:val="auto"/>
          <w:highlight w:val="none"/>
        </w:rPr>
      </w:pPr>
    </w:p>
    <w:p w14:paraId="5146A28D">
      <w:pPr>
        <w:spacing w:before="79" w:line="220" w:lineRule="auto"/>
        <w:rPr>
          <w:rFonts w:hint="eastAsia" w:ascii="宋体" w:hAnsi="宋体" w:eastAsia="宋体" w:cs="宋体"/>
          <w:b/>
          <w:bCs/>
          <w:color w:val="auto"/>
          <w:spacing w:val="-2"/>
          <w:sz w:val="24"/>
          <w:szCs w:val="24"/>
          <w:highlight w:val="none"/>
        </w:rPr>
      </w:pPr>
    </w:p>
    <w:p w14:paraId="69CF808F">
      <w:pPr>
        <w:spacing w:before="78" w:line="220" w:lineRule="auto"/>
        <w:outlineLvl w:val="2"/>
        <w:rPr>
          <w:rFonts w:hint="eastAsia" w:ascii="宋体" w:hAnsi="宋体" w:eastAsia="宋体" w:cs="宋体"/>
          <w:b/>
          <w:bCs/>
          <w:color w:val="auto"/>
          <w:spacing w:val="-4"/>
          <w:sz w:val="24"/>
          <w:szCs w:val="24"/>
          <w:highlight w:val="none"/>
        </w:rPr>
      </w:pPr>
      <w:bookmarkStart w:id="250" w:name="_Toc19766"/>
      <w:r>
        <w:rPr>
          <w:rFonts w:hint="eastAsia" w:ascii="宋体" w:hAnsi="宋体" w:eastAsia="宋体" w:cs="宋体"/>
          <w:b/>
          <w:bCs/>
          <w:color w:val="auto"/>
          <w:spacing w:val="-4"/>
          <w:sz w:val="24"/>
          <w:szCs w:val="24"/>
          <w:highlight w:val="none"/>
        </w:rPr>
        <w:t>格式十二 建造师查询页（有效期+建造师签字）</w:t>
      </w:r>
      <w:bookmarkEnd w:id="250"/>
    </w:p>
    <w:p w14:paraId="7E4612B5">
      <w:pPr>
        <w:outlineLvl w:val="9"/>
        <w:rPr>
          <w:rFonts w:hint="eastAsia" w:ascii="宋体" w:hAnsi="宋体" w:eastAsia="宋体" w:cs="宋体"/>
          <w:color w:val="auto"/>
          <w:highlight w:val="none"/>
        </w:rPr>
      </w:pPr>
      <w:r>
        <w:rPr>
          <w:rFonts w:hint="eastAsia" w:ascii="宋体" w:hAnsi="宋体" w:eastAsia="宋体" w:cs="宋体"/>
          <w:color w:val="auto"/>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8">
                      <a:lum bright="-6000"/>
                    </a:blip>
                    <a:stretch>
                      <a:fillRect/>
                    </a:stretch>
                  </pic:blipFill>
                  <pic:spPr>
                    <a:xfrm>
                      <a:off x="0" y="0"/>
                      <a:ext cx="6239510" cy="8013700"/>
                    </a:xfrm>
                    <a:prstGeom prst="rect">
                      <a:avLst/>
                    </a:prstGeom>
                    <a:noFill/>
                    <a:ln>
                      <a:noFill/>
                    </a:ln>
                  </pic:spPr>
                </pic:pic>
              </a:graphicData>
            </a:graphic>
          </wp:inline>
        </w:drawing>
      </w:r>
    </w:p>
    <w:p w14:paraId="3172F0C9">
      <w:pPr>
        <w:spacing w:line="220" w:lineRule="auto"/>
        <w:rPr>
          <w:rFonts w:hint="eastAsia" w:ascii="宋体" w:hAnsi="宋体" w:eastAsia="宋体" w:cs="宋体"/>
          <w:color w:val="auto"/>
          <w:sz w:val="24"/>
          <w:szCs w:val="24"/>
          <w:highlight w:val="none"/>
        </w:rPr>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35EB9FF">
      <w:pPr>
        <w:spacing w:line="10744" w:lineRule="exact"/>
        <w:rPr>
          <w:rFonts w:hint="eastAsia" w:ascii="宋体" w:hAnsi="宋体" w:eastAsia="宋体" w:cs="宋体"/>
          <w:color w:val="auto"/>
          <w:highlight w:val="none"/>
        </w:rPr>
      </w:pPr>
      <w:r>
        <w:rPr>
          <w:rFonts w:hint="eastAsia" w:ascii="宋体" w:hAnsi="宋体" w:eastAsia="宋体" w:cs="宋体"/>
          <w:color w:val="auto"/>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9">
                      <a:lum bright="-6000"/>
                    </a:blip>
                    <a:stretch>
                      <a:fillRect/>
                    </a:stretch>
                  </pic:blipFill>
                  <pic:spPr>
                    <a:xfrm>
                      <a:off x="0" y="0"/>
                      <a:ext cx="6285865" cy="6925310"/>
                    </a:xfrm>
                    <a:prstGeom prst="rect">
                      <a:avLst/>
                    </a:prstGeom>
                    <a:noFill/>
                    <a:ln>
                      <a:noFill/>
                    </a:ln>
                  </pic:spPr>
                </pic:pic>
              </a:graphicData>
            </a:graphic>
          </wp:inline>
        </w:drawing>
      </w:r>
    </w:p>
    <w:p w14:paraId="0BA8F6B0">
      <w:pPr>
        <w:spacing w:line="10744" w:lineRule="exact"/>
        <w:rPr>
          <w:rFonts w:hint="eastAsia" w:ascii="宋体" w:hAnsi="宋体" w:eastAsia="宋体" w:cs="宋体"/>
          <w:color w:val="auto"/>
          <w:highlight w:val="none"/>
        </w:rPr>
        <w:sectPr>
          <w:footerReference r:id="rId2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807325D">
      <w:pPr>
        <w:spacing w:before="78" w:line="220" w:lineRule="auto"/>
        <w:outlineLvl w:val="2"/>
        <w:rPr>
          <w:rFonts w:hint="eastAsia" w:ascii="宋体" w:hAnsi="宋体" w:eastAsia="宋体" w:cs="宋体"/>
          <w:b/>
          <w:bCs/>
          <w:color w:val="auto"/>
          <w:spacing w:val="-4"/>
          <w:sz w:val="24"/>
          <w:szCs w:val="24"/>
          <w:highlight w:val="none"/>
        </w:rPr>
      </w:pPr>
      <w:bookmarkStart w:id="251" w:name="_Toc12070"/>
      <w:r>
        <w:rPr>
          <w:rFonts w:hint="eastAsia" w:ascii="宋体" w:hAnsi="宋体" w:eastAsia="宋体" w:cs="宋体"/>
          <w:b/>
          <w:bCs/>
          <w:color w:val="auto"/>
          <w:spacing w:val="-4"/>
          <w:sz w:val="24"/>
          <w:szCs w:val="24"/>
          <w:highlight w:val="none"/>
        </w:rPr>
        <w:t>格式十三：</w:t>
      </w:r>
      <w:r>
        <w:rPr>
          <w:rFonts w:hint="eastAsia" w:ascii="宋体" w:hAnsi="宋体" w:eastAsia="宋体" w:cs="宋体"/>
          <w:b/>
          <w:bCs/>
          <w:color w:val="auto"/>
          <w:spacing w:val="7"/>
          <w:sz w:val="22"/>
          <w:szCs w:val="22"/>
          <w:highlight w:val="none"/>
        </w:rPr>
        <w:t>危险性较大的分部分项工程清单及超过一定规模的危险性较大的</w:t>
      </w:r>
      <w:r>
        <w:rPr>
          <w:rFonts w:hint="eastAsia" w:ascii="宋体" w:hAnsi="宋体" w:eastAsia="宋体" w:cs="宋体"/>
          <w:b/>
          <w:bCs/>
          <w:color w:val="auto"/>
          <w:spacing w:val="5"/>
          <w:sz w:val="22"/>
          <w:szCs w:val="22"/>
          <w:highlight w:val="none"/>
        </w:rPr>
        <w:t>分部分项工程清单</w:t>
      </w:r>
      <w:bookmarkEnd w:id="251"/>
    </w:p>
    <w:p w14:paraId="4A8056AD">
      <w:pPr>
        <w:pStyle w:val="5"/>
        <w:spacing w:line="269" w:lineRule="auto"/>
        <w:rPr>
          <w:rFonts w:hint="eastAsia" w:ascii="宋体" w:hAnsi="宋体" w:eastAsia="宋体" w:cs="宋体"/>
          <w:color w:val="auto"/>
          <w:highlight w:val="none"/>
        </w:rPr>
      </w:pPr>
    </w:p>
    <w:p w14:paraId="6BF95D02">
      <w:pPr>
        <w:tabs>
          <w:tab w:val="left" w:pos="2940"/>
        </w:tabs>
        <w:spacing w:before="101" w:line="377" w:lineRule="auto"/>
        <w:ind w:left="3179" w:leftChars="0" w:right="41" w:hanging="3133" w:firstLineChars="0"/>
        <w:rPr>
          <w:rFonts w:hint="eastAsia" w:ascii="宋体" w:hAnsi="宋体" w:eastAsia="宋体" w:cs="宋体"/>
          <w:color w:val="auto"/>
          <w:sz w:val="31"/>
          <w:szCs w:val="31"/>
          <w:highlight w:val="none"/>
        </w:rPr>
      </w:pPr>
      <w:bookmarkStart w:id="252" w:name="bookmark160"/>
      <w:bookmarkEnd w:id="252"/>
      <w:bookmarkStart w:id="253" w:name="OLE_LINK41"/>
      <w:r>
        <w:rPr>
          <w:rFonts w:hint="eastAsia" w:ascii="宋体" w:hAnsi="宋体" w:eastAsia="宋体" w:cs="宋体"/>
          <w:b/>
          <w:bCs/>
          <w:color w:val="auto"/>
          <w:spacing w:val="7"/>
          <w:sz w:val="31"/>
          <w:szCs w:val="31"/>
          <w:highlight w:val="none"/>
        </w:rPr>
        <w:t>危险性较大的分部分项工程清单及超过一定规模的危险性较大的</w:t>
      </w:r>
      <w:r>
        <w:rPr>
          <w:rFonts w:hint="eastAsia" w:ascii="宋体" w:hAnsi="宋体" w:eastAsia="宋体" w:cs="宋体"/>
          <w:b/>
          <w:bCs/>
          <w:color w:val="auto"/>
          <w:spacing w:val="5"/>
          <w:sz w:val="31"/>
          <w:szCs w:val="31"/>
          <w:highlight w:val="none"/>
        </w:rPr>
        <w:t>分部分项工程清单</w:t>
      </w:r>
    </w:p>
    <w:bookmarkEnd w:id="253"/>
    <w:p w14:paraId="73F326BD">
      <w:pPr>
        <w:spacing w:before="6" w:line="326" w:lineRule="auto"/>
        <w:ind w:left="5" w:firstLine="49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1、根据中华人民共和国住房和城乡建设部令第37号《危险性较大的分部分项工程</w:t>
      </w:r>
      <w:r>
        <w:rPr>
          <w:rFonts w:hint="eastAsia" w:ascii="宋体" w:hAnsi="宋体" w:eastAsia="宋体" w:cs="宋体"/>
          <w:color w:val="auto"/>
          <w:spacing w:val="-2"/>
          <w:sz w:val="24"/>
          <w:szCs w:val="24"/>
          <w:highlight w:val="none"/>
        </w:rPr>
        <w:t>安全管理规定》（以下简称“37号文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投标人在投标时须补充完善危大工程清单并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明确相应的安全管理措施。</w:t>
      </w:r>
    </w:p>
    <w:p w14:paraId="1DC88D33">
      <w:pPr>
        <w:spacing w:before="208" w:line="326" w:lineRule="auto"/>
        <w:ind w:left="1"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4"/>
          <w:szCs w:val="24"/>
          <w:highlight w:val="none"/>
        </w:rPr>
        <w:t>险性较大的分部分项工程清单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本招标项目相关的清单项，具体详见第5点“打</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”标识。</w:t>
      </w:r>
    </w:p>
    <w:p w14:paraId="360030D3">
      <w:pPr>
        <w:spacing w:before="209" w:line="299" w:lineRule="auto"/>
        <w:ind w:left="3" w:right="72" w:firstLine="4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（1）投标单位同意建设单位在清单中标识的该</w:t>
      </w:r>
      <w:r>
        <w:rPr>
          <w:rFonts w:hint="eastAsia" w:ascii="宋体" w:hAnsi="宋体" w:eastAsia="宋体" w:cs="宋体"/>
          <w:color w:val="auto"/>
          <w:spacing w:val="-4"/>
          <w:sz w:val="24"/>
          <w:szCs w:val="24"/>
          <w:highlight w:val="none"/>
        </w:rPr>
        <w:t>项请在对应项打“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w:t>
      </w:r>
      <w:r>
        <w:rPr>
          <w:rFonts w:hint="eastAsia" w:ascii="宋体" w:hAnsi="宋体" w:eastAsia="宋体" w:cs="宋体"/>
          <w:color w:val="auto"/>
          <w:spacing w:val="-1"/>
          <w:sz w:val="24"/>
          <w:szCs w:val="24"/>
          <w:highlight w:val="none"/>
        </w:rPr>
        <w:t>投标文件中提供相应的安全管理措施。</w:t>
      </w:r>
    </w:p>
    <w:p w14:paraId="4935E083">
      <w:pPr>
        <w:spacing w:before="208" w:line="299" w:lineRule="auto"/>
        <w:ind w:left="2" w:right="72" w:firstLine="48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（2）投标单位对清单中认为需要补充的该项请</w:t>
      </w:r>
      <w:r>
        <w:rPr>
          <w:rFonts w:hint="eastAsia" w:ascii="宋体" w:hAnsi="宋体" w:eastAsia="宋体" w:cs="宋体"/>
          <w:color w:val="auto"/>
          <w:spacing w:val="-4"/>
          <w:sz w:val="24"/>
          <w:szCs w:val="24"/>
          <w:highlight w:val="none"/>
        </w:rPr>
        <w:t>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”标识，并与投标</w:t>
      </w:r>
      <w:r>
        <w:rPr>
          <w:rFonts w:hint="eastAsia" w:ascii="宋体" w:hAnsi="宋体" w:eastAsia="宋体" w:cs="宋体"/>
          <w:color w:val="auto"/>
          <w:spacing w:val="-1"/>
          <w:sz w:val="24"/>
          <w:szCs w:val="24"/>
          <w:highlight w:val="none"/>
        </w:rPr>
        <w:t>文件中提供相应的安全管理措施。</w:t>
      </w:r>
    </w:p>
    <w:p w14:paraId="47CE10C4">
      <w:pPr>
        <w:spacing w:before="210" w:line="300" w:lineRule="auto"/>
        <w:ind w:right="72" w:firstLine="49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（3）投标单位不同意建设单位在清单中标识的该项请在对应项打“</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”标识，并</w:t>
      </w:r>
      <w:r>
        <w:rPr>
          <w:rFonts w:hint="eastAsia" w:ascii="宋体" w:hAnsi="宋体" w:eastAsia="宋体" w:cs="宋体"/>
          <w:color w:val="auto"/>
          <w:spacing w:val="-1"/>
          <w:sz w:val="24"/>
          <w:szCs w:val="24"/>
          <w:highlight w:val="none"/>
        </w:rPr>
        <w:t>在备注栏填上相关说明。</w:t>
      </w:r>
    </w:p>
    <w:p w14:paraId="34A6CA4A">
      <w:pPr>
        <w:spacing w:before="207" w:line="371" w:lineRule="auto"/>
        <w:ind w:firstLine="484"/>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u w:val="single"/>
        </w:rPr>
        <w:t>3、投标单位应当在投标时根据招标人提供的下述第5点清单，</w:t>
      </w:r>
      <w:r>
        <w:rPr>
          <w:rFonts w:hint="eastAsia" w:ascii="宋体" w:hAnsi="宋体" w:eastAsia="宋体" w:cs="宋体"/>
          <w:b/>
          <w:bCs/>
          <w:color w:val="auto"/>
          <w:spacing w:val="-5"/>
          <w:sz w:val="24"/>
          <w:szCs w:val="24"/>
          <w:highlight w:val="none"/>
          <w:u w:val="single"/>
        </w:rPr>
        <w:t>在投标施工组织中回</w:t>
      </w:r>
      <w:r>
        <w:rPr>
          <w:rFonts w:hint="eastAsia" w:ascii="宋体" w:hAnsi="宋体" w:eastAsia="宋体" w:cs="宋体"/>
          <w:b/>
          <w:bCs/>
          <w:color w:val="auto"/>
          <w:spacing w:val="-4"/>
          <w:sz w:val="24"/>
          <w:szCs w:val="24"/>
          <w:highlight w:val="none"/>
          <w:u w:val="single"/>
        </w:rPr>
        <w:t>应建设单位提供的危大工程清单，补充相应的安全管理措施。（为减轻标书编制</w:t>
      </w:r>
      <w:r>
        <w:rPr>
          <w:rFonts w:hint="eastAsia" w:ascii="宋体" w:hAnsi="宋体" w:eastAsia="宋体" w:cs="宋体"/>
          <w:b/>
          <w:bCs/>
          <w:color w:val="auto"/>
          <w:spacing w:val="-5"/>
          <w:sz w:val="24"/>
          <w:szCs w:val="24"/>
          <w:highlight w:val="none"/>
          <w:u w:val="single"/>
        </w:rPr>
        <w:t>的工作</w:t>
      </w:r>
      <w:r>
        <w:rPr>
          <w:rFonts w:hint="eastAsia" w:ascii="宋体" w:hAnsi="宋体" w:eastAsia="宋体" w:cs="宋体"/>
          <w:b/>
          <w:bCs/>
          <w:color w:val="auto"/>
          <w:spacing w:val="-2"/>
          <w:sz w:val="24"/>
          <w:szCs w:val="24"/>
          <w:highlight w:val="none"/>
          <w:u w:val="single"/>
        </w:rPr>
        <w:t>量，投标单位回应的危大工程清单该部分的页数应控制在3页内）</w:t>
      </w:r>
    </w:p>
    <w:p w14:paraId="24405FA5">
      <w:pPr>
        <w:spacing w:before="33" w:line="326" w:lineRule="auto"/>
        <w:ind w:left="1" w:firstLine="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4、对于超过一定规模的危大工程，中标单位应当组织召开</w:t>
      </w:r>
      <w:r>
        <w:rPr>
          <w:rFonts w:hint="eastAsia" w:ascii="宋体" w:hAnsi="宋体" w:eastAsia="宋体" w:cs="宋体"/>
          <w:color w:val="auto"/>
          <w:spacing w:val="-1"/>
          <w:sz w:val="24"/>
          <w:szCs w:val="24"/>
          <w:highlight w:val="none"/>
        </w:rPr>
        <w:t>专家论证会对专项施工</w:t>
      </w:r>
      <w:r>
        <w:rPr>
          <w:rFonts w:hint="eastAsia" w:ascii="宋体" w:hAnsi="宋体" w:eastAsia="宋体" w:cs="宋体"/>
          <w:color w:val="auto"/>
          <w:spacing w:val="-2"/>
          <w:sz w:val="24"/>
          <w:szCs w:val="24"/>
          <w:highlight w:val="none"/>
        </w:rPr>
        <w:t>方案进行论证。实行施工总承包的，由施工总承包单位组织召开专家论证会。专家论证</w:t>
      </w:r>
      <w:r>
        <w:rPr>
          <w:rFonts w:hint="eastAsia" w:ascii="宋体" w:hAnsi="宋体" w:eastAsia="宋体" w:cs="宋体"/>
          <w:color w:val="auto"/>
          <w:spacing w:val="-1"/>
          <w:sz w:val="24"/>
          <w:szCs w:val="24"/>
          <w:highlight w:val="none"/>
        </w:rPr>
        <w:t>前专项施工方案应当通过施工总承包单位审核和总监理工程师审查。</w:t>
      </w:r>
    </w:p>
    <w:p w14:paraId="6259503A">
      <w:pPr>
        <w:spacing w:before="208" w:line="301" w:lineRule="auto"/>
        <w:ind w:firstLine="484"/>
        <w:rPr>
          <w:rFonts w:hint="eastAsia" w:ascii="宋体" w:hAnsi="宋体" w:eastAsia="宋体" w:cs="宋体"/>
          <w:color w:val="auto"/>
          <w:highlight w:val="none"/>
        </w:rPr>
      </w:pPr>
      <w:r>
        <w:rPr>
          <w:rFonts w:hint="eastAsia" w:ascii="宋体" w:hAnsi="宋体" w:eastAsia="宋体" w:cs="宋体"/>
          <w:color w:val="auto"/>
          <w:spacing w:val="2"/>
          <w:sz w:val="24"/>
          <w:szCs w:val="24"/>
          <w:highlight w:val="none"/>
        </w:rPr>
        <w:t>5、危险性较大的分部分项工程清单及超过一</w:t>
      </w:r>
      <w:r>
        <w:rPr>
          <w:rFonts w:hint="eastAsia" w:ascii="宋体" w:hAnsi="宋体" w:eastAsia="宋体" w:cs="宋体"/>
          <w:color w:val="auto"/>
          <w:spacing w:val="1"/>
          <w:sz w:val="24"/>
          <w:szCs w:val="24"/>
          <w:highlight w:val="none"/>
        </w:rPr>
        <w:t>定规模的危险性较大的分部分项工程</w:t>
      </w:r>
      <w:r>
        <w:rPr>
          <w:rFonts w:hint="eastAsia" w:ascii="宋体" w:hAnsi="宋体" w:eastAsia="宋体" w:cs="宋体"/>
          <w:color w:val="auto"/>
          <w:spacing w:val="-4"/>
          <w:sz w:val="24"/>
          <w:szCs w:val="24"/>
          <w:highlight w:val="none"/>
        </w:rPr>
        <w:t>清单</w:t>
      </w:r>
    </w:p>
    <w:p w14:paraId="3E4BB257">
      <w:pPr>
        <w:spacing w:before="40"/>
        <w:rPr>
          <w:rFonts w:hint="eastAsia" w:ascii="宋体" w:hAnsi="宋体" w:eastAsia="宋体" w:cs="宋体"/>
          <w:color w:val="auto"/>
          <w:highlight w:val="none"/>
        </w:rPr>
      </w:pPr>
    </w:p>
    <w:tbl>
      <w:tblPr>
        <w:tblStyle w:val="14"/>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27FF4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B26D5DC">
            <w:pPr>
              <w:spacing w:before="133" w:line="220" w:lineRule="auto"/>
              <w:ind w:firstLine="235" w:firstLineChars="100"/>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3"/>
                <w:sz w:val="24"/>
                <w:szCs w:val="24"/>
                <w:highlight w:val="none"/>
              </w:rPr>
              <w:t>一、危险性较大的分部分项工程清单</w:t>
            </w:r>
          </w:p>
        </w:tc>
        <w:tc>
          <w:tcPr>
            <w:tcW w:w="1294" w:type="dxa"/>
            <w:vAlign w:val="top"/>
          </w:tcPr>
          <w:p w14:paraId="7FABA18C">
            <w:pPr>
              <w:spacing w:before="133" w:line="221" w:lineRule="auto"/>
              <w:ind w:left="20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350FCB31">
            <w:pPr>
              <w:spacing w:before="133" w:line="221" w:lineRule="auto"/>
              <w:ind w:left="205" w:leftChars="0"/>
              <w:rPr>
                <w:rFonts w:hint="eastAsia" w:ascii="宋体" w:hAnsi="宋体" w:eastAsia="宋体" w:cs="宋体"/>
                <w:color w:val="auto"/>
                <w:spacing w:val="-19"/>
                <w:w w:val="94"/>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3E269D90">
            <w:pPr>
              <w:spacing w:before="133" w:line="222" w:lineRule="auto"/>
              <w:ind w:left="360" w:leftChars="0"/>
              <w:rPr>
                <w:rFonts w:hint="eastAsia" w:ascii="宋体" w:hAnsi="宋体" w:eastAsia="宋体" w:cs="宋体"/>
                <w:color w:val="auto"/>
                <w:highlight w:val="none"/>
              </w:rPr>
            </w:pPr>
            <w:r>
              <w:rPr>
                <w:rFonts w:hint="eastAsia" w:ascii="宋体" w:hAnsi="宋体" w:eastAsia="宋体" w:cs="宋体"/>
                <w:color w:val="auto"/>
                <w:spacing w:val="-7"/>
                <w:sz w:val="24"/>
                <w:szCs w:val="24"/>
                <w:highlight w:val="none"/>
              </w:rPr>
              <w:t>备注</w:t>
            </w:r>
          </w:p>
        </w:tc>
      </w:tr>
      <w:tr w14:paraId="791A5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8A01D90">
            <w:pPr>
              <w:spacing w:before="128" w:line="221" w:lineRule="auto"/>
              <w:ind w:left="120" w:left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3"/>
                <w:sz w:val="24"/>
                <w:szCs w:val="24"/>
                <w:highlight w:val="none"/>
              </w:rPr>
              <w:t>一、基坑支护</w:t>
            </w:r>
          </w:p>
        </w:tc>
        <w:tc>
          <w:tcPr>
            <w:tcW w:w="1294" w:type="dxa"/>
            <w:vAlign w:val="top"/>
          </w:tcPr>
          <w:p w14:paraId="13602047">
            <w:pPr>
              <w:spacing w:before="128" w:line="223" w:lineRule="auto"/>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bookmarkStart w:id="254" w:name="OLE_LINK39"/>
            <w:r>
              <w:rPr>
                <w:rFonts w:hint="eastAsia" w:ascii="宋体" w:hAnsi="宋体" w:eastAsia="宋体" w:cs="宋体"/>
                <w:color w:val="auto"/>
                <w:spacing w:val="5"/>
                <w:sz w:val="24"/>
                <w:szCs w:val="24"/>
                <w:highlight w:val="none"/>
              </w:rPr>
              <w:t xml:space="preserve">  </w:t>
            </w:r>
            <w:bookmarkEnd w:id="254"/>
            <w:r>
              <w:rPr>
                <w:rFonts w:hint="eastAsia" w:ascii="宋体" w:hAnsi="宋体" w:eastAsia="宋体" w:cs="宋体"/>
                <w:color w:val="auto"/>
                <w:spacing w:val="-19"/>
                <w:w w:val="94"/>
                <w:sz w:val="24"/>
                <w:szCs w:val="24"/>
                <w:highlight w:val="none"/>
              </w:rPr>
              <w:t>)</w:t>
            </w:r>
          </w:p>
        </w:tc>
        <w:tc>
          <w:tcPr>
            <w:tcW w:w="1294" w:type="dxa"/>
            <w:vAlign w:val="top"/>
          </w:tcPr>
          <w:p w14:paraId="6590122D">
            <w:pPr>
              <w:spacing w:before="12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67C5177">
            <w:pPr>
              <w:pStyle w:val="21"/>
              <w:rPr>
                <w:rFonts w:hint="eastAsia" w:ascii="宋体" w:hAnsi="宋体" w:eastAsia="宋体" w:cs="宋体"/>
                <w:color w:val="auto"/>
                <w:highlight w:val="none"/>
              </w:rPr>
            </w:pPr>
          </w:p>
        </w:tc>
      </w:tr>
      <w:tr w14:paraId="5B4AB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2AFB183">
            <w:pPr>
              <w:spacing w:before="129" w:line="328" w:lineRule="auto"/>
              <w:ind w:left="135" w:leftChars="0" w:right="68" w:rightChars="0" w:hanging="8" w:firstLine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4"/>
                <w:sz w:val="24"/>
                <w:szCs w:val="24"/>
                <w:highlight w:val="none"/>
              </w:rPr>
              <w:t>（一）开挖深度超过</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3m（含</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4"/>
                <w:sz w:val="24"/>
                <w:szCs w:val="24"/>
                <w:highlight w:val="none"/>
              </w:rPr>
              <w:t>3m）的基坑（槽）</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的土方开挖、支护、降水工程。</w:t>
            </w:r>
          </w:p>
        </w:tc>
        <w:tc>
          <w:tcPr>
            <w:tcW w:w="1294" w:type="dxa"/>
            <w:vAlign w:val="top"/>
          </w:tcPr>
          <w:p w14:paraId="5EEDD4FC">
            <w:pPr>
              <w:pStyle w:val="21"/>
              <w:spacing w:line="297" w:lineRule="auto"/>
              <w:rPr>
                <w:rFonts w:hint="eastAsia" w:ascii="宋体" w:hAnsi="宋体" w:eastAsia="宋体" w:cs="宋体"/>
                <w:color w:val="auto"/>
                <w:highlight w:val="none"/>
              </w:rPr>
            </w:pPr>
          </w:p>
          <w:p w14:paraId="0E5A3F62">
            <w:pPr>
              <w:spacing w:before="78" w:line="223" w:lineRule="auto"/>
              <w:ind w:left="396"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3A8ADC1">
            <w:pPr>
              <w:pStyle w:val="21"/>
              <w:spacing w:line="297" w:lineRule="auto"/>
              <w:rPr>
                <w:rFonts w:hint="eastAsia" w:ascii="宋体" w:hAnsi="宋体" w:eastAsia="宋体" w:cs="宋体"/>
                <w:color w:val="auto"/>
                <w:highlight w:val="none"/>
              </w:rPr>
            </w:pPr>
          </w:p>
          <w:p w14:paraId="3ED7F037">
            <w:pPr>
              <w:spacing w:before="78" w:line="223" w:lineRule="auto"/>
              <w:ind w:left="367" w:leftChars="0"/>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E844507">
            <w:pPr>
              <w:pStyle w:val="21"/>
              <w:rPr>
                <w:rFonts w:hint="eastAsia" w:ascii="宋体" w:hAnsi="宋体" w:eastAsia="宋体" w:cs="宋体"/>
                <w:color w:val="auto"/>
                <w:highlight w:val="none"/>
              </w:rPr>
            </w:pPr>
          </w:p>
        </w:tc>
      </w:tr>
      <w:tr w14:paraId="798EF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6253A00">
            <w:pPr>
              <w:spacing w:before="132" w:line="354" w:lineRule="auto"/>
              <w:ind w:left="116" w:right="108" w:firstLine="11"/>
              <w:jc w:val="both"/>
              <w:rPr>
                <w:rFonts w:hint="eastAsia" w:ascii="宋体" w:hAnsi="宋体" w:eastAsia="宋体" w:cs="宋体"/>
                <w:color w:val="auto"/>
                <w:sz w:val="24"/>
                <w:szCs w:val="24"/>
                <w:highlight w:val="none"/>
              </w:rPr>
            </w:pPr>
            <w:bookmarkStart w:id="255" w:name="bookmark161"/>
            <w:bookmarkEnd w:id="255"/>
            <w:r>
              <w:rPr>
                <w:rFonts w:hint="eastAsia" w:ascii="宋体" w:hAnsi="宋体" w:eastAsia="宋体" w:cs="宋体"/>
                <w:color w:val="auto"/>
                <w:spacing w:val="-2"/>
                <w:sz w:val="24"/>
                <w:szCs w:val="24"/>
                <w:highlight w:val="none"/>
              </w:rPr>
              <w:t>（二）开挖深度虽未超过</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3m，但地质条件、周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围环境和地下管线复杂，或影响毗邻建、构筑</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
                <w:sz w:val="24"/>
                <w:szCs w:val="24"/>
                <w:highlight w:val="none"/>
              </w:rPr>
              <w:t>物安全的基坑（槽）的土方开挖、支护、降水</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4"/>
                <w:sz w:val="24"/>
                <w:szCs w:val="24"/>
                <w:highlight w:val="none"/>
              </w:rPr>
              <w:t>工程。</w:t>
            </w:r>
          </w:p>
        </w:tc>
        <w:tc>
          <w:tcPr>
            <w:tcW w:w="1294" w:type="dxa"/>
            <w:vAlign w:val="top"/>
          </w:tcPr>
          <w:p w14:paraId="092F9FFB">
            <w:pPr>
              <w:pStyle w:val="21"/>
              <w:spacing w:line="263" w:lineRule="auto"/>
              <w:rPr>
                <w:rFonts w:hint="eastAsia" w:ascii="宋体" w:hAnsi="宋体" w:eastAsia="宋体" w:cs="宋体"/>
                <w:color w:val="auto"/>
                <w:highlight w:val="none"/>
              </w:rPr>
            </w:pPr>
          </w:p>
          <w:p w14:paraId="1C25F382">
            <w:pPr>
              <w:pStyle w:val="21"/>
              <w:spacing w:line="263" w:lineRule="auto"/>
              <w:rPr>
                <w:rFonts w:hint="eastAsia" w:ascii="宋体" w:hAnsi="宋体" w:eastAsia="宋体" w:cs="宋体"/>
                <w:color w:val="auto"/>
                <w:highlight w:val="none"/>
              </w:rPr>
            </w:pPr>
          </w:p>
          <w:p w14:paraId="6C433F14">
            <w:pPr>
              <w:pStyle w:val="21"/>
              <w:spacing w:line="264" w:lineRule="auto"/>
              <w:rPr>
                <w:rFonts w:hint="eastAsia" w:ascii="宋体" w:hAnsi="宋体" w:eastAsia="宋体" w:cs="宋体"/>
                <w:color w:val="auto"/>
                <w:highlight w:val="none"/>
              </w:rPr>
            </w:pPr>
          </w:p>
          <w:p w14:paraId="1703ABF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bookmarkStart w:id="256" w:name="OLE_LINK40"/>
            <w:r>
              <w:rPr>
                <w:rFonts w:hint="eastAsia" w:ascii="宋体" w:hAnsi="宋体" w:eastAsia="宋体" w:cs="宋体"/>
                <w:color w:val="auto"/>
                <w:spacing w:val="2"/>
                <w:sz w:val="24"/>
                <w:szCs w:val="24"/>
                <w:highlight w:val="none"/>
              </w:rPr>
              <w:t xml:space="preserve">     </w:t>
            </w:r>
            <w:bookmarkEnd w:id="256"/>
            <w:r>
              <w:rPr>
                <w:rFonts w:hint="eastAsia" w:ascii="宋体" w:hAnsi="宋体" w:eastAsia="宋体" w:cs="宋体"/>
                <w:color w:val="auto"/>
                <w:spacing w:val="-19"/>
                <w:w w:val="94"/>
                <w:sz w:val="24"/>
                <w:szCs w:val="24"/>
                <w:highlight w:val="none"/>
              </w:rPr>
              <w:t>)</w:t>
            </w:r>
          </w:p>
        </w:tc>
        <w:tc>
          <w:tcPr>
            <w:tcW w:w="1294" w:type="dxa"/>
            <w:vAlign w:val="top"/>
          </w:tcPr>
          <w:p w14:paraId="27A5AB03">
            <w:pPr>
              <w:pStyle w:val="21"/>
              <w:spacing w:line="263" w:lineRule="auto"/>
              <w:rPr>
                <w:rFonts w:hint="eastAsia" w:ascii="宋体" w:hAnsi="宋体" w:eastAsia="宋体" w:cs="宋体"/>
                <w:color w:val="auto"/>
                <w:highlight w:val="none"/>
              </w:rPr>
            </w:pPr>
          </w:p>
          <w:p w14:paraId="2C8EDC97">
            <w:pPr>
              <w:pStyle w:val="21"/>
              <w:spacing w:line="263" w:lineRule="auto"/>
              <w:rPr>
                <w:rFonts w:hint="eastAsia" w:ascii="宋体" w:hAnsi="宋体" w:eastAsia="宋体" w:cs="宋体"/>
                <w:color w:val="auto"/>
                <w:highlight w:val="none"/>
              </w:rPr>
            </w:pPr>
          </w:p>
          <w:p w14:paraId="1A88AF32">
            <w:pPr>
              <w:pStyle w:val="21"/>
              <w:spacing w:line="264" w:lineRule="auto"/>
              <w:rPr>
                <w:rFonts w:hint="eastAsia" w:ascii="宋体" w:hAnsi="宋体" w:eastAsia="宋体" w:cs="宋体"/>
                <w:color w:val="auto"/>
                <w:highlight w:val="none"/>
              </w:rPr>
            </w:pPr>
          </w:p>
          <w:p w14:paraId="7BCE629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CE42E4">
            <w:pPr>
              <w:pStyle w:val="21"/>
              <w:rPr>
                <w:rFonts w:hint="eastAsia" w:ascii="宋体" w:hAnsi="宋体" w:eastAsia="宋体" w:cs="宋体"/>
                <w:color w:val="auto"/>
                <w:highlight w:val="none"/>
              </w:rPr>
            </w:pPr>
          </w:p>
        </w:tc>
      </w:tr>
      <w:tr w14:paraId="13D60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21ACA2D">
            <w:pPr>
              <w:spacing w:before="128"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013D7C49">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E30F9F">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BFA85A5">
            <w:pPr>
              <w:pStyle w:val="21"/>
              <w:rPr>
                <w:rFonts w:hint="eastAsia" w:ascii="宋体" w:hAnsi="宋体" w:eastAsia="宋体" w:cs="宋体"/>
                <w:color w:val="auto"/>
                <w:highlight w:val="none"/>
              </w:rPr>
            </w:pPr>
          </w:p>
        </w:tc>
      </w:tr>
      <w:tr w14:paraId="21CEA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886AEA5">
            <w:pPr>
              <w:spacing w:before="128" w:line="328"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31F482D0">
            <w:pPr>
              <w:pStyle w:val="21"/>
              <w:spacing w:line="293" w:lineRule="auto"/>
              <w:rPr>
                <w:rFonts w:hint="eastAsia" w:ascii="宋体" w:hAnsi="宋体" w:eastAsia="宋体" w:cs="宋体"/>
                <w:color w:val="auto"/>
                <w:highlight w:val="none"/>
              </w:rPr>
            </w:pPr>
          </w:p>
          <w:p w14:paraId="7F64793B">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D856E2E">
            <w:pPr>
              <w:pStyle w:val="21"/>
              <w:spacing w:line="293" w:lineRule="auto"/>
              <w:rPr>
                <w:rFonts w:hint="eastAsia" w:ascii="宋体" w:hAnsi="宋体" w:eastAsia="宋体" w:cs="宋体"/>
                <w:color w:val="auto"/>
                <w:highlight w:val="none"/>
              </w:rPr>
            </w:pPr>
          </w:p>
          <w:p w14:paraId="1BBC59B1">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2A8AE3">
            <w:pPr>
              <w:pStyle w:val="21"/>
              <w:rPr>
                <w:rFonts w:hint="eastAsia" w:ascii="宋体" w:hAnsi="宋体" w:eastAsia="宋体" w:cs="宋体"/>
                <w:color w:val="auto"/>
                <w:highlight w:val="none"/>
              </w:rPr>
            </w:pPr>
          </w:p>
        </w:tc>
      </w:tr>
      <w:tr w14:paraId="7A255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FBDC893">
            <w:pPr>
              <w:spacing w:before="131" w:line="362" w:lineRule="auto"/>
              <w:ind w:left="115" w:right="105" w:firstLine="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（二）混凝土模板支撑工程：搭设高度</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5"/>
                <w:sz w:val="24"/>
                <w:szCs w:val="24"/>
                <w:highlight w:val="none"/>
              </w:rPr>
              <w:t>5m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5"/>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上，或搭设跨度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0"/>
                <w:sz w:val="24"/>
                <w:szCs w:val="24"/>
                <w:highlight w:val="none"/>
              </w:rPr>
              <w:t>及以上，或施工总荷</w:t>
            </w:r>
            <w:r>
              <w:rPr>
                <w:rFonts w:hint="eastAsia" w:ascii="宋体" w:hAnsi="宋体" w:eastAsia="宋体" w:cs="宋体"/>
                <w:color w:val="auto"/>
                <w:spacing w:val="-11"/>
                <w:sz w:val="24"/>
                <w:szCs w:val="24"/>
                <w:highlight w:val="none"/>
              </w:rPr>
              <w:t>载（荷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载效应基本组合的设计值，以下简称设计值）</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14"/>
                <w:sz w:val="24"/>
                <w:szCs w:val="24"/>
                <w:highlight w:val="none"/>
              </w:rPr>
              <w:t>10kN/m2</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14"/>
                <w:sz w:val="24"/>
                <w:szCs w:val="24"/>
                <w:highlight w:val="none"/>
              </w:rPr>
              <w:t>及以上，或集中线荷载（设计值）15kN/m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及以上，或高度大于支撑水平投影宽度且相对</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独立无联系构件的混凝土模板支撑工程。</w:t>
            </w:r>
          </w:p>
        </w:tc>
        <w:tc>
          <w:tcPr>
            <w:tcW w:w="1294" w:type="dxa"/>
            <w:vAlign w:val="top"/>
          </w:tcPr>
          <w:p w14:paraId="0AC76692">
            <w:pPr>
              <w:pStyle w:val="21"/>
              <w:spacing w:line="255" w:lineRule="auto"/>
              <w:rPr>
                <w:rFonts w:hint="eastAsia" w:ascii="宋体" w:hAnsi="宋体" w:eastAsia="宋体" w:cs="宋体"/>
                <w:color w:val="auto"/>
                <w:highlight w:val="none"/>
              </w:rPr>
            </w:pPr>
          </w:p>
          <w:p w14:paraId="06A69DBD">
            <w:pPr>
              <w:pStyle w:val="21"/>
              <w:spacing w:line="255" w:lineRule="auto"/>
              <w:rPr>
                <w:rFonts w:hint="eastAsia" w:ascii="宋体" w:hAnsi="宋体" w:eastAsia="宋体" w:cs="宋体"/>
                <w:color w:val="auto"/>
                <w:highlight w:val="none"/>
              </w:rPr>
            </w:pPr>
          </w:p>
          <w:p w14:paraId="5F44AC94">
            <w:pPr>
              <w:pStyle w:val="21"/>
              <w:spacing w:line="255" w:lineRule="auto"/>
              <w:rPr>
                <w:rFonts w:hint="eastAsia" w:ascii="宋体" w:hAnsi="宋体" w:eastAsia="宋体" w:cs="宋体"/>
                <w:color w:val="auto"/>
                <w:highlight w:val="none"/>
              </w:rPr>
            </w:pPr>
          </w:p>
          <w:p w14:paraId="117E02D8">
            <w:pPr>
              <w:pStyle w:val="21"/>
              <w:spacing w:line="255" w:lineRule="auto"/>
              <w:rPr>
                <w:rFonts w:hint="eastAsia" w:ascii="宋体" w:hAnsi="宋体" w:eastAsia="宋体" w:cs="宋体"/>
                <w:color w:val="auto"/>
                <w:highlight w:val="none"/>
              </w:rPr>
            </w:pPr>
          </w:p>
          <w:p w14:paraId="58924DBB">
            <w:pPr>
              <w:pStyle w:val="21"/>
              <w:spacing w:line="256" w:lineRule="auto"/>
              <w:rPr>
                <w:rFonts w:hint="eastAsia" w:ascii="宋体" w:hAnsi="宋体" w:eastAsia="宋体" w:cs="宋体"/>
                <w:color w:val="auto"/>
                <w:highlight w:val="none"/>
              </w:rPr>
            </w:pPr>
          </w:p>
          <w:p w14:paraId="7CC727ED">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8C34081">
            <w:pPr>
              <w:pStyle w:val="21"/>
              <w:spacing w:line="255" w:lineRule="auto"/>
              <w:rPr>
                <w:rFonts w:hint="eastAsia" w:ascii="宋体" w:hAnsi="宋体" w:eastAsia="宋体" w:cs="宋体"/>
                <w:color w:val="auto"/>
                <w:highlight w:val="none"/>
              </w:rPr>
            </w:pPr>
          </w:p>
          <w:p w14:paraId="44D32487">
            <w:pPr>
              <w:pStyle w:val="21"/>
              <w:spacing w:line="255" w:lineRule="auto"/>
              <w:rPr>
                <w:rFonts w:hint="eastAsia" w:ascii="宋体" w:hAnsi="宋体" w:eastAsia="宋体" w:cs="宋体"/>
                <w:color w:val="auto"/>
                <w:highlight w:val="none"/>
              </w:rPr>
            </w:pPr>
          </w:p>
          <w:p w14:paraId="2FB6EB74">
            <w:pPr>
              <w:pStyle w:val="21"/>
              <w:spacing w:line="255" w:lineRule="auto"/>
              <w:rPr>
                <w:rFonts w:hint="eastAsia" w:ascii="宋体" w:hAnsi="宋体" w:eastAsia="宋体" w:cs="宋体"/>
                <w:color w:val="auto"/>
                <w:highlight w:val="none"/>
              </w:rPr>
            </w:pPr>
          </w:p>
          <w:p w14:paraId="2532C873">
            <w:pPr>
              <w:pStyle w:val="21"/>
              <w:spacing w:line="255" w:lineRule="auto"/>
              <w:rPr>
                <w:rFonts w:hint="eastAsia" w:ascii="宋体" w:hAnsi="宋体" w:eastAsia="宋体" w:cs="宋体"/>
                <w:color w:val="auto"/>
                <w:highlight w:val="none"/>
              </w:rPr>
            </w:pPr>
          </w:p>
          <w:p w14:paraId="6EA29091">
            <w:pPr>
              <w:pStyle w:val="21"/>
              <w:spacing w:line="256" w:lineRule="auto"/>
              <w:rPr>
                <w:rFonts w:hint="eastAsia" w:ascii="宋体" w:hAnsi="宋体" w:eastAsia="宋体" w:cs="宋体"/>
                <w:color w:val="auto"/>
                <w:highlight w:val="none"/>
              </w:rPr>
            </w:pPr>
          </w:p>
          <w:p w14:paraId="4FFEF356">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0A88735">
            <w:pPr>
              <w:pStyle w:val="21"/>
              <w:rPr>
                <w:rFonts w:hint="eastAsia" w:ascii="宋体" w:hAnsi="宋体" w:eastAsia="宋体" w:cs="宋体"/>
                <w:color w:val="auto"/>
                <w:highlight w:val="none"/>
              </w:rPr>
            </w:pPr>
          </w:p>
        </w:tc>
      </w:tr>
      <w:tr w14:paraId="55FE4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DB8DF3D">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3"/>
                <w:sz w:val="24"/>
                <w:szCs w:val="24"/>
                <w:highlight w:val="none"/>
              </w:rPr>
              <w:t>支撑体系。</w:t>
            </w:r>
          </w:p>
        </w:tc>
        <w:tc>
          <w:tcPr>
            <w:tcW w:w="1294" w:type="dxa"/>
            <w:vAlign w:val="top"/>
          </w:tcPr>
          <w:p w14:paraId="08B49BEC">
            <w:pPr>
              <w:pStyle w:val="21"/>
              <w:spacing w:line="296" w:lineRule="auto"/>
              <w:rPr>
                <w:rFonts w:hint="eastAsia" w:ascii="宋体" w:hAnsi="宋体" w:eastAsia="宋体" w:cs="宋体"/>
                <w:color w:val="auto"/>
                <w:highlight w:val="none"/>
              </w:rPr>
            </w:pPr>
          </w:p>
          <w:p w14:paraId="62113AAF">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61AA738">
            <w:pPr>
              <w:pStyle w:val="21"/>
              <w:spacing w:line="296" w:lineRule="auto"/>
              <w:rPr>
                <w:rFonts w:hint="eastAsia" w:ascii="宋体" w:hAnsi="宋体" w:eastAsia="宋体" w:cs="宋体"/>
                <w:color w:val="auto"/>
                <w:highlight w:val="none"/>
              </w:rPr>
            </w:pPr>
          </w:p>
          <w:p w14:paraId="2247851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28C2275">
            <w:pPr>
              <w:pStyle w:val="21"/>
              <w:rPr>
                <w:rFonts w:hint="eastAsia" w:ascii="宋体" w:hAnsi="宋体" w:eastAsia="宋体" w:cs="宋体"/>
                <w:color w:val="auto"/>
                <w:highlight w:val="none"/>
              </w:rPr>
            </w:pPr>
          </w:p>
        </w:tc>
      </w:tr>
      <w:tr w14:paraId="22C01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CD7B1B3">
            <w:pPr>
              <w:spacing w:before="130"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0C4B19D2">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007119F">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778356F">
            <w:pPr>
              <w:pStyle w:val="21"/>
              <w:rPr>
                <w:rFonts w:hint="eastAsia" w:ascii="宋体" w:hAnsi="宋体" w:eastAsia="宋体" w:cs="宋体"/>
                <w:color w:val="auto"/>
                <w:highlight w:val="none"/>
              </w:rPr>
            </w:pPr>
          </w:p>
        </w:tc>
      </w:tr>
      <w:tr w14:paraId="54B4C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640879D">
            <w:pPr>
              <w:spacing w:before="131" w:line="327"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42DC5BCC">
            <w:pPr>
              <w:pStyle w:val="21"/>
              <w:spacing w:line="297" w:lineRule="auto"/>
              <w:rPr>
                <w:rFonts w:hint="eastAsia" w:ascii="宋体" w:hAnsi="宋体" w:eastAsia="宋体" w:cs="宋体"/>
                <w:color w:val="auto"/>
                <w:highlight w:val="none"/>
              </w:rPr>
            </w:pPr>
          </w:p>
          <w:p w14:paraId="25E8B5B3">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7E69931">
            <w:pPr>
              <w:pStyle w:val="21"/>
              <w:spacing w:line="297" w:lineRule="auto"/>
              <w:rPr>
                <w:rFonts w:hint="eastAsia" w:ascii="宋体" w:hAnsi="宋体" w:eastAsia="宋体" w:cs="宋体"/>
                <w:color w:val="auto"/>
                <w:highlight w:val="none"/>
              </w:rPr>
            </w:pPr>
          </w:p>
          <w:p w14:paraId="0DECF4EA">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F10A58D">
            <w:pPr>
              <w:pStyle w:val="21"/>
              <w:rPr>
                <w:rFonts w:hint="eastAsia" w:ascii="宋体" w:hAnsi="宋体" w:eastAsia="宋体" w:cs="宋体"/>
                <w:color w:val="auto"/>
                <w:highlight w:val="none"/>
              </w:rPr>
            </w:pPr>
          </w:p>
        </w:tc>
      </w:tr>
      <w:tr w14:paraId="30F99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661E26F">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（二）采用起重机械进行安装的工程。</w:t>
            </w:r>
          </w:p>
        </w:tc>
        <w:tc>
          <w:tcPr>
            <w:tcW w:w="1294" w:type="dxa"/>
            <w:vAlign w:val="top"/>
          </w:tcPr>
          <w:p w14:paraId="26A8715D">
            <w:pPr>
              <w:spacing w:before="131"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D48700">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FDBB930">
            <w:pPr>
              <w:pStyle w:val="21"/>
              <w:rPr>
                <w:rFonts w:hint="eastAsia" w:ascii="宋体" w:hAnsi="宋体" w:eastAsia="宋体" w:cs="宋体"/>
                <w:color w:val="auto"/>
                <w:highlight w:val="none"/>
              </w:rPr>
            </w:pPr>
          </w:p>
        </w:tc>
      </w:tr>
      <w:tr w14:paraId="1EB3F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D746302">
            <w:pPr>
              <w:spacing w:before="130"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（三）起重机械安装和拆卸工程。</w:t>
            </w:r>
          </w:p>
        </w:tc>
        <w:tc>
          <w:tcPr>
            <w:tcW w:w="1294" w:type="dxa"/>
            <w:vAlign w:val="top"/>
          </w:tcPr>
          <w:p w14:paraId="5BA7A2F9">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E655D6">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17E93BE">
            <w:pPr>
              <w:pStyle w:val="21"/>
              <w:rPr>
                <w:rFonts w:hint="eastAsia" w:ascii="宋体" w:hAnsi="宋体" w:eastAsia="宋体" w:cs="宋体"/>
                <w:color w:val="auto"/>
                <w:highlight w:val="none"/>
              </w:rPr>
            </w:pPr>
          </w:p>
        </w:tc>
      </w:tr>
      <w:tr w14:paraId="0E7C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3F3AA51">
            <w:pPr>
              <w:spacing w:before="131"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2C09298F">
            <w:pPr>
              <w:spacing w:before="130"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5"/>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C25E0F8">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0A186D6">
            <w:pPr>
              <w:pStyle w:val="21"/>
              <w:rPr>
                <w:rFonts w:hint="eastAsia" w:ascii="宋体" w:hAnsi="宋体" w:eastAsia="宋体" w:cs="宋体"/>
                <w:color w:val="auto"/>
                <w:highlight w:val="none"/>
              </w:rPr>
            </w:pPr>
          </w:p>
        </w:tc>
      </w:tr>
      <w:tr w14:paraId="749B5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EE02938">
            <w:pPr>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24m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架工程（包括采光井、电梯井脚手架）。</w:t>
            </w:r>
          </w:p>
        </w:tc>
        <w:tc>
          <w:tcPr>
            <w:tcW w:w="1294" w:type="dxa"/>
            <w:vAlign w:val="top"/>
          </w:tcPr>
          <w:p w14:paraId="5F252975">
            <w:pPr>
              <w:pStyle w:val="21"/>
              <w:spacing w:line="297" w:lineRule="auto"/>
              <w:rPr>
                <w:rFonts w:hint="eastAsia" w:ascii="宋体" w:hAnsi="宋体" w:eastAsia="宋体" w:cs="宋体"/>
                <w:color w:val="auto"/>
                <w:highlight w:val="none"/>
              </w:rPr>
            </w:pPr>
          </w:p>
          <w:p w14:paraId="274F49B0">
            <w:pPr>
              <w:spacing w:before="7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EF3E3EC">
            <w:pPr>
              <w:pStyle w:val="21"/>
              <w:spacing w:line="297" w:lineRule="auto"/>
              <w:rPr>
                <w:rFonts w:hint="eastAsia" w:ascii="宋体" w:hAnsi="宋体" w:eastAsia="宋体" w:cs="宋体"/>
                <w:color w:val="auto"/>
                <w:highlight w:val="none"/>
              </w:rPr>
            </w:pPr>
          </w:p>
          <w:p w14:paraId="382FDB0B">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593D3CB">
            <w:pPr>
              <w:pStyle w:val="21"/>
              <w:rPr>
                <w:rFonts w:hint="eastAsia" w:ascii="宋体" w:hAnsi="宋体" w:eastAsia="宋体" w:cs="宋体"/>
                <w:color w:val="auto"/>
                <w:highlight w:val="none"/>
              </w:rPr>
            </w:pPr>
          </w:p>
        </w:tc>
      </w:tr>
      <w:tr w14:paraId="6AD17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6711E1F">
            <w:pPr>
              <w:spacing w:before="131"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（二）附着式升降脚手架工程。</w:t>
            </w:r>
          </w:p>
        </w:tc>
        <w:tc>
          <w:tcPr>
            <w:tcW w:w="1294" w:type="dxa"/>
            <w:vAlign w:val="top"/>
          </w:tcPr>
          <w:p w14:paraId="46BCB016">
            <w:pPr>
              <w:spacing w:before="130"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7577F1C">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9FAE20">
            <w:pPr>
              <w:pStyle w:val="21"/>
              <w:rPr>
                <w:rFonts w:hint="eastAsia" w:ascii="宋体" w:hAnsi="宋体" w:eastAsia="宋体" w:cs="宋体"/>
                <w:color w:val="auto"/>
                <w:highlight w:val="none"/>
              </w:rPr>
            </w:pPr>
          </w:p>
        </w:tc>
      </w:tr>
      <w:tr w14:paraId="0A02A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48C6DC8">
            <w:pPr>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（三）悬挑式脚手架工程。</w:t>
            </w:r>
          </w:p>
        </w:tc>
        <w:tc>
          <w:tcPr>
            <w:tcW w:w="1294" w:type="dxa"/>
            <w:vAlign w:val="top"/>
          </w:tcPr>
          <w:p w14:paraId="46C95298">
            <w:pPr>
              <w:spacing w:before="131"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6243FF5">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0A6B0F2">
            <w:pPr>
              <w:pStyle w:val="21"/>
              <w:rPr>
                <w:rFonts w:hint="eastAsia" w:ascii="宋体" w:hAnsi="宋体" w:eastAsia="宋体" w:cs="宋体"/>
                <w:color w:val="auto"/>
                <w:highlight w:val="none"/>
              </w:rPr>
            </w:pPr>
          </w:p>
        </w:tc>
      </w:tr>
      <w:tr w14:paraId="4D8E0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3025F46">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（四）高处作业吊篮。</w:t>
            </w:r>
          </w:p>
        </w:tc>
        <w:tc>
          <w:tcPr>
            <w:tcW w:w="1294" w:type="dxa"/>
            <w:vAlign w:val="top"/>
          </w:tcPr>
          <w:p w14:paraId="30F61595">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B23E52E">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598EC26">
            <w:pPr>
              <w:pStyle w:val="21"/>
              <w:rPr>
                <w:rFonts w:hint="eastAsia" w:ascii="宋体" w:hAnsi="宋体" w:eastAsia="宋体" w:cs="宋体"/>
                <w:color w:val="auto"/>
                <w:highlight w:val="none"/>
              </w:rPr>
            </w:pPr>
          </w:p>
        </w:tc>
      </w:tr>
      <w:tr w14:paraId="2D320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00EF757">
            <w:pPr>
              <w:spacing w:before="132"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（五）卸料平台、操作平台工程。</w:t>
            </w:r>
          </w:p>
        </w:tc>
        <w:tc>
          <w:tcPr>
            <w:tcW w:w="1294" w:type="dxa"/>
            <w:vAlign w:val="top"/>
          </w:tcPr>
          <w:p w14:paraId="0C7B65F3">
            <w:pPr>
              <w:spacing w:before="132" w:line="223" w:lineRule="auto"/>
              <w:ind w:left="24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A95D6B">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878476">
            <w:pPr>
              <w:pStyle w:val="21"/>
              <w:rPr>
                <w:rFonts w:hint="eastAsia" w:ascii="宋体" w:hAnsi="宋体" w:eastAsia="宋体" w:cs="宋体"/>
                <w:color w:val="auto"/>
                <w:highlight w:val="none"/>
              </w:rPr>
            </w:pPr>
          </w:p>
        </w:tc>
      </w:tr>
      <w:tr w14:paraId="30655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E5297D0">
            <w:pPr>
              <w:spacing w:before="133"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（六）异型脚手架工程。</w:t>
            </w:r>
          </w:p>
        </w:tc>
        <w:tc>
          <w:tcPr>
            <w:tcW w:w="1294" w:type="dxa"/>
            <w:vAlign w:val="top"/>
          </w:tcPr>
          <w:p w14:paraId="486B9887">
            <w:pPr>
              <w:spacing w:before="132"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1E5988F">
            <w:pPr>
              <w:spacing w:before="132"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235BD7D">
            <w:pPr>
              <w:pStyle w:val="21"/>
              <w:rPr>
                <w:rFonts w:hint="eastAsia" w:ascii="宋体" w:hAnsi="宋体" w:eastAsia="宋体" w:cs="宋体"/>
                <w:color w:val="auto"/>
                <w:highlight w:val="none"/>
              </w:rPr>
            </w:pPr>
          </w:p>
        </w:tc>
      </w:tr>
      <w:tr w14:paraId="0D44A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A6B7C50">
            <w:pPr>
              <w:spacing w:before="131" w:line="220" w:lineRule="auto"/>
              <w:ind w:left="120"/>
              <w:rPr>
                <w:rFonts w:hint="eastAsia" w:ascii="宋体" w:hAnsi="宋体" w:eastAsia="宋体" w:cs="宋体"/>
                <w:color w:val="auto"/>
                <w:sz w:val="24"/>
                <w:szCs w:val="24"/>
                <w:highlight w:val="none"/>
              </w:rPr>
            </w:pPr>
            <w:bookmarkStart w:id="257" w:name="bookmark162"/>
            <w:bookmarkEnd w:id="257"/>
            <w:r>
              <w:rPr>
                <w:rFonts w:hint="eastAsia" w:ascii="宋体" w:hAnsi="宋体" w:eastAsia="宋体" w:cs="宋体"/>
                <w:color w:val="auto"/>
                <w:spacing w:val="-3"/>
                <w:sz w:val="24"/>
                <w:szCs w:val="24"/>
                <w:highlight w:val="none"/>
              </w:rPr>
              <w:t>五、拆除工程</w:t>
            </w:r>
          </w:p>
        </w:tc>
        <w:tc>
          <w:tcPr>
            <w:tcW w:w="1294" w:type="dxa"/>
            <w:vAlign w:val="top"/>
          </w:tcPr>
          <w:p w14:paraId="0F5EE650">
            <w:pPr>
              <w:spacing w:before="131" w:line="223"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6328EEA">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9A24BEF">
            <w:pPr>
              <w:pStyle w:val="21"/>
              <w:rPr>
                <w:rFonts w:hint="eastAsia" w:ascii="宋体" w:hAnsi="宋体" w:eastAsia="宋体" w:cs="宋体"/>
                <w:color w:val="auto"/>
                <w:highlight w:val="none"/>
              </w:rPr>
            </w:pPr>
          </w:p>
        </w:tc>
      </w:tr>
      <w:tr w14:paraId="42ACF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F6894BB">
            <w:pPr>
              <w:spacing w:before="126" w:line="329" w:lineRule="auto"/>
              <w:ind w:left="117" w:right="1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可能影响行人、交通、电力设施、通讯设施或</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1"/>
                <w:sz w:val="24"/>
                <w:szCs w:val="24"/>
                <w:highlight w:val="none"/>
              </w:rPr>
              <w:t>其它建、构筑物安全的拆除工程。</w:t>
            </w:r>
          </w:p>
        </w:tc>
        <w:tc>
          <w:tcPr>
            <w:tcW w:w="1294" w:type="dxa"/>
            <w:vAlign w:val="top"/>
          </w:tcPr>
          <w:p w14:paraId="53C1D06F">
            <w:pPr>
              <w:pStyle w:val="21"/>
              <w:spacing w:line="294" w:lineRule="auto"/>
              <w:rPr>
                <w:rFonts w:hint="eastAsia" w:ascii="宋体" w:hAnsi="宋体" w:eastAsia="宋体" w:cs="宋体"/>
                <w:color w:val="auto"/>
                <w:highlight w:val="none"/>
              </w:rPr>
            </w:pPr>
          </w:p>
          <w:p w14:paraId="76CB7DF5">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310AE40">
            <w:pPr>
              <w:pStyle w:val="21"/>
              <w:spacing w:line="294" w:lineRule="auto"/>
              <w:rPr>
                <w:rFonts w:hint="eastAsia" w:ascii="宋体" w:hAnsi="宋体" w:eastAsia="宋体" w:cs="宋体"/>
                <w:color w:val="auto"/>
                <w:highlight w:val="none"/>
              </w:rPr>
            </w:pPr>
          </w:p>
          <w:p w14:paraId="4D2EE233">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4D942FE">
            <w:pPr>
              <w:pStyle w:val="21"/>
              <w:rPr>
                <w:rFonts w:hint="eastAsia" w:ascii="宋体" w:hAnsi="宋体" w:eastAsia="宋体" w:cs="宋体"/>
                <w:color w:val="auto"/>
                <w:highlight w:val="none"/>
              </w:rPr>
            </w:pPr>
          </w:p>
        </w:tc>
      </w:tr>
      <w:tr w14:paraId="15559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91FBFB">
            <w:pPr>
              <w:spacing w:before="126" w:line="221" w:lineRule="auto"/>
              <w:ind w:left="35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137FC89C">
            <w:pPr>
              <w:spacing w:before="126"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F652C1B">
            <w:pPr>
              <w:spacing w:before="126"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D8FEC99">
            <w:pPr>
              <w:pStyle w:val="21"/>
              <w:rPr>
                <w:rFonts w:hint="eastAsia" w:ascii="宋体" w:hAnsi="宋体" w:eastAsia="宋体" w:cs="宋体"/>
                <w:color w:val="auto"/>
                <w:highlight w:val="none"/>
              </w:rPr>
            </w:pPr>
          </w:p>
        </w:tc>
      </w:tr>
      <w:tr w14:paraId="4B886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89E82C2">
            <w:pPr>
              <w:spacing w:before="128" w:line="328"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69EA54F0">
            <w:pPr>
              <w:pStyle w:val="21"/>
              <w:spacing w:line="294" w:lineRule="auto"/>
              <w:rPr>
                <w:rFonts w:hint="eastAsia" w:ascii="宋体" w:hAnsi="宋体" w:eastAsia="宋体" w:cs="宋体"/>
                <w:color w:val="auto"/>
                <w:highlight w:val="none"/>
              </w:rPr>
            </w:pPr>
          </w:p>
          <w:p w14:paraId="2580604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7831483">
            <w:pPr>
              <w:pStyle w:val="21"/>
              <w:spacing w:line="294" w:lineRule="auto"/>
              <w:rPr>
                <w:rFonts w:hint="eastAsia" w:ascii="宋体" w:hAnsi="宋体" w:eastAsia="宋体" w:cs="宋体"/>
                <w:color w:val="auto"/>
                <w:highlight w:val="none"/>
              </w:rPr>
            </w:pPr>
          </w:p>
          <w:p w14:paraId="551C407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1DD324">
            <w:pPr>
              <w:pStyle w:val="21"/>
              <w:rPr>
                <w:rFonts w:hint="eastAsia" w:ascii="宋体" w:hAnsi="宋体" w:eastAsia="宋体" w:cs="宋体"/>
                <w:color w:val="auto"/>
                <w:highlight w:val="none"/>
              </w:rPr>
            </w:pPr>
          </w:p>
        </w:tc>
      </w:tr>
      <w:tr w14:paraId="512FA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63B8B64">
            <w:pPr>
              <w:spacing w:before="129"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041AFA2A">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06F78AB">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8F38261">
            <w:pPr>
              <w:pStyle w:val="21"/>
              <w:rPr>
                <w:rFonts w:hint="eastAsia" w:ascii="宋体" w:hAnsi="宋体" w:eastAsia="宋体" w:cs="宋体"/>
                <w:color w:val="auto"/>
                <w:highlight w:val="none"/>
              </w:rPr>
            </w:pPr>
          </w:p>
        </w:tc>
      </w:tr>
      <w:tr w14:paraId="61044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BC9C24">
            <w:pPr>
              <w:spacing w:before="128"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（一）建筑幕墙安装工程。</w:t>
            </w:r>
          </w:p>
        </w:tc>
        <w:tc>
          <w:tcPr>
            <w:tcW w:w="1294" w:type="dxa"/>
            <w:vAlign w:val="top"/>
          </w:tcPr>
          <w:p w14:paraId="6935FC1C">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4275F3F">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153FAD5">
            <w:pPr>
              <w:pStyle w:val="21"/>
              <w:rPr>
                <w:rFonts w:hint="eastAsia" w:ascii="宋体" w:hAnsi="宋体" w:eastAsia="宋体" w:cs="宋体"/>
                <w:color w:val="auto"/>
                <w:highlight w:val="none"/>
              </w:rPr>
            </w:pPr>
          </w:p>
        </w:tc>
      </w:tr>
      <w:tr w14:paraId="10816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8649116">
            <w:pPr>
              <w:spacing w:before="128"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（二）钢结构、网架和索膜结构安装工程。</w:t>
            </w:r>
          </w:p>
        </w:tc>
        <w:tc>
          <w:tcPr>
            <w:tcW w:w="1294" w:type="dxa"/>
            <w:vAlign w:val="top"/>
          </w:tcPr>
          <w:p w14:paraId="5B256D88">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002621C">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C7386C">
            <w:pPr>
              <w:pStyle w:val="21"/>
              <w:rPr>
                <w:rFonts w:hint="eastAsia" w:ascii="宋体" w:hAnsi="宋体" w:eastAsia="宋体" w:cs="宋体"/>
                <w:color w:val="auto"/>
                <w:highlight w:val="none"/>
              </w:rPr>
            </w:pPr>
          </w:p>
        </w:tc>
      </w:tr>
      <w:tr w14:paraId="6E0F4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7F48E3C">
            <w:pPr>
              <w:spacing w:before="128"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（三）人工挖孔桩工程。</w:t>
            </w:r>
          </w:p>
        </w:tc>
        <w:tc>
          <w:tcPr>
            <w:tcW w:w="1294" w:type="dxa"/>
            <w:vAlign w:val="top"/>
          </w:tcPr>
          <w:p w14:paraId="2B0443D0">
            <w:pPr>
              <w:spacing w:before="12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9457DD8">
            <w:pPr>
              <w:spacing w:before="12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B54B549">
            <w:pPr>
              <w:pStyle w:val="21"/>
              <w:rPr>
                <w:rFonts w:hint="eastAsia" w:ascii="宋体" w:hAnsi="宋体" w:eastAsia="宋体" w:cs="宋体"/>
                <w:color w:val="auto"/>
                <w:highlight w:val="none"/>
              </w:rPr>
            </w:pPr>
          </w:p>
        </w:tc>
      </w:tr>
      <w:tr w14:paraId="1D87E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23A2A7">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7FF1CEBB">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19BA99D">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9099C2E">
            <w:pPr>
              <w:pStyle w:val="21"/>
              <w:rPr>
                <w:rFonts w:hint="eastAsia" w:ascii="宋体" w:hAnsi="宋体" w:eastAsia="宋体" w:cs="宋体"/>
                <w:color w:val="auto"/>
                <w:highlight w:val="none"/>
              </w:rPr>
            </w:pPr>
          </w:p>
        </w:tc>
      </w:tr>
      <w:tr w14:paraId="0578E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E2CFFC3">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（五）装配式建筑混凝土预制构件安装工程。</w:t>
            </w:r>
          </w:p>
        </w:tc>
        <w:tc>
          <w:tcPr>
            <w:tcW w:w="1294" w:type="dxa"/>
            <w:vAlign w:val="top"/>
          </w:tcPr>
          <w:p w14:paraId="65C993F2">
            <w:pPr>
              <w:spacing w:before="129"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B18911">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0EEB872">
            <w:pPr>
              <w:pStyle w:val="21"/>
              <w:rPr>
                <w:rFonts w:hint="eastAsia" w:ascii="宋体" w:hAnsi="宋体" w:eastAsia="宋体" w:cs="宋体"/>
                <w:color w:val="auto"/>
                <w:highlight w:val="none"/>
              </w:rPr>
            </w:pPr>
          </w:p>
        </w:tc>
      </w:tr>
      <w:tr w14:paraId="13F16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2E07234">
            <w:pPr>
              <w:spacing w:before="129" w:line="345"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173190AF">
            <w:pPr>
              <w:pStyle w:val="21"/>
              <w:spacing w:line="270" w:lineRule="auto"/>
              <w:rPr>
                <w:rFonts w:hint="eastAsia" w:ascii="宋体" w:hAnsi="宋体" w:eastAsia="宋体" w:cs="宋体"/>
                <w:color w:val="auto"/>
                <w:highlight w:val="none"/>
              </w:rPr>
            </w:pPr>
          </w:p>
          <w:p w14:paraId="25286718">
            <w:pPr>
              <w:pStyle w:val="21"/>
              <w:spacing w:line="271" w:lineRule="auto"/>
              <w:rPr>
                <w:rFonts w:hint="eastAsia" w:ascii="宋体" w:hAnsi="宋体" w:eastAsia="宋体" w:cs="宋体"/>
                <w:color w:val="auto"/>
                <w:highlight w:val="none"/>
              </w:rPr>
            </w:pPr>
          </w:p>
          <w:p w14:paraId="43C2B6E5">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98617CC">
            <w:pPr>
              <w:pStyle w:val="21"/>
              <w:spacing w:line="270" w:lineRule="auto"/>
              <w:rPr>
                <w:rFonts w:hint="eastAsia" w:ascii="宋体" w:hAnsi="宋体" w:eastAsia="宋体" w:cs="宋体"/>
                <w:color w:val="auto"/>
                <w:highlight w:val="none"/>
              </w:rPr>
            </w:pPr>
          </w:p>
          <w:p w14:paraId="178E42BF">
            <w:pPr>
              <w:pStyle w:val="21"/>
              <w:spacing w:line="271" w:lineRule="auto"/>
              <w:rPr>
                <w:rFonts w:hint="eastAsia" w:ascii="宋体" w:hAnsi="宋体" w:eastAsia="宋体" w:cs="宋体"/>
                <w:color w:val="auto"/>
                <w:highlight w:val="none"/>
              </w:rPr>
            </w:pPr>
          </w:p>
          <w:p w14:paraId="7C375C8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939D6">
            <w:pPr>
              <w:pStyle w:val="21"/>
              <w:rPr>
                <w:rFonts w:hint="eastAsia" w:ascii="宋体" w:hAnsi="宋体" w:eastAsia="宋体" w:cs="宋体"/>
                <w:color w:val="auto"/>
                <w:highlight w:val="none"/>
              </w:rPr>
            </w:pPr>
          </w:p>
        </w:tc>
      </w:tr>
      <w:tr w14:paraId="3B562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3107AB9">
            <w:pPr>
              <w:spacing w:before="129" w:line="328" w:lineRule="auto"/>
              <w:ind w:left="115" w:right="108" w:firstLine="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二、超过一定规模的危险性较大的分部分项工</w:t>
            </w:r>
            <w:r>
              <w:rPr>
                <w:rFonts w:hint="eastAsia" w:ascii="宋体" w:hAnsi="宋体" w:eastAsia="宋体" w:cs="宋体"/>
                <w:b/>
                <w:bCs/>
                <w:color w:val="auto"/>
                <w:spacing w:val="-5"/>
                <w:sz w:val="24"/>
                <w:szCs w:val="24"/>
                <w:highlight w:val="none"/>
              </w:rPr>
              <w:t>程清单</w:t>
            </w:r>
          </w:p>
        </w:tc>
        <w:tc>
          <w:tcPr>
            <w:tcW w:w="1294" w:type="dxa"/>
            <w:vAlign w:val="top"/>
          </w:tcPr>
          <w:p w14:paraId="5A67B5C5">
            <w:pPr>
              <w:pStyle w:val="21"/>
              <w:spacing w:line="295" w:lineRule="auto"/>
              <w:rPr>
                <w:rFonts w:hint="eastAsia" w:ascii="宋体" w:hAnsi="宋体" w:eastAsia="宋体" w:cs="宋体"/>
                <w:color w:val="auto"/>
                <w:highlight w:val="none"/>
              </w:rPr>
            </w:pPr>
          </w:p>
          <w:p w14:paraId="2D811006">
            <w:pPr>
              <w:spacing w:before="78" w:line="221" w:lineRule="auto"/>
              <w:ind w:left="20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建设单位</w:t>
            </w:r>
          </w:p>
        </w:tc>
        <w:tc>
          <w:tcPr>
            <w:tcW w:w="1294" w:type="dxa"/>
            <w:vAlign w:val="top"/>
          </w:tcPr>
          <w:p w14:paraId="24A69ECB">
            <w:pPr>
              <w:pStyle w:val="21"/>
              <w:spacing w:line="295" w:lineRule="auto"/>
              <w:rPr>
                <w:rFonts w:hint="eastAsia" w:ascii="宋体" w:hAnsi="宋体" w:eastAsia="宋体" w:cs="宋体"/>
                <w:color w:val="auto"/>
                <w:highlight w:val="none"/>
              </w:rPr>
            </w:pPr>
          </w:p>
          <w:p w14:paraId="26DB2221">
            <w:pPr>
              <w:spacing w:before="78" w:line="221" w:lineRule="auto"/>
              <w:ind w:left="11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投标单位</w:t>
            </w:r>
          </w:p>
        </w:tc>
        <w:tc>
          <w:tcPr>
            <w:tcW w:w="2428" w:type="dxa"/>
            <w:vAlign w:val="top"/>
          </w:tcPr>
          <w:p w14:paraId="7B1AFF26">
            <w:pPr>
              <w:pStyle w:val="21"/>
              <w:spacing w:line="295" w:lineRule="auto"/>
              <w:rPr>
                <w:rFonts w:hint="eastAsia" w:ascii="宋体" w:hAnsi="宋体" w:eastAsia="宋体" w:cs="宋体"/>
                <w:color w:val="auto"/>
                <w:highlight w:val="none"/>
              </w:rPr>
            </w:pPr>
          </w:p>
          <w:p w14:paraId="3584F90F">
            <w:pPr>
              <w:spacing w:before="78" w:line="222" w:lineRule="auto"/>
              <w:ind w:left="30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备注</w:t>
            </w:r>
          </w:p>
        </w:tc>
      </w:tr>
      <w:tr w14:paraId="4B6EE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FFEC06F">
            <w:pPr>
              <w:spacing w:before="129" w:line="221"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一、深基坑工程</w:t>
            </w:r>
          </w:p>
        </w:tc>
        <w:tc>
          <w:tcPr>
            <w:tcW w:w="1294" w:type="dxa"/>
            <w:vAlign w:val="top"/>
          </w:tcPr>
          <w:p w14:paraId="0F1DCA38">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A99B878">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A826AFC">
            <w:pPr>
              <w:pStyle w:val="21"/>
              <w:rPr>
                <w:rFonts w:hint="eastAsia" w:ascii="宋体" w:hAnsi="宋体" w:eastAsia="宋体" w:cs="宋体"/>
                <w:color w:val="auto"/>
                <w:highlight w:val="none"/>
              </w:rPr>
            </w:pPr>
          </w:p>
        </w:tc>
      </w:tr>
      <w:tr w14:paraId="70408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C7BBDEF">
            <w:pPr>
              <w:spacing w:before="131" w:line="327" w:lineRule="auto"/>
              <w:ind w:left="117" w:right="10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开挖深度超过</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5m（含</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5m）的基坑（槽）的土方</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开挖、支护、降水工程。</w:t>
            </w:r>
          </w:p>
        </w:tc>
        <w:tc>
          <w:tcPr>
            <w:tcW w:w="1294" w:type="dxa"/>
            <w:vAlign w:val="top"/>
          </w:tcPr>
          <w:p w14:paraId="1796810E">
            <w:pPr>
              <w:pStyle w:val="21"/>
              <w:spacing w:line="295" w:lineRule="auto"/>
              <w:rPr>
                <w:rFonts w:hint="eastAsia" w:ascii="宋体" w:hAnsi="宋体" w:eastAsia="宋体" w:cs="宋体"/>
                <w:color w:val="auto"/>
                <w:highlight w:val="none"/>
              </w:rPr>
            </w:pPr>
          </w:p>
          <w:p w14:paraId="37F2E30C">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B7F49D4">
            <w:pPr>
              <w:pStyle w:val="21"/>
              <w:spacing w:line="295" w:lineRule="auto"/>
              <w:rPr>
                <w:rFonts w:hint="eastAsia" w:ascii="宋体" w:hAnsi="宋体" w:eastAsia="宋体" w:cs="宋体"/>
                <w:color w:val="auto"/>
                <w:highlight w:val="none"/>
              </w:rPr>
            </w:pPr>
          </w:p>
          <w:p w14:paraId="005B6C9B">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6B784C5">
            <w:pPr>
              <w:pStyle w:val="21"/>
              <w:rPr>
                <w:rFonts w:hint="eastAsia" w:ascii="宋体" w:hAnsi="宋体" w:eastAsia="宋体" w:cs="宋体"/>
                <w:color w:val="auto"/>
                <w:highlight w:val="none"/>
              </w:rPr>
            </w:pPr>
          </w:p>
        </w:tc>
      </w:tr>
      <w:tr w14:paraId="67E02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072E12A">
            <w:pPr>
              <w:spacing w:before="130"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695E6722">
            <w:pPr>
              <w:spacing w:before="129"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default" w:ascii="宋体" w:hAnsi="宋体" w:eastAsia="宋体" w:cs="宋体"/>
                <w:color w:val="auto"/>
                <w:spacing w:val="2"/>
                <w:sz w:val="24"/>
                <w:szCs w:val="24"/>
                <w:highlight w:val="none"/>
                <w:lang w:val="en-US"/>
              </w:rPr>
              <w:t xml:space="preserve">  </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4D75F55">
            <w:pPr>
              <w:spacing w:before="129"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09BB9547">
            <w:pPr>
              <w:pStyle w:val="21"/>
              <w:rPr>
                <w:rFonts w:hint="eastAsia" w:ascii="宋体" w:hAnsi="宋体" w:eastAsia="宋体" w:cs="宋体"/>
                <w:color w:val="auto"/>
                <w:highlight w:val="none"/>
              </w:rPr>
            </w:pPr>
          </w:p>
        </w:tc>
      </w:tr>
      <w:tr w14:paraId="10065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25B4D44">
            <w:pPr>
              <w:spacing w:before="130" w:line="327"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333C7548">
            <w:pPr>
              <w:pStyle w:val="21"/>
              <w:spacing w:line="294" w:lineRule="auto"/>
              <w:rPr>
                <w:rFonts w:hint="eastAsia" w:ascii="宋体" w:hAnsi="宋体" w:eastAsia="宋体" w:cs="宋体"/>
                <w:color w:val="auto"/>
                <w:highlight w:val="none"/>
              </w:rPr>
            </w:pPr>
          </w:p>
          <w:p w14:paraId="40884F4C">
            <w:pPr>
              <w:spacing w:before="78" w:line="223" w:lineRule="auto"/>
              <w:ind w:left="30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4BE3EB5">
            <w:pPr>
              <w:pStyle w:val="21"/>
              <w:spacing w:line="294" w:lineRule="auto"/>
              <w:rPr>
                <w:rFonts w:hint="eastAsia" w:ascii="宋体" w:hAnsi="宋体" w:eastAsia="宋体" w:cs="宋体"/>
                <w:color w:val="auto"/>
                <w:highlight w:val="none"/>
              </w:rPr>
            </w:pPr>
          </w:p>
          <w:p w14:paraId="4243723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243DDE8">
            <w:pPr>
              <w:pStyle w:val="21"/>
              <w:rPr>
                <w:rFonts w:hint="eastAsia" w:ascii="宋体" w:hAnsi="宋体" w:eastAsia="宋体" w:cs="宋体"/>
                <w:color w:val="auto"/>
                <w:highlight w:val="none"/>
              </w:rPr>
            </w:pPr>
          </w:p>
        </w:tc>
      </w:tr>
      <w:tr w14:paraId="2F821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41265B">
            <w:pPr>
              <w:spacing w:before="132" w:line="353" w:lineRule="auto"/>
              <w:ind w:left="116" w:right="6" w:firstLine="11"/>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（二）混凝土模板支撑工程：搭设高度8m</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2"/>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上，或搭设跨度</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1"/>
                <w:sz w:val="24"/>
                <w:szCs w:val="24"/>
                <w:highlight w:val="none"/>
              </w:rPr>
              <w:t>18m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及以上，或施工总荷载（设</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计值）15kN/m2</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及以上，或集中线荷载（设</w:t>
            </w:r>
            <w:r>
              <w:rPr>
                <w:rFonts w:hint="eastAsia" w:ascii="宋体" w:hAnsi="宋体" w:eastAsia="宋体" w:cs="宋体"/>
                <w:color w:val="auto"/>
                <w:spacing w:val="-12"/>
                <w:sz w:val="24"/>
                <w:szCs w:val="24"/>
                <w:highlight w:val="none"/>
              </w:rPr>
              <w:t>计值）</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20kN/m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A659D94">
            <w:pPr>
              <w:pStyle w:val="21"/>
              <w:spacing w:line="262" w:lineRule="auto"/>
              <w:rPr>
                <w:rFonts w:hint="eastAsia" w:ascii="宋体" w:hAnsi="宋体" w:eastAsia="宋体" w:cs="宋体"/>
                <w:color w:val="auto"/>
                <w:highlight w:val="none"/>
              </w:rPr>
            </w:pPr>
          </w:p>
          <w:p w14:paraId="36D0E943">
            <w:pPr>
              <w:pStyle w:val="21"/>
              <w:spacing w:line="263" w:lineRule="auto"/>
              <w:rPr>
                <w:rFonts w:hint="eastAsia" w:ascii="宋体" w:hAnsi="宋体" w:eastAsia="宋体" w:cs="宋体"/>
                <w:color w:val="auto"/>
                <w:highlight w:val="none"/>
              </w:rPr>
            </w:pPr>
          </w:p>
          <w:p w14:paraId="36225E0A">
            <w:pPr>
              <w:pStyle w:val="21"/>
              <w:spacing w:line="263" w:lineRule="auto"/>
              <w:rPr>
                <w:rFonts w:hint="eastAsia" w:ascii="宋体" w:hAnsi="宋体" w:eastAsia="宋体" w:cs="宋体"/>
                <w:color w:val="auto"/>
                <w:highlight w:val="none"/>
              </w:rPr>
            </w:pPr>
          </w:p>
          <w:p w14:paraId="1B11D092">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6F36B3E">
            <w:pPr>
              <w:pStyle w:val="21"/>
              <w:spacing w:line="262" w:lineRule="auto"/>
              <w:rPr>
                <w:rFonts w:hint="eastAsia" w:ascii="宋体" w:hAnsi="宋体" w:eastAsia="宋体" w:cs="宋体"/>
                <w:color w:val="auto"/>
                <w:highlight w:val="none"/>
              </w:rPr>
            </w:pPr>
          </w:p>
          <w:p w14:paraId="39B92A8D">
            <w:pPr>
              <w:pStyle w:val="21"/>
              <w:spacing w:line="263" w:lineRule="auto"/>
              <w:rPr>
                <w:rFonts w:hint="eastAsia" w:ascii="宋体" w:hAnsi="宋体" w:eastAsia="宋体" w:cs="宋体"/>
                <w:color w:val="auto"/>
                <w:highlight w:val="none"/>
              </w:rPr>
            </w:pPr>
          </w:p>
          <w:p w14:paraId="52E91544">
            <w:pPr>
              <w:pStyle w:val="21"/>
              <w:spacing w:line="263" w:lineRule="auto"/>
              <w:rPr>
                <w:rFonts w:hint="eastAsia" w:ascii="宋体" w:hAnsi="宋体" w:eastAsia="宋体" w:cs="宋体"/>
                <w:color w:val="auto"/>
                <w:highlight w:val="none"/>
              </w:rPr>
            </w:pPr>
          </w:p>
          <w:p w14:paraId="4010B8F8">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75310">
            <w:pPr>
              <w:pStyle w:val="21"/>
              <w:rPr>
                <w:rFonts w:hint="eastAsia" w:ascii="宋体" w:hAnsi="宋体" w:eastAsia="宋体" w:cs="宋体"/>
                <w:color w:val="auto"/>
                <w:highlight w:val="none"/>
              </w:rPr>
            </w:pPr>
          </w:p>
        </w:tc>
      </w:tr>
      <w:tr w14:paraId="31486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4038DE2">
            <w:pPr>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p>
        </w:tc>
        <w:tc>
          <w:tcPr>
            <w:tcW w:w="1294" w:type="dxa"/>
            <w:vAlign w:val="top"/>
          </w:tcPr>
          <w:p w14:paraId="7EA93CE0">
            <w:pPr>
              <w:spacing w:before="131"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89782CE">
            <w:pPr>
              <w:spacing w:before="131"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E42B55B">
            <w:pPr>
              <w:pStyle w:val="21"/>
              <w:rPr>
                <w:rFonts w:hint="eastAsia" w:ascii="宋体" w:hAnsi="宋体" w:eastAsia="宋体" w:cs="宋体"/>
                <w:color w:val="auto"/>
                <w:highlight w:val="none"/>
              </w:rPr>
            </w:pPr>
          </w:p>
        </w:tc>
      </w:tr>
      <w:tr w14:paraId="0DCFC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4CD01D5">
            <w:pPr>
              <w:spacing w:before="131" w:line="220" w:lineRule="auto"/>
              <w:ind w:left="1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支撑体系，承受单点集中荷载</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7kN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D707081">
            <w:pPr>
              <w:pStyle w:val="21"/>
              <w:rPr>
                <w:rFonts w:hint="eastAsia" w:ascii="宋体" w:hAnsi="宋体" w:eastAsia="宋体" w:cs="宋体"/>
                <w:color w:val="auto"/>
                <w:highlight w:val="none"/>
              </w:rPr>
            </w:pPr>
          </w:p>
        </w:tc>
        <w:tc>
          <w:tcPr>
            <w:tcW w:w="1294" w:type="dxa"/>
            <w:vAlign w:val="top"/>
          </w:tcPr>
          <w:p w14:paraId="53A736AF">
            <w:pPr>
              <w:pStyle w:val="21"/>
              <w:rPr>
                <w:rFonts w:hint="eastAsia" w:ascii="宋体" w:hAnsi="宋体" w:eastAsia="宋体" w:cs="宋体"/>
                <w:color w:val="auto"/>
                <w:highlight w:val="none"/>
              </w:rPr>
            </w:pPr>
          </w:p>
        </w:tc>
        <w:tc>
          <w:tcPr>
            <w:tcW w:w="2428" w:type="dxa"/>
            <w:vAlign w:val="top"/>
          </w:tcPr>
          <w:p w14:paraId="56059996">
            <w:pPr>
              <w:pStyle w:val="21"/>
              <w:rPr>
                <w:rFonts w:hint="eastAsia" w:ascii="宋体" w:hAnsi="宋体" w:eastAsia="宋体" w:cs="宋体"/>
                <w:color w:val="auto"/>
                <w:highlight w:val="none"/>
              </w:rPr>
            </w:pPr>
          </w:p>
        </w:tc>
      </w:tr>
      <w:tr w14:paraId="718D0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B0C9181">
            <w:pPr>
              <w:spacing w:before="128"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5DAC60BF">
            <w:pPr>
              <w:spacing w:before="127"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4A1EBF1">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38A51EE5">
            <w:pPr>
              <w:pStyle w:val="21"/>
              <w:rPr>
                <w:rFonts w:hint="eastAsia" w:ascii="宋体" w:hAnsi="宋体" w:eastAsia="宋体" w:cs="宋体"/>
                <w:color w:val="auto"/>
                <w:highlight w:val="none"/>
              </w:rPr>
            </w:pPr>
          </w:p>
        </w:tc>
      </w:tr>
      <w:tr w14:paraId="723FC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2A57479">
            <w:pPr>
              <w:spacing w:before="129" w:line="328"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100kN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2AF28C1D">
            <w:pPr>
              <w:pStyle w:val="21"/>
              <w:spacing w:line="295" w:lineRule="auto"/>
              <w:rPr>
                <w:rFonts w:hint="eastAsia" w:ascii="宋体" w:hAnsi="宋体" w:eastAsia="宋体" w:cs="宋体"/>
                <w:color w:val="auto"/>
                <w:highlight w:val="none"/>
              </w:rPr>
            </w:pPr>
          </w:p>
          <w:p w14:paraId="68D38ADD">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DBCC99">
            <w:pPr>
              <w:pStyle w:val="21"/>
              <w:spacing w:line="295" w:lineRule="auto"/>
              <w:rPr>
                <w:rFonts w:hint="eastAsia" w:ascii="宋体" w:hAnsi="宋体" w:eastAsia="宋体" w:cs="宋体"/>
                <w:color w:val="auto"/>
                <w:highlight w:val="none"/>
              </w:rPr>
            </w:pPr>
          </w:p>
          <w:p w14:paraId="26478C8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AC0590">
            <w:pPr>
              <w:pStyle w:val="21"/>
              <w:rPr>
                <w:rFonts w:hint="eastAsia" w:ascii="宋体" w:hAnsi="宋体" w:eastAsia="宋体" w:cs="宋体"/>
                <w:color w:val="auto"/>
                <w:highlight w:val="none"/>
              </w:rPr>
            </w:pPr>
          </w:p>
        </w:tc>
      </w:tr>
      <w:tr w14:paraId="7A49C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C5F7230">
            <w:pPr>
              <w:spacing w:before="129" w:line="345" w:lineRule="auto"/>
              <w:ind w:left="115" w:right="105" w:firstLine="12"/>
              <w:jc w:val="both"/>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（二）起重量</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2"/>
                <w:sz w:val="24"/>
                <w:szCs w:val="24"/>
                <w:highlight w:val="none"/>
              </w:rPr>
              <w:t>300kN</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2"/>
                <w:sz w:val="24"/>
                <w:szCs w:val="24"/>
                <w:highlight w:val="none"/>
              </w:rPr>
              <w:t>及以上，或搭设总高度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2"/>
                <w:sz w:val="24"/>
                <w:szCs w:val="24"/>
                <w:highlight w:val="none"/>
              </w:rPr>
              <w:t>200m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及以上，或搭设基础标高在</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200m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及以上的起重</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机械安装和拆卸工程。</w:t>
            </w:r>
          </w:p>
        </w:tc>
        <w:tc>
          <w:tcPr>
            <w:tcW w:w="1294" w:type="dxa"/>
            <w:vAlign w:val="top"/>
          </w:tcPr>
          <w:p w14:paraId="3C812803">
            <w:pPr>
              <w:pStyle w:val="21"/>
              <w:spacing w:line="270" w:lineRule="auto"/>
              <w:rPr>
                <w:rFonts w:hint="eastAsia" w:ascii="宋体" w:hAnsi="宋体" w:eastAsia="宋体" w:cs="宋体"/>
                <w:color w:val="auto"/>
                <w:highlight w:val="none"/>
              </w:rPr>
            </w:pPr>
          </w:p>
          <w:p w14:paraId="5121DDDA">
            <w:pPr>
              <w:pStyle w:val="21"/>
              <w:spacing w:line="270" w:lineRule="auto"/>
              <w:rPr>
                <w:rFonts w:hint="eastAsia" w:ascii="宋体" w:hAnsi="宋体" w:eastAsia="宋体" w:cs="宋体"/>
                <w:color w:val="auto"/>
                <w:highlight w:val="none"/>
              </w:rPr>
            </w:pPr>
          </w:p>
          <w:p w14:paraId="560FB691">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2976141">
            <w:pPr>
              <w:pStyle w:val="21"/>
              <w:spacing w:line="270" w:lineRule="auto"/>
              <w:rPr>
                <w:rFonts w:hint="eastAsia" w:ascii="宋体" w:hAnsi="宋体" w:eastAsia="宋体" w:cs="宋体"/>
                <w:color w:val="auto"/>
                <w:highlight w:val="none"/>
              </w:rPr>
            </w:pPr>
          </w:p>
          <w:p w14:paraId="0F0AF9F1">
            <w:pPr>
              <w:pStyle w:val="21"/>
              <w:spacing w:line="270" w:lineRule="auto"/>
              <w:rPr>
                <w:rFonts w:hint="eastAsia" w:ascii="宋体" w:hAnsi="宋体" w:eastAsia="宋体" w:cs="宋体"/>
                <w:color w:val="auto"/>
                <w:highlight w:val="none"/>
              </w:rPr>
            </w:pPr>
          </w:p>
          <w:p w14:paraId="69309DD2">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436BC6D">
            <w:pPr>
              <w:pStyle w:val="21"/>
              <w:rPr>
                <w:rFonts w:hint="eastAsia" w:ascii="宋体" w:hAnsi="宋体" w:eastAsia="宋体" w:cs="宋体"/>
                <w:color w:val="auto"/>
                <w:highlight w:val="none"/>
              </w:rPr>
            </w:pPr>
          </w:p>
        </w:tc>
      </w:tr>
      <w:tr w14:paraId="0E46C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28645FA">
            <w:pPr>
              <w:spacing w:before="128"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67CC54F8">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0B7418">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66E3407">
            <w:pPr>
              <w:pStyle w:val="21"/>
              <w:rPr>
                <w:rFonts w:hint="eastAsia" w:ascii="宋体" w:hAnsi="宋体" w:eastAsia="宋体" w:cs="宋体"/>
                <w:color w:val="auto"/>
                <w:highlight w:val="none"/>
              </w:rPr>
            </w:pPr>
          </w:p>
        </w:tc>
      </w:tr>
      <w:tr w14:paraId="20CD7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8FD09B2">
            <w:pPr>
              <w:spacing w:before="128" w:line="328"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（一）搭设高度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架工程。</w:t>
            </w:r>
          </w:p>
        </w:tc>
        <w:tc>
          <w:tcPr>
            <w:tcW w:w="1294" w:type="dxa"/>
            <w:vAlign w:val="top"/>
          </w:tcPr>
          <w:p w14:paraId="30FE1B6D">
            <w:pPr>
              <w:pStyle w:val="21"/>
              <w:spacing w:line="296" w:lineRule="auto"/>
              <w:rPr>
                <w:rFonts w:hint="eastAsia" w:ascii="宋体" w:hAnsi="宋体" w:eastAsia="宋体" w:cs="宋体"/>
                <w:color w:val="auto"/>
                <w:highlight w:val="none"/>
              </w:rPr>
            </w:pPr>
          </w:p>
          <w:p w14:paraId="49A947C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645D770">
            <w:pPr>
              <w:pStyle w:val="21"/>
              <w:spacing w:line="296" w:lineRule="auto"/>
              <w:rPr>
                <w:rFonts w:hint="eastAsia" w:ascii="宋体" w:hAnsi="宋体" w:eastAsia="宋体" w:cs="宋体"/>
                <w:color w:val="auto"/>
                <w:highlight w:val="none"/>
              </w:rPr>
            </w:pPr>
          </w:p>
          <w:p w14:paraId="0046F705">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5A45629">
            <w:pPr>
              <w:pStyle w:val="21"/>
              <w:rPr>
                <w:rFonts w:hint="eastAsia" w:ascii="宋体" w:hAnsi="宋体" w:eastAsia="宋体" w:cs="宋体"/>
                <w:color w:val="auto"/>
                <w:highlight w:val="none"/>
              </w:rPr>
            </w:pPr>
          </w:p>
        </w:tc>
      </w:tr>
      <w:tr w14:paraId="4C2B7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31197BD">
            <w:pPr>
              <w:spacing w:before="131" w:line="327" w:lineRule="auto"/>
              <w:ind w:left="116" w:right="105" w:firstLine="11"/>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（二）提升高度在</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6"/>
                <w:sz w:val="24"/>
                <w:szCs w:val="24"/>
                <w:highlight w:val="none"/>
                <w:lang w:eastAsia="zh-CN"/>
              </w:rPr>
              <w:t>450</w:t>
            </w:r>
            <w:r>
              <w:rPr>
                <w:rFonts w:hint="eastAsia" w:ascii="宋体" w:hAnsi="宋体" w:eastAsia="宋体" w:cs="宋体"/>
                <w:color w:val="auto"/>
                <w:spacing w:val="-6"/>
                <w:sz w:val="24"/>
                <w:szCs w:val="24"/>
                <w:highlight w:val="none"/>
              </w:rPr>
              <w:t>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6"/>
                <w:sz w:val="24"/>
                <w:szCs w:val="24"/>
                <w:highlight w:val="none"/>
              </w:rPr>
              <w:t>及以上的附着式升降脚</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手架工程或附着式升降操作平台工程。</w:t>
            </w:r>
          </w:p>
        </w:tc>
        <w:tc>
          <w:tcPr>
            <w:tcW w:w="1294" w:type="dxa"/>
            <w:vAlign w:val="top"/>
          </w:tcPr>
          <w:p w14:paraId="26E4FDC5">
            <w:pPr>
              <w:pStyle w:val="21"/>
              <w:spacing w:line="296" w:lineRule="auto"/>
              <w:rPr>
                <w:rFonts w:hint="eastAsia" w:ascii="宋体" w:hAnsi="宋体" w:eastAsia="宋体" w:cs="宋体"/>
                <w:color w:val="auto"/>
                <w:highlight w:val="none"/>
              </w:rPr>
            </w:pPr>
          </w:p>
          <w:p w14:paraId="558431DE">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E227112">
            <w:pPr>
              <w:pStyle w:val="21"/>
              <w:spacing w:line="296" w:lineRule="auto"/>
              <w:rPr>
                <w:rFonts w:hint="eastAsia" w:ascii="宋体" w:hAnsi="宋体" w:eastAsia="宋体" w:cs="宋体"/>
                <w:color w:val="auto"/>
                <w:highlight w:val="none"/>
              </w:rPr>
            </w:pPr>
          </w:p>
          <w:p w14:paraId="4D51D49D">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D447CAF">
            <w:pPr>
              <w:pStyle w:val="21"/>
              <w:rPr>
                <w:rFonts w:hint="eastAsia" w:ascii="宋体" w:hAnsi="宋体" w:eastAsia="宋体" w:cs="宋体"/>
                <w:color w:val="auto"/>
                <w:highlight w:val="none"/>
              </w:rPr>
            </w:pPr>
          </w:p>
        </w:tc>
      </w:tr>
      <w:tr w14:paraId="4390B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02DA04D">
            <w:pPr>
              <w:spacing w:before="129" w:line="328"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（三）分段架体搭设高度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及以上的悬挑式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脚手架工程。</w:t>
            </w:r>
          </w:p>
        </w:tc>
        <w:tc>
          <w:tcPr>
            <w:tcW w:w="1294" w:type="dxa"/>
            <w:vAlign w:val="top"/>
          </w:tcPr>
          <w:p w14:paraId="1A4DC673">
            <w:pPr>
              <w:pStyle w:val="21"/>
              <w:spacing w:line="297" w:lineRule="auto"/>
              <w:rPr>
                <w:rFonts w:hint="eastAsia" w:ascii="宋体" w:hAnsi="宋体" w:eastAsia="宋体" w:cs="宋体"/>
                <w:color w:val="auto"/>
                <w:highlight w:val="none"/>
              </w:rPr>
            </w:pPr>
          </w:p>
          <w:p w14:paraId="13C8F70D">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8C3E33">
            <w:pPr>
              <w:pStyle w:val="21"/>
              <w:spacing w:line="297" w:lineRule="auto"/>
              <w:rPr>
                <w:rFonts w:hint="eastAsia" w:ascii="宋体" w:hAnsi="宋体" w:eastAsia="宋体" w:cs="宋体"/>
                <w:color w:val="auto"/>
                <w:highlight w:val="none"/>
              </w:rPr>
            </w:pPr>
          </w:p>
          <w:p w14:paraId="69F6EAB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36FB7CE">
            <w:pPr>
              <w:pStyle w:val="21"/>
              <w:rPr>
                <w:rFonts w:hint="eastAsia" w:ascii="宋体" w:hAnsi="宋体" w:eastAsia="宋体" w:cs="宋体"/>
                <w:color w:val="auto"/>
                <w:highlight w:val="none"/>
              </w:rPr>
            </w:pPr>
          </w:p>
        </w:tc>
      </w:tr>
      <w:tr w14:paraId="19A54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E027364">
            <w:pPr>
              <w:spacing w:before="131"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五、拆除工程</w:t>
            </w:r>
          </w:p>
        </w:tc>
        <w:tc>
          <w:tcPr>
            <w:tcW w:w="1294" w:type="dxa"/>
            <w:vAlign w:val="top"/>
          </w:tcPr>
          <w:p w14:paraId="252E8CF3">
            <w:pPr>
              <w:spacing w:before="158" w:line="223" w:lineRule="auto"/>
              <w:ind w:left="42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2E328A9">
            <w:pPr>
              <w:spacing w:before="15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B214F7F">
            <w:pPr>
              <w:pStyle w:val="21"/>
              <w:rPr>
                <w:rFonts w:hint="eastAsia" w:ascii="宋体" w:hAnsi="宋体" w:eastAsia="宋体" w:cs="宋体"/>
                <w:color w:val="auto"/>
                <w:highlight w:val="none"/>
              </w:rPr>
            </w:pPr>
          </w:p>
        </w:tc>
      </w:tr>
      <w:tr w14:paraId="533AC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FD68D25">
            <w:pPr>
              <w:spacing w:before="132" w:line="353"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（一）码头、桥梁、高架、烟囱、水塔或拆除</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中容易引起有毒有害气（液）体或粉尘扩散、</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易燃易爆事故发生的特殊建、构筑物的拆除工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06E4383E">
            <w:pPr>
              <w:pStyle w:val="21"/>
              <w:spacing w:line="262" w:lineRule="auto"/>
              <w:rPr>
                <w:rFonts w:hint="eastAsia" w:ascii="宋体" w:hAnsi="宋体" w:eastAsia="宋体" w:cs="宋体"/>
                <w:color w:val="auto"/>
                <w:highlight w:val="none"/>
              </w:rPr>
            </w:pPr>
          </w:p>
          <w:p w14:paraId="7376B21D">
            <w:pPr>
              <w:pStyle w:val="21"/>
              <w:spacing w:line="262" w:lineRule="auto"/>
              <w:rPr>
                <w:rFonts w:hint="eastAsia" w:ascii="宋体" w:hAnsi="宋体" w:eastAsia="宋体" w:cs="宋体"/>
                <w:color w:val="auto"/>
                <w:highlight w:val="none"/>
              </w:rPr>
            </w:pPr>
          </w:p>
          <w:p w14:paraId="5707BFC6">
            <w:pPr>
              <w:pStyle w:val="21"/>
              <w:spacing w:line="262" w:lineRule="auto"/>
              <w:rPr>
                <w:rFonts w:hint="eastAsia" w:ascii="宋体" w:hAnsi="宋体" w:eastAsia="宋体" w:cs="宋体"/>
                <w:color w:val="auto"/>
                <w:highlight w:val="none"/>
              </w:rPr>
            </w:pPr>
          </w:p>
          <w:p w14:paraId="07A1B4B9">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AA7B904">
            <w:pPr>
              <w:pStyle w:val="21"/>
              <w:spacing w:line="262" w:lineRule="auto"/>
              <w:rPr>
                <w:rFonts w:hint="eastAsia" w:ascii="宋体" w:hAnsi="宋体" w:eastAsia="宋体" w:cs="宋体"/>
                <w:color w:val="auto"/>
                <w:highlight w:val="none"/>
              </w:rPr>
            </w:pPr>
          </w:p>
          <w:p w14:paraId="60B86E07">
            <w:pPr>
              <w:pStyle w:val="21"/>
              <w:spacing w:line="262" w:lineRule="auto"/>
              <w:rPr>
                <w:rFonts w:hint="eastAsia" w:ascii="宋体" w:hAnsi="宋体" w:eastAsia="宋体" w:cs="宋体"/>
                <w:color w:val="auto"/>
                <w:highlight w:val="none"/>
              </w:rPr>
            </w:pPr>
          </w:p>
          <w:p w14:paraId="069EBF28">
            <w:pPr>
              <w:pStyle w:val="21"/>
              <w:spacing w:line="262" w:lineRule="auto"/>
              <w:rPr>
                <w:rFonts w:hint="eastAsia" w:ascii="宋体" w:hAnsi="宋体" w:eastAsia="宋体" w:cs="宋体"/>
                <w:color w:val="auto"/>
                <w:highlight w:val="none"/>
              </w:rPr>
            </w:pPr>
          </w:p>
          <w:p w14:paraId="6B21D26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744C282">
            <w:pPr>
              <w:pStyle w:val="21"/>
              <w:rPr>
                <w:rFonts w:hint="eastAsia" w:ascii="宋体" w:hAnsi="宋体" w:eastAsia="宋体" w:cs="宋体"/>
                <w:color w:val="auto"/>
                <w:highlight w:val="none"/>
              </w:rPr>
            </w:pPr>
          </w:p>
        </w:tc>
      </w:tr>
      <w:tr w14:paraId="7A72A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3409FFD">
            <w:pPr>
              <w:spacing w:before="131"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（二）文物保护建筑、优秀历史建筑或历史文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化风貌区影响范围内的拆除工程。</w:t>
            </w:r>
          </w:p>
        </w:tc>
        <w:tc>
          <w:tcPr>
            <w:tcW w:w="1294" w:type="dxa"/>
            <w:vAlign w:val="top"/>
          </w:tcPr>
          <w:p w14:paraId="4FDC9077">
            <w:pPr>
              <w:pStyle w:val="21"/>
              <w:spacing w:line="297" w:lineRule="auto"/>
              <w:rPr>
                <w:rFonts w:hint="eastAsia" w:ascii="宋体" w:hAnsi="宋体" w:eastAsia="宋体" w:cs="宋体"/>
                <w:color w:val="auto"/>
                <w:highlight w:val="none"/>
              </w:rPr>
            </w:pPr>
          </w:p>
          <w:p w14:paraId="557EC15C">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B5B90DE">
            <w:pPr>
              <w:pStyle w:val="21"/>
              <w:spacing w:line="297" w:lineRule="auto"/>
              <w:rPr>
                <w:rFonts w:hint="eastAsia" w:ascii="宋体" w:hAnsi="宋体" w:eastAsia="宋体" w:cs="宋体"/>
                <w:color w:val="auto"/>
                <w:highlight w:val="none"/>
              </w:rPr>
            </w:pPr>
          </w:p>
          <w:p w14:paraId="4F686E90">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662BBBA6">
            <w:pPr>
              <w:pStyle w:val="21"/>
              <w:rPr>
                <w:rFonts w:hint="eastAsia" w:ascii="宋体" w:hAnsi="宋体" w:eastAsia="宋体" w:cs="宋体"/>
                <w:color w:val="auto"/>
                <w:highlight w:val="none"/>
              </w:rPr>
            </w:pPr>
          </w:p>
        </w:tc>
      </w:tr>
      <w:tr w14:paraId="13DCE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48FBF8E">
            <w:pPr>
              <w:spacing w:before="131" w:line="221" w:lineRule="auto"/>
              <w:ind w:left="11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655538CD">
            <w:pPr>
              <w:spacing w:before="14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EC7D9AB">
            <w:pPr>
              <w:spacing w:before="14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A7A96A4">
            <w:pPr>
              <w:pStyle w:val="21"/>
              <w:rPr>
                <w:rFonts w:hint="eastAsia" w:ascii="宋体" w:hAnsi="宋体" w:eastAsia="宋体" w:cs="宋体"/>
                <w:color w:val="auto"/>
                <w:highlight w:val="none"/>
              </w:rPr>
            </w:pPr>
          </w:p>
        </w:tc>
      </w:tr>
      <w:tr w14:paraId="3C44D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AE3583D">
            <w:pPr>
              <w:spacing w:before="131" w:line="327"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0D94965A">
            <w:pPr>
              <w:pStyle w:val="21"/>
              <w:spacing w:line="298" w:lineRule="auto"/>
              <w:rPr>
                <w:rFonts w:hint="eastAsia" w:ascii="宋体" w:hAnsi="宋体" w:eastAsia="宋体" w:cs="宋体"/>
                <w:color w:val="auto"/>
                <w:highlight w:val="none"/>
              </w:rPr>
            </w:pPr>
          </w:p>
          <w:p w14:paraId="107BA7A6">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9BE5B49">
            <w:pPr>
              <w:pStyle w:val="21"/>
              <w:spacing w:line="298" w:lineRule="auto"/>
              <w:rPr>
                <w:rFonts w:hint="eastAsia" w:ascii="宋体" w:hAnsi="宋体" w:eastAsia="宋体" w:cs="宋体"/>
                <w:color w:val="auto"/>
                <w:highlight w:val="none"/>
              </w:rPr>
            </w:pPr>
          </w:p>
          <w:p w14:paraId="5C719A3E">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FC8E31C">
            <w:pPr>
              <w:pStyle w:val="21"/>
              <w:rPr>
                <w:rFonts w:hint="eastAsia" w:ascii="宋体" w:hAnsi="宋体" w:eastAsia="宋体" w:cs="宋体"/>
                <w:color w:val="auto"/>
                <w:highlight w:val="none"/>
              </w:rPr>
            </w:pPr>
          </w:p>
        </w:tc>
      </w:tr>
      <w:tr w14:paraId="532C0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1EE62D7">
            <w:pPr>
              <w:spacing w:before="130"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0EBCA3B5">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E4A9485">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71FFA8E9">
            <w:pPr>
              <w:pStyle w:val="21"/>
              <w:rPr>
                <w:rFonts w:hint="eastAsia" w:ascii="宋体" w:hAnsi="宋体" w:eastAsia="宋体" w:cs="宋体"/>
                <w:color w:val="auto"/>
                <w:highlight w:val="none"/>
              </w:rPr>
            </w:pPr>
          </w:p>
        </w:tc>
      </w:tr>
      <w:tr w14:paraId="2CEB3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1320CB1">
            <w:pPr>
              <w:spacing w:before="130" w:line="327"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（一）施工高度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及以上的建筑幕墙安装工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6875389F">
            <w:pPr>
              <w:pStyle w:val="21"/>
              <w:spacing w:line="297" w:lineRule="auto"/>
              <w:rPr>
                <w:rFonts w:hint="eastAsia" w:ascii="宋体" w:hAnsi="宋体" w:eastAsia="宋体" w:cs="宋体"/>
                <w:color w:val="auto"/>
                <w:highlight w:val="none"/>
              </w:rPr>
            </w:pPr>
          </w:p>
          <w:p w14:paraId="6D662840">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AE4538">
            <w:pPr>
              <w:pStyle w:val="21"/>
              <w:spacing w:line="297" w:lineRule="auto"/>
              <w:rPr>
                <w:rFonts w:hint="eastAsia" w:ascii="宋体" w:hAnsi="宋体" w:eastAsia="宋体" w:cs="宋体"/>
                <w:color w:val="auto"/>
                <w:highlight w:val="none"/>
              </w:rPr>
            </w:pPr>
          </w:p>
          <w:p w14:paraId="42F57BE7">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D9A8755">
            <w:pPr>
              <w:pStyle w:val="21"/>
              <w:rPr>
                <w:rFonts w:hint="eastAsia" w:ascii="宋体" w:hAnsi="宋体" w:eastAsia="宋体" w:cs="宋体"/>
                <w:color w:val="auto"/>
                <w:highlight w:val="none"/>
              </w:rPr>
            </w:pPr>
          </w:p>
        </w:tc>
      </w:tr>
      <w:tr w14:paraId="6CB92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73F987">
            <w:pPr>
              <w:spacing w:before="130"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36m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及以上的钢结构安装工程，或</w:t>
            </w:r>
          </w:p>
        </w:tc>
        <w:tc>
          <w:tcPr>
            <w:tcW w:w="1294" w:type="dxa"/>
            <w:vAlign w:val="top"/>
          </w:tcPr>
          <w:p w14:paraId="58CC489C">
            <w:pPr>
              <w:spacing w:before="130"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B6EC6D0">
            <w:pPr>
              <w:spacing w:before="130"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40D5DCE7">
            <w:pPr>
              <w:pStyle w:val="21"/>
              <w:rPr>
                <w:rFonts w:hint="eastAsia" w:ascii="宋体" w:hAnsi="宋体" w:eastAsia="宋体" w:cs="宋体"/>
                <w:color w:val="auto"/>
                <w:highlight w:val="none"/>
              </w:rPr>
            </w:pPr>
          </w:p>
        </w:tc>
      </w:tr>
      <w:tr w14:paraId="48386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A2E1211">
            <w:pPr>
              <w:spacing w:before="131" w:line="221" w:lineRule="auto"/>
              <w:ind w:left="11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60m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及以上的网架和索膜结构安装工程。</w:t>
            </w:r>
          </w:p>
        </w:tc>
        <w:tc>
          <w:tcPr>
            <w:tcW w:w="1294" w:type="dxa"/>
            <w:vAlign w:val="top"/>
          </w:tcPr>
          <w:p w14:paraId="605F2EF6">
            <w:pPr>
              <w:pStyle w:val="21"/>
              <w:rPr>
                <w:rFonts w:hint="eastAsia" w:ascii="宋体" w:hAnsi="宋体" w:eastAsia="宋体" w:cs="宋体"/>
                <w:color w:val="auto"/>
                <w:highlight w:val="none"/>
              </w:rPr>
            </w:pPr>
          </w:p>
        </w:tc>
        <w:tc>
          <w:tcPr>
            <w:tcW w:w="1294" w:type="dxa"/>
            <w:vAlign w:val="top"/>
          </w:tcPr>
          <w:p w14:paraId="5D1675CC">
            <w:pPr>
              <w:pStyle w:val="21"/>
              <w:rPr>
                <w:rFonts w:hint="eastAsia" w:ascii="宋体" w:hAnsi="宋体" w:eastAsia="宋体" w:cs="宋体"/>
                <w:color w:val="auto"/>
                <w:highlight w:val="none"/>
              </w:rPr>
            </w:pPr>
          </w:p>
        </w:tc>
        <w:tc>
          <w:tcPr>
            <w:tcW w:w="2428" w:type="dxa"/>
            <w:vAlign w:val="top"/>
          </w:tcPr>
          <w:p w14:paraId="0D243CC5">
            <w:pPr>
              <w:pStyle w:val="21"/>
              <w:rPr>
                <w:rFonts w:hint="eastAsia" w:ascii="宋体" w:hAnsi="宋体" w:eastAsia="宋体" w:cs="宋体"/>
                <w:color w:val="auto"/>
                <w:highlight w:val="none"/>
              </w:rPr>
            </w:pPr>
          </w:p>
        </w:tc>
      </w:tr>
      <w:tr w14:paraId="76966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3A897C1">
            <w:pPr>
              <w:spacing w:before="127" w:line="220"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（三）开挖深度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7"/>
                <w:sz w:val="24"/>
                <w:szCs w:val="24"/>
                <w:highlight w:val="none"/>
              </w:rPr>
              <w:t>16m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7"/>
                <w:sz w:val="24"/>
                <w:szCs w:val="24"/>
                <w:highlight w:val="none"/>
              </w:rPr>
              <w:t>及以上的人工挖孔桩工程。</w:t>
            </w:r>
          </w:p>
        </w:tc>
        <w:tc>
          <w:tcPr>
            <w:tcW w:w="1294" w:type="dxa"/>
            <w:vAlign w:val="top"/>
          </w:tcPr>
          <w:p w14:paraId="1DFBD658">
            <w:pPr>
              <w:spacing w:before="127"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A4710CA">
            <w:pPr>
              <w:spacing w:before="127"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28555BA1">
            <w:pPr>
              <w:pStyle w:val="21"/>
              <w:rPr>
                <w:rFonts w:hint="eastAsia" w:ascii="宋体" w:hAnsi="宋体" w:eastAsia="宋体" w:cs="宋体"/>
                <w:color w:val="auto"/>
                <w:highlight w:val="none"/>
              </w:rPr>
            </w:pPr>
          </w:p>
        </w:tc>
      </w:tr>
      <w:tr w14:paraId="2B8E7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F49CBC9">
            <w:pPr>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23AC72B5">
            <w:pPr>
              <w:spacing w:before="163"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9BDB79A">
            <w:pPr>
              <w:spacing w:before="163"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525C0773">
            <w:pPr>
              <w:pStyle w:val="21"/>
              <w:rPr>
                <w:rFonts w:hint="eastAsia" w:ascii="宋体" w:hAnsi="宋体" w:eastAsia="宋体" w:cs="宋体"/>
                <w:color w:val="auto"/>
                <w:highlight w:val="none"/>
              </w:rPr>
            </w:pPr>
          </w:p>
        </w:tc>
      </w:tr>
      <w:tr w14:paraId="71E56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1065D67">
            <w:pPr>
              <w:spacing w:before="130" w:line="327" w:lineRule="auto"/>
              <w:ind w:left="115" w:right="25" w:firstLine="12"/>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（五）重量</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8"/>
                <w:sz w:val="24"/>
                <w:szCs w:val="24"/>
                <w:highlight w:val="none"/>
              </w:rPr>
              <w:t>1000kN及以上的大型结构整体顶升、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平移、转体等施工工艺。</w:t>
            </w:r>
          </w:p>
        </w:tc>
        <w:tc>
          <w:tcPr>
            <w:tcW w:w="1294" w:type="dxa"/>
            <w:vAlign w:val="top"/>
          </w:tcPr>
          <w:p w14:paraId="2C9AAB19">
            <w:pPr>
              <w:pStyle w:val="21"/>
              <w:spacing w:line="296" w:lineRule="auto"/>
              <w:rPr>
                <w:rFonts w:hint="eastAsia" w:ascii="宋体" w:hAnsi="宋体" w:eastAsia="宋体" w:cs="宋体"/>
                <w:color w:val="auto"/>
                <w:highlight w:val="none"/>
              </w:rPr>
            </w:pPr>
          </w:p>
          <w:p w14:paraId="4876A57F">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76200BC">
            <w:pPr>
              <w:pStyle w:val="21"/>
              <w:spacing w:line="296" w:lineRule="auto"/>
              <w:rPr>
                <w:rFonts w:hint="eastAsia" w:ascii="宋体" w:hAnsi="宋体" w:eastAsia="宋体" w:cs="宋体"/>
                <w:color w:val="auto"/>
                <w:highlight w:val="none"/>
              </w:rPr>
            </w:pPr>
          </w:p>
          <w:p w14:paraId="7AB7C83F">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E4D7469">
            <w:pPr>
              <w:pStyle w:val="21"/>
              <w:rPr>
                <w:rFonts w:hint="eastAsia" w:ascii="宋体" w:hAnsi="宋体" w:eastAsia="宋体" w:cs="宋体"/>
                <w:color w:val="auto"/>
                <w:highlight w:val="none"/>
              </w:rPr>
            </w:pPr>
          </w:p>
        </w:tc>
      </w:tr>
      <w:tr w14:paraId="6ACD1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AABE9E">
            <w:pPr>
              <w:spacing w:before="129" w:line="346"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2B72A05D">
            <w:pPr>
              <w:pStyle w:val="21"/>
              <w:spacing w:line="272" w:lineRule="auto"/>
              <w:rPr>
                <w:rFonts w:hint="eastAsia" w:ascii="宋体" w:hAnsi="宋体" w:eastAsia="宋体" w:cs="宋体"/>
                <w:color w:val="auto"/>
                <w:highlight w:val="none"/>
              </w:rPr>
            </w:pPr>
          </w:p>
          <w:p w14:paraId="5116E607">
            <w:pPr>
              <w:pStyle w:val="21"/>
              <w:spacing w:line="272" w:lineRule="auto"/>
              <w:rPr>
                <w:rFonts w:hint="eastAsia" w:ascii="宋体" w:hAnsi="宋体" w:eastAsia="宋体" w:cs="宋体"/>
                <w:color w:val="auto"/>
                <w:highlight w:val="none"/>
              </w:rPr>
            </w:pPr>
          </w:p>
          <w:p w14:paraId="1D92D5C4">
            <w:pPr>
              <w:spacing w:before="78" w:line="223" w:lineRule="auto"/>
              <w:ind w:left="365"/>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13E1CBC">
            <w:pPr>
              <w:pStyle w:val="21"/>
              <w:spacing w:line="272" w:lineRule="auto"/>
              <w:rPr>
                <w:rFonts w:hint="eastAsia" w:ascii="宋体" w:hAnsi="宋体" w:eastAsia="宋体" w:cs="宋体"/>
                <w:color w:val="auto"/>
                <w:highlight w:val="none"/>
              </w:rPr>
            </w:pPr>
          </w:p>
          <w:p w14:paraId="6170A90B">
            <w:pPr>
              <w:pStyle w:val="21"/>
              <w:spacing w:line="272" w:lineRule="auto"/>
              <w:rPr>
                <w:rFonts w:hint="eastAsia" w:ascii="宋体" w:hAnsi="宋体" w:eastAsia="宋体" w:cs="宋体"/>
                <w:color w:val="auto"/>
                <w:highlight w:val="none"/>
              </w:rPr>
            </w:pPr>
          </w:p>
          <w:p w14:paraId="154F4BC5">
            <w:pPr>
              <w:spacing w:before="78" w:line="223" w:lineRule="auto"/>
              <w:ind w:left="367"/>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2428" w:type="dxa"/>
            <w:vAlign w:val="top"/>
          </w:tcPr>
          <w:p w14:paraId="1DE1D241">
            <w:pPr>
              <w:pStyle w:val="21"/>
              <w:rPr>
                <w:rFonts w:hint="eastAsia" w:ascii="宋体" w:hAnsi="宋体" w:eastAsia="宋体" w:cs="宋体"/>
                <w:color w:val="auto"/>
                <w:highlight w:val="none"/>
              </w:rPr>
            </w:pPr>
          </w:p>
        </w:tc>
      </w:tr>
    </w:tbl>
    <w:p w14:paraId="6E4A0502">
      <w:pPr>
        <w:pStyle w:val="5"/>
        <w:spacing w:line="288" w:lineRule="auto"/>
        <w:rPr>
          <w:rFonts w:hint="eastAsia" w:ascii="宋体" w:hAnsi="宋体" w:eastAsia="宋体" w:cs="宋体"/>
          <w:color w:val="auto"/>
          <w:highlight w:val="none"/>
        </w:rPr>
      </w:pPr>
    </w:p>
    <w:p w14:paraId="75FD8B74">
      <w:pPr>
        <w:pStyle w:val="5"/>
        <w:spacing w:line="288" w:lineRule="auto"/>
        <w:rPr>
          <w:rFonts w:hint="eastAsia" w:ascii="宋体" w:hAnsi="宋体" w:eastAsia="宋体" w:cs="宋体"/>
          <w:color w:val="auto"/>
          <w:highlight w:val="none"/>
        </w:rPr>
      </w:pPr>
    </w:p>
    <w:p w14:paraId="3445358B">
      <w:pPr>
        <w:spacing w:before="21" w:line="376" w:lineRule="exact"/>
        <w:ind w:firstLine="520" w:firstLineChars="200"/>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10"/>
          <w:sz w:val="24"/>
          <w:szCs w:val="24"/>
          <w:highlight w:val="none"/>
        </w:rPr>
        <w:t>备注：1.根据《危险性较大的分部分项工程安全管理</w:t>
      </w:r>
      <w:r>
        <w:rPr>
          <w:rFonts w:hint="eastAsia" w:ascii="宋体" w:hAnsi="宋体" w:eastAsia="宋体" w:cs="宋体"/>
          <w:color w:val="auto"/>
          <w:spacing w:val="9"/>
          <w:sz w:val="24"/>
          <w:szCs w:val="24"/>
          <w:highlight w:val="none"/>
        </w:rPr>
        <w:t>规定》，该《危险性较大的分部分项工程清单及超</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过一定规模的危险性较大的分部分项工程清单》</w:t>
      </w:r>
      <w:r>
        <w:rPr>
          <w:rFonts w:hint="eastAsia" w:ascii="宋体" w:hAnsi="宋体" w:eastAsia="宋体" w:cs="宋体"/>
          <w:color w:val="auto"/>
          <w:spacing w:val="9"/>
          <w:sz w:val="24"/>
          <w:szCs w:val="24"/>
          <w:highlight w:val="none"/>
          <w:lang w:eastAsia="zh-CN"/>
        </w:rPr>
        <w:t>应由建设单位组织勘察、设计等单位在招标文件中“勾选（对应项打“√”标识”危险性较大的分部分项工程。</w:t>
      </w:r>
    </w:p>
    <w:p w14:paraId="21F57ACA">
      <w:pPr>
        <w:spacing w:before="21" w:line="376" w:lineRule="exact"/>
        <w:ind w:firstLine="51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2.该《危险性较大的分部分项工程清单及超过一定规模的危险性较</w:t>
      </w:r>
      <w:r>
        <w:rPr>
          <w:rFonts w:hint="eastAsia" w:ascii="宋体" w:hAnsi="宋体" w:eastAsia="宋体" w:cs="宋体"/>
          <w:color w:val="auto"/>
          <w:spacing w:val="7"/>
          <w:sz w:val="24"/>
          <w:szCs w:val="24"/>
          <w:highlight w:val="none"/>
        </w:rPr>
        <w:t>大的分部分项工程清单》在办理</w:t>
      </w:r>
      <w:r>
        <w:rPr>
          <w:rFonts w:hint="eastAsia" w:ascii="宋体" w:hAnsi="宋体" w:eastAsia="宋体" w:cs="宋体"/>
          <w:color w:val="auto"/>
          <w:spacing w:val="10"/>
          <w:sz w:val="24"/>
          <w:szCs w:val="24"/>
          <w:highlight w:val="none"/>
        </w:rPr>
        <w:t>建设项目施工许可时必须提供，且各地建设行政主管部门可按照《广东省建设工</w:t>
      </w:r>
      <w:r>
        <w:rPr>
          <w:rFonts w:hint="eastAsia" w:ascii="宋体" w:hAnsi="宋体" w:eastAsia="宋体" w:cs="宋体"/>
          <w:color w:val="auto"/>
          <w:spacing w:val="9"/>
          <w:sz w:val="24"/>
          <w:szCs w:val="24"/>
          <w:highlight w:val="none"/>
        </w:rPr>
        <w:t>程项目招标中标后监督</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检查办法》相关规定开展检查。</w:t>
      </w:r>
    </w:p>
    <w:p w14:paraId="7A1DC17D">
      <w:pPr>
        <w:spacing w:before="28" w:line="228" w:lineRule="auto"/>
        <w:ind w:left="553" w:leftChars="244" w:hanging="41" w:hangingChars="16"/>
        <w:rPr>
          <w:rFonts w:hint="eastAsia" w:ascii="宋体" w:hAnsi="宋体" w:eastAsia="宋体" w:cs="宋体"/>
          <w:color w:val="auto"/>
          <w:spacing w:val="8"/>
          <w:sz w:val="24"/>
          <w:szCs w:val="24"/>
          <w:highlight w:val="none"/>
          <w:lang w:eastAsia="zh-CN"/>
        </w:rPr>
      </w:pPr>
      <w:r>
        <w:rPr>
          <w:rFonts w:hint="eastAsia" w:ascii="宋体" w:hAnsi="宋体" w:eastAsia="宋体" w:cs="宋体"/>
          <w:color w:val="auto"/>
          <w:spacing w:val="9"/>
          <w:sz w:val="24"/>
          <w:szCs w:val="24"/>
          <w:highlight w:val="none"/>
        </w:rPr>
        <w:t>3.如果需要（如需要通过计算编制专项方案，或者需要专家论证</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9"/>
          <w:sz w:val="24"/>
          <w:szCs w:val="24"/>
          <w:highlight w:val="none"/>
        </w:rPr>
        <w:t>可中</w:t>
      </w:r>
      <w:r>
        <w:rPr>
          <w:rFonts w:hint="eastAsia" w:ascii="宋体" w:hAnsi="宋体" w:eastAsia="宋体" w:cs="宋体"/>
          <w:color w:val="auto"/>
          <w:spacing w:val="8"/>
          <w:sz w:val="24"/>
          <w:szCs w:val="24"/>
          <w:highlight w:val="none"/>
        </w:rPr>
        <w:t>标后提供</w:t>
      </w:r>
      <w:r>
        <w:rPr>
          <w:rFonts w:hint="eastAsia" w:ascii="宋体" w:hAnsi="宋体" w:eastAsia="宋体" w:cs="宋体"/>
          <w:color w:val="auto"/>
          <w:spacing w:val="8"/>
          <w:sz w:val="24"/>
          <w:szCs w:val="24"/>
          <w:highlight w:val="none"/>
          <w:lang w:eastAsia="zh-CN"/>
        </w:rPr>
        <w:t>详细版。</w:t>
      </w:r>
    </w:p>
    <w:p w14:paraId="07D02C66">
      <w:pPr>
        <w:rPr>
          <w:color w:val="auto"/>
          <w:highlight w:val="none"/>
        </w:rPr>
      </w:pPr>
    </w:p>
    <w:p w14:paraId="086DFF7E">
      <w:pPr>
        <w:pStyle w:val="13"/>
        <w:rPr>
          <w:rFonts w:hint="eastAsia" w:ascii="宋体" w:hAnsi="宋体" w:eastAsia="宋体" w:cs="宋体"/>
          <w:b/>
          <w:bCs/>
          <w:color w:val="auto"/>
          <w:spacing w:val="-4"/>
          <w:sz w:val="24"/>
          <w:szCs w:val="24"/>
          <w:highlight w:val="none"/>
        </w:rPr>
      </w:pPr>
    </w:p>
    <w:p w14:paraId="4D9F0099">
      <w:pPr>
        <w:pStyle w:val="13"/>
        <w:rPr>
          <w:rFonts w:hint="eastAsia" w:ascii="宋体" w:hAnsi="宋体" w:eastAsia="宋体" w:cs="宋体"/>
          <w:b/>
          <w:bCs/>
          <w:color w:val="auto"/>
          <w:spacing w:val="-4"/>
          <w:sz w:val="24"/>
          <w:szCs w:val="24"/>
          <w:highlight w:val="none"/>
        </w:rPr>
      </w:pPr>
    </w:p>
    <w:p w14:paraId="1872DDAC">
      <w:pPr>
        <w:pStyle w:val="13"/>
        <w:rPr>
          <w:rFonts w:hint="eastAsia" w:ascii="宋体" w:hAnsi="宋体" w:eastAsia="宋体" w:cs="宋体"/>
          <w:b/>
          <w:bCs/>
          <w:color w:val="auto"/>
          <w:spacing w:val="-4"/>
          <w:sz w:val="24"/>
          <w:szCs w:val="24"/>
          <w:highlight w:val="none"/>
        </w:rPr>
      </w:pPr>
    </w:p>
    <w:p w14:paraId="102A38AF">
      <w:pPr>
        <w:pStyle w:val="13"/>
        <w:rPr>
          <w:rFonts w:hint="eastAsia" w:ascii="宋体" w:hAnsi="宋体" w:eastAsia="宋体" w:cs="宋体"/>
          <w:b/>
          <w:bCs/>
          <w:color w:val="auto"/>
          <w:spacing w:val="-4"/>
          <w:sz w:val="24"/>
          <w:szCs w:val="24"/>
          <w:highlight w:val="none"/>
        </w:rPr>
      </w:pPr>
    </w:p>
    <w:p w14:paraId="2E1BA95E">
      <w:pPr>
        <w:pStyle w:val="13"/>
        <w:rPr>
          <w:rFonts w:hint="eastAsia" w:ascii="宋体" w:hAnsi="宋体" w:eastAsia="宋体" w:cs="宋体"/>
          <w:b/>
          <w:bCs/>
          <w:color w:val="auto"/>
          <w:spacing w:val="-4"/>
          <w:sz w:val="24"/>
          <w:szCs w:val="24"/>
          <w:highlight w:val="none"/>
        </w:rPr>
      </w:pPr>
    </w:p>
    <w:p w14:paraId="738EC21D">
      <w:pPr>
        <w:pStyle w:val="13"/>
        <w:ind w:left="0" w:leftChars="0" w:firstLine="0" w:firstLineChars="0"/>
        <w:rPr>
          <w:rFonts w:hint="eastAsia" w:ascii="宋体" w:hAnsi="宋体" w:eastAsia="宋体" w:cs="宋体"/>
          <w:b/>
          <w:bCs/>
          <w:color w:val="auto"/>
          <w:spacing w:val="-4"/>
          <w:sz w:val="24"/>
          <w:szCs w:val="24"/>
          <w:highlight w:val="none"/>
        </w:rPr>
      </w:pPr>
    </w:p>
    <w:p w14:paraId="5A49A582">
      <w:pPr>
        <w:spacing w:before="78" w:line="220" w:lineRule="auto"/>
        <w:jc w:val="left"/>
        <w:outlineLvl w:val="9"/>
        <w:rPr>
          <w:rFonts w:hint="eastAsia" w:ascii="宋体" w:hAnsi="宋体" w:eastAsia="宋体" w:cs="宋体"/>
          <w:b/>
          <w:bCs/>
          <w:color w:val="auto"/>
          <w:spacing w:val="-4"/>
          <w:sz w:val="24"/>
          <w:szCs w:val="24"/>
          <w:highlight w:val="none"/>
        </w:rPr>
      </w:pPr>
    </w:p>
    <w:p w14:paraId="6BEB6D14">
      <w:pPr>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br w:type="page"/>
      </w:r>
    </w:p>
    <w:p w14:paraId="246AA64C">
      <w:pPr>
        <w:spacing w:before="78" w:line="220" w:lineRule="auto"/>
        <w:jc w:val="both"/>
        <w:outlineLvl w:val="2"/>
        <w:rPr>
          <w:rFonts w:hint="default" w:ascii="宋体" w:hAnsi="宋体" w:eastAsia="宋体" w:cs="宋体"/>
          <w:b/>
          <w:bCs/>
          <w:color w:val="auto"/>
          <w:spacing w:val="-4"/>
          <w:sz w:val="24"/>
          <w:szCs w:val="24"/>
          <w:highlight w:val="none"/>
          <w:lang w:val="en-US" w:eastAsia="zh-CN"/>
        </w:rPr>
      </w:pPr>
      <w:bookmarkStart w:id="258" w:name="_Toc11150"/>
      <w:r>
        <w:rPr>
          <w:rFonts w:hint="eastAsia" w:ascii="宋体" w:hAnsi="宋体" w:eastAsia="宋体" w:cs="宋体"/>
          <w:b/>
          <w:bCs/>
          <w:color w:val="auto"/>
          <w:spacing w:val="-4"/>
          <w:sz w:val="24"/>
          <w:szCs w:val="24"/>
          <w:highlight w:val="none"/>
        </w:rPr>
        <w:t>格式十四</w:t>
      </w:r>
      <w:r>
        <w:rPr>
          <w:rFonts w:hint="eastAsia" w:ascii="宋体" w:hAnsi="宋体" w:eastAsia="宋体" w:cs="宋体"/>
          <w:b/>
          <w:bCs/>
          <w:color w:val="auto"/>
          <w:spacing w:val="-4"/>
          <w:sz w:val="24"/>
          <w:szCs w:val="24"/>
          <w:highlight w:val="none"/>
          <w:lang w:val="en-US" w:eastAsia="zh-CN"/>
        </w:rPr>
        <w:t xml:space="preserve">  </w:t>
      </w:r>
      <w:r>
        <w:rPr>
          <w:rFonts w:hint="eastAsia" w:ascii="宋体" w:hAnsi="宋体" w:eastAsia="宋体" w:cs="宋体"/>
          <w:b/>
          <w:bCs/>
          <w:color w:val="auto"/>
          <w:spacing w:val="4"/>
          <w:position w:val="3"/>
          <w:sz w:val="21"/>
          <w:szCs w:val="21"/>
          <w:highlight w:val="none"/>
        </w:rPr>
        <w:t>投标保证金信用承诺函</w:t>
      </w:r>
      <w:bookmarkEnd w:id="258"/>
    </w:p>
    <w:p w14:paraId="4FA8B08B">
      <w:pPr>
        <w:spacing w:before="140" w:line="604" w:lineRule="exact"/>
        <w:jc w:val="center"/>
        <w:rPr>
          <w:rFonts w:hint="eastAsia" w:ascii="宋体" w:hAnsi="宋体" w:eastAsia="宋体" w:cs="宋体"/>
          <w:color w:val="auto"/>
          <w:sz w:val="28"/>
          <w:szCs w:val="28"/>
          <w:highlight w:val="none"/>
        </w:rPr>
      </w:pPr>
      <w:r>
        <w:rPr>
          <w:rFonts w:hint="eastAsia" w:ascii="宋体" w:hAnsi="宋体" w:eastAsia="宋体" w:cs="宋体"/>
          <w:b/>
          <w:bCs/>
          <w:color w:val="auto"/>
          <w:spacing w:val="4"/>
          <w:position w:val="3"/>
          <w:sz w:val="28"/>
          <w:szCs w:val="28"/>
          <w:highlight w:val="none"/>
        </w:rPr>
        <w:t>投标保证金信用承诺函</w:t>
      </w:r>
    </w:p>
    <w:p w14:paraId="551571E0">
      <w:pPr>
        <w:pStyle w:val="5"/>
        <w:spacing w:line="408" w:lineRule="auto"/>
        <w:rPr>
          <w:rFonts w:hint="eastAsia" w:ascii="宋体" w:hAnsi="宋体" w:eastAsia="宋体" w:cs="宋体"/>
          <w:color w:val="auto"/>
          <w:highlight w:val="none"/>
        </w:rPr>
      </w:pPr>
    </w:p>
    <w:p w14:paraId="234CE695">
      <w:pPr>
        <w:spacing w:before="101" w:line="257" w:lineRule="auto"/>
        <w:ind w:left="3" w:firstLine="96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一、</w:t>
      </w:r>
      <w:r>
        <w:rPr>
          <w:rFonts w:hint="eastAsia" w:ascii="宋体" w:hAnsi="宋体" w:eastAsia="宋体" w:cs="宋体"/>
          <w:color w:val="auto"/>
          <w:spacing w:val="7"/>
          <w:sz w:val="24"/>
          <w:szCs w:val="24"/>
          <w:highlight w:val="none"/>
        </w:rPr>
        <w:t>我单位参加</w:t>
      </w:r>
      <w:r>
        <w:rPr>
          <w:rFonts w:hint="eastAsia" w:ascii="宋体" w:hAnsi="宋体" w:eastAsia="宋体" w:cs="宋体"/>
          <w:color w:val="auto"/>
          <w:spacing w:val="7"/>
          <w:sz w:val="24"/>
          <w:szCs w:val="24"/>
          <w:highlight w:val="none"/>
          <w:u w:val="single"/>
        </w:rPr>
        <w:t xml:space="preserve">  （工程项目名称）  </w:t>
      </w:r>
      <w:r>
        <w:rPr>
          <w:rFonts w:hint="eastAsia" w:ascii="宋体" w:hAnsi="宋体" w:eastAsia="宋体" w:cs="宋体"/>
          <w:color w:val="auto"/>
          <w:spacing w:val="-116"/>
          <w:sz w:val="24"/>
          <w:szCs w:val="24"/>
          <w:highlight w:val="none"/>
        </w:rPr>
        <w:t xml:space="preserve"> </w:t>
      </w:r>
      <w:r>
        <w:rPr>
          <w:rFonts w:hint="eastAsia" w:ascii="宋体" w:hAnsi="宋体" w:eastAsia="宋体" w:cs="宋体"/>
          <w:color w:val="auto"/>
          <w:spacing w:val="7"/>
          <w:sz w:val="24"/>
          <w:szCs w:val="24"/>
          <w:highlight w:val="none"/>
        </w:rPr>
        <w:t>的投标活动，</w:t>
      </w:r>
      <w:r>
        <w:rPr>
          <w:rFonts w:hint="eastAsia" w:ascii="宋体" w:hAnsi="宋体" w:eastAsia="宋体" w:cs="宋体"/>
          <w:color w:val="auto"/>
          <w:spacing w:val="6"/>
          <w:sz w:val="24"/>
          <w:szCs w:val="24"/>
          <w:highlight w:val="none"/>
        </w:rPr>
        <w:t>现承</w:t>
      </w:r>
      <w:r>
        <w:rPr>
          <w:rFonts w:hint="eastAsia" w:ascii="宋体" w:hAnsi="宋体" w:eastAsia="宋体" w:cs="宋体"/>
          <w:color w:val="auto"/>
          <w:spacing w:val="9"/>
          <w:sz w:val="24"/>
          <w:szCs w:val="24"/>
          <w:highlight w:val="none"/>
        </w:rPr>
        <w:t>诺：将严格按照法律法规规定参与交易活动，按照招标文件要求</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依法履行投标人义务；我方若出现违反《中华人民共和国招标投</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标法》、《中华人民共和国招标投标法实施条例》、《电子招标</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投标办法》等有关法律法规的行为，将于投标有效期内全额付清</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7"/>
          <w:sz w:val="24"/>
          <w:szCs w:val="24"/>
          <w:highlight w:val="none"/>
        </w:rPr>
        <w:t>招标文件规定的投标保证金</w:t>
      </w:r>
      <w:r>
        <w:rPr>
          <w:rFonts w:hint="eastAsia" w:ascii="宋体" w:hAnsi="宋体" w:eastAsia="宋体" w:cs="宋体"/>
          <w:color w:val="auto"/>
          <w:spacing w:val="-153"/>
          <w:sz w:val="24"/>
          <w:szCs w:val="24"/>
          <w:highlight w:val="none"/>
        </w:rPr>
        <w:t xml:space="preserve"> </w:t>
      </w:r>
      <w:r>
        <w:rPr>
          <w:rFonts w:hint="eastAsia" w:ascii="宋体" w:hAnsi="宋体" w:eastAsia="宋体" w:cs="宋体"/>
          <w:color w:val="auto"/>
          <w:spacing w:val="5"/>
          <w:sz w:val="24"/>
          <w:szCs w:val="24"/>
          <w:highlight w:val="none"/>
          <w:u w:val="single"/>
        </w:rPr>
        <w:t xml:space="preserve">     </w:t>
      </w:r>
      <w:r>
        <w:rPr>
          <w:rFonts w:hint="eastAsia" w:ascii="宋体" w:hAnsi="宋体" w:eastAsia="宋体" w:cs="宋体"/>
          <w:color w:val="auto"/>
          <w:spacing w:val="-138"/>
          <w:sz w:val="24"/>
          <w:szCs w:val="24"/>
          <w:highlight w:val="none"/>
        </w:rPr>
        <w:t xml:space="preserve"> </w:t>
      </w:r>
      <w:r>
        <w:rPr>
          <w:rFonts w:hint="eastAsia" w:ascii="宋体" w:hAnsi="宋体" w:eastAsia="宋体" w:cs="宋体"/>
          <w:color w:val="auto"/>
          <w:spacing w:val="7"/>
          <w:sz w:val="24"/>
          <w:szCs w:val="24"/>
          <w:highlight w:val="none"/>
        </w:rPr>
        <w:t>元。</w:t>
      </w:r>
    </w:p>
    <w:p w14:paraId="67174F63">
      <w:pPr>
        <w:spacing w:before="48" w:line="252" w:lineRule="auto"/>
        <w:ind w:left="1" w:firstLine="647"/>
        <w:jc w:val="both"/>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二、至投标文件提交当天，本公司无严重不良信用记录或存在曾作出虚假承诺的情形，且不属于韶关市建筑市场信用管理平</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5"/>
          <w:sz w:val="24"/>
          <w:szCs w:val="24"/>
          <w:highlight w:val="none"/>
        </w:rPr>
        <w:t>台公布的信用等级为</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5"/>
          <w:sz w:val="24"/>
          <w:szCs w:val="24"/>
          <w:highlight w:val="none"/>
        </w:rPr>
        <w:t>B</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级、C</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级、D</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级的企业。</w:t>
      </w:r>
    </w:p>
    <w:p w14:paraId="3EE8C656">
      <w:pPr>
        <w:spacing w:before="52" w:line="247" w:lineRule="auto"/>
        <w:ind w:left="6" w:right="2" w:firstLine="638"/>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本企业对以上承诺和声明负责。如有虚假，愿接受行政主管</w:t>
      </w:r>
      <w:r>
        <w:rPr>
          <w:rFonts w:hint="eastAsia" w:ascii="宋体" w:hAnsi="宋体" w:eastAsia="宋体" w:cs="宋体"/>
          <w:color w:val="auto"/>
          <w:spacing w:val="8"/>
          <w:sz w:val="24"/>
          <w:szCs w:val="24"/>
          <w:highlight w:val="none"/>
        </w:rPr>
        <w:t>部门作出的处罚，并承担以下后果：</w:t>
      </w:r>
    </w:p>
    <w:p w14:paraId="3B20EF63">
      <w:pPr>
        <w:spacing w:before="48"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（一）取消本单位在本项目中的投标资格或中标资格；</w:t>
      </w:r>
    </w:p>
    <w:p w14:paraId="01EB796C">
      <w:pPr>
        <w:spacing w:before="64"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（二）将本单位不良行为纳入信用信息管理系统；</w:t>
      </w:r>
    </w:p>
    <w:p w14:paraId="170D400C">
      <w:pPr>
        <w:spacing w:before="60" w:line="244" w:lineRule="auto"/>
        <w:ind w:left="41" w:right="2" w:firstLine="615"/>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（三）主动在产生不良行为所在的各县（市、区）行</w:t>
      </w:r>
      <w:r>
        <w:rPr>
          <w:rFonts w:hint="eastAsia" w:ascii="宋体" w:hAnsi="宋体" w:eastAsia="宋体" w:cs="宋体"/>
          <w:color w:val="auto"/>
          <w:spacing w:val="8"/>
          <w:sz w:val="24"/>
          <w:szCs w:val="24"/>
          <w:highlight w:val="none"/>
        </w:rPr>
        <w:t>政区域</w:t>
      </w:r>
      <w:r>
        <w:rPr>
          <w:rFonts w:hint="eastAsia" w:ascii="宋体" w:hAnsi="宋体" w:eastAsia="宋体" w:cs="宋体"/>
          <w:color w:val="auto"/>
          <w:spacing w:val="6"/>
          <w:sz w:val="24"/>
          <w:szCs w:val="24"/>
          <w:highlight w:val="none"/>
        </w:rPr>
        <w:t>内不参加房建市政工程项目的投标活动一年；</w:t>
      </w:r>
    </w:p>
    <w:p w14:paraId="095339FF">
      <w:pPr>
        <w:spacing w:before="63"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（四）应付的赔偿责任和相应法律责任。</w:t>
      </w:r>
    </w:p>
    <w:p w14:paraId="324F4DDC">
      <w:pPr>
        <w:pStyle w:val="5"/>
        <w:spacing w:line="329" w:lineRule="auto"/>
        <w:rPr>
          <w:rFonts w:hint="eastAsia" w:ascii="宋体" w:hAnsi="宋体" w:eastAsia="宋体" w:cs="宋体"/>
          <w:color w:val="auto"/>
          <w:sz w:val="24"/>
          <w:szCs w:val="24"/>
          <w:highlight w:val="none"/>
        </w:rPr>
      </w:pPr>
    </w:p>
    <w:p w14:paraId="3A9404A8">
      <w:pPr>
        <w:spacing w:before="102" w:line="225" w:lineRule="auto"/>
        <w:ind w:left="8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单位名称（公章</w:t>
      </w:r>
      <w:r>
        <w:rPr>
          <w:rFonts w:hint="eastAsia" w:ascii="宋体" w:hAnsi="宋体" w:eastAsia="宋体" w:cs="宋体"/>
          <w:color w:val="auto"/>
          <w:spacing w:val="1"/>
          <w:sz w:val="24"/>
          <w:szCs w:val="24"/>
          <w:highlight w:val="none"/>
        </w:rPr>
        <w:t>）：</w:t>
      </w:r>
    </w:p>
    <w:p w14:paraId="68F0A46E">
      <w:pPr>
        <w:pStyle w:val="5"/>
        <w:spacing w:line="457" w:lineRule="auto"/>
        <w:rPr>
          <w:rFonts w:hint="eastAsia" w:ascii="宋体" w:hAnsi="宋体" w:eastAsia="宋体" w:cs="宋体"/>
          <w:color w:val="auto"/>
          <w:sz w:val="24"/>
          <w:szCs w:val="24"/>
          <w:highlight w:val="none"/>
        </w:rPr>
      </w:pPr>
    </w:p>
    <w:p w14:paraId="1043625C">
      <w:pPr>
        <w:spacing w:before="100" w:line="225" w:lineRule="auto"/>
        <w:ind w:left="85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统一社会信用代码：</w:t>
      </w:r>
    </w:p>
    <w:p w14:paraId="2556479A">
      <w:pPr>
        <w:pStyle w:val="5"/>
        <w:spacing w:line="457" w:lineRule="auto"/>
        <w:rPr>
          <w:rFonts w:hint="eastAsia" w:ascii="宋体" w:hAnsi="宋体" w:eastAsia="宋体" w:cs="宋体"/>
          <w:color w:val="auto"/>
          <w:sz w:val="24"/>
          <w:szCs w:val="24"/>
          <w:highlight w:val="none"/>
        </w:rPr>
      </w:pPr>
    </w:p>
    <w:p w14:paraId="28E89218">
      <w:pPr>
        <w:spacing w:before="102" w:line="543" w:lineRule="auto"/>
        <w:ind w:left="844" w:right="5000"/>
        <w:rPr>
          <w:rFonts w:hint="eastAsia" w:ascii="宋体" w:hAnsi="宋体" w:eastAsia="宋体" w:cs="宋体"/>
          <w:color w:val="auto"/>
          <w:spacing w:val="-29"/>
          <w:sz w:val="24"/>
          <w:szCs w:val="24"/>
          <w:highlight w:val="none"/>
        </w:rPr>
      </w:pPr>
      <w:r>
        <w:rPr>
          <w:rFonts w:hint="eastAsia" w:ascii="宋体" w:hAnsi="宋体" w:eastAsia="宋体" w:cs="宋体"/>
          <w:color w:val="auto"/>
          <w:spacing w:val="8"/>
          <w:sz w:val="24"/>
          <w:szCs w:val="24"/>
          <w:highlight w:val="none"/>
        </w:rPr>
        <w:t>法定代表人（签字</w:t>
      </w:r>
      <w:r>
        <w:rPr>
          <w:rFonts w:hint="eastAsia" w:ascii="宋体" w:hAnsi="宋体" w:eastAsia="宋体" w:cs="宋体"/>
          <w:color w:val="auto"/>
          <w:spacing w:val="-29"/>
          <w:sz w:val="24"/>
          <w:szCs w:val="24"/>
          <w:highlight w:val="none"/>
        </w:rPr>
        <w:t>）：</w:t>
      </w:r>
    </w:p>
    <w:p w14:paraId="33A3CBAF">
      <w:pPr>
        <w:spacing w:before="102" w:line="543" w:lineRule="auto"/>
        <w:ind w:left="844" w:right="5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年</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6"/>
          <w:sz w:val="24"/>
          <w:szCs w:val="24"/>
          <w:highlight w:val="none"/>
        </w:rPr>
        <w:t>月</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39"/>
          <w:sz w:val="24"/>
          <w:szCs w:val="24"/>
          <w:highlight w:val="none"/>
          <w:lang w:val="en-US" w:eastAsia="zh-CN"/>
        </w:rPr>
        <w:t xml:space="preserve">  </w:t>
      </w:r>
      <w:r>
        <w:rPr>
          <w:rFonts w:hint="eastAsia" w:ascii="宋体" w:hAnsi="宋体" w:eastAsia="宋体" w:cs="宋体"/>
          <w:color w:val="auto"/>
          <w:spacing w:val="-6"/>
          <w:sz w:val="24"/>
          <w:szCs w:val="24"/>
          <w:highlight w:val="none"/>
        </w:rPr>
        <w:t>日</w:t>
      </w:r>
    </w:p>
    <w:p w14:paraId="2B287F98">
      <w:pPr>
        <w:pStyle w:val="13"/>
        <w:rPr>
          <w:rFonts w:hint="eastAsia" w:ascii="宋体" w:hAnsi="宋体" w:eastAsia="宋体" w:cs="宋体"/>
          <w:color w:val="auto"/>
          <w:highlight w:val="none"/>
        </w:rPr>
      </w:pPr>
    </w:p>
    <w:p w14:paraId="3CFA9197">
      <w:pPr>
        <w:pStyle w:val="13"/>
        <w:rPr>
          <w:rFonts w:hint="eastAsia" w:ascii="宋体" w:hAnsi="宋体" w:eastAsia="宋体" w:cs="宋体"/>
          <w:color w:val="auto"/>
          <w:spacing w:val="8"/>
          <w:sz w:val="24"/>
          <w:szCs w:val="24"/>
          <w:highlight w:val="none"/>
          <w:lang w:eastAsia="zh-CN"/>
        </w:rPr>
        <w:sectPr>
          <w:footerReference r:id="rId27"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906ADF0">
      <w:pPr>
        <w:spacing w:before="78" w:line="220" w:lineRule="auto"/>
        <w:outlineLvl w:val="2"/>
        <w:rPr>
          <w:rFonts w:hint="eastAsia" w:ascii="宋体" w:hAnsi="宋体" w:eastAsia="宋体" w:cs="宋体"/>
          <w:b/>
          <w:bCs/>
          <w:color w:val="auto"/>
          <w:spacing w:val="-4"/>
          <w:sz w:val="24"/>
          <w:szCs w:val="24"/>
          <w:highlight w:val="none"/>
        </w:rPr>
      </w:pPr>
      <w:bookmarkStart w:id="259" w:name="_Toc159"/>
      <w:r>
        <w:rPr>
          <w:rFonts w:hint="eastAsia" w:ascii="宋体" w:hAnsi="宋体" w:eastAsia="宋体" w:cs="宋体"/>
          <w:b/>
          <w:bCs/>
          <w:color w:val="auto"/>
          <w:spacing w:val="-4"/>
          <w:sz w:val="24"/>
          <w:szCs w:val="24"/>
          <w:highlight w:val="none"/>
        </w:rPr>
        <w:t>格式十</w:t>
      </w:r>
      <w:r>
        <w:rPr>
          <w:rFonts w:hint="eastAsia" w:ascii="宋体" w:hAnsi="宋体" w:eastAsia="宋体" w:cs="宋体"/>
          <w:b/>
          <w:bCs/>
          <w:color w:val="auto"/>
          <w:spacing w:val="-4"/>
          <w:sz w:val="24"/>
          <w:szCs w:val="24"/>
          <w:highlight w:val="none"/>
          <w:lang w:eastAsia="zh-CN"/>
        </w:rPr>
        <w:t>五</w:t>
      </w:r>
      <w:r>
        <w:rPr>
          <w:rFonts w:hint="eastAsia" w:ascii="宋体" w:hAnsi="宋体" w:eastAsia="宋体" w:cs="宋体"/>
          <w:b/>
          <w:bCs/>
          <w:color w:val="auto"/>
          <w:spacing w:val="-4"/>
          <w:sz w:val="24"/>
          <w:szCs w:val="24"/>
          <w:highlight w:val="none"/>
        </w:rPr>
        <w:t xml:space="preserve">  原件一览表</w:t>
      </w:r>
      <w:bookmarkEnd w:id="259"/>
    </w:p>
    <w:tbl>
      <w:tblPr>
        <w:tblStyle w:val="14"/>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31804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4FB1F09">
            <w:pPr>
              <w:spacing w:before="132" w:line="220" w:lineRule="auto"/>
              <w:ind w:left="3965"/>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原件一览表</w:t>
            </w:r>
          </w:p>
        </w:tc>
      </w:tr>
      <w:tr w14:paraId="2057F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top"/>
          </w:tcPr>
          <w:p w14:paraId="59447AA3">
            <w:pPr>
              <w:pStyle w:val="21"/>
              <w:spacing w:line="253" w:lineRule="auto"/>
              <w:rPr>
                <w:rFonts w:hint="eastAsia" w:ascii="宋体" w:hAnsi="宋体" w:eastAsia="宋体" w:cs="宋体"/>
                <w:color w:val="auto"/>
                <w:sz w:val="24"/>
                <w:szCs w:val="24"/>
                <w:highlight w:val="none"/>
              </w:rPr>
            </w:pPr>
          </w:p>
          <w:p w14:paraId="0CEAB9EA">
            <w:pPr>
              <w:spacing w:before="62"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工程名称</w:t>
            </w:r>
          </w:p>
        </w:tc>
        <w:tc>
          <w:tcPr>
            <w:tcW w:w="6816" w:type="dxa"/>
            <w:gridSpan w:val="6"/>
            <w:vAlign w:val="top"/>
          </w:tcPr>
          <w:p w14:paraId="3FF8FF0B">
            <w:pPr>
              <w:pStyle w:val="21"/>
              <w:rPr>
                <w:rFonts w:hint="eastAsia" w:ascii="宋体" w:hAnsi="宋体" w:eastAsia="宋体" w:cs="宋体"/>
                <w:color w:val="auto"/>
                <w:sz w:val="24"/>
                <w:szCs w:val="24"/>
                <w:highlight w:val="none"/>
              </w:rPr>
            </w:pPr>
          </w:p>
        </w:tc>
      </w:tr>
      <w:tr w14:paraId="5DC6A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6176662">
            <w:pPr>
              <w:spacing w:before="150"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r>
              <w:rPr>
                <w:rFonts w:hint="eastAsia" w:ascii="宋体" w:hAnsi="宋体" w:eastAsia="宋体" w:cs="宋体"/>
                <w:color w:val="auto"/>
                <w:spacing w:val="5"/>
                <w:sz w:val="24"/>
                <w:szCs w:val="24"/>
                <w:highlight w:val="none"/>
              </w:rPr>
              <w:t>(请务必填写单位全称)</w:t>
            </w:r>
          </w:p>
        </w:tc>
        <w:tc>
          <w:tcPr>
            <w:tcW w:w="6816" w:type="dxa"/>
            <w:gridSpan w:val="6"/>
            <w:vAlign w:val="top"/>
          </w:tcPr>
          <w:p w14:paraId="668497E6">
            <w:pPr>
              <w:pStyle w:val="21"/>
              <w:rPr>
                <w:rFonts w:hint="eastAsia" w:ascii="宋体" w:hAnsi="宋体" w:eastAsia="宋体" w:cs="宋体"/>
                <w:color w:val="auto"/>
                <w:sz w:val="24"/>
                <w:szCs w:val="24"/>
                <w:highlight w:val="none"/>
              </w:rPr>
            </w:pPr>
          </w:p>
        </w:tc>
      </w:tr>
      <w:tr w14:paraId="0FA60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FE90DC5">
            <w:pPr>
              <w:spacing w:before="151"/>
              <w:ind w:right="14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投标人法定代表人或其委托代理人签名</w:t>
            </w:r>
          </w:p>
        </w:tc>
        <w:tc>
          <w:tcPr>
            <w:tcW w:w="2689" w:type="dxa"/>
            <w:gridSpan w:val="2"/>
            <w:vAlign w:val="top"/>
          </w:tcPr>
          <w:p w14:paraId="000B4605">
            <w:pPr>
              <w:pStyle w:val="21"/>
              <w:rPr>
                <w:rFonts w:hint="eastAsia" w:ascii="宋体" w:hAnsi="宋体" w:eastAsia="宋体" w:cs="宋体"/>
                <w:color w:val="auto"/>
                <w:sz w:val="24"/>
                <w:szCs w:val="24"/>
                <w:highlight w:val="none"/>
              </w:rPr>
            </w:pPr>
          </w:p>
        </w:tc>
        <w:tc>
          <w:tcPr>
            <w:tcW w:w="1499" w:type="dxa"/>
            <w:gridSpan w:val="2"/>
            <w:vAlign w:val="top"/>
          </w:tcPr>
          <w:p w14:paraId="3D60D1A8">
            <w:pPr>
              <w:spacing w:before="151" w:line="312" w:lineRule="auto"/>
              <w:ind w:right="17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手机</w:t>
            </w:r>
            <w:r>
              <w:rPr>
                <w:rFonts w:hint="eastAsia" w:ascii="宋体" w:hAnsi="宋体" w:eastAsia="宋体" w:cs="宋体"/>
                <w:color w:val="auto"/>
                <w:spacing w:val="2"/>
                <w:sz w:val="24"/>
                <w:szCs w:val="24"/>
                <w:highlight w:val="none"/>
              </w:rPr>
              <w:t>号码</w:t>
            </w:r>
          </w:p>
        </w:tc>
        <w:tc>
          <w:tcPr>
            <w:tcW w:w="2628" w:type="dxa"/>
            <w:gridSpan w:val="2"/>
            <w:vAlign w:val="top"/>
          </w:tcPr>
          <w:p w14:paraId="7B412076">
            <w:pPr>
              <w:pStyle w:val="21"/>
              <w:rPr>
                <w:rFonts w:hint="eastAsia" w:ascii="宋体" w:hAnsi="宋体" w:eastAsia="宋体" w:cs="宋体"/>
                <w:color w:val="auto"/>
                <w:sz w:val="24"/>
                <w:szCs w:val="24"/>
                <w:highlight w:val="none"/>
              </w:rPr>
            </w:pPr>
          </w:p>
        </w:tc>
      </w:tr>
      <w:tr w14:paraId="17484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67918AA">
            <w:pPr>
              <w:spacing w:before="62" w:line="228" w:lineRule="auto"/>
              <w:ind w:left="336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递交的证明材料原件如下：</w:t>
            </w:r>
          </w:p>
        </w:tc>
      </w:tr>
      <w:tr w14:paraId="1F0A6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21E26167">
            <w:pPr>
              <w:pStyle w:val="21"/>
              <w:spacing w:line="257" w:lineRule="auto"/>
              <w:rPr>
                <w:rFonts w:hint="eastAsia" w:ascii="宋体" w:hAnsi="宋体" w:eastAsia="宋体" w:cs="宋体"/>
                <w:color w:val="auto"/>
                <w:sz w:val="24"/>
                <w:szCs w:val="24"/>
                <w:highlight w:val="none"/>
              </w:rPr>
            </w:pPr>
          </w:p>
          <w:p w14:paraId="0EC21191">
            <w:pPr>
              <w:spacing w:before="62" w:line="230" w:lineRule="auto"/>
              <w:ind w:left="15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5304" w:type="dxa"/>
            <w:gridSpan w:val="4"/>
            <w:vAlign w:val="top"/>
          </w:tcPr>
          <w:p w14:paraId="76A61080">
            <w:pPr>
              <w:pStyle w:val="21"/>
              <w:spacing w:line="257" w:lineRule="auto"/>
              <w:rPr>
                <w:rFonts w:hint="eastAsia" w:ascii="宋体" w:hAnsi="宋体" w:eastAsia="宋体" w:cs="宋体"/>
                <w:color w:val="auto"/>
                <w:sz w:val="24"/>
                <w:szCs w:val="24"/>
                <w:highlight w:val="none"/>
              </w:rPr>
            </w:pPr>
          </w:p>
          <w:p w14:paraId="1A81F5E2">
            <w:pPr>
              <w:spacing w:before="61" w:line="228" w:lineRule="auto"/>
              <w:ind w:left="1765"/>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证明材料原件名称</w:t>
            </w:r>
          </w:p>
        </w:tc>
        <w:tc>
          <w:tcPr>
            <w:tcW w:w="1771" w:type="dxa"/>
            <w:gridSpan w:val="2"/>
            <w:vAlign w:val="top"/>
          </w:tcPr>
          <w:p w14:paraId="0177F328">
            <w:pPr>
              <w:pStyle w:val="21"/>
              <w:spacing w:line="256" w:lineRule="auto"/>
              <w:rPr>
                <w:rFonts w:hint="eastAsia" w:ascii="宋体" w:hAnsi="宋体" w:eastAsia="宋体" w:cs="宋体"/>
                <w:color w:val="auto"/>
                <w:sz w:val="24"/>
                <w:szCs w:val="24"/>
                <w:highlight w:val="none"/>
              </w:rPr>
            </w:pPr>
          </w:p>
          <w:p w14:paraId="456665A1">
            <w:pPr>
              <w:spacing w:before="62" w:line="230" w:lineRule="auto"/>
              <w:ind w:left="66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单位</w:t>
            </w:r>
          </w:p>
        </w:tc>
        <w:tc>
          <w:tcPr>
            <w:tcW w:w="1637" w:type="dxa"/>
            <w:vAlign w:val="top"/>
          </w:tcPr>
          <w:p w14:paraId="41F7CEAC">
            <w:pPr>
              <w:pStyle w:val="21"/>
              <w:spacing w:line="256" w:lineRule="auto"/>
              <w:rPr>
                <w:rFonts w:hint="eastAsia" w:ascii="宋体" w:hAnsi="宋体" w:eastAsia="宋体" w:cs="宋体"/>
                <w:color w:val="auto"/>
                <w:sz w:val="24"/>
                <w:szCs w:val="24"/>
                <w:highlight w:val="none"/>
              </w:rPr>
            </w:pPr>
          </w:p>
          <w:p w14:paraId="09C47EB1">
            <w:pPr>
              <w:spacing w:before="62" w:line="229" w:lineRule="auto"/>
              <w:ind w:left="59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数量</w:t>
            </w:r>
          </w:p>
        </w:tc>
      </w:tr>
      <w:tr w14:paraId="46502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6FF8B91C">
            <w:pPr>
              <w:spacing w:before="287" w:line="184" w:lineRule="auto"/>
              <w:ind w:left="31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04" w:type="dxa"/>
            <w:gridSpan w:val="4"/>
            <w:vAlign w:val="top"/>
          </w:tcPr>
          <w:p w14:paraId="28B25A0D">
            <w:pPr>
              <w:pStyle w:val="21"/>
              <w:rPr>
                <w:rFonts w:hint="eastAsia" w:ascii="宋体" w:hAnsi="宋体" w:eastAsia="宋体" w:cs="宋体"/>
                <w:color w:val="auto"/>
                <w:sz w:val="24"/>
                <w:szCs w:val="24"/>
                <w:highlight w:val="none"/>
              </w:rPr>
            </w:pPr>
          </w:p>
        </w:tc>
        <w:tc>
          <w:tcPr>
            <w:tcW w:w="1771" w:type="dxa"/>
            <w:gridSpan w:val="2"/>
            <w:vAlign w:val="top"/>
          </w:tcPr>
          <w:p w14:paraId="4F42E60F">
            <w:pPr>
              <w:pStyle w:val="21"/>
              <w:rPr>
                <w:rFonts w:hint="eastAsia" w:ascii="宋体" w:hAnsi="宋体" w:eastAsia="宋体" w:cs="宋体"/>
                <w:color w:val="auto"/>
                <w:sz w:val="24"/>
                <w:szCs w:val="24"/>
                <w:highlight w:val="none"/>
              </w:rPr>
            </w:pPr>
          </w:p>
        </w:tc>
        <w:tc>
          <w:tcPr>
            <w:tcW w:w="1637" w:type="dxa"/>
            <w:vAlign w:val="top"/>
          </w:tcPr>
          <w:p w14:paraId="3C09D08F">
            <w:pPr>
              <w:pStyle w:val="21"/>
              <w:rPr>
                <w:rFonts w:hint="eastAsia" w:ascii="宋体" w:hAnsi="宋体" w:eastAsia="宋体" w:cs="宋体"/>
                <w:color w:val="auto"/>
                <w:sz w:val="24"/>
                <w:szCs w:val="24"/>
                <w:highlight w:val="none"/>
              </w:rPr>
            </w:pPr>
          </w:p>
        </w:tc>
      </w:tr>
      <w:tr w14:paraId="12E32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5B0FF1CC">
            <w:pPr>
              <w:spacing w:before="288" w:line="183" w:lineRule="auto"/>
              <w:ind w:left="3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304" w:type="dxa"/>
            <w:gridSpan w:val="4"/>
            <w:vAlign w:val="top"/>
          </w:tcPr>
          <w:p w14:paraId="0D3F050A">
            <w:pPr>
              <w:pStyle w:val="21"/>
              <w:rPr>
                <w:rFonts w:hint="eastAsia" w:ascii="宋体" w:hAnsi="宋体" w:eastAsia="宋体" w:cs="宋体"/>
                <w:color w:val="auto"/>
                <w:sz w:val="24"/>
                <w:szCs w:val="24"/>
                <w:highlight w:val="none"/>
              </w:rPr>
            </w:pPr>
          </w:p>
        </w:tc>
        <w:tc>
          <w:tcPr>
            <w:tcW w:w="1771" w:type="dxa"/>
            <w:gridSpan w:val="2"/>
            <w:vAlign w:val="top"/>
          </w:tcPr>
          <w:p w14:paraId="745FD79F">
            <w:pPr>
              <w:pStyle w:val="21"/>
              <w:rPr>
                <w:rFonts w:hint="eastAsia" w:ascii="宋体" w:hAnsi="宋体" w:eastAsia="宋体" w:cs="宋体"/>
                <w:color w:val="auto"/>
                <w:sz w:val="24"/>
                <w:szCs w:val="24"/>
                <w:highlight w:val="none"/>
              </w:rPr>
            </w:pPr>
          </w:p>
        </w:tc>
        <w:tc>
          <w:tcPr>
            <w:tcW w:w="1637" w:type="dxa"/>
            <w:vAlign w:val="top"/>
          </w:tcPr>
          <w:p w14:paraId="2EFE754E">
            <w:pPr>
              <w:pStyle w:val="21"/>
              <w:rPr>
                <w:rFonts w:hint="eastAsia" w:ascii="宋体" w:hAnsi="宋体" w:eastAsia="宋体" w:cs="宋体"/>
                <w:color w:val="auto"/>
                <w:sz w:val="24"/>
                <w:szCs w:val="24"/>
                <w:highlight w:val="none"/>
              </w:rPr>
            </w:pPr>
          </w:p>
        </w:tc>
      </w:tr>
      <w:tr w14:paraId="5A6E4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DF57AC7">
            <w:pPr>
              <w:spacing w:before="287" w:line="183" w:lineRule="auto"/>
              <w:ind w:left="30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304" w:type="dxa"/>
            <w:gridSpan w:val="4"/>
            <w:vAlign w:val="top"/>
          </w:tcPr>
          <w:p w14:paraId="54C3FBF3">
            <w:pPr>
              <w:pStyle w:val="21"/>
              <w:rPr>
                <w:rFonts w:hint="eastAsia" w:ascii="宋体" w:hAnsi="宋体" w:eastAsia="宋体" w:cs="宋体"/>
                <w:color w:val="auto"/>
                <w:sz w:val="24"/>
                <w:szCs w:val="24"/>
                <w:highlight w:val="none"/>
              </w:rPr>
            </w:pPr>
          </w:p>
        </w:tc>
        <w:tc>
          <w:tcPr>
            <w:tcW w:w="1771" w:type="dxa"/>
            <w:gridSpan w:val="2"/>
            <w:vAlign w:val="top"/>
          </w:tcPr>
          <w:p w14:paraId="40E0E057">
            <w:pPr>
              <w:pStyle w:val="21"/>
              <w:rPr>
                <w:rFonts w:hint="eastAsia" w:ascii="宋体" w:hAnsi="宋体" w:eastAsia="宋体" w:cs="宋体"/>
                <w:color w:val="auto"/>
                <w:sz w:val="24"/>
                <w:szCs w:val="24"/>
                <w:highlight w:val="none"/>
              </w:rPr>
            </w:pPr>
          </w:p>
        </w:tc>
        <w:tc>
          <w:tcPr>
            <w:tcW w:w="1637" w:type="dxa"/>
            <w:vAlign w:val="top"/>
          </w:tcPr>
          <w:p w14:paraId="28B42581">
            <w:pPr>
              <w:pStyle w:val="21"/>
              <w:rPr>
                <w:rFonts w:hint="eastAsia" w:ascii="宋体" w:hAnsi="宋体" w:eastAsia="宋体" w:cs="宋体"/>
                <w:color w:val="auto"/>
                <w:sz w:val="24"/>
                <w:szCs w:val="24"/>
                <w:highlight w:val="none"/>
              </w:rPr>
            </w:pPr>
          </w:p>
        </w:tc>
      </w:tr>
      <w:tr w14:paraId="582BA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C0A2F9F">
            <w:pPr>
              <w:pStyle w:val="21"/>
              <w:spacing w:line="348" w:lineRule="auto"/>
              <w:rPr>
                <w:rFonts w:hint="eastAsia" w:ascii="宋体" w:hAnsi="宋体" w:eastAsia="宋体" w:cs="宋体"/>
                <w:color w:val="auto"/>
                <w:sz w:val="24"/>
                <w:szCs w:val="24"/>
                <w:highlight w:val="none"/>
              </w:rPr>
            </w:pPr>
          </w:p>
          <w:p w14:paraId="4F527954">
            <w:pPr>
              <w:spacing w:before="78" w:line="99" w:lineRule="exact"/>
              <w:ind w:left="186"/>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w:t>
            </w:r>
          </w:p>
        </w:tc>
        <w:tc>
          <w:tcPr>
            <w:tcW w:w="5304" w:type="dxa"/>
            <w:gridSpan w:val="4"/>
            <w:vAlign w:val="top"/>
          </w:tcPr>
          <w:p w14:paraId="47EB6644">
            <w:pPr>
              <w:pStyle w:val="21"/>
              <w:rPr>
                <w:rFonts w:hint="eastAsia" w:ascii="宋体" w:hAnsi="宋体" w:eastAsia="宋体" w:cs="宋体"/>
                <w:color w:val="auto"/>
                <w:sz w:val="24"/>
                <w:szCs w:val="24"/>
                <w:highlight w:val="none"/>
              </w:rPr>
            </w:pPr>
          </w:p>
        </w:tc>
        <w:tc>
          <w:tcPr>
            <w:tcW w:w="1771" w:type="dxa"/>
            <w:gridSpan w:val="2"/>
            <w:vAlign w:val="top"/>
          </w:tcPr>
          <w:p w14:paraId="6D54D719">
            <w:pPr>
              <w:pStyle w:val="21"/>
              <w:rPr>
                <w:rFonts w:hint="eastAsia" w:ascii="宋体" w:hAnsi="宋体" w:eastAsia="宋体" w:cs="宋体"/>
                <w:color w:val="auto"/>
                <w:sz w:val="24"/>
                <w:szCs w:val="24"/>
                <w:highlight w:val="none"/>
              </w:rPr>
            </w:pPr>
          </w:p>
        </w:tc>
        <w:tc>
          <w:tcPr>
            <w:tcW w:w="1637" w:type="dxa"/>
            <w:vAlign w:val="top"/>
          </w:tcPr>
          <w:p w14:paraId="75E6A05C">
            <w:pPr>
              <w:pStyle w:val="21"/>
              <w:rPr>
                <w:rFonts w:hint="eastAsia" w:ascii="宋体" w:hAnsi="宋体" w:eastAsia="宋体" w:cs="宋体"/>
                <w:color w:val="auto"/>
                <w:sz w:val="24"/>
                <w:szCs w:val="24"/>
                <w:highlight w:val="none"/>
              </w:rPr>
            </w:pPr>
          </w:p>
        </w:tc>
      </w:tr>
      <w:tr w14:paraId="3E543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6D36533C">
            <w:pPr>
              <w:pStyle w:val="21"/>
              <w:spacing w:line="274" w:lineRule="auto"/>
              <w:rPr>
                <w:rFonts w:hint="eastAsia" w:ascii="宋体" w:hAnsi="宋体" w:eastAsia="宋体" w:cs="宋体"/>
                <w:color w:val="auto"/>
                <w:sz w:val="24"/>
                <w:szCs w:val="24"/>
                <w:highlight w:val="none"/>
              </w:rPr>
            </w:pPr>
          </w:p>
          <w:p w14:paraId="198C1B4E">
            <w:pPr>
              <w:pStyle w:val="21"/>
              <w:spacing w:line="275" w:lineRule="auto"/>
              <w:rPr>
                <w:rFonts w:hint="eastAsia" w:ascii="宋体" w:hAnsi="宋体" w:eastAsia="宋体" w:cs="宋体"/>
                <w:color w:val="auto"/>
                <w:sz w:val="24"/>
                <w:szCs w:val="24"/>
                <w:highlight w:val="none"/>
              </w:rPr>
            </w:pPr>
          </w:p>
          <w:p w14:paraId="161C02DA">
            <w:pPr>
              <w:pStyle w:val="21"/>
              <w:spacing w:line="275" w:lineRule="auto"/>
              <w:rPr>
                <w:rFonts w:hint="eastAsia" w:ascii="宋体" w:hAnsi="宋体" w:eastAsia="宋体" w:cs="宋体"/>
                <w:color w:val="auto"/>
                <w:sz w:val="24"/>
                <w:szCs w:val="24"/>
                <w:highlight w:val="none"/>
              </w:rPr>
            </w:pPr>
          </w:p>
          <w:p w14:paraId="57AB557F">
            <w:pPr>
              <w:spacing w:before="62" w:line="233" w:lineRule="auto"/>
              <w:ind w:left="2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注意：</w:t>
            </w:r>
          </w:p>
        </w:tc>
        <w:tc>
          <w:tcPr>
            <w:tcW w:w="8712" w:type="dxa"/>
            <w:gridSpan w:val="7"/>
            <w:vAlign w:val="top"/>
          </w:tcPr>
          <w:p w14:paraId="57B0800F">
            <w:pPr>
              <w:spacing w:before="148"/>
              <w:ind w:left="111" w:right="107"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该表一式两份，两份表格投标人均需如实填写各项内容，两份表格的填写内容应一致。一</w:t>
            </w:r>
            <w:r>
              <w:rPr>
                <w:rFonts w:hint="eastAsia" w:ascii="宋体" w:hAnsi="宋体" w:eastAsia="宋体" w:cs="宋体"/>
                <w:color w:val="auto"/>
                <w:spacing w:val="9"/>
                <w:sz w:val="24"/>
                <w:szCs w:val="24"/>
                <w:highlight w:val="none"/>
              </w:rPr>
              <w:t>份贴于装纳原件的文件袋（箱</w:t>
            </w:r>
            <w:r>
              <w:rPr>
                <w:rFonts w:hint="eastAsia" w:ascii="宋体" w:hAnsi="宋体" w:eastAsia="宋体" w:cs="宋体"/>
                <w:color w:val="auto"/>
                <w:spacing w:val="20"/>
                <w:sz w:val="24"/>
                <w:szCs w:val="24"/>
                <w:highlight w:val="none"/>
              </w:rPr>
              <w:t>），</w:t>
            </w:r>
            <w:r>
              <w:rPr>
                <w:rFonts w:hint="eastAsia" w:ascii="宋体" w:hAnsi="宋体" w:eastAsia="宋体" w:cs="宋体"/>
                <w:color w:val="auto"/>
                <w:spacing w:val="9"/>
                <w:sz w:val="24"/>
                <w:szCs w:val="24"/>
                <w:highlight w:val="none"/>
              </w:rPr>
              <w:t>一份在递交文件袋（箱）时由招标代理机构、投标人签字后交招标代理机构。招标代理机构仅代签收装纳原件的文件袋（箱</w:t>
            </w:r>
            <w:r>
              <w:rPr>
                <w:rFonts w:hint="eastAsia" w:ascii="宋体" w:hAnsi="宋体" w:eastAsia="宋体" w:cs="宋体"/>
                <w:color w:val="auto"/>
                <w:spacing w:val="19"/>
                <w:sz w:val="24"/>
                <w:szCs w:val="24"/>
                <w:highlight w:val="none"/>
              </w:rPr>
              <w:t>），</w:t>
            </w:r>
            <w:r>
              <w:rPr>
                <w:rFonts w:hint="eastAsia" w:ascii="宋体" w:hAnsi="宋体" w:eastAsia="宋体" w:cs="宋体"/>
                <w:color w:val="auto"/>
                <w:spacing w:val="9"/>
                <w:sz w:val="24"/>
                <w:szCs w:val="24"/>
                <w:highlight w:val="none"/>
              </w:rPr>
              <w:t>而不对文件袋（箱）中资</w:t>
            </w:r>
            <w:r>
              <w:rPr>
                <w:rFonts w:hint="eastAsia" w:ascii="宋体" w:hAnsi="宋体" w:eastAsia="宋体" w:cs="宋体"/>
                <w:color w:val="auto"/>
                <w:spacing w:val="5"/>
                <w:sz w:val="24"/>
                <w:szCs w:val="24"/>
                <w:highlight w:val="none"/>
              </w:rPr>
              <w:t>料的数量、</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内容及真实性负责。</w:t>
            </w:r>
          </w:p>
        </w:tc>
      </w:tr>
      <w:tr w14:paraId="016ED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0440D7A1">
            <w:pPr>
              <w:pStyle w:val="21"/>
              <w:spacing w:line="240" w:lineRule="auto"/>
              <w:rPr>
                <w:rFonts w:hint="eastAsia" w:ascii="宋体" w:hAnsi="宋体" w:eastAsia="宋体" w:cs="宋体"/>
                <w:color w:val="auto"/>
                <w:sz w:val="24"/>
                <w:szCs w:val="24"/>
                <w:highlight w:val="none"/>
              </w:rPr>
            </w:pPr>
          </w:p>
          <w:p w14:paraId="107CC9BB">
            <w:pPr>
              <w:spacing w:before="61" w:line="240" w:lineRule="auto"/>
              <w:ind w:left="760" w:right="153" w:hanging="600"/>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接收原件经办人</w:t>
            </w:r>
          </w:p>
          <w:p w14:paraId="6D1AB722">
            <w:pPr>
              <w:spacing w:before="61" w:line="240" w:lineRule="auto"/>
              <w:ind w:left="760" w:right="153" w:hanging="6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(招标</w:t>
            </w:r>
            <w:r>
              <w:rPr>
                <w:rFonts w:hint="eastAsia" w:ascii="宋体" w:hAnsi="宋体" w:eastAsia="宋体" w:cs="宋体"/>
                <w:color w:val="auto"/>
                <w:spacing w:val="3"/>
                <w:sz w:val="24"/>
                <w:szCs w:val="24"/>
                <w:highlight w:val="none"/>
              </w:rPr>
              <w:t>代理)：</w:t>
            </w:r>
          </w:p>
        </w:tc>
        <w:tc>
          <w:tcPr>
            <w:tcW w:w="1725" w:type="dxa"/>
            <w:vAlign w:val="top"/>
          </w:tcPr>
          <w:p w14:paraId="396C35BA">
            <w:pPr>
              <w:pStyle w:val="21"/>
              <w:rPr>
                <w:rFonts w:hint="eastAsia" w:ascii="宋体" w:hAnsi="宋体" w:eastAsia="宋体" w:cs="宋体"/>
                <w:color w:val="auto"/>
                <w:sz w:val="24"/>
                <w:szCs w:val="24"/>
                <w:highlight w:val="none"/>
              </w:rPr>
            </w:pPr>
          </w:p>
        </w:tc>
        <w:tc>
          <w:tcPr>
            <w:tcW w:w="1683" w:type="dxa"/>
            <w:gridSpan w:val="2"/>
            <w:vAlign w:val="top"/>
          </w:tcPr>
          <w:p w14:paraId="5328A3CB">
            <w:pPr>
              <w:pStyle w:val="21"/>
              <w:spacing w:line="288" w:lineRule="auto"/>
              <w:rPr>
                <w:rFonts w:hint="eastAsia" w:ascii="宋体" w:hAnsi="宋体" w:eastAsia="宋体" w:cs="宋体"/>
                <w:color w:val="auto"/>
                <w:sz w:val="24"/>
                <w:szCs w:val="24"/>
                <w:highlight w:val="none"/>
              </w:rPr>
            </w:pPr>
          </w:p>
          <w:p w14:paraId="0C2B5A86">
            <w:pPr>
              <w:pStyle w:val="21"/>
              <w:spacing w:line="289" w:lineRule="auto"/>
              <w:rPr>
                <w:rFonts w:hint="eastAsia" w:ascii="宋体" w:hAnsi="宋体" w:eastAsia="宋体" w:cs="宋体"/>
                <w:color w:val="auto"/>
                <w:sz w:val="24"/>
                <w:szCs w:val="24"/>
                <w:highlight w:val="none"/>
              </w:rPr>
            </w:pPr>
          </w:p>
          <w:p w14:paraId="06A559B5">
            <w:pPr>
              <w:spacing w:before="62" w:line="229" w:lineRule="auto"/>
              <w:ind w:left="315"/>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接收时间：</w:t>
            </w:r>
          </w:p>
        </w:tc>
        <w:tc>
          <w:tcPr>
            <w:tcW w:w="3408" w:type="dxa"/>
            <w:gridSpan w:val="3"/>
            <w:vAlign w:val="top"/>
          </w:tcPr>
          <w:p w14:paraId="655901F3">
            <w:pPr>
              <w:pStyle w:val="21"/>
              <w:spacing w:line="288" w:lineRule="auto"/>
              <w:rPr>
                <w:rFonts w:hint="eastAsia" w:ascii="宋体" w:hAnsi="宋体" w:eastAsia="宋体" w:cs="宋体"/>
                <w:color w:val="auto"/>
                <w:sz w:val="24"/>
                <w:szCs w:val="24"/>
                <w:highlight w:val="none"/>
              </w:rPr>
            </w:pPr>
          </w:p>
          <w:p w14:paraId="0F1E1751">
            <w:pPr>
              <w:pStyle w:val="21"/>
              <w:spacing w:line="289" w:lineRule="auto"/>
              <w:rPr>
                <w:rFonts w:hint="eastAsia" w:ascii="宋体" w:hAnsi="宋体" w:eastAsia="宋体" w:cs="宋体"/>
                <w:color w:val="auto"/>
                <w:sz w:val="24"/>
                <w:szCs w:val="24"/>
                <w:highlight w:val="none"/>
              </w:rPr>
            </w:pPr>
          </w:p>
          <w:p w14:paraId="3ABE9DD0">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分</w:t>
            </w:r>
          </w:p>
        </w:tc>
      </w:tr>
      <w:tr w14:paraId="76534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453382FD">
            <w:pPr>
              <w:spacing w:before="155" w:line="240" w:lineRule="auto"/>
              <w:ind w:left="861" w:right="153" w:hanging="69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退还原件接收人</w:t>
            </w:r>
          </w:p>
          <w:p w14:paraId="4CBD4052">
            <w:pPr>
              <w:spacing w:before="155" w:line="240" w:lineRule="auto"/>
              <w:ind w:left="861" w:right="153" w:hanging="69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w:t>
            </w:r>
            <w:r>
              <w:rPr>
                <w:rFonts w:hint="eastAsia" w:ascii="宋体" w:hAnsi="宋体" w:eastAsia="宋体" w:cs="宋体"/>
                <w:color w:val="auto"/>
                <w:spacing w:val="2"/>
                <w:sz w:val="24"/>
                <w:szCs w:val="24"/>
                <w:highlight w:val="none"/>
              </w:rPr>
              <w:t>人)：</w:t>
            </w:r>
          </w:p>
        </w:tc>
        <w:tc>
          <w:tcPr>
            <w:tcW w:w="1725" w:type="dxa"/>
            <w:vAlign w:val="top"/>
          </w:tcPr>
          <w:p w14:paraId="2C206521">
            <w:pPr>
              <w:pStyle w:val="21"/>
              <w:rPr>
                <w:rFonts w:hint="eastAsia" w:ascii="宋体" w:hAnsi="宋体" w:eastAsia="宋体" w:cs="宋体"/>
                <w:color w:val="auto"/>
                <w:sz w:val="24"/>
                <w:szCs w:val="24"/>
                <w:highlight w:val="none"/>
              </w:rPr>
            </w:pPr>
          </w:p>
        </w:tc>
        <w:tc>
          <w:tcPr>
            <w:tcW w:w="1683" w:type="dxa"/>
            <w:gridSpan w:val="2"/>
            <w:vAlign w:val="top"/>
          </w:tcPr>
          <w:p w14:paraId="7AC1377A">
            <w:pPr>
              <w:pStyle w:val="21"/>
              <w:spacing w:line="336" w:lineRule="auto"/>
              <w:rPr>
                <w:rFonts w:hint="eastAsia" w:ascii="宋体" w:hAnsi="宋体" w:eastAsia="宋体" w:cs="宋体"/>
                <w:color w:val="auto"/>
                <w:sz w:val="24"/>
                <w:szCs w:val="24"/>
                <w:highlight w:val="none"/>
              </w:rPr>
            </w:pPr>
          </w:p>
          <w:p w14:paraId="1E023FA8">
            <w:pPr>
              <w:spacing w:before="61" w:line="231" w:lineRule="auto"/>
              <w:ind w:left="31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退还时间：</w:t>
            </w:r>
          </w:p>
        </w:tc>
        <w:tc>
          <w:tcPr>
            <w:tcW w:w="3408" w:type="dxa"/>
            <w:gridSpan w:val="3"/>
            <w:vAlign w:val="top"/>
          </w:tcPr>
          <w:p w14:paraId="209D4A82">
            <w:pPr>
              <w:pStyle w:val="21"/>
              <w:spacing w:line="335" w:lineRule="auto"/>
              <w:rPr>
                <w:rFonts w:hint="eastAsia" w:ascii="宋体" w:hAnsi="宋体" w:eastAsia="宋体" w:cs="宋体"/>
                <w:color w:val="auto"/>
                <w:sz w:val="24"/>
                <w:szCs w:val="24"/>
                <w:highlight w:val="none"/>
              </w:rPr>
            </w:pPr>
          </w:p>
          <w:p w14:paraId="459BFBAC">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分</w:t>
            </w:r>
          </w:p>
        </w:tc>
      </w:tr>
    </w:tbl>
    <w:p w14:paraId="5303C8CD">
      <w:pPr>
        <w:rPr>
          <w:rFonts w:hint="eastAsia" w:ascii="宋体" w:hAnsi="宋体" w:eastAsia="宋体" w:cs="宋体"/>
          <w:b/>
          <w:bCs/>
          <w:color w:val="auto"/>
          <w:spacing w:val="-3"/>
          <w:sz w:val="24"/>
          <w:szCs w:val="24"/>
          <w:highlight w:val="none"/>
        </w:rPr>
      </w:pPr>
      <w:bookmarkStart w:id="260" w:name="bookmark107"/>
      <w:bookmarkEnd w:id="260"/>
      <w:r>
        <w:rPr>
          <w:rFonts w:hint="eastAsia" w:ascii="宋体" w:hAnsi="宋体" w:eastAsia="宋体" w:cs="宋体"/>
          <w:b/>
          <w:bCs/>
          <w:color w:val="auto"/>
          <w:spacing w:val="-3"/>
          <w:sz w:val="24"/>
          <w:szCs w:val="24"/>
          <w:highlight w:val="none"/>
        </w:rPr>
        <w:br w:type="page"/>
      </w:r>
    </w:p>
    <w:p w14:paraId="0C629BAA">
      <w:pPr>
        <w:spacing w:before="78" w:line="219" w:lineRule="auto"/>
        <w:jc w:val="center"/>
        <w:outlineLvl w:val="1"/>
        <w:rPr>
          <w:rFonts w:hint="eastAsia" w:ascii="宋体" w:hAnsi="宋体" w:eastAsia="宋体" w:cs="宋体"/>
          <w:b/>
          <w:bCs/>
          <w:color w:val="auto"/>
          <w:spacing w:val="-3"/>
          <w:sz w:val="24"/>
          <w:szCs w:val="24"/>
          <w:highlight w:val="none"/>
        </w:rPr>
      </w:pPr>
    </w:p>
    <w:p w14:paraId="3C9DA96F">
      <w:pPr>
        <w:spacing w:before="78" w:line="219" w:lineRule="auto"/>
        <w:jc w:val="center"/>
        <w:outlineLvl w:val="1"/>
        <w:rPr>
          <w:rFonts w:hint="eastAsia" w:ascii="宋体" w:hAnsi="宋体" w:eastAsia="宋体" w:cs="宋体"/>
          <w:color w:val="auto"/>
          <w:highlight w:val="none"/>
        </w:rPr>
      </w:pPr>
      <w:bookmarkStart w:id="261" w:name="_Toc20414"/>
      <w:r>
        <w:rPr>
          <w:rFonts w:hint="eastAsia" w:ascii="宋体" w:hAnsi="宋体" w:eastAsia="宋体" w:cs="宋体"/>
          <w:b/>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建设工程施工合同</w:t>
      </w:r>
      <w:bookmarkEnd w:id="261"/>
    </w:p>
    <w:p w14:paraId="179363DD">
      <w:pPr>
        <w:pStyle w:val="5"/>
        <w:spacing w:line="257" w:lineRule="auto"/>
        <w:rPr>
          <w:rFonts w:hint="eastAsia" w:ascii="宋体" w:hAnsi="宋体" w:eastAsia="宋体" w:cs="宋体"/>
          <w:color w:val="auto"/>
          <w:highlight w:val="none"/>
        </w:rPr>
      </w:pPr>
    </w:p>
    <w:p w14:paraId="6DEC5D22">
      <w:pPr>
        <w:spacing w:before="78"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（略</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3"/>
          <w:sz w:val="24"/>
          <w:szCs w:val="24"/>
          <w:highlight w:val="none"/>
        </w:rPr>
        <w:t>按《广东省建设工程标准施工合同》（2009 年版）或《建设工程施工合同</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（示范文本）》（GF—2017—0201）执行。</w:t>
      </w:r>
    </w:p>
    <w:p w14:paraId="4BB447BE">
      <w:pPr>
        <w:rPr>
          <w:rFonts w:hint="eastAsia" w:ascii="宋体" w:hAnsi="宋体" w:eastAsia="宋体" w:cs="宋体"/>
          <w:color w:val="auto"/>
          <w:highlight w:val="none"/>
        </w:rPr>
      </w:pPr>
    </w:p>
    <w:sectPr>
      <w:footerReference r:id="rId28"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03BF">
    <w:pPr>
      <w:pStyle w:val="8"/>
    </w:pPr>
    <w:r>
      <w:rPr>
        <w:sz w:val="18"/>
      </w:rPr>
      <mc:AlternateContent>
        <mc:Choice Requires="wps">
          <w:drawing>
            <wp:anchor distT="0" distB="0" distL="114300" distR="114300" simplePos="0" relativeHeight="251680768" behindDoc="0" locked="0" layoutInCell="1" allowOverlap="1">
              <wp:simplePos x="0" y="0"/>
              <wp:positionH relativeFrom="margin">
                <wp:posOffset>3024505</wp:posOffset>
              </wp:positionH>
              <wp:positionV relativeFrom="paragraph">
                <wp:posOffset>-589280</wp:posOffset>
              </wp:positionV>
              <wp:extent cx="133350" cy="33972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33350" cy="339725"/>
                      </a:xfrm>
                      <a:prstGeom prst="rect">
                        <a:avLst/>
                      </a:prstGeom>
                      <a:noFill/>
                      <a:ln>
                        <a:noFill/>
                      </a:ln>
                    </wps:spPr>
                    <wps:txbx>
                      <w:txbxContent>
                        <w:p w14:paraId="3C8990D1">
                          <w:pPr>
                            <w:pStyle w:val="8"/>
                          </w:pPr>
                          <w:r>
                            <w:fldChar w:fldCharType="begin"/>
                          </w:r>
                          <w:r>
                            <w:instrText xml:space="preserve"> PAGE  \* MERGEFORMAT </w:instrText>
                          </w:r>
                          <w:r>
                            <w:fldChar w:fldCharType="separate"/>
                          </w:r>
                          <w:r>
                            <w:t>1</w:t>
                          </w:r>
                          <w:r>
                            <w:fldChar w:fldCharType="end"/>
                          </w:r>
                        </w:p>
                      </w:txbxContent>
                    </wps:txbx>
                    <wps:bodyPr lIns="0" tIns="0" rIns="0" bIns="0" upright="0"/>
                  </wps:wsp>
                </a:graphicData>
              </a:graphic>
            </wp:anchor>
          </w:drawing>
        </mc:Choice>
        <mc:Fallback>
          <w:pict>
            <v:shape id="_x0000_s1026" o:spid="_x0000_s1026" o:spt="202" type="#_x0000_t202" style="position:absolute;left:0pt;margin-left:238.15pt;margin-top:-46.4pt;height:26.75pt;width:10.5pt;mso-position-horizontal-relative:margin;z-index:251680768;mso-width-relative:page;mso-height-relative:page;" filled="f" stroked="f" coordsize="21600,21600" o:gfxdata="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e/Q19kAAAALAQAADwAAAAAAAAABACAAAAAiAAAAZHJzL2Rvd25yZXYueG1sUEsB&#10;AhQAFAAAAAgAh07iQPACNNW7AQAAcwMAAA4AAAAAAAAAAQAgAAAAKAEAAGRycy9lMm9Eb2MueG1s&#10;UEsFBgAAAAAGAAYAWQEAAFUFAAAAAA==&#10;">
              <v:fill on="f" focussize="0,0"/>
              <v:stroke on="f"/>
              <v:imagedata o:title=""/>
              <o:lock v:ext="edit" aspectratio="f"/>
              <v:textbox inset="0mm,0mm,0mm,0mm">
                <w:txbxContent>
                  <w:p w14:paraId="3C8990D1">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D0199">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6448F3">
                          <w:pPr>
                            <w:pStyle w:val="8"/>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14:paraId="676448F3">
                    <w:pPr>
                      <w:pStyle w:val="8"/>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83393">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CA2861">
                          <w:pPr>
                            <w:pStyle w:val="8"/>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14:paraId="13CA2861">
                    <w:pPr>
                      <w:pStyle w:val="8"/>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7FF26">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119CC0">
                          <w:pPr>
                            <w:pStyle w:val="8"/>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HiCcoBAACb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kHiCcoBAACbAwAADgAAAAAAAAABACAAAAAeAQAAZHJzL2Uyb0Rv&#10;Yy54bWxQSwUGAAAAAAYABgBZAQAAWgUAAAAA&#10;">
              <v:fill on="f" focussize="0,0"/>
              <v:stroke on="f"/>
              <v:imagedata o:title=""/>
              <o:lock v:ext="edit" aspectratio="f"/>
              <v:textbox inset="0mm,0mm,0mm,0mm" style="mso-fit-shape-to-text:t;">
                <w:txbxContent>
                  <w:p w14:paraId="1F119CC0">
                    <w:pPr>
                      <w:pStyle w:val="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59332">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D5F1FB">
                          <w:pPr>
                            <w:pStyle w:val="8"/>
                          </w:pPr>
                          <w:r>
                            <w:fldChar w:fldCharType="begin"/>
                          </w:r>
                          <w:r>
                            <w:instrText xml:space="preserve"> PAGE  \* MERGEFORMAT </w:instrText>
                          </w:r>
                          <w:r>
                            <w:fldChar w:fldCharType="separate"/>
                          </w:r>
                          <w:r>
                            <w:t>47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3BD5F1FB">
                    <w:pPr>
                      <w:pStyle w:val="8"/>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4C173">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ED13CE">
                          <w:pPr>
                            <w:pStyle w:val="8"/>
                          </w:pPr>
                          <w:r>
                            <w:fldChar w:fldCharType="begin"/>
                          </w:r>
                          <w:r>
                            <w:instrText xml:space="preserve"> PAGE  \* MERGEFORMAT </w:instrText>
                          </w:r>
                          <w:r>
                            <w:fldChar w:fldCharType="separate"/>
                          </w:r>
                          <w:r>
                            <w:t>50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0AED13CE">
                    <w:pPr>
                      <w:pStyle w:val="8"/>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DCA5A">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319613">
                          <w:pPr>
                            <w:pStyle w:val="8"/>
                          </w:pPr>
                          <w:r>
                            <w:fldChar w:fldCharType="begin"/>
                          </w:r>
                          <w:r>
                            <w:instrText xml:space="preserve"> PAGE  \* MERGEFORMAT </w:instrText>
                          </w:r>
                          <w:r>
                            <w:fldChar w:fldCharType="separate"/>
                          </w:r>
                          <w:r>
                            <w:t>78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78319613">
                    <w:pPr>
                      <w:pStyle w:val="8"/>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FDE00">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DAE0F">
                          <w:pPr>
                            <w:pStyle w:val="8"/>
                          </w:pPr>
                          <w:r>
                            <w:fldChar w:fldCharType="begin"/>
                          </w:r>
                          <w:r>
                            <w:instrText xml:space="preserve"> PAGE  \* MERGEFORMAT </w:instrText>
                          </w:r>
                          <w:r>
                            <w:fldChar w:fldCharType="separate"/>
                          </w:r>
                          <w:r>
                            <w:t>79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214DAE0F">
                    <w:pPr>
                      <w:pStyle w:val="8"/>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3E019">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567FB9">
                          <w:pPr>
                            <w:pStyle w:val="8"/>
                          </w:pPr>
                          <w:r>
                            <w:fldChar w:fldCharType="begin"/>
                          </w:r>
                          <w:r>
                            <w:instrText xml:space="preserve"> PAGE  \* MERGEFORMAT </w:instrText>
                          </w:r>
                          <w:r>
                            <w:fldChar w:fldCharType="separate"/>
                          </w:r>
                          <w:r>
                            <w:t>80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29567FB9">
                    <w:pPr>
                      <w:pStyle w:val="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34BA4">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6616AD">
                          <w:pPr>
                            <w:pStyle w:val="8"/>
                          </w:pPr>
                          <w:r>
                            <w:fldChar w:fldCharType="begin"/>
                          </w:r>
                          <w:r>
                            <w:instrText xml:space="preserve"> PAGE  \* MERGEFORMAT </w:instrText>
                          </w:r>
                          <w:r>
                            <w:fldChar w:fldCharType="separate"/>
                          </w:r>
                          <w:r>
                            <w:t>81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5B6616AD">
                    <w:pPr>
                      <w:pStyle w:val="8"/>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5013">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5E7166">
                          <w:pPr>
                            <w:pStyle w:val="8"/>
                          </w:pPr>
                          <w:r>
                            <w:fldChar w:fldCharType="begin"/>
                          </w:r>
                          <w:r>
                            <w:instrText xml:space="preserve"> PAGE  \* MERGEFORMAT </w:instrText>
                          </w:r>
                          <w:r>
                            <w:fldChar w:fldCharType="separate"/>
                          </w:r>
                          <w:r>
                            <w:t>83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6E5E7166">
                    <w:pPr>
                      <w:pStyle w:val="8"/>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E90E9">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EFCB23">
                          <w:pPr>
                            <w:pStyle w:val="8"/>
                          </w:pPr>
                          <w:r>
                            <w:fldChar w:fldCharType="begin"/>
                          </w:r>
                          <w:r>
                            <w:instrText xml:space="preserve"> PAGE  \* MERGEFORMAT </w:instrText>
                          </w:r>
                          <w:r>
                            <w:fldChar w:fldCharType="separate"/>
                          </w:r>
                          <w:r>
                            <w:t>84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6BEFCB23">
                    <w:pPr>
                      <w:pStyle w:val="8"/>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73186">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B5328D">
                          <w:pPr>
                            <w:pStyle w:val="8"/>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05B5328D">
                    <w:pPr>
                      <w:pStyle w:val="8"/>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9E83">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8DD399">
                          <w:pPr>
                            <w:pStyle w:val="8"/>
                          </w:pPr>
                          <w:r>
                            <w:fldChar w:fldCharType="begin"/>
                          </w:r>
                          <w:r>
                            <w:instrText xml:space="preserve"> PAGE  \* MERGEFORMAT </w:instrText>
                          </w:r>
                          <w:r>
                            <w:fldChar w:fldCharType="separate"/>
                          </w:r>
                          <w:r>
                            <w:t>86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7B8DD399">
                    <w:pPr>
                      <w:pStyle w:val="8"/>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10808">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382479">
                          <w:pPr>
                            <w:pStyle w:val="8"/>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41382479">
                    <w:pPr>
                      <w:pStyle w:val="8"/>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0FA81">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92879A">
                          <w:pPr>
                            <w:pStyle w:val="8"/>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2692879A">
                    <w:pPr>
                      <w:pStyle w:val="8"/>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1A343">
    <w:pPr>
      <w:pStyle w:val="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B21017">
                          <w:pPr>
                            <w:pStyle w:val="8"/>
                          </w:pPr>
                          <w:r>
                            <w:fldChar w:fldCharType="begin"/>
                          </w:r>
                          <w:r>
                            <w:instrText xml:space="preserve"> PAGE  \* MERGEFORMAT </w:instrText>
                          </w:r>
                          <w:r>
                            <w:fldChar w:fldCharType="separate"/>
                          </w:r>
                          <w:r>
                            <w:t>91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BB21017">
                    <w:pPr>
                      <w:pStyle w:val="8"/>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CA71">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53BFF6">
                          <w:pPr>
                            <w:pStyle w:val="8"/>
                          </w:pPr>
                          <w:r>
                            <w:fldChar w:fldCharType="begin"/>
                          </w:r>
                          <w:r>
                            <w:instrText xml:space="preserve"> PAGE  \* MERGEFORMAT </w:instrText>
                          </w:r>
                          <w:r>
                            <w:fldChar w:fldCharType="separate"/>
                          </w:r>
                          <w:r>
                            <w:t>93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953BFF6">
                    <w:pPr>
                      <w:pStyle w:val="8"/>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DDC36">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12D34B">
                          <w:pPr>
                            <w:pStyle w:val="8"/>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A12D34B">
                    <w:pPr>
                      <w:pStyle w:val="8"/>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BB37">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DDC229">
                          <w:pPr>
                            <w:pStyle w:val="8"/>
                          </w:pPr>
                          <w:r>
                            <w:fldChar w:fldCharType="begin"/>
                          </w:r>
                          <w:r>
                            <w:instrText xml:space="preserve"> PAGE  \* MERGEFORMAT </w:instrText>
                          </w:r>
                          <w:r>
                            <w:fldChar w:fldCharType="separate"/>
                          </w:r>
                          <w:r>
                            <w:t>102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7DDC229">
                    <w:pPr>
                      <w:pStyle w:val="8"/>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F656F">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BD73E">
    <w:pPr>
      <w:pStyle w:val="5"/>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60057">
    <w:pPr>
      <w:pStyle w:val="5"/>
      <w:spacing w:line="50"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01CC2">
    <w:pPr>
      <w:pStyle w:val="5"/>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E2F5E">
    <w:pPr>
      <w:pStyle w:val="5"/>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88046">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abstractNum w:abstractNumId="1">
    <w:nsid w:val="00000003"/>
    <w:multiLevelType w:val="singleLevel"/>
    <w:tmpl w:val="0000000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72C34"/>
    <w:rsid w:val="000C1FF9"/>
    <w:rsid w:val="00473031"/>
    <w:rsid w:val="00824069"/>
    <w:rsid w:val="00A364B9"/>
    <w:rsid w:val="00AE30C4"/>
    <w:rsid w:val="00D61DC8"/>
    <w:rsid w:val="01001B5E"/>
    <w:rsid w:val="01276505"/>
    <w:rsid w:val="013F232E"/>
    <w:rsid w:val="014C6B51"/>
    <w:rsid w:val="017E5928"/>
    <w:rsid w:val="018B7D8A"/>
    <w:rsid w:val="01B6213A"/>
    <w:rsid w:val="01BE1198"/>
    <w:rsid w:val="01E25ABE"/>
    <w:rsid w:val="01EE7C08"/>
    <w:rsid w:val="01FD63CC"/>
    <w:rsid w:val="02337D11"/>
    <w:rsid w:val="023B3D55"/>
    <w:rsid w:val="024F6BF1"/>
    <w:rsid w:val="028B5747"/>
    <w:rsid w:val="02BF0C55"/>
    <w:rsid w:val="02CD3CC1"/>
    <w:rsid w:val="02F13018"/>
    <w:rsid w:val="031418F0"/>
    <w:rsid w:val="0358304C"/>
    <w:rsid w:val="03661A20"/>
    <w:rsid w:val="037B79F7"/>
    <w:rsid w:val="039E06FB"/>
    <w:rsid w:val="04021749"/>
    <w:rsid w:val="04B67F25"/>
    <w:rsid w:val="04BF763A"/>
    <w:rsid w:val="04E2157A"/>
    <w:rsid w:val="04E57E5F"/>
    <w:rsid w:val="04EF43C3"/>
    <w:rsid w:val="053A7B0E"/>
    <w:rsid w:val="055E6E53"/>
    <w:rsid w:val="056C5F91"/>
    <w:rsid w:val="05D4768F"/>
    <w:rsid w:val="05E67124"/>
    <w:rsid w:val="05E732EC"/>
    <w:rsid w:val="05EC614B"/>
    <w:rsid w:val="062235DD"/>
    <w:rsid w:val="063C112F"/>
    <w:rsid w:val="06856661"/>
    <w:rsid w:val="069B537E"/>
    <w:rsid w:val="06C70A28"/>
    <w:rsid w:val="06C929F2"/>
    <w:rsid w:val="06CA23DC"/>
    <w:rsid w:val="06D05B2E"/>
    <w:rsid w:val="06DD024B"/>
    <w:rsid w:val="06E45A7E"/>
    <w:rsid w:val="07001B9F"/>
    <w:rsid w:val="07133987"/>
    <w:rsid w:val="072639A0"/>
    <w:rsid w:val="07520C39"/>
    <w:rsid w:val="07A1396F"/>
    <w:rsid w:val="07A71DAB"/>
    <w:rsid w:val="07DE24CD"/>
    <w:rsid w:val="082B6DD4"/>
    <w:rsid w:val="08387E2F"/>
    <w:rsid w:val="086230FE"/>
    <w:rsid w:val="0869448C"/>
    <w:rsid w:val="088C763C"/>
    <w:rsid w:val="08CD7283"/>
    <w:rsid w:val="08E41D65"/>
    <w:rsid w:val="08EB6C4F"/>
    <w:rsid w:val="092D5890"/>
    <w:rsid w:val="09554A11"/>
    <w:rsid w:val="0963211F"/>
    <w:rsid w:val="09C807D3"/>
    <w:rsid w:val="09F06AB0"/>
    <w:rsid w:val="09FA34EB"/>
    <w:rsid w:val="09FF4A68"/>
    <w:rsid w:val="0A62467A"/>
    <w:rsid w:val="0A7D4664"/>
    <w:rsid w:val="0A87732E"/>
    <w:rsid w:val="0AD33307"/>
    <w:rsid w:val="0AE05E8C"/>
    <w:rsid w:val="0AF3628F"/>
    <w:rsid w:val="0B3866B7"/>
    <w:rsid w:val="0B3F7726"/>
    <w:rsid w:val="0B9E41C6"/>
    <w:rsid w:val="0BC157F5"/>
    <w:rsid w:val="0BC6217A"/>
    <w:rsid w:val="0BD240F7"/>
    <w:rsid w:val="0C120997"/>
    <w:rsid w:val="0C2A7A8F"/>
    <w:rsid w:val="0C2B1A59"/>
    <w:rsid w:val="0C4153D2"/>
    <w:rsid w:val="0C49746F"/>
    <w:rsid w:val="0C597D15"/>
    <w:rsid w:val="0CA07D76"/>
    <w:rsid w:val="0CA27F6D"/>
    <w:rsid w:val="0CA365D7"/>
    <w:rsid w:val="0CE70445"/>
    <w:rsid w:val="0CF14A50"/>
    <w:rsid w:val="0CF85DDF"/>
    <w:rsid w:val="0CFB58CF"/>
    <w:rsid w:val="0D03679A"/>
    <w:rsid w:val="0D3B3F1D"/>
    <w:rsid w:val="0DB8556E"/>
    <w:rsid w:val="0DC91529"/>
    <w:rsid w:val="0DCB0DFD"/>
    <w:rsid w:val="0DCE22AF"/>
    <w:rsid w:val="0DF525DE"/>
    <w:rsid w:val="0DF61CE0"/>
    <w:rsid w:val="0DF86616"/>
    <w:rsid w:val="0E1E1875"/>
    <w:rsid w:val="0E460DCC"/>
    <w:rsid w:val="0E684952"/>
    <w:rsid w:val="0E86353F"/>
    <w:rsid w:val="0E8E37ED"/>
    <w:rsid w:val="0EAF2E14"/>
    <w:rsid w:val="0EDB59B8"/>
    <w:rsid w:val="0F1C2D99"/>
    <w:rsid w:val="0F401396"/>
    <w:rsid w:val="0F6F04DC"/>
    <w:rsid w:val="0FD90F48"/>
    <w:rsid w:val="105858FC"/>
    <w:rsid w:val="10675755"/>
    <w:rsid w:val="106C3AC2"/>
    <w:rsid w:val="108403E2"/>
    <w:rsid w:val="109275A9"/>
    <w:rsid w:val="109828BB"/>
    <w:rsid w:val="10C15734"/>
    <w:rsid w:val="10C44237"/>
    <w:rsid w:val="1122342A"/>
    <w:rsid w:val="11533574"/>
    <w:rsid w:val="11785740"/>
    <w:rsid w:val="117A3266"/>
    <w:rsid w:val="11862732"/>
    <w:rsid w:val="118F278E"/>
    <w:rsid w:val="119D4F21"/>
    <w:rsid w:val="11A47985"/>
    <w:rsid w:val="11C67A56"/>
    <w:rsid w:val="11D706B9"/>
    <w:rsid w:val="11D80D88"/>
    <w:rsid w:val="122D5442"/>
    <w:rsid w:val="12303925"/>
    <w:rsid w:val="12445622"/>
    <w:rsid w:val="12474DCB"/>
    <w:rsid w:val="12527641"/>
    <w:rsid w:val="126805E3"/>
    <w:rsid w:val="12E7492B"/>
    <w:rsid w:val="12E74FC1"/>
    <w:rsid w:val="12F27F6E"/>
    <w:rsid w:val="13165211"/>
    <w:rsid w:val="14141B79"/>
    <w:rsid w:val="1457788F"/>
    <w:rsid w:val="14760C96"/>
    <w:rsid w:val="14882C02"/>
    <w:rsid w:val="14D013EF"/>
    <w:rsid w:val="150D2643"/>
    <w:rsid w:val="15115C90"/>
    <w:rsid w:val="155B3EC5"/>
    <w:rsid w:val="15763D45"/>
    <w:rsid w:val="15853F88"/>
    <w:rsid w:val="15A45AE5"/>
    <w:rsid w:val="15D97B34"/>
    <w:rsid w:val="15DC13FE"/>
    <w:rsid w:val="15E038B4"/>
    <w:rsid w:val="16005D04"/>
    <w:rsid w:val="160E0085"/>
    <w:rsid w:val="162E6E4D"/>
    <w:rsid w:val="16443E43"/>
    <w:rsid w:val="16737FC1"/>
    <w:rsid w:val="16755832"/>
    <w:rsid w:val="167C538B"/>
    <w:rsid w:val="16C17241"/>
    <w:rsid w:val="16CB4A2F"/>
    <w:rsid w:val="16F818C7"/>
    <w:rsid w:val="1722468F"/>
    <w:rsid w:val="173C4B1A"/>
    <w:rsid w:val="17726DD2"/>
    <w:rsid w:val="17BB6387"/>
    <w:rsid w:val="17C50FB3"/>
    <w:rsid w:val="17E05DED"/>
    <w:rsid w:val="18226406"/>
    <w:rsid w:val="182A472E"/>
    <w:rsid w:val="183D2675"/>
    <w:rsid w:val="18602A8A"/>
    <w:rsid w:val="190B3062"/>
    <w:rsid w:val="191B2C56"/>
    <w:rsid w:val="1963464B"/>
    <w:rsid w:val="197764F6"/>
    <w:rsid w:val="19BC1F42"/>
    <w:rsid w:val="1A3A6836"/>
    <w:rsid w:val="1A584D7E"/>
    <w:rsid w:val="1A5B5BFF"/>
    <w:rsid w:val="1A5D1977"/>
    <w:rsid w:val="1ABF1CEA"/>
    <w:rsid w:val="1AC50DC4"/>
    <w:rsid w:val="1AE17EB2"/>
    <w:rsid w:val="1AE57555"/>
    <w:rsid w:val="1B0A266C"/>
    <w:rsid w:val="1B656D35"/>
    <w:rsid w:val="1B6A170F"/>
    <w:rsid w:val="1B745FC1"/>
    <w:rsid w:val="1BEC4D61"/>
    <w:rsid w:val="1C2A3ADB"/>
    <w:rsid w:val="1C324211"/>
    <w:rsid w:val="1C512E14"/>
    <w:rsid w:val="1C7F3E27"/>
    <w:rsid w:val="1CD81789"/>
    <w:rsid w:val="1CEB3DDA"/>
    <w:rsid w:val="1D880AB9"/>
    <w:rsid w:val="1D9751A0"/>
    <w:rsid w:val="1DA27862"/>
    <w:rsid w:val="1DE11B57"/>
    <w:rsid w:val="1E206F43"/>
    <w:rsid w:val="1E3B5B2B"/>
    <w:rsid w:val="1E491296"/>
    <w:rsid w:val="1E4F7829"/>
    <w:rsid w:val="1E5D49E3"/>
    <w:rsid w:val="1E650DFA"/>
    <w:rsid w:val="1E994221"/>
    <w:rsid w:val="1EDA5344"/>
    <w:rsid w:val="1EE13915"/>
    <w:rsid w:val="1EE461C3"/>
    <w:rsid w:val="1EF26B32"/>
    <w:rsid w:val="1F487665"/>
    <w:rsid w:val="1F683A66"/>
    <w:rsid w:val="1F875754"/>
    <w:rsid w:val="1FFE32B4"/>
    <w:rsid w:val="2020237A"/>
    <w:rsid w:val="2023242A"/>
    <w:rsid w:val="20515ADA"/>
    <w:rsid w:val="20801F1B"/>
    <w:rsid w:val="208A4B48"/>
    <w:rsid w:val="209669C5"/>
    <w:rsid w:val="20B16579"/>
    <w:rsid w:val="20C37337"/>
    <w:rsid w:val="20CB1F07"/>
    <w:rsid w:val="20F6072B"/>
    <w:rsid w:val="21090925"/>
    <w:rsid w:val="21244F9D"/>
    <w:rsid w:val="21283337"/>
    <w:rsid w:val="213D3171"/>
    <w:rsid w:val="222C2B90"/>
    <w:rsid w:val="22457E73"/>
    <w:rsid w:val="2254749D"/>
    <w:rsid w:val="22837AA1"/>
    <w:rsid w:val="229323DA"/>
    <w:rsid w:val="22F866E1"/>
    <w:rsid w:val="23213C5D"/>
    <w:rsid w:val="232C2DD6"/>
    <w:rsid w:val="2331574F"/>
    <w:rsid w:val="233953DA"/>
    <w:rsid w:val="235B72E4"/>
    <w:rsid w:val="23931F66"/>
    <w:rsid w:val="23C465C3"/>
    <w:rsid w:val="23F173A1"/>
    <w:rsid w:val="24262DDA"/>
    <w:rsid w:val="2446643F"/>
    <w:rsid w:val="246102B6"/>
    <w:rsid w:val="24782AD4"/>
    <w:rsid w:val="248726E0"/>
    <w:rsid w:val="249C3951"/>
    <w:rsid w:val="24DB3BC4"/>
    <w:rsid w:val="24FA6740"/>
    <w:rsid w:val="25004979"/>
    <w:rsid w:val="25243F0A"/>
    <w:rsid w:val="253A7C36"/>
    <w:rsid w:val="254C2D14"/>
    <w:rsid w:val="256D06AE"/>
    <w:rsid w:val="257D4C7B"/>
    <w:rsid w:val="2582242A"/>
    <w:rsid w:val="259D2ECD"/>
    <w:rsid w:val="25A55F80"/>
    <w:rsid w:val="25B20381"/>
    <w:rsid w:val="25E62821"/>
    <w:rsid w:val="25F25669"/>
    <w:rsid w:val="260B04D9"/>
    <w:rsid w:val="264763B7"/>
    <w:rsid w:val="2672726E"/>
    <w:rsid w:val="26734FA1"/>
    <w:rsid w:val="26881A92"/>
    <w:rsid w:val="268B2A3A"/>
    <w:rsid w:val="268B3DAD"/>
    <w:rsid w:val="26962499"/>
    <w:rsid w:val="26A61FB0"/>
    <w:rsid w:val="26FE5E6C"/>
    <w:rsid w:val="27035E88"/>
    <w:rsid w:val="27415C62"/>
    <w:rsid w:val="27B65EBB"/>
    <w:rsid w:val="27B92596"/>
    <w:rsid w:val="27CA47C6"/>
    <w:rsid w:val="28113E9E"/>
    <w:rsid w:val="282B4E63"/>
    <w:rsid w:val="28884FF7"/>
    <w:rsid w:val="289F315B"/>
    <w:rsid w:val="28D472A8"/>
    <w:rsid w:val="29017971"/>
    <w:rsid w:val="290F389D"/>
    <w:rsid w:val="2912392D"/>
    <w:rsid w:val="2962542C"/>
    <w:rsid w:val="298F1421"/>
    <w:rsid w:val="299E36C0"/>
    <w:rsid w:val="29D76564"/>
    <w:rsid w:val="2A224043"/>
    <w:rsid w:val="2B367172"/>
    <w:rsid w:val="2B7314CC"/>
    <w:rsid w:val="2B784A6E"/>
    <w:rsid w:val="2B9A7B07"/>
    <w:rsid w:val="2BA07916"/>
    <w:rsid w:val="2BAE2033"/>
    <w:rsid w:val="2BB37649"/>
    <w:rsid w:val="2BB84C5F"/>
    <w:rsid w:val="2BBA09D7"/>
    <w:rsid w:val="2BC9037C"/>
    <w:rsid w:val="2BFD3113"/>
    <w:rsid w:val="2C0003B4"/>
    <w:rsid w:val="2C1005F7"/>
    <w:rsid w:val="2C1363E2"/>
    <w:rsid w:val="2C15160E"/>
    <w:rsid w:val="2C1C6A7A"/>
    <w:rsid w:val="2C44430E"/>
    <w:rsid w:val="2C4F172C"/>
    <w:rsid w:val="2C9C00DD"/>
    <w:rsid w:val="2C9E20A7"/>
    <w:rsid w:val="2CA156F3"/>
    <w:rsid w:val="2D285E15"/>
    <w:rsid w:val="2D906B09"/>
    <w:rsid w:val="2D9C5EBB"/>
    <w:rsid w:val="2DD973AC"/>
    <w:rsid w:val="2DFB1659"/>
    <w:rsid w:val="2E0221C2"/>
    <w:rsid w:val="2E611B70"/>
    <w:rsid w:val="2E9A689E"/>
    <w:rsid w:val="2E9D638E"/>
    <w:rsid w:val="2ECB6A58"/>
    <w:rsid w:val="2EDD4BB1"/>
    <w:rsid w:val="2F01185F"/>
    <w:rsid w:val="2F2729AC"/>
    <w:rsid w:val="2F3C0F4C"/>
    <w:rsid w:val="2FB82F9F"/>
    <w:rsid w:val="2FE418AC"/>
    <w:rsid w:val="2FE5383E"/>
    <w:rsid w:val="2FEA4C7F"/>
    <w:rsid w:val="30330D58"/>
    <w:rsid w:val="3037089D"/>
    <w:rsid w:val="30AB6B41"/>
    <w:rsid w:val="30EA3353"/>
    <w:rsid w:val="31013C49"/>
    <w:rsid w:val="312319EF"/>
    <w:rsid w:val="313C778B"/>
    <w:rsid w:val="318F6462"/>
    <w:rsid w:val="321A2D0F"/>
    <w:rsid w:val="32382656"/>
    <w:rsid w:val="324D664C"/>
    <w:rsid w:val="3267118D"/>
    <w:rsid w:val="32870EE7"/>
    <w:rsid w:val="32BE6EB2"/>
    <w:rsid w:val="32C7154E"/>
    <w:rsid w:val="33156D5E"/>
    <w:rsid w:val="3317207A"/>
    <w:rsid w:val="331A6B7B"/>
    <w:rsid w:val="331F2052"/>
    <w:rsid w:val="333554DB"/>
    <w:rsid w:val="33396D39"/>
    <w:rsid w:val="33643EF5"/>
    <w:rsid w:val="338342F2"/>
    <w:rsid w:val="33857B1D"/>
    <w:rsid w:val="33D80BF4"/>
    <w:rsid w:val="33F77F81"/>
    <w:rsid w:val="34254482"/>
    <w:rsid w:val="346F257B"/>
    <w:rsid w:val="348C4EDB"/>
    <w:rsid w:val="348F605A"/>
    <w:rsid w:val="34E716B6"/>
    <w:rsid w:val="3505113E"/>
    <w:rsid w:val="35233259"/>
    <w:rsid w:val="35357321"/>
    <w:rsid w:val="355115AF"/>
    <w:rsid w:val="359F2BE0"/>
    <w:rsid w:val="35AE6CC5"/>
    <w:rsid w:val="35FC399A"/>
    <w:rsid w:val="362A675A"/>
    <w:rsid w:val="36B60605"/>
    <w:rsid w:val="36DB3EF8"/>
    <w:rsid w:val="36DB7A54"/>
    <w:rsid w:val="36EC39E0"/>
    <w:rsid w:val="37647A49"/>
    <w:rsid w:val="37704A11"/>
    <w:rsid w:val="37C45ACE"/>
    <w:rsid w:val="37C91FA2"/>
    <w:rsid w:val="37DF2D89"/>
    <w:rsid w:val="37E335F2"/>
    <w:rsid w:val="37EA2644"/>
    <w:rsid w:val="37EA43F2"/>
    <w:rsid w:val="3835053A"/>
    <w:rsid w:val="386B727B"/>
    <w:rsid w:val="38BD2E93"/>
    <w:rsid w:val="38BE1535"/>
    <w:rsid w:val="38F848ED"/>
    <w:rsid w:val="38FE45EC"/>
    <w:rsid w:val="39194863"/>
    <w:rsid w:val="391D7376"/>
    <w:rsid w:val="39403E21"/>
    <w:rsid w:val="3971644D"/>
    <w:rsid w:val="397A7B42"/>
    <w:rsid w:val="399A1E48"/>
    <w:rsid w:val="39B4157B"/>
    <w:rsid w:val="39D55A01"/>
    <w:rsid w:val="39EE7A9E"/>
    <w:rsid w:val="3A10210A"/>
    <w:rsid w:val="3A104D75"/>
    <w:rsid w:val="3A4C2C68"/>
    <w:rsid w:val="3A4D1A2B"/>
    <w:rsid w:val="3A5E69D2"/>
    <w:rsid w:val="3AF410E4"/>
    <w:rsid w:val="3B2C2F74"/>
    <w:rsid w:val="3B3415C4"/>
    <w:rsid w:val="3B345984"/>
    <w:rsid w:val="3B351E28"/>
    <w:rsid w:val="3B4F53C1"/>
    <w:rsid w:val="3B506C62"/>
    <w:rsid w:val="3B626996"/>
    <w:rsid w:val="3B6C6BA3"/>
    <w:rsid w:val="3B78218B"/>
    <w:rsid w:val="3B915BA1"/>
    <w:rsid w:val="3BAE3989"/>
    <w:rsid w:val="3BB15227"/>
    <w:rsid w:val="3BF02721"/>
    <w:rsid w:val="3BFA0A8A"/>
    <w:rsid w:val="3C242530"/>
    <w:rsid w:val="3C4165AB"/>
    <w:rsid w:val="3CCA02B2"/>
    <w:rsid w:val="3CD613E9"/>
    <w:rsid w:val="3CE62383"/>
    <w:rsid w:val="3CEC5094"/>
    <w:rsid w:val="3CEC7A2A"/>
    <w:rsid w:val="3D0433A8"/>
    <w:rsid w:val="3D0C4E0B"/>
    <w:rsid w:val="3D0F69B6"/>
    <w:rsid w:val="3D2959BD"/>
    <w:rsid w:val="3D3219D3"/>
    <w:rsid w:val="3D3474F8"/>
    <w:rsid w:val="3DCE35B6"/>
    <w:rsid w:val="3DD136B5"/>
    <w:rsid w:val="3DD5344F"/>
    <w:rsid w:val="3E0F3EB7"/>
    <w:rsid w:val="3E2609B2"/>
    <w:rsid w:val="3E3A7756"/>
    <w:rsid w:val="3E76426F"/>
    <w:rsid w:val="3E7F6463"/>
    <w:rsid w:val="3E8E24F6"/>
    <w:rsid w:val="3E962D65"/>
    <w:rsid w:val="3ECB4852"/>
    <w:rsid w:val="3EEB0292"/>
    <w:rsid w:val="3F147FA7"/>
    <w:rsid w:val="3F281B00"/>
    <w:rsid w:val="3F6A7BC7"/>
    <w:rsid w:val="3F930BE9"/>
    <w:rsid w:val="3F952DC8"/>
    <w:rsid w:val="3FE15005"/>
    <w:rsid w:val="3FE77469"/>
    <w:rsid w:val="3FF762AF"/>
    <w:rsid w:val="400E2C48"/>
    <w:rsid w:val="404E74E8"/>
    <w:rsid w:val="40ED6D01"/>
    <w:rsid w:val="40F93113"/>
    <w:rsid w:val="4101356D"/>
    <w:rsid w:val="41216845"/>
    <w:rsid w:val="413A36FE"/>
    <w:rsid w:val="4213220D"/>
    <w:rsid w:val="4235270E"/>
    <w:rsid w:val="423F17DF"/>
    <w:rsid w:val="42461BF0"/>
    <w:rsid w:val="424C7A58"/>
    <w:rsid w:val="427179B7"/>
    <w:rsid w:val="42870A90"/>
    <w:rsid w:val="428D039F"/>
    <w:rsid w:val="429E2362"/>
    <w:rsid w:val="42FC0E58"/>
    <w:rsid w:val="43077F25"/>
    <w:rsid w:val="4310792B"/>
    <w:rsid w:val="43621354"/>
    <w:rsid w:val="436D5ED7"/>
    <w:rsid w:val="437454B8"/>
    <w:rsid w:val="43947908"/>
    <w:rsid w:val="43AA0EDA"/>
    <w:rsid w:val="43D25E53"/>
    <w:rsid w:val="43E25FC1"/>
    <w:rsid w:val="440138A0"/>
    <w:rsid w:val="44246EDE"/>
    <w:rsid w:val="4427252A"/>
    <w:rsid w:val="44692B43"/>
    <w:rsid w:val="447C65C0"/>
    <w:rsid w:val="448742A8"/>
    <w:rsid w:val="44983428"/>
    <w:rsid w:val="44C47D79"/>
    <w:rsid w:val="44F87A23"/>
    <w:rsid w:val="451A208F"/>
    <w:rsid w:val="45433394"/>
    <w:rsid w:val="454F09F0"/>
    <w:rsid w:val="45877724"/>
    <w:rsid w:val="458A0FC3"/>
    <w:rsid w:val="458D2861"/>
    <w:rsid w:val="45973539"/>
    <w:rsid w:val="45BB3260"/>
    <w:rsid w:val="45C85F51"/>
    <w:rsid w:val="46092999"/>
    <w:rsid w:val="4612476D"/>
    <w:rsid w:val="46841EB6"/>
    <w:rsid w:val="468F5CB4"/>
    <w:rsid w:val="46957C1F"/>
    <w:rsid w:val="46C027C2"/>
    <w:rsid w:val="4743767B"/>
    <w:rsid w:val="474820C5"/>
    <w:rsid w:val="475B13E7"/>
    <w:rsid w:val="477171FE"/>
    <w:rsid w:val="47777325"/>
    <w:rsid w:val="47DD7AD0"/>
    <w:rsid w:val="47E70FBB"/>
    <w:rsid w:val="481D611E"/>
    <w:rsid w:val="48221986"/>
    <w:rsid w:val="48B545A9"/>
    <w:rsid w:val="48D34790"/>
    <w:rsid w:val="48ED18F0"/>
    <w:rsid w:val="48F826E7"/>
    <w:rsid w:val="4929464F"/>
    <w:rsid w:val="494C6C0E"/>
    <w:rsid w:val="4955379A"/>
    <w:rsid w:val="496E6505"/>
    <w:rsid w:val="498C348F"/>
    <w:rsid w:val="49C34AA3"/>
    <w:rsid w:val="49DA3B9B"/>
    <w:rsid w:val="49DA528B"/>
    <w:rsid w:val="49FA4012"/>
    <w:rsid w:val="49FA5FEB"/>
    <w:rsid w:val="4A121587"/>
    <w:rsid w:val="4A4F4589"/>
    <w:rsid w:val="4A5573E4"/>
    <w:rsid w:val="4A62606A"/>
    <w:rsid w:val="4A712751"/>
    <w:rsid w:val="4ADB7BCB"/>
    <w:rsid w:val="4B380D6F"/>
    <w:rsid w:val="4B3A1029"/>
    <w:rsid w:val="4B555BCF"/>
    <w:rsid w:val="4B6E0A3F"/>
    <w:rsid w:val="4B771FE9"/>
    <w:rsid w:val="4BBC29D4"/>
    <w:rsid w:val="4BBE0B8F"/>
    <w:rsid w:val="4C443C2D"/>
    <w:rsid w:val="4C560DCF"/>
    <w:rsid w:val="4C723258"/>
    <w:rsid w:val="4C83676C"/>
    <w:rsid w:val="4CB608EF"/>
    <w:rsid w:val="4D0E072B"/>
    <w:rsid w:val="4D0F1621"/>
    <w:rsid w:val="4D155616"/>
    <w:rsid w:val="4D24354A"/>
    <w:rsid w:val="4D4E6D7A"/>
    <w:rsid w:val="4D5A3970"/>
    <w:rsid w:val="4D9A1FBF"/>
    <w:rsid w:val="4DCE1F8B"/>
    <w:rsid w:val="4DF94F37"/>
    <w:rsid w:val="4E0D2791"/>
    <w:rsid w:val="4E256716"/>
    <w:rsid w:val="4E2A6045"/>
    <w:rsid w:val="4E2F6BAB"/>
    <w:rsid w:val="4E437F61"/>
    <w:rsid w:val="4E4E19C6"/>
    <w:rsid w:val="4EB40E5E"/>
    <w:rsid w:val="4F1A33B7"/>
    <w:rsid w:val="4F411EB6"/>
    <w:rsid w:val="4F582EF7"/>
    <w:rsid w:val="4F6E54B1"/>
    <w:rsid w:val="4F776199"/>
    <w:rsid w:val="4FAA0087"/>
    <w:rsid w:val="4FBA24A4"/>
    <w:rsid w:val="4FBB7FCB"/>
    <w:rsid w:val="50100316"/>
    <w:rsid w:val="502A41CA"/>
    <w:rsid w:val="50983373"/>
    <w:rsid w:val="50AB5953"/>
    <w:rsid w:val="50D60C20"/>
    <w:rsid w:val="51183927"/>
    <w:rsid w:val="5135755A"/>
    <w:rsid w:val="51574F11"/>
    <w:rsid w:val="517B73AD"/>
    <w:rsid w:val="518A5306"/>
    <w:rsid w:val="51983548"/>
    <w:rsid w:val="51AB3D3B"/>
    <w:rsid w:val="51D04201"/>
    <w:rsid w:val="51DA0BDC"/>
    <w:rsid w:val="51DC4954"/>
    <w:rsid w:val="521A27DD"/>
    <w:rsid w:val="52534816"/>
    <w:rsid w:val="52592449"/>
    <w:rsid w:val="52634928"/>
    <w:rsid w:val="52A0414F"/>
    <w:rsid w:val="53277999"/>
    <w:rsid w:val="538A03E0"/>
    <w:rsid w:val="53987EBC"/>
    <w:rsid w:val="53A35FB7"/>
    <w:rsid w:val="53C25DCC"/>
    <w:rsid w:val="53E24E44"/>
    <w:rsid w:val="53F94527"/>
    <w:rsid w:val="54014B46"/>
    <w:rsid w:val="540930BB"/>
    <w:rsid w:val="5472334E"/>
    <w:rsid w:val="54DB5397"/>
    <w:rsid w:val="550348EE"/>
    <w:rsid w:val="550A63E5"/>
    <w:rsid w:val="5563097D"/>
    <w:rsid w:val="556F4EE2"/>
    <w:rsid w:val="55CB540B"/>
    <w:rsid w:val="55D21BD3"/>
    <w:rsid w:val="56312D95"/>
    <w:rsid w:val="564725B8"/>
    <w:rsid w:val="56652099"/>
    <w:rsid w:val="56680EAC"/>
    <w:rsid w:val="567F61F6"/>
    <w:rsid w:val="56843C9F"/>
    <w:rsid w:val="569B3338"/>
    <w:rsid w:val="56F5281F"/>
    <w:rsid w:val="573E766F"/>
    <w:rsid w:val="5765355C"/>
    <w:rsid w:val="57690BD0"/>
    <w:rsid w:val="576F0018"/>
    <w:rsid w:val="57C15E41"/>
    <w:rsid w:val="57CA1153"/>
    <w:rsid w:val="57E46E53"/>
    <w:rsid w:val="580118E9"/>
    <w:rsid w:val="580E253F"/>
    <w:rsid w:val="58254B7B"/>
    <w:rsid w:val="584A495B"/>
    <w:rsid w:val="5892758E"/>
    <w:rsid w:val="58947716"/>
    <w:rsid w:val="58A65CBC"/>
    <w:rsid w:val="58B66C06"/>
    <w:rsid w:val="58C779E0"/>
    <w:rsid w:val="5909228A"/>
    <w:rsid w:val="59154BEF"/>
    <w:rsid w:val="59CA7788"/>
    <w:rsid w:val="59E7033A"/>
    <w:rsid w:val="5A136E4A"/>
    <w:rsid w:val="5A1B6236"/>
    <w:rsid w:val="5A2E712E"/>
    <w:rsid w:val="5A2F2D66"/>
    <w:rsid w:val="5A6D6164"/>
    <w:rsid w:val="5A86004F"/>
    <w:rsid w:val="5A8938AD"/>
    <w:rsid w:val="5A9F29C3"/>
    <w:rsid w:val="5AAE69DB"/>
    <w:rsid w:val="5AF0582F"/>
    <w:rsid w:val="5AF947C9"/>
    <w:rsid w:val="5B1B6AA6"/>
    <w:rsid w:val="5B224E28"/>
    <w:rsid w:val="5B6A2FD1"/>
    <w:rsid w:val="5B7D7A78"/>
    <w:rsid w:val="5BAF7B56"/>
    <w:rsid w:val="5BD91F04"/>
    <w:rsid w:val="5BDB5C7C"/>
    <w:rsid w:val="5BF611E3"/>
    <w:rsid w:val="5C0E6052"/>
    <w:rsid w:val="5C313AEE"/>
    <w:rsid w:val="5C4F0418"/>
    <w:rsid w:val="5C86208C"/>
    <w:rsid w:val="5CAC7619"/>
    <w:rsid w:val="5D131446"/>
    <w:rsid w:val="5D7C18C6"/>
    <w:rsid w:val="5DA14CA4"/>
    <w:rsid w:val="5DA779D9"/>
    <w:rsid w:val="5DC84953"/>
    <w:rsid w:val="5DDC3F2E"/>
    <w:rsid w:val="5EAC56AE"/>
    <w:rsid w:val="5EDA0A8B"/>
    <w:rsid w:val="5EE906B0"/>
    <w:rsid w:val="5F0537AA"/>
    <w:rsid w:val="5F162912"/>
    <w:rsid w:val="5F20072A"/>
    <w:rsid w:val="5F2117F1"/>
    <w:rsid w:val="5F27754A"/>
    <w:rsid w:val="5F2B3E04"/>
    <w:rsid w:val="5F760F40"/>
    <w:rsid w:val="5FF3691B"/>
    <w:rsid w:val="5FFF5CB2"/>
    <w:rsid w:val="60161979"/>
    <w:rsid w:val="60673F83"/>
    <w:rsid w:val="606E1F64"/>
    <w:rsid w:val="607466A0"/>
    <w:rsid w:val="609E5FA7"/>
    <w:rsid w:val="60C253E7"/>
    <w:rsid w:val="60C56EFB"/>
    <w:rsid w:val="60CE0B25"/>
    <w:rsid w:val="61555832"/>
    <w:rsid w:val="61A30FEA"/>
    <w:rsid w:val="61D5316E"/>
    <w:rsid w:val="61D67CE4"/>
    <w:rsid w:val="61DB6D9C"/>
    <w:rsid w:val="61EF4230"/>
    <w:rsid w:val="6200643D"/>
    <w:rsid w:val="6209072B"/>
    <w:rsid w:val="623C3CCB"/>
    <w:rsid w:val="6277131B"/>
    <w:rsid w:val="62894736"/>
    <w:rsid w:val="629628FD"/>
    <w:rsid w:val="62EC69C1"/>
    <w:rsid w:val="63520F1A"/>
    <w:rsid w:val="636E0BBA"/>
    <w:rsid w:val="63964B41"/>
    <w:rsid w:val="63994A58"/>
    <w:rsid w:val="646C600B"/>
    <w:rsid w:val="647C3D75"/>
    <w:rsid w:val="64CC5E52"/>
    <w:rsid w:val="64DA0DFC"/>
    <w:rsid w:val="64FD5E87"/>
    <w:rsid w:val="65785BCE"/>
    <w:rsid w:val="658C3A08"/>
    <w:rsid w:val="658D4138"/>
    <w:rsid w:val="65B768E4"/>
    <w:rsid w:val="65D50ABD"/>
    <w:rsid w:val="66043DF1"/>
    <w:rsid w:val="661D46CA"/>
    <w:rsid w:val="6630101C"/>
    <w:rsid w:val="6635553A"/>
    <w:rsid w:val="66887A48"/>
    <w:rsid w:val="66B94E0C"/>
    <w:rsid w:val="66BB1AFB"/>
    <w:rsid w:val="66CF7EED"/>
    <w:rsid w:val="66E83943"/>
    <w:rsid w:val="670F317A"/>
    <w:rsid w:val="673D6A15"/>
    <w:rsid w:val="67960780"/>
    <w:rsid w:val="67C439C6"/>
    <w:rsid w:val="682E5386"/>
    <w:rsid w:val="683726A5"/>
    <w:rsid w:val="684B23DC"/>
    <w:rsid w:val="68576EF7"/>
    <w:rsid w:val="6874548F"/>
    <w:rsid w:val="68817FE2"/>
    <w:rsid w:val="688D47A2"/>
    <w:rsid w:val="68BE07D7"/>
    <w:rsid w:val="68CD623B"/>
    <w:rsid w:val="68D93544"/>
    <w:rsid w:val="68DB72BC"/>
    <w:rsid w:val="68FD36D6"/>
    <w:rsid w:val="69513A22"/>
    <w:rsid w:val="69562DE6"/>
    <w:rsid w:val="695E105C"/>
    <w:rsid w:val="696012B6"/>
    <w:rsid w:val="69642093"/>
    <w:rsid w:val="69C02956"/>
    <w:rsid w:val="69CA6B08"/>
    <w:rsid w:val="6A042666"/>
    <w:rsid w:val="6A5A63E0"/>
    <w:rsid w:val="6A9736F0"/>
    <w:rsid w:val="6AF830B1"/>
    <w:rsid w:val="6B1715B7"/>
    <w:rsid w:val="6B2C2051"/>
    <w:rsid w:val="6B3233DF"/>
    <w:rsid w:val="6B3C600C"/>
    <w:rsid w:val="6B680BAF"/>
    <w:rsid w:val="6B6C68F1"/>
    <w:rsid w:val="6B9D16C7"/>
    <w:rsid w:val="6BA17D14"/>
    <w:rsid w:val="6BBB33D4"/>
    <w:rsid w:val="6BBD0EFB"/>
    <w:rsid w:val="6BCC55E2"/>
    <w:rsid w:val="6BEA8026"/>
    <w:rsid w:val="6C0C5BDB"/>
    <w:rsid w:val="6C6770B8"/>
    <w:rsid w:val="6C845EBC"/>
    <w:rsid w:val="6CA41CC8"/>
    <w:rsid w:val="6CC20E82"/>
    <w:rsid w:val="6CD26C28"/>
    <w:rsid w:val="6CF3436B"/>
    <w:rsid w:val="6D056FFD"/>
    <w:rsid w:val="6D443964"/>
    <w:rsid w:val="6D5B6316"/>
    <w:rsid w:val="6D9143ED"/>
    <w:rsid w:val="6DA73C10"/>
    <w:rsid w:val="6DC74A88"/>
    <w:rsid w:val="6DD724DA"/>
    <w:rsid w:val="6DDC0B81"/>
    <w:rsid w:val="6DDD2F6E"/>
    <w:rsid w:val="6DEA2117"/>
    <w:rsid w:val="6E041063"/>
    <w:rsid w:val="6E0C6BA8"/>
    <w:rsid w:val="6E4C538F"/>
    <w:rsid w:val="6E807286"/>
    <w:rsid w:val="6E8C1058"/>
    <w:rsid w:val="6E940B17"/>
    <w:rsid w:val="6EBF142E"/>
    <w:rsid w:val="6ED722D3"/>
    <w:rsid w:val="6EE175F6"/>
    <w:rsid w:val="6EFF5CCE"/>
    <w:rsid w:val="6F71097A"/>
    <w:rsid w:val="6F7C2E7B"/>
    <w:rsid w:val="6FC36D9E"/>
    <w:rsid w:val="6FE70C3C"/>
    <w:rsid w:val="6FF43359"/>
    <w:rsid w:val="70076BE8"/>
    <w:rsid w:val="702F03D7"/>
    <w:rsid w:val="70852D97"/>
    <w:rsid w:val="70A47AAD"/>
    <w:rsid w:val="70AE40C7"/>
    <w:rsid w:val="70C25205"/>
    <w:rsid w:val="70DA254F"/>
    <w:rsid w:val="70E51DA8"/>
    <w:rsid w:val="70F20FE3"/>
    <w:rsid w:val="71174B27"/>
    <w:rsid w:val="717B5AE0"/>
    <w:rsid w:val="71946BA2"/>
    <w:rsid w:val="71A843FB"/>
    <w:rsid w:val="71C97895"/>
    <w:rsid w:val="71E76CD1"/>
    <w:rsid w:val="721E450C"/>
    <w:rsid w:val="7256750B"/>
    <w:rsid w:val="7262278F"/>
    <w:rsid w:val="72D73D3D"/>
    <w:rsid w:val="73394BB6"/>
    <w:rsid w:val="73397A01"/>
    <w:rsid w:val="734F0FD2"/>
    <w:rsid w:val="736A253A"/>
    <w:rsid w:val="73A429A0"/>
    <w:rsid w:val="73AC2D59"/>
    <w:rsid w:val="73BE1CB4"/>
    <w:rsid w:val="73EC5B91"/>
    <w:rsid w:val="73FC458A"/>
    <w:rsid w:val="742E7E7F"/>
    <w:rsid w:val="747B5DF7"/>
    <w:rsid w:val="74C002E8"/>
    <w:rsid w:val="74CF1255"/>
    <w:rsid w:val="74E7523A"/>
    <w:rsid w:val="74FB54A4"/>
    <w:rsid w:val="751A7B05"/>
    <w:rsid w:val="75220020"/>
    <w:rsid w:val="75530B22"/>
    <w:rsid w:val="755522F8"/>
    <w:rsid w:val="755E2DEF"/>
    <w:rsid w:val="75611CC1"/>
    <w:rsid w:val="75A03D67"/>
    <w:rsid w:val="75C80BC8"/>
    <w:rsid w:val="75DD731F"/>
    <w:rsid w:val="7621652A"/>
    <w:rsid w:val="76265AC6"/>
    <w:rsid w:val="763A2EF5"/>
    <w:rsid w:val="76642085"/>
    <w:rsid w:val="76674885"/>
    <w:rsid w:val="768014A2"/>
    <w:rsid w:val="7682438C"/>
    <w:rsid w:val="768857E3"/>
    <w:rsid w:val="768D4B1F"/>
    <w:rsid w:val="769D2054"/>
    <w:rsid w:val="76C31EDD"/>
    <w:rsid w:val="76EC2FDC"/>
    <w:rsid w:val="77060EB2"/>
    <w:rsid w:val="7711659E"/>
    <w:rsid w:val="77120FDD"/>
    <w:rsid w:val="775C2950"/>
    <w:rsid w:val="77610F13"/>
    <w:rsid w:val="77770AF7"/>
    <w:rsid w:val="778C37F8"/>
    <w:rsid w:val="779D7E32"/>
    <w:rsid w:val="77B12E34"/>
    <w:rsid w:val="77CB499F"/>
    <w:rsid w:val="77D46CD2"/>
    <w:rsid w:val="77D83D50"/>
    <w:rsid w:val="77D914FF"/>
    <w:rsid w:val="77FF289B"/>
    <w:rsid w:val="781D0CC1"/>
    <w:rsid w:val="7823193A"/>
    <w:rsid w:val="782E61C7"/>
    <w:rsid w:val="783B33E4"/>
    <w:rsid w:val="7844130F"/>
    <w:rsid w:val="78534B66"/>
    <w:rsid w:val="785B3F75"/>
    <w:rsid w:val="787B0197"/>
    <w:rsid w:val="787E1A12"/>
    <w:rsid w:val="78BE10F6"/>
    <w:rsid w:val="78CA4C57"/>
    <w:rsid w:val="78D43D28"/>
    <w:rsid w:val="78DD2BDC"/>
    <w:rsid w:val="79435553"/>
    <w:rsid w:val="794669D3"/>
    <w:rsid w:val="794672BF"/>
    <w:rsid w:val="79E263BE"/>
    <w:rsid w:val="7A064282"/>
    <w:rsid w:val="7A3C1D44"/>
    <w:rsid w:val="7A9E283F"/>
    <w:rsid w:val="7ACB4CB6"/>
    <w:rsid w:val="7ADD5362"/>
    <w:rsid w:val="7B036E36"/>
    <w:rsid w:val="7B0E3521"/>
    <w:rsid w:val="7B1A0118"/>
    <w:rsid w:val="7B31160A"/>
    <w:rsid w:val="7B62386D"/>
    <w:rsid w:val="7B6E2211"/>
    <w:rsid w:val="7BA9149B"/>
    <w:rsid w:val="7BAD0A4E"/>
    <w:rsid w:val="7BB00E61"/>
    <w:rsid w:val="7BD227A0"/>
    <w:rsid w:val="7BDA78A7"/>
    <w:rsid w:val="7C1822AA"/>
    <w:rsid w:val="7C1C39F8"/>
    <w:rsid w:val="7C670DE1"/>
    <w:rsid w:val="7C85264B"/>
    <w:rsid w:val="7CA06753"/>
    <w:rsid w:val="7CB43242"/>
    <w:rsid w:val="7CB61824"/>
    <w:rsid w:val="7CBD69D7"/>
    <w:rsid w:val="7CC76395"/>
    <w:rsid w:val="7CEF2EDE"/>
    <w:rsid w:val="7D1961AD"/>
    <w:rsid w:val="7D4F7E21"/>
    <w:rsid w:val="7D7A30EF"/>
    <w:rsid w:val="7D9D293A"/>
    <w:rsid w:val="7DA51A4B"/>
    <w:rsid w:val="7E0B01EB"/>
    <w:rsid w:val="7E1E7F1F"/>
    <w:rsid w:val="7E321E60"/>
    <w:rsid w:val="7E390B0F"/>
    <w:rsid w:val="7E493D4F"/>
    <w:rsid w:val="7E5356EF"/>
    <w:rsid w:val="7E881DA7"/>
    <w:rsid w:val="7E9B65C0"/>
    <w:rsid w:val="7F060C17"/>
    <w:rsid w:val="7F0C421B"/>
    <w:rsid w:val="7F2F766E"/>
    <w:rsid w:val="7F3D58B7"/>
    <w:rsid w:val="7F6B3277"/>
    <w:rsid w:val="7F7C3A97"/>
    <w:rsid w:val="7F9051D5"/>
    <w:rsid w:val="7F9C372F"/>
    <w:rsid w:val="7FE01204"/>
    <w:rsid w:val="7FFA67D9"/>
    <w:rsid w:val="7FFB9374"/>
    <w:rsid w:val="7FFC4290"/>
    <w:rsid w:val="DFBBF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2"/>
    <w:basedOn w:val="1"/>
    <w:next w:val="1"/>
    <w:link w:val="43"/>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2">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Body Text 2"/>
    <w:basedOn w:val="1"/>
    <w:qFormat/>
    <w:uiPriority w:val="0"/>
    <w:pPr>
      <w:spacing w:line="500" w:lineRule="exact"/>
    </w:pPr>
    <w:rPr>
      <w:rFonts w:ascii="宋体" w:hAnsi="Times New Roman" w:eastAsia="宋体" w:cs="Times New Roman"/>
      <w:sz w:val="24"/>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99"/>
    <w:pPr>
      <w:spacing w:line="240" w:lineRule="auto"/>
      <w:ind w:firstLine="420" w:firstLineChars="100"/>
    </w:pPr>
    <w:rPr>
      <w:rFonts w:ascii="Times New Roman" w:cs="Times New Roman"/>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Emphasis"/>
    <w:basedOn w:val="16"/>
    <w:qFormat/>
    <w:uiPriority w:val="0"/>
    <w:rPr>
      <w:i/>
    </w:rPr>
  </w:style>
  <w:style w:type="paragraph" w:customStyle="1" w:styleId="18">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19">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0">
    <w:name w:val="NormalCharacter"/>
    <w:qFormat/>
    <w:uiPriority w:val="99"/>
  </w:style>
  <w:style w:type="paragraph" w:customStyle="1" w:styleId="21">
    <w:name w:val="Table Text"/>
    <w:basedOn w:val="1"/>
    <w:semiHidden/>
    <w:qFormat/>
    <w:uiPriority w:val="0"/>
    <w:rPr>
      <w:rFonts w:ascii="Arial" w:hAnsi="Arial" w:eastAsia="Arial" w:cs="Arial"/>
      <w:sz w:val="21"/>
      <w:szCs w:val="21"/>
      <w:lang w:val="en-US" w:eastAsia="en-US" w:bidi="ar-SA"/>
    </w:rPr>
  </w:style>
  <w:style w:type="paragraph" w:customStyle="1" w:styleId="2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正文缩进1"/>
    <w:basedOn w:val="1"/>
    <w:qFormat/>
    <w:uiPriority w:val="0"/>
    <w:pPr>
      <w:widowControl/>
      <w:ind w:firstLine="420"/>
      <w:jc w:val="left"/>
    </w:pPr>
    <w:rPr>
      <w:kern w:val="0"/>
    </w:rPr>
  </w:style>
  <w:style w:type="paragraph" w:customStyle="1" w:styleId="24">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5">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6">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7">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8">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9">
    <w:name w:val="Heading2"/>
    <w:basedOn w:val="1"/>
    <w:next w:val="1"/>
    <w:qFormat/>
    <w:uiPriority w:val="99"/>
    <w:pPr>
      <w:jc w:val="left"/>
    </w:pPr>
    <w:rPr>
      <w:kern w:val="0"/>
    </w:rPr>
  </w:style>
  <w:style w:type="paragraph" w:customStyle="1" w:styleId="30">
    <w:name w:val="AnnotationText"/>
    <w:basedOn w:val="1"/>
    <w:qFormat/>
    <w:uiPriority w:val="99"/>
    <w:pPr>
      <w:spacing w:line="360" w:lineRule="atLeast"/>
      <w:jc w:val="left"/>
    </w:pPr>
    <w:rPr>
      <w:kern w:val="0"/>
    </w:rPr>
  </w:style>
  <w:style w:type="paragraph" w:customStyle="1" w:styleId="31">
    <w:name w:val="UserStyle_44"/>
    <w:basedOn w:val="32"/>
    <w:qFormat/>
    <w:uiPriority w:val="99"/>
    <w:rPr>
      <w:sz w:val="24"/>
      <w:szCs w:val="24"/>
    </w:rPr>
  </w:style>
  <w:style w:type="paragraph" w:customStyle="1" w:styleId="32">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3">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34">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35">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36">
    <w:name w:val="BodyText"/>
    <w:basedOn w:val="1"/>
    <w:next w:val="37"/>
    <w:qFormat/>
    <w:uiPriority w:val="99"/>
    <w:pPr>
      <w:spacing w:after="120"/>
    </w:pPr>
  </w:style>
  <w:style w:type="paragraph" w:customStyle="1" w:styleId="37">
    <w:name w:val="BodyText2"/>
    <w:basedOn w:val="1"/>
    <w:qFormat/>
    <w:uiPriority w:val="99"/>
    <w:pPr>
      <w:spacing w:line="500" w:lineRule="exact"/>
    </w:pPr>
  </w:style>
  <w:style w:type="paragraph" w:customStyle="1" w:styleId="38">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9">
    <w:name w:val="正文缩进 New"/>
    <w:basedOn w:val="40"/>
    <w:qFormat/>
    <w:uiPriority w:val="0"/>
    <w:pPr>
      <w:widowControl/>
      <w:ind w:firstLine="420"/>
      <w:jc w:val="left"/>
    </w:pPr>
    <w:rPr>
      <w:kern w:val="0"/>
      <w:sz w:val="20"/>
    </w:rPr>
  </w:style>
  <w:style w:type="paragraph" w:customStyle="1" w:styleId="40">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1">
    <w:name w:val="正文文本 New"/>
    <w:basedOn w:val="1"/>
    <w:qFormat/>
    <w:uiPriority w:val="0"/>
    <w:pPr>
      <w:spacing w:after="120" w:line="360" w:lineRule="auto"/>
    </w:pPr>
    <w:rPr>
      <w:rFonts w:ascii="宋体" w:hAnsi="Times New Roman" w:eastAsia="宋体" w:cs="Times New Roman"/>
      <w:sz w:val="24"/>
      <w:szCs w:val="20"/>
    </w:rPr>
  </w:style>
  <w:style w:type="character" w:customStyle="1" w:styleId="42">
    <w:name w:val="正文文本 (2) + 间距 0 pt3"/>
    <w:basedOn w:val="16"/>
    <w:qFormat/>
    <w:uiPriority w:val="0"/>
    <w:rPr>
      <w:rFonts w:ascii="MingLiU" w:hAnsi="Times New Roman" w:eastAsia="MingLiU" w:cs="MingLiU"/>
      <w:spacing w:val="0"/>
      <w:sz w:val="22"/>
      <w:szCs w:val="22"/>
      <w:u w:val="none"/>
    </w:rPr>
  </w:style>
  <w:style w:type="character" w:customStyle="1" w:styleId="43">
    <w:name w:val="标题 2 字符"/>
    <w:link w:val="3"/>
    <w:qFormat/>
    <w:uiPriority w:val="0"/>
    <w:rPr>
      <w:rFonts w:hint="eastAsia" w:ascii="宋体" w:hAnsi="宋体" w:eastAsia="宋体" w:cs="宋体"/>
      <w:b/>
      <w:bCs/>
      <w:kern w:val="0"/>
      <w:sz w:val="36"/>
      <w:szCs w:val="36"/>
      <w:lang w:val="en-US" w:eastAsia="zh-CN" w:bidi="ar"/>
    </w:rPr>
  </w:style>
  <w:style w:type="paragraph" w:customStyle="1" w:styleId="44">
    <w:name w:val="标题 3 New New"/>
    <w:basedOn w:val="39"/>
    <w:next w:val="39"/>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5">
    <w:name w:val="UserStyle_76"/>
    <w:basedOn w:val="46"/>
    <w:qFormat/>
    <w:uiPriority w:val="99"/>
    <w:pPr>
      <w:ind w:firstLine="420"/>
      <w:jc w:val="left"/>
    </w:pPr>
    <w:rPr>
      <w:kern w:val="0"/>
      <w:sz w:val="20"/>
      <w:szCs w:val="20"/>
    </w:rPr>
  </w:style>
  <w:style w:type="paragraph" w:customStyle="1" w:styleId="46">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1.xml"/><Relationship Id="rId59" Type="http://schemas.openxmlformats.org/officeDocument/2006/relationships/image" Target="media/image18.png"/><Relationship Id="rId58" Type="http://schemas.openxmlformats.org/officeDocument/2006/relationships/image" Target="media/image17.jpeg"/><Relationship Id="rId57" Type="http://schemas.openxmlformats.org/officeDocument/2006/relationships/image" Target="media/image16.png"/><Relationship Id="rId56" Type="http://schemas.openxmlformats.org/officeDocument/2006/relationships/image" Target="media/image15.png"/><Relationship Id="rId55" Type="http://schemas.openxmlformats.org/officeDocument/2006/relationships/image" Target="media/image14.wmf"/><Relationship Id="rId54" Type="http://schemas.openxmlformats.org/officeDocument/2006/relationships/oleObject" Target="embeddings/oleObject12.bin"/><Relationship Id="rId53" Type="http://schemas.openxmlformats.org/officeDocument/2006/relationships/image" Target="media/image13.wmf"/><Relationship Id="rId52" Type="http://schemas.openxmlformats.org/officeDocument/2006/relationships/oleObject" Target="embeddings/oleObject11.bin"/><Relationship Id="rId51" Type="http://schemas.openxmlformats.org/officeDocument/2006/relationships/image" Target="media/image12.wmf"/><Relationship Id="rId50" Type="http://schemas.openxmlformats.org/officeDocument/2006/relationships/oleObject" Target="embeddings/oleObject10.bin"/><Relationship Id="rId5" Type="http://schemas.openxmlformats.org/officeDocument/2006/relationships/header" Target="header3.xml"/><Relationship Id="rId49" Type="http://schemas.openxmlformats.org/officeDocument/2006/relationships/image" Target="media/image11.wmf"/><Relationship Id="rId48" Type="http://schemas.openxmlformats.org/officeDocument/2006/relationships/oleObject" Target="embeddings/oleObject9.bin"/><Relationship Id="rId47" Type="http://schemas.openxmlformats.org/officeDocument/2006/relationships/image" Target="media/image10.wmf"/><Relationship Id="rId46" Type="http://schemas.openxmlformats.org/officeDocument/2006/relationships/oleObject" Target="embeddings/oleObject8.bin"/><Relationship Id="rId45" Type="http://schemas.openxmlformats.org/officeDocument/2006/relationships/image" Target="media/image9.wmf"/><Relationship Id="rId44" Type="http://schemas.openxmlformats.org/officeDocument/2006/relationships/oleObject" Target="embeddings/oleObject7.bin"/><Relationship Id="rId43" Type="http://schemas.openxmlformats.org/officeDocument/2006/relationships/image" Target="media/image8.wmf"/><Relationship Id="rId42" Type="http://schemas.openxmlformats.org/officeDocument/2006/relationships/oleObject" Target="embeddings/oleObject6.bin"/><Relationship Id="rId41" Type="http://schemas.openxmlformats.org/officeDocument/2006/relationships/image" Target="media/image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6.wmf"/><Relationship Id="rId38" Type="http://schemas.openxmlformats.org/officeDocument/2006/relationships/oleObject" Target="embeddings/oleObject4.bin"/><Relationship Id="rId37" Type="http://schemas.openxmlformats.org/officeDocument/2006/relationships/image" Target="media/image5.wmf"/><Relationship Id="rId36" Type="http://schemas.openxmlformats.org/officeDocument/2006/relationships/oleObject" Target="embeddings/oleObject3.bin"/><Relationship Id="rId35" Type="http://schemas.openxmlformats.org/officeDocument/2006/relationships/image" Target="media/image4.wmf"/><Relationship Id="rId34" Type="http://schemas.openxmlformats.org/officeDocument/2006/relationships/oleObject" Target="embeddings/oleObject2.bin"/><Relationship Id="rId33" Type="http://schemas.openxmlformats.org/officeDocument/2006/relationships/image" Target="media/image3.wmf"/><Relationship Id="rId32" Type="http://schemas.openxmlformats.org/officeDocument/2006/relationships/oleObject" Target="embeddings/oleObject1.bin"/><Relationship Id="rId31" Type="http://schemas.openxmlformats.org/officeDocument/2006/relationships/image" Target="media/image2.png"/><Relationship Id="rId30" Type="http://schemas.openxmlformats.org/officeDocument/2006/relationships/image" Target="media/image1.png"/><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828</Words>
  <Characters>899</Characters>
  <Lines>0</Lines>
  <Paragraphs>0</Paragraphs>
  <TotalTime>1</TotalTime>
  <ScaleCrop>false</ScaleCrop>
  <LinksUpToDate>false</LinksUpToDate>
  <CharactersWithSpaces>1040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2024-09-28T20:36:00Z</dcterms:created>
  <dc:creator>Administrator</dc:creator>
  <cp:lastModifiedBy>晨曦</cp:lastModifiedBy>
  <cp:lastPrinted>2026-04-07T12:09:00Z</cp:lastPrinted>
  <dcterms:modified xsi:type="dcterms:W3CDTF">2026-06-12T07:18:07Z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A327EB87874948D7A033D563F40FD605_13</vt:lpwstr>
  </property>
  <property fmtid="{D5CDD505-2E9C-101B-9397-08002B2CF9AE}" pid="4" name="KSOTemplateDocerSaveRecord">
    <vt:lpwstr>eyJoZGlkIjoiOGJmMDA2NGQyMzZlNjM5MzA0YmFjNTc5NjdkZmMxODQiLCJ1c2VySWQiOiIyNTU5NTE0NjEifQ==</vt:lpwstr>
  </property>
</Properties>
</file>