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EEA74F4">
      <w:pPr>
        <w:pStyle w:val="11"/>
      </w:pPr>
      <w:bookmarkStart w:id="0" w:name="OLE_LINK1"/>
      <w:bookmarkStart w:id="278" w:name="_GoBack"/>
      <w:r>
        <w:drawing>
          <wp:inline distT="0" distB="0" distL="114300" distR="114300">
            <wp:extent cx="5858510" cy="7722870"/>
            <wp:effectExtent l="0" t="0" r="8890" b="11430"/>
            <wp:docPr id="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pic:cNvPicPr>
                      <a:picLocks noChangeAspect="1"/>
                    </pic:cNvPicPr>
                  </pic:nvPicPr>
                  <pic:blipFill>
                    <a:blip r:embed="rId14"/>
                    <a:stretch>
                      <a:fillRect/>
                    </a:stretch>
                  </pic:blipFill>
                  <pic:spPr>
                    <a:xfrm>
                      <a:off x="0" y="0"/>
                      <a:ext cx="5858510" cy="7722870"/>
                    </a:xfrm>
                    <a:prstGeom prst="rect">
                      <a:avLst/>
                    </a:prstGeom>
                    <a:noFill/>
                    <a:ln>
                      <a:noFill/>
                    </a:ln>
                  </pic:spPr>
                </pic:pic>
              </a:graphicData>
            </a:graphic>
          </wp:inline>
        </w:drawing>
      </w:r>
      <w:bookmarkEnd w:id="278"/>
    </w:p>
    <w:p w14:paraId="42D0CEF2">
      <w:pPr>
        <w:rPr>
          <w:rFonts w:hint="eastAsia"/>
        </w:rPr>
      </w:pPr>
    </w:p>
    <w:p w14:paraId="5067D5FA">
      <w:pPr>
        <w:tabs>
          <w:tab w:val="left" w:pos="4935"/>
        </w:tabs>
        <w:wordWrap w:val="0"/>
        <w:adjustRightInd w:val="0"/>
        <w:snapToGrid w:val="0"/>
        <w:jc w:val="center"/>
        <w:rPr>
          <w:rFonts w:hint="eastAsia" w:ascii="宋体" w:hAnsi="宋体" w:eastAsia="宋体" w:cs="宋体"/>
          <w:b/>
          <w:snapToGrid w:val="0"/>
          <w:color w:val="auto"/>
          <w:kern w:val="0"/>
          <w:sz w:val="28"/>
          <w:szCs w:val="28"/>
          <w:highlight w:val="none"/>
        </w:rPr>
        <w:sectPr>
          <w:footerReference r:id="rId5"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start="1"/>
          <w:cols w:space="720" w:num="1"/>
          <w:docGrid w:linePitch="327" w:charSpace="0"/>
        </w:sectPr>
      </w:pPr>
    </w:p>
    <w:p w14:paraId="0C2E6DAD">
      <w:pPr>
        <w:tabs>
          <w:tab w:val="left" w:pos="4935"/>
        </w:tabs>
        <w:wordWrap w:val="0"/>
        <w:adjustRightInd w:val="0"/>
        <w:snapToGrid w:val="0"/>
        <w:jc w:val="center"/>
        <w:rPr>
          <w:rFonts w:hint="eastAsia" w:ascii="宋体" w:hAnsi="宋体" w:eastAsia="宋体" w:cs="宋体"/>
          <w:b/>
          <w:snapToGrid w:val="0"/>
          <w:color w:val="auto"/>
          <w:kern w:val="0"/>
          <w:sz w:val="28"/>
          <w:szCs w:val="28"/>
          <w:highlight w:val="none"/>
        </w:rPr>
        <w:sectPr>
          <w:footerReference r:id="rId6"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start="1"/>
          <w:cols w:space="720" w:num="1"/>
          <w:docGrid w:linePitch="327" w:charSpace="0"/>
        </w:sectPr>
      </w:pPr>
    </w:p>
    <w:p w14:paraId="42E00DDE">
      <w:pPr>
        <w:pStyle w:val="16"/>
        <w:tabs>
          <w:tab w:val="left" w:pos="4935"/>
        </w:tabs>
        <w:wordWrap w:val="0"/>
        <w:adjustRightInd w:val="0"/>
        <w:snapToGrid w:val="0"/>
        <w:spacing w:line="4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snapToGrid w:val="0"/>
          <w:color w:val="auto"/>
          <w:kern w:val="0"/>
          <w:sz w:val="21"/>
          <w:szCs w:val="21"/>
          <w:highlight w:val="none"/>
        </w:rPr>
        <w:t>目    录</w:t>
      </w:r>
      <w:bookmarkStart w:id="1" w:name="_Hlt68775471"/>
      <w:bookmarkStart w:id="2" w:name="_Hlt69333523"/>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TOC \o "1-4" \h \z </w:instrText>
      </w:r>
      <w:r>
        <w:rPr>
          <w:rFonts w:hint="eastAsia" w:ascii="宋体" w:hAnsi="宋体" w:eastAsia="宋体" w:cs="宋体"/>
          <w:snapToGrid w:val="0"/>
          <w:color w:val="auto"/>
          <w:kern w:val="0"/>
          <w:sz w:val="21"/>
          <w:szCs w:val="21"/>
          <w:highlight w:val="none"/>
        </w:rPr>
        <w:fldChar w:fldCharType="separate"/>
      </w:r>
    </w:p>
    <w:p w14:paraId="376394D3">
      <w:pPr>
        <w:pStyle w:val="22"/>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_Toc7176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第一章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_Toc7176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59078903">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_Toc7502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第一节 投标人须知前附表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_Toc7502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35988FD2">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_Toc23447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第二节 重要事项时间地点一览表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_Toc23447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61304B44">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_Toc25052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第三节 投标人须知正文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_Toc25052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78369B55">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_Toc13665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1．项目概况、招标范围和标段划分、投标费用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_Toc13665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23C7B86D">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_Toc19143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2．投标人资格要求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_Toc19143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642FF329">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_Toc20967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3．招标文件的获取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_Toc20967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2E5ED761">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_Toc16636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4．工期要求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_Toc16636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1CB79225">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_Toc5904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5．质量标准和材料、机械要求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_Toc5904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39C76C40">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_Toc22731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6．施工条件及现场踏勘</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_Toc22731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374E13B6">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_Toc32226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7．招标文件的提问和答疑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_Toc32226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4D3D49C8">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_Toc27957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8．招标控制价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_Toc27957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62109B29">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_Toc5746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9．投标报价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_Toc5746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2601C8B6">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_Toc19027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10．投标文件的编制要求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_Toc19027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33F789B8">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_Toc32748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bCs/>
          <w:color w:val="auto"/>
          <w:sz w:val="21"/>
          <w:szCs w:val="21"/>
          <w:highlight w:val="none"/>
        </w:rPr>
        <w:t>11.电子投标：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_Toc32748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4972298B">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_Toc236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bCs w:val="0"/>
          <w:snapToGrid w:val="0"/>
          <w:color w:val="auto"/>
          <w:sz w:val="21"/>
          <w:szCs w:val="21"/>
          <w:highlight w:val="none"/>
        </w:rPr>
        <w:t>12．电子投标及投标解密失败及突发情况的补救方案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78396E88">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_Toc12279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1</w:t>
      </w:r>
      <w:r>
        <w:rPr>
          <w:rFonts w:hint="eastAsia" w:ascii="宋体" w:hAnsi="宋体" w:eastAsia="宋体" w:cs="宋体"/>
          <w:snapToGrid w:val="0"/>
          <w:color w:val="auto"/>
          <w:sz w:val="21"/>
          <w:szCs w:val="21"/>
          <w:highlight w:val="none"/>
          <w:lang w:val="en-US" w:eastAsia="zh-CN"/>
        </w:rPr>
        <w:t>3</w:t>
      </w:r>
      <w:r>
        <w:rPr>
          <w:rFonts w:hint="eastAsia" w:ascii="宋体" w:hAnsi="宋体" w:eastAsia="宋体" w:cs="宋体"/>
          <w:snapToGrid w:val="0"/>
          <w:color w:val="auto"/>
          <w:sz w:val="21"/>
          <w:szCs w:val="21"/>
          <w:highlight w:val="none"/>
        </w:rPr>
        <w:t>．投标文件的递交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_Toc12279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43530967">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_Toc8165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1</w:t>
      </w:r>
      <w:r>
        <w:rPr>
          <w:rFonts w:hint="eastAsia" w:ascii="宋体" w:hAnsi="宋体" w:eastAsia="宋体" w:cs="宋体"/>
          <w:snapToGrid w:val="0"/>
          <w:color w:val="auto"/>
          <w:sz w:val="21"/>
          <w:szCs w:val="21"/>
          <w:highlight w:val="none"/>
          <w:lang w:val="en-US" w:eastAsia="zh-CN"/>
        </w:rPr>
        <w:t>4</w:t>
      </w:r>
      <w:r>
        <w:rPr>
          <w:rFonts w:hint="eastAsia" w:ascii="宋体" w:hAnsi="宋体" w:eastAsia="宋体" w:cs="宋体"/>
          <w:snapToGrid w:val="0"/>
          <w:color w:val="auto"/>
          <w:sz w:val="21"/>
          <w:szCs w:val="21"/>
          <w:highlight w:val="none"/>
        </w:rPr>
        <w:t>．开标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_Toc8165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657E2C4E">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_Toc24414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15．评标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_Toc24414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39B1DAA5">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_Toc8153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16．中标候选人公示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_Toc8153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3BC829A0">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_Toc7077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第四节 否决投标条件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_Toc7077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74B051C0">
      <w:pPr>
        <w:pStyle w:val="22"/>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_Toc694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第二章 中标人须知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_Toc694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2FE9C692">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_Toc18327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1．中标通知书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_Toc18327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2F5E7C25">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_Toc11876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2．中标结果公示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_Toc11876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24C22339">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_Toc11933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3．履约保证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_Toc11933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398E0060">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_Toc20807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4．合同订立</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_Toc20807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779785F0">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_Toc31675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5．放弃中标的处理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_Toc31675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2842A4E1">
      <w:pPr>
        <w:pStyle w:val="22"/>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_Toc4022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第三章 拟签订合同的主要条款</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_Toc4022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79CE96D7">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_Toc31151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1．工程承包方式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_Toc31151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2F8EDA7E">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_Toc27189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2．工程结算原则</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_Toc27189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2807760E">
      <w:pPr>
        <w:pStyle w:val="2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_Toc27842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3．工程付款办法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_Toc27842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495E6A56">
      <w:pPr>
        <w:pStyle w:val="22"/>
        <w:tabs>
          <w:tab w:val="right" w:leader="dot" w:pos="9746"/>
        </w:tabs>
        <w:rPr>
          <w:rFonts w:hint="eastAsia" w:ascii="宋体" w:hAnsi="宋体" w:eastAsia="宋体" w:cs="宋体"/>
          <w:snapToGrid w:val="0"/>
          <w:color w:val="auto"/>
          <w:kern w:val="0"/>
          <w:sz w:val="21"/>
          <w:szCs w:val="21"/>
          <w:highlight w:val="none"/>
        </w:rPr>
        <w:sectPr>
          <w:footerReference r:id="rId7"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start="1"/>
          <w:cols w:space="720" w:num="1"/>
          <w:docGrid w:linePitch="327" w:charSpace="0"/>
        </w:sectPr>
      </w:pPr>
    </w:p>
    <w:p w14:paraId="5637C773">
      <w:pPr>
        <w:pStyle w:val="22"/>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_Toc15197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第四章 技术要求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_Toc15197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55</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741AAFED">
      <w:pPr>
        <w:pStyle w:val="22"/>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_Toc23497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第五章 图纸和招标工程量清单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_Toc23497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729D2FAC">
      <w:pPr>
        <w:pStyle w:val="22"/>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_Toc29173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第六章 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_Toc29173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0267E469">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_Toc10900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格式一 封面</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_Toc10900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3054E6E2">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_Toc13316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格式二 投标函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_Toc13316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60</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40150052">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_Toc20416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格式三 各项承诺一览表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_Toc20416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63F4C44E">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_Toc7829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格式四 授权委托书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_Toc7829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63</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0A273E98">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_Toc11626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格式五 法定代表人身份证明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_Toc11626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64</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1409AE59">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_Toc10912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格式六 联合体协议书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_Toc10912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65</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57827F48">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_Toc8908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w:t>
      </w:r>
      <w:r>
        <w:rPr>
          <w:rFonts w:hint="eastAsia" w:ascii="宋体" w:hAnsi="宋体" w:eastAsia="宋体" w:cs="宋体"/>
          <w:snapToGrid w:val="0"/>
          <w:color w:val="auto"/>
          <w:sz w:val="21"/>
          <w:szCs w:val="21"/>
          <w:highlight w:val="none"/>
          <w:lang w:val="en-US" w:eastAsia="zh-CN"/>
        </w:rPr>
        <w:t>七</w:t>
      </w:r>
      <w:r>
        <w:rPr>
          <w:rFonts w:hint="eastAsia" w:ascii="宋体" w:hAnsi="宋体" w:eastAsia="宋体" w:cs="宋体"/>
          <w:snapToGrid w:val="0"/>
          <w:color w:val="auto"/>
          <w:sz w:val="21"/>
          <w:szCs w:val="21"/>
          <w:highlight w:val="none"/>
        </w:rPr>
        <w:t xml:space="preserve"> 投标人基本情况表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_Toc8908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67</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7C6B0040">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_Toc25619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w:t>
      </w:r>
      <w:r>
        <w:rPr>
          <w:rFonts w:hint="eastAsia" w:ascii="宋体" w:hAnsi="宋体" w:eastAsia="宋体" w:cs="宋体"/>
          <w:snapToGrid w:val="0"/>
          <w:color w:val="auto"/>
          <w:sz w:val="21"/>
          <w:szCs w:val="21"/>
          <w:highlight w:val="none"/>
          <w:lang w:val="en-US" w:eastAsia="zh-CN"/>
        </w:rPr>
        <w:t>八</w:t>
      </w:r>
      <w:r>
        <w:rPr>
          <w:rFonts w:hint="eastAsia" w:ascii="宋体" w:hAnsi="宋体" w:eastAsia="宋体" w:cs="宋体"/>
          <w:snapToGrid w:val="0"/>
          <w:color w:val="auto"/>
          <w:sz w:val="21"/>
          <w:szCs w:val="21"/>
          <w:highlight w:val="none"/>
        </w:rPr>
        <w:t xml:space="preserve"> 项目经理简历表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_Toc25619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68</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65BB1543">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_Toc30543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w:t>
      </w:r>
      <w:r>
        <w:rPr>
          <w:rFonts w:hint="eastAsia" w:ascii="宋体" w:hAnsi="宋体" w:eastAsia="宋体" w:cs="宋体"/>
          <w:snapToGrid w:val="0"/>
          <w:color w:val="auto"/>
          <w:sz w:val="21"/>
          <w:szCs w:val="21"/>
          <w:highlight w:val="none"/>
          <w:lang w:val="en-US" w:eastAsia="zh-CN"/>
        </w:rPr>
        <w:t>九</w:t>
      </w:r>
      <w:r>
        <w:rPr>
          <w:rFonts w:hint="eastAsia" w:ascii="宋体" w:hAnsi="宋体" w:eastAsia="宋体" w:cs="宋体"/>
          <w:snapToGrid w:val="0"/>
          <w:color w:val="auto"/>
          <w:sz w:val="21"/>
          <w:szCs w:val="21"/>
          <w:highlight w:val="none"/>
        </w:rPr>
        <w:t xml:space="preserve"> 项目经理任职声明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_Toc30543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69</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5D7C6FFE">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_Toc31511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w:t>
      </w:r>
      <w:r>
        <w:rPr>
          <w:rFonts w:hint="eastAsia" w:ascii="宋体" w:hAnsi="宋体" w:eastAsia="宋体" w:cs="宋体"/>
          <w:snapToGrid w:val="0"/>
          <w:color w:val="auto"/>
          <w:sz w:val="21"/>
          <w:szCs w:val="21"/>
          <w:highlight w:val="none"/>
          <w:lang w:val="en-US" w:eastAsia="zh-CN"/>
        </w:rPr>
        <w:t>十</w:t>
      </w:r>
      <w:r>
        <w:rPr>
          <w:rFonts w:hint="eastAsia" w:ascii="宋体" w:hAnsi="宋体" w:eastAsia="宋体" w:cs="宋体"/>
          <w:snapToGrid w:val="0"/>
          <w:color w:val="auto"/>
          <w:sz w:val="21"/>
          <w:szCs w:val="21"/>
          <w:highlight w:val="none"/>
        </w:rPr>
        <w:t xml:space="preserve"> 项目技术负责人简历表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_Toc31511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70</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677E12C4">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_Toc12087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格式十</w:t>
      </w:r>
      <w:r>
        <w:rPr>
          <w:rFonts w:hint="eastAsia" w:ascii="宋体" w:hAnsi="宋体" w:eastAsia="宋体" w:cs="宋体"/>
          <w:snapToGrid w:val="0"/>
          <w:color w:val="auto"/>
          <w:sz w:val="21"/>
          <w:szCs w:val="21"/>
          <w:highlight w:val="none"/>
          <w:lang w:val="en-US" w:eastAsia="zh-CN"/>
        </w:rPr>
        <w:t>一</w:t>
      </w:r>
      <w:r>
        <w:rPr>
          <w:rFonts w:hint="eastAsia" w:ascii="宋体" w:hAnsi="宋体" w:eastAsia="宋体" w:cs="宋体"/>
          <w:snapToGrid w:val="0"/>
          <w:color w:val="auto"/>
          <w:sz w:val="21"/>
          <w:szCs w:val="21"/>
          <w:highlight w:val="none"/>
        </w:rPr>
        <w:t xml:space="preserve"> 项目管理机构组成表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_Toc12087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71</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71A86AC9">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_Toc11422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格式十三</w:t>
      </w:r>
      <w:r>
        <w:rPr>
          <w:rFonts w:hint="eastAsia" w:ascii="宋体" w:hAnsi="宋体" w:eastAsia="宋体" w:cs="宋体"/>
          <w:color w:val="auto"/>
          <w:sz w:val="21"/>
          <w:szCs w:val="21"/>
          <w:highlight w:val="none"/>
        </w:rPr>
        <w:t>危险性较大的分部分项工程清单及超过一定规模的危险性较大的分部分项工程清单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_Toc11422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74</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296ACBB7">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_Toc9264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bCs/>
          <w:color w:val="auto"/>
          <w:sz w:val="21"/>
          <w:szCs w:val="21"/>
          <w:highlight w:val="none"/>
          <w:lang w:val="en-US" w:eastAsia="zh-CN"/>
        </w:rPr>
        <w:t>格式十四</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投标保证金信用承诺函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_Toc9264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78</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327CDF8E">
      <w:pPr>
        <w:pStyle w:val="16"/>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_Toc29695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bCs/>
          <w:color w:val="auto"/>
          <w:sz w:val="21"/>
          <w:szCs w:val="21"/>
          <w:highlight w:val="none"/>
          <w:lang w:val="en-US" w:eastAsia="zh-CN"/>
        </w:rPr>
        <w:t>格式十六 原件一览表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_Toc29695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80</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64E78152">
      <w:pPr>
        <w:pStyle w:val="22"/>
        <w:tabs>
          <w:tab w:val="right" w:leader="dot" w:pos="9746"/>
        </w:tabs>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fldChar w:fldCharType="begin"/>
      </w:r>
      <w:r>
        <w:rPr>
          <w:rFonts w:hint="eastAsia" w:ascii="宋体" w:hAnsi="宋体" w:eastAsia="宋体" w:cs="宋体"/>
          <w:snapToGrid w:val="0"/>
          <w:color w:val="auto"/>
          <w:kern w:val="0"/>
          <w:sz w:val="21"/>
          <w:szCs w:val="21"/>
          <w:highlight w:val="none"/>
        </w:rPr>
        <w:instrText xml:space="preserve"> HYPERLINK \l _Toc18769 </w:instrText>
      </w:r>
      <w:r>
        <w:rPr>
          <w:rFonts w:hint="eastAsia" w:ascii="宋体" w:hAnsi="宋体" w:eastAsia="宋体" w:cs="宋体"/>
          <w:snapToGrid w:val="0"/>
          <w:color w:val="auto"/>
          <w:kern w:val="0"/>
          <w:sz w:val="21"/>
          <w:szCs w:val="21"/>
          <w:highlight w:val="none"/>
        </w:rPr>
        <w:fldChar w:fldCharType="separate"/>
      </w:r>
      <w:r>
        <w:rPr>
          <w:rFonts w:hint="eastAsia" w:ascii="宋体" w:hAnsi="宋体" w:eastAsia="宋体" w:cs="宋体"/>
          <w:snapToGrid w:val="0"/>
          <w:color w:val="auto"/>
          <w:sz w:val="21"/>
          <w:szCs w:val="21"/>
          <w:highlight w:val="none"/>
        </w:rPr>
        <w:t>第七章 建设工程施工合同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_Toc18769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81</w:t>
      </w:r>
      <w:r>
        <w:rPr>
          <w:rFonts w:hint="eastAsia" w:ascii="宋体" w:hAnsi="宋体" w:eastAsia="宋体" w:cs="宋体"/>
          <w:color w:val="auto"/>
          <w:sz w:val="21"/>
          <w:szCs w:val="21"/>
          <w:highlight w:val="none"/>
        </w:rPr>
        <w:fldChar w:fldCharType="end"/>
      </w:r>
      <w:r>
        <w:rPr>
          <w:rFonts w:hint="eastAsia" w:ascii="宋体" w:hAnsi="宋体" w:eastAsia="宋体" w:cs="宋体"/>
          <w:snapToGrid w:val="0"/>
          <w:color w:val="auto"/>
          <w:kern w:val="0"/>
          <w:sz w:val="21"/>
          <w:szCs w:val="21"/>
          <w:highlight w:val="none"/>
        </w:rPr>
        <w:fldChar w:fldCharType="end"/>
      </w:r>
    </w:p>
    <w:p w14:paraId="7646FB18">
      <w:pPr>
        <w:tabs>
          <w:tab w:val="left" w:pos="4935"/>
        </w:tabs>
        <w:wordWrap w:val="0"/>
        <w:adjustRightInd w:val="0"/>
        <w:snapToGrid w:val="0"/>
        <w:spacing w:line="440" w:lineRule="exact"/>
        <w:jc w:val="center"/>
        <w:rPr>
          <w:rFonts w:hint="eastAsia" w:ascii="宋体" w:hAnsi="宋体" w:eastAsia="宋体" w:cs="宋体"/>
          <w:snapToGrid w:val="0"/>
          <w:color w:val="auto"/>
          <w:kern w:val="0"/>
          <w:sz w:val="21"/>
          <w:szCs w:val="21"/>
          <w:highlight w:val="none"/>
        </w:rPr>
        <w:sectPr>
          <w:footerReference r:id="rId8"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start="1"/>
          <w:cols w:space="720" w:num="1"/>
          <w:docGrid w:linePitch="327" w:charSpace="0"/>
        </w:sectPr>
      </w:pPr>
      <w:r>
        <w:rPr>
          <w:rFonts w:hint="eastAsia" w:ascii="宋体" w:hAnsi="宋体" w:eastAsia="宋体" w:cs="宋体"/>
          <w:snapToGrid w:val="0"/>
          <w:color w:val="auto"/>
          <w:kern w:val="0"/>
          <w:sz w:val="21"/>
          <w:szCs w:val="21"/>
          <w:highlight w:val="none"/>
        </w:rPr>
        <w:fldChar w:fldCharType="end"/>
      </w:r>
      <w:bookmarkEnd w:id="1"/>
      <w:bookmarkEnd w:id="2"/>
    </w:p>
    <w:p w14:paraId="539F162B">
      <w:pPr>
        <w:pStyle w:val="3"/>
        <w:wordWrap w:val="0"/>
        <w:autoSpaceDE/>
        <w:autoSpaceDN/>
        <w:snapToGrid w:val="0"/>
        <w:spacing w:line="440" w:lineRule="exact"/>
        <w:jc w:val="center"/>
        <w:rPr>
          <w:rFonts w:hint="eastAsia" w:ascii="宋体" w:hAnsi="宋体" w:eastAsia="宋体" w:cs="宋体"/>
          <w:b/>
          <w:snapToGrid w:val="0"/>
          <w:color w:val="auto"/>
          <w:sz w:val="24"/>
          <w:highlight w:val="none"/>
        </w:rPr>
      </w:pPr>
      <w:bookmarkStart w:id="3" w:name="_Hlt122423813"/>
      <w:bookmarkEnd w:id="3"/>
      <w:bookmarkStart w:id="4" w:name="_Hlt66153951"/>
      <w:bookmarkEnd w:id="4"/>
      <w:bookmarkStart w:id="5" w:name="_Hlt66104981"/>
      <w:bookmarkEnd w:id="5"/>
      <w:bookmarkStart w:id="6" w:name="_Toc7176"/>
      <w:bookmarkStart w:id="7" w:name="_Toc476739600"/>
      <w:bookmarkStart w:id="8" w:name="_Hlt111690251"/>
      <w:r>
        <w:rPr>
          <w:rFonts w:hint="eastAsia" w:ascii="宋体" w:hAnsi="宋体" w:eastAsia="宋体" w:cs="宋体"/>
          <w:b/>
          <w:snapToGrid w:val="0"/>
          <w:color w:val="auto"/>
          <w:sz w:val="24"/>
          <w:highlight w:val="none"/>
        </w:rPr>
        <w:t>第一章 投标人须知</w:t>
      </w:r>
      <w:bookmarkEnd w:id="6"/>
      <w:bookmarkEnd w:id="7"/>
    </w:p>
    <w:p w14:paraId="03DA0642">
      <w:pPr>
        <w:pStyle w:val="4"/>
        <w:wordWrap w:val="0"/>
        <w:autoSpaceDE/>
        <w:autoSpaceDN/>
        <w:snapToGrid w:val="0"/>
        <w:spacing w:before="260" w:after="260" w:line="440" w:lineRule="exact"/>
        <w:jc w:val="both"/>
        <w:rPr>
          <w:rFonts w:hint="eastAsia" w:ascii="宋体" w:hAnsi="宋体" w:eastAsia="宋体" w:cs="宋体"/>
          <w:b/>
          <w:snapToGrid w:val="0"/>
          <w:color w:val="auto"/>
          <w:highlight w:val="none"/>
        </w:rPr>
      </w:pPr>
      <w:bookmarkStart w:id="9" w:name="_Hlt127175444"/>
      <w:bookmarkEnd w:id="9"/>
      <w:bookmarkStart w:id="10" w:name="_Toc7502"/>
      <w:bookmarkStart w:id="11" w:name="_Hlt120077520"/>
      <w:r>
        <w:rPr>
          <w:rFonts w:hint="eastAsia" w:ascii="宋体" w:hAnsi="宋体" w:eastAsia="宋体" w:cs="宋体"/>
          <w:b/>
          <w:snapToGrid w:val="0"/>
          <w:color w:val="auto"/>
          <w:highlight w:val="none"/>
        </w:rPr>
        <w:t>第一节 投标人须知前附表</w:t>
      </w:r>
      <w:bookmarkEnd w:id="10"/>
    </w:p>
    <w:tbl>
      <w:tblPr>
        <w:tblStyle w:val="32"/>
        <w:tblW w:w="9873"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4"/>
        <w:gridCol w:w="1554"/>
        <w:gridCol w:w="7705"/>
      </w:tblGrid>
      <w:tr w14:paraId="0817A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7A47E5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序号</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44BAD3C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内容</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2350B999">
            <w:pPr>
              <w:keepNext w:val="0"/>
              <w:keepLines w:val="0"/>
              <w:pageBreakBefore w:val="0"/>
              <w:widowControl w:val="0"/>
              <w:suppressLineNumbers w:val="0"/>
              <w:tabs>
                <w:tab w:val="left" w:pos="1180"/>
              </w:tabs>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说明与要求</w:t>
            </w:r>
          </w:p>
        </w:tc>
      </w:tr>
      <w:tr w14:paraId="5E611B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91"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3ABAB12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679C9B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06A7FC7F">
            <w:pPr>
              <w:keepNext w:val="0"/>
              <w:keepLines w:val="0"/>
              <w:pageBreakBefore w:val="0"/>
              <w:widowControl w:val="0"/>
              <w:suppressLineNumbers w:val="0"/>
              <w:tabs>
                <w:tab w:val="left" w:pos="1180"/>
              </w:tabs>
              <w:kinsoku/>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eastAsia="zh-CN"/>
              </w:rPr>
              <w:t>曲江经济开发区东南片区基础设施建设项目-电力线路迁改工程施工（第二次）</w:t>
            </w:r>
          </w:p>
        </w:tc>
      </w:tr>
      <w:tr w14:paraId="3BEDDE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7"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4A48C4B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787010E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项目业主</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0527964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eastAsia="zh-CN"/>
              </w:rPr>
              <w:t>广东韶关曲江经济开发区管理委员会</w:t>
            </w:r>
          </w:p>
        </w:tc>
      </w:tr>
      <w:tr w14:paraId="72453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7F5B860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6615368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项目批准部门</w:t>
            </w:r>
            <w:r>
              <w:rPr>
                <w:rFonts w:hint="eastAsia" w:ascii="宋体" w:hAnsi="宋体" w:eastAsia="宋体" w:cs="宋体"/>
                <w:snapToGrid w:val="0"/>
                <w:color w:val="auto"/>
                <w:kern w:val="0"/>
                <w:sz w:val="21"/>
                <w:szCs w:val="21"/>
                <w:highlight w:val="none"/>
                <w:lang w:val="en-US" w:eastAsia="zh-CN"/>
              </w:rPr>
              <w:t>及 项目批准文号</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2856F29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韶关市曲江区发展和改革局、曲发改投审〔2025〕16号、曲发改投审〔2025〕44号</w:t>
            </w:r>
          </w:p>
        </w:tc>
      </w:tr>
      <w:tr w14:paraId="4FA334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2"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5659A52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4F8FA58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建设地点</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324B82F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曲江经济开发区东南片区</w:t>
            </w:r>
          </w:p>
        </w:tc>
      </w:tr>
      <w:tr w14:paraId="2DB6A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8"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3504FCF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68CE1E1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项目代码</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4C9D5CD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2503-440205-04-01-898960</w:t>
            </w:r>
          </w:p>
        </w:tc>
      </w:tr>
      <w:tr w14:paraId="0E414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0AB04F0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15881D2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资金来源</w:t>
            </w:r>
          </w:p>
          <w:p w14:paraId="393539A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及</w:t>
            </w:r>
            <w:r>
              <w:rPr>
                <w:rFonts w:hint="eastAsia" w:ascii="宋体" w:hAnsi="宋体" w:eastAsia="宋体" w:cs="宋体"/>
                <w:snapToGrid w:val="0"/>
                <w:color w:val="auto"/>
                <w:kern w:val="0"/>
                <w:sz w:val="21"/>
                <w:szCs w:val="21"/>
                <w:highlight w:val="none"/>
                <w:lang w:val="en-US" w:eastAsia="zh-CN"/>
              </w:rPr>
              <w:t>落实情况</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4AA1145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区财政统筹安排、资金已落实</w:t>
            </w:r>
          </w:p>
        </w:tc>
      </w:tr>
      <w:tr w14:paraId="0BB27C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5"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32B1922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5F75CDB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54E6D9B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eastAsia="zh-CN"/>
              </w:rPr>
              <w:t>广东韶关曲江经济开发区管理委员会</w:t>
            </w:r>
          </w:p>
        </w:tc>
      </w:tr>
      <w:tr w14:paraId="239D2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2"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4FBB444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01DC226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014652B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eastAsia="zh-CN"/>
              </w:rPr>
              <w:t>韶关市繁盛项目管理有限公司</w:t>
            </w:r>
          </w:p>
        </w:tc>
      </w:tr>
      <w:tr w14:paraId="076877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53945CA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6E019B3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设计单位</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33BF9F0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韶关市擎能设计有限公司</w:t>
            </w:r>
          </w:p>
        </w:tc>
      </w:tr>
      <w:tr w14:paraId="36FED9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1"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4AE593C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0</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7175286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造价咨询单位</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5B4DD9B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rPr>
            </w:pPr>
            <w:r>
              <w:rPr>
                <w:rFonts w:hint="eastAsia" w:hAnsi="宋体" w:cs="宋体"/>
                <w:bCs/>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lang w:val="en-US" w:eastAsia="zh-CN"/>
              </w:rPr>
              <w:t xml:space="preserve">非全过程造价咨询   </w:t>
            </w:r>
            <w:r>
              <w:rPr>
                <w:rFonts w:hint="eastAsia" w:hAnsi="宋体" w:cs="宋体"/>
                <w:bCs/>
                <w:snapToGrid w:val="0"/>
                <w:color w:val="auto"/>
                <w:kern w:val="0"/>
                <w:sz w:val="21"/>
                <w:szCs w:val="21"/>
                <w:highlight w:val="none"/>
                <w:lang w:val="en-US" w:eastAsia="zh-CN"/>
              </w:rPr>
              <w:t>☑</w:t>
            </w:r>
            <w:r>
              <w:rPr>
                <w:rFonts w:hint="eastAsia" w:ascii="宋体" w:hAnsi="宋体" w:eastAsia="宋体" w:cs="宋体"/>
                <w:bCs/>
                <w:snapToGrid w:val="0"/>
                <w:color w:val="auto"/>
                <w:kern w:val="0"/>
                <w:sz w:val="21"/>
                <w:szCs w:val="21"/>
                <w:highlight w:val="none"/>
                <w:lang w:val="en-US" w:eastAsia="zh-CN"/>
              </w:rPr>
              <w:t>全过程造价咨询</w:t>
            </w:r>
          </w:p>
        </w:tc>
      </w:tr>
      <w:tr w14:paraId="42CDDA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4A5913F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11</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5BBC2A9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监理单位</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10D9ADD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Cs/>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□已确定监理单位     ☑未确定监理单位</w:t>
            </w:r>
          </w:p>
        </w:tc>
      </w:tr>
      <w:tr w14:paraId="54313B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4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4445CFC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2</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3ABB851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建设内容和规模</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037E9E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建设规模：</w:t>
            </w:r>
          </w:p>
          <w:p w14:paraId="143580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bCs/>
                <w:snapToGrid w:val="0"/>
                <w:color w:val="auto"/>
                <w:kern w:val="0"/>
                <w:sz w:val="21"/>
                <w:szCs w:val="21"/>
                <w:highlight w:val="none"/>
                <w:vertAlign w:val="baseline"/>
                <w:lang w:val="en-US" w:eastAsia="zh-CN" w:bidi="ar-SA"/>
              </w:rPr>
            </w:pPr>
            <w:r>
              <w:rPr>
                <w:rFonts w:hint="eastAsia" w:ascii="宋体" w:hAnsi="宋体" w:eastAsia="宋体" w:cs="宋体"/>
                <w:color w:val="auto"/>
                <w:kern w:val="0"/>
                <w:sz w:val="21"/>
                <w:szCs w:val="21"/>
                <w:highlight w:val="none"/>
                <w:lang w:val="en-US" w:eastAsia="zh-CN" w:bidi="ar"/>
              </w:rPr>
              <w:t>☑建设内容：本工程包括河西地块部分和跨河段部分。其中河西地块部分建设内容主要为新架设10kV架空线路约8.688千米，新建铁塔11基等配套设施；拆除高压铁塔5基、10kV线路20.22千米、柱上负荷开关2台、柱上断路器开关1台、隔离刀闸1套及12米水泥电杆21根等。跨河段部分建设内容主要为新架设10kV架空线路约15.39千米，新建避雷线约5.13千米，新建铁塔12基等配套设施。</w:t>
            </w:r>
          </w:p>
        </w:tc>
      </w:tr>
      <w:tr w14:paraId="0B57E8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2A69B89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3</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416B9EB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项目总投资</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7334E3F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rPr>
              <w:t>项目概算总投资933.43万元，其中工程费用650.93万元，工程建设其他费用275.99万元（含建设期利息），预备费用6.51万元。</w:t>
            </w:r>
          </w:p>
        </w:tc>
      </w:tr>
      <w:tr w14:paraId="6AE98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2"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2664AA8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4</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768078F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招标范围</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4AB6BE5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eastAsia="zh-CN"/>
              </w:rPr>
              <w:t>按审查合格的施工图纸及工程量清单内容施工</w:t>
            </w:r>
            <w:r>
              <w:rPr>
                <w:rFonts w:hint="eastAsia" w:ascii="宋体" w:hAnsi="宋体" w:eastAsia="宋体" w:cs="宋体"/>
                <w:b w:val="0"/>
                <w:bCs w:val="0"/>
                <w:snapToGrid w:val="0"/>
                <w:color w:val="auto"/>
                <w:kern w:val="0"/>
                <w:sz w:val="21"/>
                <w:szCs w:val="21"/>
                <w:highlight w:val="none"/>
              </w:rPr>
              <w:t>。</w:t>
            </w:r>
          </w:p>
        </w:tc>
      </w:tr>
      <w:tr w14:paraId="1CD72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23"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4A66813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3A4168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标段划分</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5CDB47A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本招标项目不划分标段。</w:t>
            </w:r>
          </w:p>
        </w:tc>
      </w:tr>
      <w:tr w14:paraId="4BDF6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95"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586971D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6</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11C747B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工期</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15A5B29F">
            <w:pPr>
              <w:pStyle w:val="9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本招标项目招标工期为90个日历天。具体如下：</w:t>
            </w:r>
          </w:p>
          <w:p w14:paraId="0F4DFAE9">
            <w:pPr>
              <w:pStyle w:val="9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val="0"/>
                <w:bCs w:val="0"/>
                <w:snapToGrid w:val="0"/>
                <w:color w:val="auto"/>
                <w:kern w:val="0"/>
                <w:sz w:val="21"/>
                <w:szCs w:val="21"/>
                <w:highlight w:val="none"/>
                <w:lang w:val="en-US" w:eastAsia="zh-CN"/>
              </w:rPr>
              <w:t>☑总工期：</w:t>
            </w:r>
            <w:r>
              <w:rPr>
                <w:rFonts w:hint="eastAsia" w:ascii="宋体" w:hAnsi="宋体" w:eastAsia="宋体" w:cs="宋体"/>
                <w:b w:val="0"/>
                <w:bCs w:val="0"/>
                <w:snapToGrid w:val="0"/>
                <w:color w:val="auto"/>
                <w:kern w:val="0"/>
                <w:sz w:val="21"/>
                <w:szCs w:val="21"/>
                <w:highlight w:val="none"/>
                <w:u w:val="single"/>
                <w:lang w:val="en-US" w:eastAsia="zh-CN"/>
              </w:rPr>
              <w:t xml:space="preserve"> 90 </w:t>
            </w:r>
            <w:r>
              <w:rPr>
                <w:rFonts w:hint="eastAsia" w:ascii="宋体" w:hAnsi="宋体" w:eastAsia="宋体" w:cs="宋体"/>
                <w:b w:val="0"/>
                <w:bCs w:val="0"/>
                <w:snapToGrid w:val="0"/>
                <w:color w:val="auto"/>
                <w:kern w:val="0"/>
                <w:sz w:val="21"/>
                <w:szCs w:val="21"/>
                <w:highlight w:val="none"/>
                <w:lang w:val="en-US" w:eastAsia="zh-CN"/>
              </w:rPr>
              <w:t xml:space="preserve"> 天（日历天）。 </w:t>
            </w:r>
          </w:p>
          <w:p w14:paraId="13E55722">
            <w:pPr>
              <w:pStyle w:val="9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计划开工日期：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年</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日（具体开工日期以合同为准）</w:t>
            </w:r>
          </w:p>
          <w:p w14:paraId="02299BF1">
            <w:pPr>
              <w:pStyle w:val="9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计划竣工日期：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年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月</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日 </w:t>
            </w:r>
          </w:p>
          <w:p w14:paraId="42810689">
            <w:pPr>
              <w:pStyle w:val="9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b w:val="0"/>
                <w:bCs w:val="0"/>
                <w:snapToGrid w:val="0"/>
                <w:color w:val="auto"/>
                <w:kern w:val="0"/>
                <w:sz w:val="21"/>
                <w:szCs w:val="21"/>
                <w:highlight w:val="none"/>
                <w:lang w:val="en-US"/>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b w:val="0"/>
                <w:bCs w:val="0"/>
                <w:snapToGrid w:val="0"/>
                <w:color w:val="auto"/>
                <w:kern w:val="0"/>
                <w:sz w:val="21"/>
                <w:szCs w:val="21"/>
                <w:highlight w:val="none"/>
                <w:lang w:val="en-US" w:eastAsia="zh-CN"/>
              </w:rPr>
              <w:t xml:space="preserve">除上述总工期外，发包人还要求以下阶段工期： </w:t>
            </w:r>
            <w:r>
              <w:rPr>
                <w:rFonts w:hint="eastAsia" w:ascii="宋体" w:hAnsi="宋体" w:eastAsia="宋体" w:cs="宋体"/>
                <w:b w:val="0"/>
                <w:bCs w:val="0"/>
                <w:snapToGrid w:val="0"/>
                <w:color w:val="auto"/>
                <w:kern w:val="0"/>
                <w:sz w:val="21"/>
                <w:szCs w:val="21"/>
                <w:highlight w:val="none"/>
                <w:u w:val="single"/>
                <w:lang w:val="en-US" w:eastAsia="zh-CN"/>
              </w:rPr>
              <w:t xml:space="preserve">   /  </w:t>
            </w:r>
            <w:r>
              <w:rPr>
                <w:rFonts w:hint="eastAsia" w:ascii="宋体" w:hAnsi="宋体" w:eastAsia="宋体" w:cs="宋体"/>
                <w:b w:val="0"/>
                <w:bCs w:val="0"/>
                <w:snapToGrid w:val="0"/>
                <w:color w:val="auto"/>
                <w:kern w:val="0"/>
                <w:sz w:val="21"/>
                <w:szCs w:val="21"/>
                <w:highlight w:val="none"/>
                <w:lang w:val="en-US" w:eastAsia="zh-CN"/>
              </w:rPr>
              <w:t xml:space="preserve"> </w:t>
            </w:r>
          </w:p>
        </w:tc>
      </w:tr>
      <w:tr w14:paraId="59C94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1B0BC12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7</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05CEB32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质量标准</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39A67EF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质量目标：合格</w:t>
            </w:r>
          </w:p>
          <w:p w14:paraId="38A45AC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☑质量标准：符合现行国家有关工程施工质量验收规范和标准的要求。</w:t>
            </w:r>
          </w:p>
          <w:p w14:paraId="2A63B92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b w:val="0"/>
                <w:bCs w:val="0"/>
                <w:snapToGrid w:val="0"/>
                <w:color w:val="auto"/>
                <w:kern w:val="0"/>
                <w:sz w:val="21"/>
                <w:szCs w:val="21"/>
                <w:highlight w:val="none"/>
                <w:u w:val="none"/>
                <w:lang w:val="en-US" w:eastAsia="zh-CN"/>
              </w:rPr>
              <w:t xml:space="preserve"> </w:t>
            </w:r>
            <w:r>
              <w:rPr>
                <w:rFonts w:hint="eastAsia" w:ascii="宋体" w:hAnsi="宋体" w:eastAsia="宋体" w:cs="宋体"/>
                <w:color w:val="auto"/>
                <w:kern w:val="0"/>
                <w:sz w:val="21"/>
                <w:szCs w:val="21"/>
                <w:highlight w:val="none"/>
                <w:lang w:val="en-US" w:eastAsia="zh-CN" w:bidi="ar"/>
              </w:rPr>
              <w:t>优质工程要求：</w:t>
            </w:r>
            <w:r>
              <w:rPr>
                <w:rFonts w:hint="eastAsia" w:ascii="宋体" w:hAnsi="宋体" w:eastAsia="宋体" w:cs="宋体"/>
                <w:color w:val="auto"/>
                <w:kern w:val="0"/>
                <w:sz w:val="21"/>
                <w:szCs w:val="21"/>
                <w:highlight w:val="none"/>
                <w:u w:val="single"/>
                <w:lang w:val="en-US" w:eastAsia="zh-CN" w:bidi="ar"/>
              </w:rPr>
              <w:t>无/市优/省优/.....</w:t>
            </w:r>
          </w:p>
          <w:p w14:paraId="0AAD67A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leftChars="0" w:right="0" w:firstLine="239" w:firstLineChars="114"/>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工程优质费：☑无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 xml:space="preserve">有：     </w:t>
            </w:r>
          </w:p>
        </w:tc>
      </w:tr>
      <w:tr w14:paraId="53FC4B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614" w:type="dxa"/>
            <w:vMerge w:val="restart"/>
            <w:tcBorders>
              <w:top w:val="single" w:color="auto" w:sz="4" w:space="0"/>
              <w:left w:val="single" w:color="auto" w:sz="4" w:space="0"/>
              <w:right w:val="single" w:color="auto" w:sz="4" w:space="0"/>
            </w:tcBorders>
            <w:noWrap w:val="0"/>
            <w:vAlign w:val="center"/>
          </w:tcPr>
          <w:p w14:paraId="41824A2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8</w:t>
            </w:r>
          </w:p>
        </w:tc>
        <w:tc>
          <w:tcPr>
            <w:tcW w:w="1554" w:type="dxa"/>
            <w:vMerge w:val="restart"/>
            <w:tcBorders>
              <w:top w:val="single" w:color="auto" w:sz="4" w:space="0"/>
              <w:left w:val="single" w:color="auto" w:sz="4" w:space="0"/>
              <w:right w:val="single" w:color="auto" w:sz="4" w:space="0"/>
            </w:tcBorders>
            <w:noWrap w:val="0"/>
            <w:vAlign w:val="center"/>
          </w:tcPr>
          <w:p w14:paraId="1A204E9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合同类型</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0D2D78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bookmarkStart w:id="12" w:name="_Hlt106417017"/>
            <w:bookmarkEnd w:id="12"/>
            <w:r>
              <w:rPr>
                <w:rFonts w:hint="eastAsia" w:ascii="宋体" w:hAnsi="宋体" w:eastAsia="宋体" w:cs="宋体"/>
                <w:color w:val="auto"/>
                <w:kern w:val="0"/>
                <w:sz w:val="21"/>
                <w:szCs w:val="21"/>
                <w:highlight w:val="none"/>
                <w:lang w:val="en-US" w:eastAsia="zh-CN" w:bidi="ar"/>
              </w:rPr>
              <w:t xml:space="preserve">☑单价合同：发承包双方约定以工程量清单及其综合单价进行合同价款计算、调整和确认的建设工程施工合同。 </w:t>
            </w:r>
          </w:p>
          <w:p w14:paraId="572AF5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F708B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14" w:type="dxa"/>
            <w:vMerge w:val="continue"/>
            <w:tcBorders>
              <w:left w:val="single" w:color="auto" w:sz="4" w:space="0"/>
              <w:bottom w:val="single" w:color="auto" w:sz="4" w:space="0"/>
              <w:right w:val="single" w:color="auto" w:sz="4" w:space="0"/>
            </w:tcBorders>
            <w:noWrap w:val="0"/>
            <w:vAlign w:val="center"/>
          </w:tcPr>
          <w:p w14:paraId="1974E35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p>
        </w:tc>
        <w:tc>
          <w:tcPr>
            <w:tcW w:w="1554" w:type="dxa"/>
            <w:vMerge w:val="continue"/>
            <w:tcBorders>
              <w:left w:val="single" w:color="auto" w:sz="4" w:space="0"/>
              <w:bottom w:val="single" w:color="auto" w:sz="4" w:space="0"/>
              <w:right w:val="single" w:color="auto" w:sz="4" w:space="0"/>
            </w:tcBorders>
            <w:noWrap w:val="0"/>
            <w:vAlign w:val="center"/>
          </w:tcPr>
          <w:p w14:paraId="0A3F7F4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p>
        </w:tc>
        <w:tc>
          <w:tcPr>
            <w:tcW w:w="7705" w:type="dxa"/>
            <w:tcBorders>
              <w:top w:val="single" w:color="auto" w:sz="4" w:space="0"/>
              <w:left w:val="single" w:color="auto" w:sz="4" w:space="0"/>
              <w:bottom w:val="single" w:color="auto" w:sz="4" w:space="0"/>
              <w:right w:val="single" w:color="auto" w:sz="4" w:space="0"/>
            </w:tcBorders>
            <w:noWrap w:val="0"/>
            <w:vAlign w:val="center"/>
          </w:tcPr>
          <w:p w14:paraId="667D4C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□总价合同：发承包双方约定以施工图及其预算和有关条件进行合同价款计算、调整和确认的建设工程施工合同。 </w:t>
            </w:r>
          </w:p>
          <w:p w14:paraId="670D61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79CE1B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4375743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19</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1DD2438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房屋建筑工程</w:t>
            </w:r>
          </w:p>
          <w:p w14:paraId="5DC8ED0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绿色建筑标准</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24961F4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color w:val="auto"/>
                <w:sz w:val="21"/>
                <w:szCs w:val="21"/>
                <w:highlight w:val="none"/>
              </w:rPr>
              <w:t>本招标项目不纳入绿色建设实施范围。</w:t>
            </w:r>
          </w:p>
        </w:tc>
      </w:tr>
      <w:tr w14:paraId="5C3C6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2FA04D0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19.1</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2B80115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装配式建筑标准</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2AD4A7E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color w:val="auto"/>
                <w:sz w:val="21"/>
                <w:szCs w:val="21"/>
                <w:highlight w:val="none"/>
              </w:rPr>
              <w:t>本招标项目不纳入装配式建造建设实施范围。</w:t>
            </w:r>
          </w:p>
        </w:tc>
      </w:tr>
      <w:tr w14:paraId="4205B2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2"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282C155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20</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3C00E36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发包人提供材料 和工程设备</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51A0D9E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发包人提供材料和工程设备：☑无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snapToGrid w:val="0"/>
                <w:color w:val="auto"/>
                <w:kern w:val="0"/>
                <w:sz w:val="21"/>
                <w:szCs w:val="21"/>
                <w:highlight w:val="none"/>
                <w:lang w:val="en-US" w:eastAsia="zh-CN"/>
              </w:rPr>
              <w:t>有：</w:t>
            </w:r>
            <w:r>
              <w:rPr>
                <w:rFonts w:hint="eastAsia" w:ascii="宋体" w:hAnsi="宋体" w:eastAsia="宋体" w:cs="宋体"/>
                <w:snapToGrid w:val="0"/>
                <w:color w:val="auto"/>
                <w:kern w:val="0"/>
                <w:sz w:val="21"/>
                <w:szCs w:val="21"/>
                <w:highlight w:val="none"/>
                <w:u w:val="single"/>
                <w:lang w:val="en-US" w:eastAsia="zh-CN"/>
              </w:rPr>
              <w:t xml:space="preserve">   /           </w:t>
            </w:r>
          </w:p>
        </w:tc>
      </w:tr>
      <w:tr w14:paraId="70A2DF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6D44DC8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21</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4CFAF87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承包人提供材料</w:t>
            </w:r>
          </w:p>
          <w:p w14:paraId="15B23EF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和工程设备</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2F17AF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w:t>
            </w:r>
            <w:r>
              <w:rPr>
                <w:rFonts w:hint="eastAsia" w:ascii="宋体" w:hAnsi="宋体" w:eastAsia="宋体" w:cs="宋体"/>
                <w:color w:val="auto"/>
                <w:spacing w:val="-6"/>
                <w:kern w:val="0"/>
                <w:sz w:val="21"/>
                <w:szCs w:val="21"/>
                <w:highlight w:val="none"/>
                <w:lang w:val="en-US" w:eastAsia="zh-CN" w:bidi="ar"/>
              </w:rPr>
              <w:t xml:space="preserve">料、工程设备，但经检测证明该项材料、工程设备符合合同约定的质量标准的，发包人应承担由此增加的费用和（或）工期延误，并向承包人支付合理利润。 </w:t>
            </w:r>
          </w:p>
          <w:p w14:paraId="057767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□其它说明：鼓励承包人积极采购环保产品进行施工。</w:t>
            </w:r>
          </w:p>
        </w:tc>
      </w:tr>
      <w:tr w14:paraId="4FB9DA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1"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4EE54F2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22</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1F9C24C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trike/>
                <w:snapToGrid w:val="0"/>
                <w:color w:val="auto"/>
                <w:kern w:val="0"/>
                <w:sz w:val="21"/>
                <w:szCs w:val="21"/>
                <w:highlight w:val="none"/>
              </w:rPr>
            </w:pPr>
            <w:r>
              <w:rPr>
                <w:rFonts w:hint="eastAsia" w:ascii="宋体" w:hAnsi="宋体" w:eastAsia="宋体" w:cs="宋体"/>
                <w:strike w:val="0"/>
                <w:snapToGrid w:val="0"/>
                <w:color w:val="auto"/>
                <w:kern w:val="0"/>
                <w:sz w:val="21"/>
                <w:szCs w:val="21"/>
                <w:highlight w:val="none"/>
                <w:lang w:val="en-US" w:eastAsia="zh-CN"/>
              </w:rPr>
              <w:t>最高投标限价</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39454D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最高投标限价人民币：大写伍佰柒拾叁万壹仟捌佰伍拾柒元叁角陆分(小写¥5731857.36元)。其中绿色施工安全防护措施费不得低于：¥434325.81元；暂列金额（统一报价）：¥470000.00元。</w:t>
            </w:r>
          </w:p>
        </w:tc>
      </w:tr>
      <w:tr w14:paraId="763733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7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6BD536C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23</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17EB037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投标人的投标</w:t>
            </w:r>
          </w:p>
          <w:p w14:paraId="7429A4D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报价</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7C8219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投标时响应招标文件要求所报出的对已标价工程量清单汇总后标明的价。投标人在投标报价填写的工程量清单的项目编码、项目名称、项目特征、计量单位、工程数量必须与招标人招标文件中提供的一致，投标价不能低于工程成本、高于最高投标限价。</w:t>
            </w:r>
          </w:p>
          <w:p w14:paraId="261871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投标报价方式：☑工程量清单报价  □其他： </w:t>
            </w:r>
          </w:p>
          <w:p w14:paraId="17B2422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textAlignment w:val="auto"/>
              <w:rPr>
                <w:rFonts w:hint="default" w:ascii="宋体" w:hAnsi="宋体" w:eastAsia="宋体" w:cs="宋体"/>
                <w:snapToGrid w:val="0"/>
                <w:color w:val="auto"/>
                <w:kern w:val="0"/>
                <w:sz w:val="21"/>
                <w:szCs w:val="21"/>
                <w:highlight w:val="none"/>
                <w:lang w:val="en-US"/>
              </w:rPr>
            </w:pPr>
            <w:r>
              <w:rPr>
                <w:rFonts w:hint="eastAsia" w:ascii="宋体" w:hAnsi="宋体" w:eastAsia="宋体" w:cs="宋体"/>
                <w:snapToGrid w:val="0"/>
                <w:color w:val="auto"/>
                <w:kern w:val="0"/>
                <w:sz w:val="21"/>
                <w:szCs w:val="21"/>
                <w:highlight w:val="none"/>
                <w:lang w:val="en-US" w:eastAsia="zh-CN"/>
              </w:rPr>
              <w:t>最高投标限价：5731857.36元</w:t>
            </w:r>
            <w:r>
              <w:rPr>
                <w:rFonts w:hint="eastAsia" w:hAnsi="宋体" w:cs="宋体"/>
                <w:snapToGrid w:val="0"/>
                <w:color w:val="auto"/>
                <w:kern w:val="0"/>
                <w:sz w:val="21"/>
                <w:szCs w:val="21"/>
                <w:highlight w:val="none"/>
                <w:lang w:val="en-US" w:eastAsia="zh-CN"/>
              </w:rPr>
              <w:t>，其中绿色施工安全防护措施费不得低于：¥434325.81元；暂列金额（统一报价）：¥470000.00元。</w:t>
            </w:r>
          </w:p>
          <w:p w14:paraId="47AD2BE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投标报价时，应按《广东省建设工程计价依据（2018）》规定的费率报价，若招标工程量清单明确说明不计算预算包干费或另外确定预算包干费费率的，则按招标工程量清单报价。</w:t>
            </w:r>
          </w:p>
        </w:tc>
      </w:tr>
      <w:tr w14:paraId="5276B1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27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12B3570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24</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42CA730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投标报价风险</w:t>
            </w:r>
          </w:p>
          <w:p w14:paraId="73E2800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p>
        </w:tc>
        <w:tc>
          <w:tcPr>
            <w:tcW w:w="7705" w:type="dxa"/>
            <w:tcBorders>
              <w:top w:val="single" w:color="auto" w:sz="4" w:space="0"/>
              <w:left w:val="single" w:color="auto" w:sz="4" w:space="0"/>
              <w:bottom w:val="single" w:color="auto" w:sz="4" w:space="0"/>
              <w:right w:val="single" w:color="auto" w:sz="4" w:space="0"/>
            </w:tcBorders>
            <w:noWrap w:val="0"/>
            <w:vAlign w:val="center"/>
          </w:tcPr>
          <w:p w14:paraId="1510A2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☑投标人依据招标文件约定自行考虑风险因素，一旦中标，投标报价（合同价）除合同另有约定外将不因市场变化而调整。 </w:t>
            </w:r>
          </w:p>
          <w:p w14:paraId="0E724E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☑投标报价中应包括工程量清单项目所发生的人工费、材料费、 机具费、管理费、利润、措施项目费、其它项目费、税金、暂列金额、暂估价以及所有风险、责任等各项费用。 </w:t>
            </w:r>
          </w:p>
          <w:p w14:paraId="4AE375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☑人工费、材料费、机具费、管理费、利润、措施项目费（不含绿色施工安全防护措施费）投标人漏报或不报，招标人视为有关费用已包括在工程量清单项目的其它单价及合价中不予另外增加。 </w:t>
            </w:r>
          </w:p>
          <w:p w14:paraId="4F2229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☑措施项目中的绿色施工安全防护措施费，必须按国家、省级、市级（即工程所在地）行业建设主管部门的规定计算，不得作为竞争性费用。 </w:t>
            </w:r>
          </w:p>
          <w:p w14:paraId="559283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☑投标人应按照招标文件提供的工程量清单逐项填写单价和合价，投标人未填写的项目，招标人将视为此项费用已包括在工程量清单项目的其它单价及合价中不予另外增加。 </w:t>
            </w:r>
          </w:p>
          <w:p w14:paraId="11DA7D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 </w:t>
            </w:r>
          </w:p>
          <w:p w14:paraId="7D8D63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☑招标人向投标人提供的有关施工现场资料及数据，是招标人现有的能使投标人利用的资料，招标人对投标人据此作出的推论及理解概不负责。 </w:t>
            </w:r>
          </w:p>
          <w:p w14:paraId="5A34A7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 </w:t>
            </w:r>
          </w:p>
          <w:p w14:paraId="3466C8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☑错漏项的认定。中标人已标价工程量清单中，任一清单项目未填报价格或价格为零的，招标人将视为此项费用已包括在工程量清单项目的其它单价及合价中不予另外增加。</w:t>
            </w:r>
          </w:p>
        </w:tc>
      </w:tr>
      <w:tr w14:paraId="339104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5"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51D625C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25</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4AA4521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投标费用</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75FD8E2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投标人自行承担编制与递交投标文件的一切费用。</w:t>
            </w:r>
          </w:p>
        </w:tc>
      </w:tr>
      <w:tr w14:paraId="623E4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086"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109CBCE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26</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71D3D98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投标人资格要求</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713F460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本次招标不接受联合体投标。</w:t>
            </w:r>
          </w:p>
          <w:p w14:paraId="3D49D4C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2．资格资质要求</w:t>
            </w:r>
          </w:p>
          <w:p w14:paraId="19EC081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投标人须具备独立法人资格，按国家法律经营。</w:t>
            </w:r>
          </w:p>
          <w:p w14:paraId="352E7BA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投标人须持有建设行政主管部门颁发的企业资质证书及安全生产许可证。</w:t>
            </w:r>
          </w:p>
          <w:p w14:paraId="2CC75AD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投标人须</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具备以下资质：</w:t>
            </w:r>
          </w:p>
          <w:p w14:paraId="534DB38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none"/>
                <w:lang w:eastAsia="zh-CN"/>
              </w:rPr>
              <w:t>电力工程施工总承包三级以上（含三级）资质或输变电工程专业承包三级以上（含三级）资质，并在有效期内；</w:t>
            </w:r>
          </w:p>
          <w:p w14:paraId="39489C2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2</w:t>
            </w:r>
            <w:r>
              <w:rPr>
                <w:rFonts w:hint="eastAsia" w:ascii="宋体" w:hAnsi="宋体" w:eastAsia="宋体" w:cs="宋体"/>
                <w:color w:val="auto"/>
                <w:sz w:val="21"/>
                <w:szCs w:val="21"/>
                <w:highlight w:val="none"/>
                <w:u w:val="none"/>
                <w:lang w:eastAsia="zh-CN"/>
              </w:rPr>
              <w:t>）持有国家能源局颁发的《承装（修、试）电力设施许可证》，且许可类型和等级为承装类</w:t>
            </w:r>
            <w:r>
              <w:rPr>
                <w:rFonts w:hint="eastAsia" w:ascii="宋体" w:hAnsi="宋体" w:eastAsia="宋体" w:cs="宋体"/>
                <w:color w:val="auto"/>
                <w:sz w:val="21"/>
                <w:szCs w:val="21"/>
                <w:highlight w:val="none"/>
                <w:u w:val="none"/>
                <w:lang w:val="en-US" w:eastAsia="zh-CN"/>
              </w:rPr>
              <w:t>三</w:t>
            </w:r>
            <w:r>
              <w:rPr>
                <w:rFonts w:hint="eastAsia" w:ascii="宋体" w:hAnsi="宋体" w:eastAsia="宋体" w:cs="宋体"/>
                <w:color w:val="auto"/>
                <w:sz w:val="21"/>
                <w:szCs w:val="21"/>
                <w:highlight w:val="none"/>
                <w:u w:val="none"/>
                <w:lang w:eastAsia="zh-CN"/>
              </w:rPr>
              <w:t>级以上（含</w:t>
            </w:r>
            <w:r>
              <w:rPr>
                <w:rFonts w:hint="eastAsia" w:ascii="宋体" w:hAnsi="宋体" w:eastAsia="宋体" w:cs="宋体"/>
                <w:color w:val="auto"/>
                <w:sz w:val="21"/>
                <w:szCs w:val="21"/>
                <w:highlight w:val="none"/>
                <w:u w:val="none"/>
                <w:lang w:val="en-US" w:eastAsia="zh-CN"/>
              </w:rPr>
              <w:t>三</w:t>
            </w:r>
            <w:r>
              <w:rPr>
                <w:rFonts w:hint="eastAsia" w:ascii="宋体" w:hAnsi="宋体" w:eastAsia="宋体" w:cs="宋体"/>
                <w:color w:val="auto"/>
                <w:sz w:val="21"/>
                <w:szCs w:val="21"/>
                <w:highlight w:val="none"/>
                <w:u w:val="none"/>
                <w:lang w:eastAsia="zh-CN"/>
              </w:rPr>
              <w:t>级）、承试类</w:t>
            </w:r>
            <w:r>
              <w:rPr>
                <w:rFonts w:hint="eastAsia" w:ascii="宋体" w:hAnsi="宋体" w:eastAsia="宋体" w:cs="宋体"/>
                <w:color w:val="auto"/>
                <w:sz w:val="21"/>
                <w:szCs w:val="21"/>
                <w:highlight w:val="none"/>
                <w:u w:val="none"/>
                <w:lang w:val="en-US" w:eastAsia="zh-CN"/>
              </w:rPr>
              <w:t>三</w:t>
            </w:r>
            <w:r>
              <w:rPr>
                <w:rFonts w:hint="eastAsia" w:ascii="宋体" w:hAnsi="宋体" w:eastAsia="宋体" w:cs="宋体"/>
                <w:color w:val="auto"/>
                <w:sz w:val="21"/>
                <w:szCs w:val="21"/>
                <w:highlight w:val="none"/>
                <w:u w:val="none"/>
                <w:lang w:eastAsia="zh-CN"/>
              </w:rPr>
              <w:t>级以上（含</w:t>
            </w:r>
            <w:r>
              <w:rPr>
                <w:rFonts w:hint="eastAsia" w:ascii="宋体" w:hAnsi="宋体" w:eastAsia="宋体" w:cs="宋体"/>
                <w:color w:val="auto"/>
                <w:sz w:val="21"/>
                <w:szCs w:val="21"/>
                <w:highlight w:val="none"/>
                <w:u w:val="none"/>
                <w:lang w:val="en-US" w:eastAsia="zh-CN"/>
              </w:rPr>
              <w:t>三</w:t>
            </w:r>
            <w:r>
              <w:rPr>
                <w:rFonts w:hint="eastAsia" w:ascii="宋体" w:hAnsi="宋体" w:eastAsia="宋体" w:cs="宋体"/>
                <w:color w:val="auto"/>
                <w:sz w:val="21"/>
                <w:szCs w:val="21"/>
                <w:highlight w:val="none"/>
                <w:u w:val="none"/>
                <w:lang w:eastAsia="zh-CN"/>
              </w:rPr>
              <w:t>级）许可，并在有效期内。</w:t>
            </w:r>
          </w:p>
          <w:p w14:paraId="4B8B047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kern w:val="2"/>
                <w:sz w:val="21"/>
                <w:szCs w:val="21"/>
                <w:highlight w:val="none"/>
                <w:lang w:val="en-US" w:eastAsia="zh-CN" w:bidi="ar-SA"/>
              </w:rPr>
              <w:t>2.4</w:t>
            </w:r>
            <w:r>
              <w:rPr>
                <w:rFonts w:hint="eastAsia" w:ascii="宋体" w:hAnsi="宋体" w:eastAsia="宋体" w:cs="宋体"/>
                <w:snapToGrid w:val="0"/>
                <w:color w:val="auto"/>
                <w:kern w:val="0"/>
                <w:sz w:val="21"/>
                <w:szCs w:val="21"/>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D683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3．相关人员要求</w:t>
            </w:r>
          </w:p>
          <w:p w14:paraId="339EEC2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color w:val="auto"/>
                <w:sz w:val="21"/>
                <w:szCs w:val="21"/>
                <w:highlight w:val="none"/>
              </w:rPr>
              <w:t>3.1</w:t>
            </w:r>
            <w:r>
              <w:rPr>
                <w:rFonts w:hint="eastAsia" w:ascii="宋体" w:hAnsi="宋体" w:eastAsia="宋体" w:cs="宋体"/>
                <w:snapToGrid w:val="0"/>
                <w:color w:val="auto"/>
                <w:kern w:val="0"/>
                <w:sz w:val="21"/>
                <w:szCs w:val="21"/>
                <w:highlight w:val="none"/>
              </w:rPr>
              <w:t> 拟派项目经理为</w:t>
            </w:r>
            <w:r>
              <w:rPr>
                <w:rFonts w:hint="eastAsia" w:ascii="宋体" w:hAnsi="宋体" w:eastAsia="宋体" w:cs="宋体"/>
                <w:snapToGrid w:val="0"/>
                <w:color w:val="auto"/>
                <w:kern w:val="0"/>
                <w:sz w:val="21"/>
                <w:szCs w:val="21"/>
                <w:highlight w:val="none"/>
                <w:u w:val="single"/>
                <w:lang w:eastAsia="zh-CN"/>
              </w:rPr>
              <w:t>机电工程</w:t>
            </w:r>
            <w:r>
              <w:rPr>
                <w:rFonts w:hint="eastAsia" w:ascii="宋体" w:hAnsi="宋体" w:eastAsia="宋体" w:cs="宋体"/>
                <w:snapToGrid w:val="0"/>
                <w:color w:val="auto"/>
                <w:kern w:val="0"/>
                <w:sz w:val="21"/>
                <w:szCs w:val="21"/>
                <w:highlight w:val="none"/>
              </w:rPr>
              <w:t>专业一级或二级注册建造师，</w:t>
            </w:r>
            <w:r>
              <w:rPr>
                <w:rFonts w:hint="eastAsia" w:ascii="宋体" w:hAnsi="宋体" w:eastAsia="宋体" w:cs="宋体"/>
                <w:snapToGrid w:val="0"/>
                <w:color w:val="auto"/>
                <w:kern w:val="0"/>
                <w:sz w:val="21"/>
                <w:szCs w:val="21"/>
                <w:highlight w:val="none"/>
                <w:lang w:eastAsia="zh-CN"/>
              </w:rPr>
              <w:t>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p>
          <w:p w14:paraId="22A0640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3.2 </w:t>
            </w:r>
            <w:r>
              <w:rPr>
                <w:rFonts w:hint="eastAsia" w:ascii="宋体" w:hAnsi="宋体" w:eastAsia="宋体" w:cs="宋体"/>
                <w:snapToGrid w:val="0"/>
                <w:color w:val="auto"/>
                <w:kern w:val="0"/>
                <w:sz w:val="21"/>
                <w:szCs w:val="21"/>
                <w:highlight w:val="none"/>
              </w:rPr>
              <w:t>拟派项目技术负责人须具备</w:t>
            </w:r>
            <w:r>
              <w:rPr>
                <w:rFonts w:hint="eastAsia" w:ascii="宋体" w:hAnsi="宋体" w:eastAsia="宋体" w:cs="宋体"/>
                <w:color w:val="auto"/>
                <w:kern w:val="0"/>
                <w:sz w:val="21"/>
                <w:szCs w:val="21"/>
                <w:highlight w:val="none"/>
                <w:u w:val="single"/>
                <w:lang w:eastAsia="zh-CN"/>
              </w:rPr>
              <w:t>电力类或电气类</w:t>
            </w:r>
            <w:r>
              <w:rPr>
                <w:rFonts w:hint="eastAsia" w:ascii="宋体" w:hAnsi="宋体" w:eastAsia="宋体" w:cs="宋体"/>
                <w:color w:val="auto"/>
                <w:kern w:val="0"/>
                <w:sz w:val="21"/>
                <w:szCs w:val="21"/>
                <w:highlight w:val="none"/>
                <w:u w:val="none"/>
              </w:rPr>
              <w:t>相关</w:t>
            </w:r>
            <w:r>
              <w:rPr>
                <w:rFonts w:hint="eastAsia" w:ascii="宋体" w:hAnsi="宋体" w:eastAsia="宋体" w:cs="宋体"/>
                <w:snapToGrid w:val="0"/>
                <w:color w:val="auto"/>
                <w:kern w:val="0"/>
                <w:sz w:val="21"/>
                <w:szCs w:val="21"/>
                <w:highlight w:val="none"/>
              </w:rPr>
              <w:t>专业</w:t>
            </w:r>
            <w:r>
              <w:rPr>
                <w:rFonts w:hint="eastAsia" w:ascii="宋体" w:hAnsi="宋体" w:eastAsia="宋体" w:cs="宋体"/>
                <w:snapToGrid w:val="0"/>
                <w:color w:val="auto"/>
                <w:kern w:val="0"/>
                <w:sz w:val="21"/>
                <w:szCs w:val="21"/>
                <w:highlight w:val="none"/>
                <w:u w:val="single"/>
                <w:lang w:eastAsia="zh-CN"/>
              </w:rPr>
              <w:t>中</w:t>
            </w:r>
            <w:r>
              <w:rPr>
                <w:rFonts w:hint="eastAsia" w:ascii="宋体" w:hAnsi="宋体" w:eastAsia="宋体" w:cs="宋体"/>
                <w:snapToGrid w:val="0"/>
                <w:color w:val="auto"/>
                <w:kern w:val="0"/>
                <w:sz w:val="21"/>
                <w:szCs w:val="21"/>
                <w:highlight w:val="none"/>
              </w:rPr>
              <w:t>级或以上技术职称</w:t>
            </w:r>
            <w:r>
              <w:rPr>
                <w:rFonts w:hint="eastAsia" w:ascii="宋体" w:hAnsi="宋体" w:eastAsia="宋体" w:cs="宋体"/>
                <w:color w:val="auto"/>
                <w:sz w:val="21"/>
                <w:szCs w:val="21"/>
                <w:highlight w:val="none"/>
              </w:rPr>
              <w:t>。</w:t>
            </w:r>
          </w:p>
          <w:p w14:paraId="2C21311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color w:val="auto"/>
                <w:sz w:val="21"/>
                <w:szCs w:val="21"/>
                <w:highlight w:val="none"/>
                <w:u w:val="single"/>
                <w:lang w:val="en-US" w:eastAsia="zh-CN"/>
              </w:rPr>
              <w:t xml:space="preserve"> 1 </w:t>
            </w:r>
            <w:r>
              <w:rPr>
                <w:rFonts w:hint="eastAsia" w:ascii="宋体" w:hAnsi="宋体" w:eastAsia="宋体" w:cs="宋体"/>
                <w:color w:val="auto"/>
                <w:sz w:val="21"/>
                <w:szCs w:val="21"/>
                <w:highlight w:val="none"/>
              </w:rPr>
              <w:t>人。</w:t>
            </w:r>
          </w:p>
          <w:p w14:paraId="3255BB6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39E648A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4．禁止投标条款：</w:t>
            </w:r>
          </w:p>
          <w:p w14:paraId="670619B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4.1 投标人不得存在下列情形之一：    </w:t>
            </w:r>
          </w:p>
          <w:p w14:paraId="166A3826">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（1）为招标人不具有独立法人资格的附属机构（单位）；</w:t>
            </w:r>
          </w:p>
          <w:p w14:paraId="162E0A69">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（2）为本招标项目前期准备提供设计或咨询服务的；</w:t>
            </w:r>
          </w:p>
          <w:p w14:paraId="7087A2F7">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（3）与本招标项目的其他投标人为同一个单位负责人；</w:t>
            </w:r>
          </w:p>
          <w:p w14:paraId="6FD560A6">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（4）与本招标项目的其他投标人存在控股、管理关系；</w:t>
            </w:r>
          </w:p>
          <w:p w14:paraId="6719FD09">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（5）为本招标项目的监理人；</w:t>
            </w:r>
          </w:p>
          <w:p w14:paraId="3E146408">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（6）为本招标项目的代建人；</w:t>
            </w:r>
          </w:p>
          <w:p w14:paraId="4CA8E8C4">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（7）为本招标项目的招标代理机构；</w:t>
            </w:r>
          </w:p>
          <w:p w14:paraId="59C8FBCE">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（8）与本招标项目的监理人或代建人或招标代理机构同为一个法定代表人；</w:t>
            </w:r>
          </w:p>
          <w:p w14:paraId="751EB102">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（9）与本招标项目的监理人或代建人或招标代理机构存在控股或参股关系；</w:t>
            </w:r>
          </w:p>
          <w:p w14:paraId="66B1DE06">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（10）与本招标项目的监理人或代建人或招标代理机构存在相互任职或工作关系；</w:t>
            </w:r>
          </w:p>
          <w:p w14:paraId="385EB11E">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（11）被依法暂停或者取消投标资格；</w:t>
            </w:r>
          </w:p>
          <w:p w14:paraId="527D2FE5">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（12）被责令停产停业、暂扣或者吊销许可证、暂扣或者吊销执照；</w:t>
            </w:r>
          </w:p>
          <w:p w14:paraId="63187997">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（13）进入清算程序，或被宣告破产，或其他丧失履约能力的情形；</w:t>
            </w:r>
          </w:p>
          <w:p w14:paraId="0F44F8D7">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（14）在最近三年内发生重大工程质量或安全问题（以相关行业主管部门的行政处罚决定或司法机关出具的有关法律文书为准）；</w:t>
            </w:r>
          </w:p>
          <w:p w14:paraId="293347A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（15）被“信用中国”网站（https://www.creditchina.gov.cn）发布的《法人和非法人组织公共信用信息报告》列为严重失信主体名单的。</w:t>
            </w:r>
          </w:p>
          <w:p w14:paraId="7B486D6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招标人拒绝以下名单中的单位参加本次投标：</w:t>
            </w:r>
          </w:p>
          <w:tbl>
            <w:tblPr>
              <w:tblStyle w:val="32"/>
              <w:tblW w:w="7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106"/>
              <w:gridCol w:w="3512"/>
            </w:tblGrid>
            <w:tr w14:paraId="7B3C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664" w:type="dxa"/>
                  <w:tcBorders>
                    <w:top w:val="single" w:color="auto" w:sz="4" w:space="0"/>
                    <w:left w:val="single" w:color="auto" w:sz="4" w:space="0"/>
                    <w:bottom w:val="single" w:color="auto" w:sz="4" w:space="0"/>
                    <w:right w:val="single" w:color="auto" w:sz="4" w:space="0"/>
                  </w:tcBorders>
                  <w:noWrap w:val="0"/>
                  <w:vAlign w:val="center"/>
                </w:tcPr>
                <w:p w14:paraId="7BA9C2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序号</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3EEF0E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单位名称</w:t>
                  </w:r>
                </w:p>
              </w:tc>
              <w:tc>
                <w:tcPr>
                  <w:tcW w:w="3512" w:type="dxa"/>
                  <w:tcBorders>
                    <w:top w:val="single" w:color="auto" w:sz="4" w:space="0"/>
                    <w:left w:val="single" w:color="auto" w:sz="4" w:space="0"/>
                    <w:bottom w:val="single" w:color="auto" w:sz="4" w:space="0"/>
                    <w:right w:val="single" w:color="auto" w:sz="4" w:space="0"/>
                  </w:tcBorders>
                  <w:noWrap w:val="0"/>
                  <w:vAlign w:val="center"/>
                </w:tcPr>
                <w:p w14:paraId="5003DD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拒绝原因</w:t>
                  </w:r>
                </w:p>
              </w:tc>
            </w:tr>
            <w:tr w14:paraId="228B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4" w:type="dxa"/>
                  <w:tcBorders>
                    <w:top w:val="single" w:color="auto" w:sz="4" w:space="0"/>
                    <w:left w:val="single" w:color="auto" w:sz="4" w:space="0"/>
                    <w:bottom w:val="single" w:color="auto" w:sz="4" w:space="0"/>
                    <w:right w:val="single" w:color="auto" w:sz="4" w:space="0"/>
                  </w:tcBorders>
                  <w:noWrap w:val="0"/>
                  <w:vAlign w:val="center"/>
                </w:tcPr>
                <w:p w14:paraId="4C32F5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70B8DB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无</w:t>
                  </w:r>
                </w:p>
              </w:tc>
              <w:tc>
                <w:tcPr>
                  <w:tcW w:w="3512" w:type="dxa"/>
                  <w:tcBorders>
                    <w:top w:val="single" w:color="auto" w:sz="4" w:space="0"/>
                    <w:left w:val="single" w:color="auto" w:sz="4" w:space="0"/>
                    <w:bottom w:val="single" w:color="auto" w:sz="4" w:space="0"/>
                    <w:right w:val="single" w:color="auto" w:sz="4" w:space="0"/>
                  </w:tcBorders>
                  <w:noWrap w:val="0"/>
                  <w:vAlign w:val="center"/>
                </w:tcPr>
                <w:p w14:paraId="69628F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为招标人不具有独立法人资格的附属机构</w:t>
                  </w:r>
                </w:p>
              </w:tc>
            </w:tr>
            <w:tr w14:paraId="6C2B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4" w:type="dxa"/>
                  <w:tcBorders>
                    <w:top w:val="single" w:color="auto" w:sz="4" w:space="0"/>
                    <w:left w:val="single" w:color="auto" w:sz="4" w:space="0"/>
                    <w:bottom w:val="single" w:color="auto" w:sz="4" w:space="0"/>
                    <w:right w:val="single" w:color="auto" w:sz="4" w:space="0"/>
                  </w:tcBorders>
                  <w:noWrap w:val="0"/>
                  <w:vAlign w:val="center"/>
                </w:tcPr>
                <w:p w14:paraId="55F5DD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5F402C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广东韶关曲江经济开发区管理委员会</w:t>
                  </w:r>
                </w:p>
              </w:tc>
              <w:tc>
                <w:tcPr>
                  <w:tcW w:w="3512" w:type="dxa"/>
                  <w:tcBorders>
                    <w:top w:val="single" w:color="auto" w:sz="4" w:space="0"/>
                    <w:left w:val="single" w:color="auto" w:sz="4" w:space="0"/>
                    <w:bottom w:val="single" w:color="auto" w:sz="4" w:space="0"/>
                    <w:right w:val="single" w:color="auto" w:sz="4" w:space="0"/>
                  </w:tcBorders>
                  <w:noWrap w:val="0"/>
                  <w:vAlign w:val="center"/>
                </w:tcPr>
                <w:p w14:paraId="71E715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为本招标项目的招标人</w:t>
                  </w:r>
                </w:p>
              </w:tc>
            </w:tr>
            <w:tr w14:paraId="49D6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4" w:type="dxa"/>
                  <w:tcBorders>
                    <w:top w:val="single" w:color="auto" w:sz="4" w:space="0"/>
                    <w:left w:val="single" w:color="auto" w:sz="4" w:space="0"/>
                    <w:bottom w:val="single" w:color="auto" w:sz="4" w:space="0"/>
                    <w:right w:val="single" w:color="auto" w:sz="4" w:space="0"/>
                  </w:tcBorders>
                  <w:noWrap w:val="0"/>
                  <w:vAlign w:val="center"/>
                </w:tcPr>
                <w:p w14:paraId="7830B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163E85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广东韶关曲江经济开发区管理委员会</w:t>
                  </w:r>
                </w:p>
              </w:tc>
              <w:tc>
                <w:tcPr>
                  <w:tcW w:w="3512" w:type="dxa"/>
                  <w:tcBorders>
                    <w:top w:val="single" w:color="auto" w:sz="4" w:space="0"/>
                    <w:left w:val="single" w:color="auto" w:sz="4" w:space="0"/>
                    <w:bottom w:val="single" w:color="auto" w:sz="4" w:space="0"/>
                    <w:right w:val="single" w:color="auto" w:sz="4" w:space="0"/>
                  </w:tcBorders>
                  <w:noWrap w:val="0"/>
                  <w:vAlign w:val="center"/>
                </w:tcPr>
                <w:p w14:paraId="6B868D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为本招标项目的业主单位</w:t>
                  </w:r>
                </w:p>
              </w:tc>
            </w:tr>
            <w:tr w14:paraId="130C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4" w:type="dxa"/>
                  <w:tcBorders>
                    <w:top w:val="single" w:color="auto" w:sz="4" w:space="0"/>
                    <w:left w:val="single" w:color="auto" w:sz="4" w:space="0"/>
                    <w:bottom w:val="single" w:color="auto" w:sz="4" w:space="0"/>
                    <w:right w:val="single" w:color="auto" w:sz="4" w:space="0"/>
                  </w:tcBorders>
                  <w:noWrap w:val="0"/>
                  <w:vAlign w:val="center"/>
                </w:tcPr>
                <w:p w14:paraId="2869AE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1A7437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lang w:eastAsia="zh-CN"/>
                    </w:rPr>
                  </w:pPr>
                  <w:r>
                    <w:rPr>
                      <w:rFonts w:hint="eastAsia" w:hAnsi="宋体" w:cs="宋体"/>
                      <w:color w:val="auto"/>
                      <w:sz w:val="21"/>
                      <w:szCs w:val="21"/>
                      <w:highlight w:val="none"/>
                      <w:lang w:eastAsia="zh-CN"/>
                    </w:rPr>
                    <w:t>中豫建设工程咨询有限公司</w:t>
                  </w:r>
                </w:p>
              </w:tc>
              <w:tc>
                <w:tcPr>
                  <w:tcW w:w="3512" w:type="dxa"/>
                  <w:tcBorders>
                    <w:top w:val="single" w:color="auto" w:sz="4" w:space="0"/>
                    <w:left w:val="single" w:color="auto" w:sz="4" w:space="0"/>
                    <w:bottom w:val="single" w:color="auto" w:sz="4" w:space="0"/>
                    <w:right w:val="single" w:color="auto" w:sz="4" w:space="0"/>
                  </w:tcBorders>
                  <w:noWrap w:val="0"/>
                  <w:vAlign w:val="center"/>
                </w:tcPr>
                <w:p w14:paraId="6FD069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为本招标项目的可研编制单位</w:t>
                  </w:r>
                </w:p>
              </w:tc>
            </w:tr>
            <w:tr w14:paraId="3731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64" w:type="dxa"/>
                  <w:tcBorders>
                    <w:top w:val="single" w:color="auto" w:sz="4" w:space="0"/>
                    <w:left w:val="single" w:color="auto" w:sz="4" w:space="0"/>
                    <w:bottom w:val="single" w:color="auto" w:sz="4" w:space="0"/>
                    <w:right w:val="single" w:color="auto" w:sz="4" w:space="0"/>
                  </w:tcBorders>
                  <w:noWrap w:val="0"/>
                  <w:vAlign w:val="center"/>
                </w:tcPr>
                <w:p w14:paraId="12F82C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30328F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lang w:val="en-US" w:eastAsia="zh-CN"/>
                    </w:rPr>
                    <w:t>韶关市擎能设计有限公司</w:t>
                  </w:r>
                </w:p>
              </w:tc>
              <w:tc>
                <w:tcPr>
                  <w:tcW w:w="3512" w:type="dxa"/>
                  <w:tcBorders>
                    <w:top w:val="single" w:color="auto" w:sz="4" w:space="0"/>
                    <w:left w:val="single" w:color="auto" w:sz="4" w:space="0"/>
                    <w:bottom w:val="single" w:color="auto" w:sz="4" w:space="0"/>
                    <w:right w:val="single" w:color="auto" w:sz="4" w:space="0"/>
                  </w:tcBorders>
                  <w:noWrap w:val="0"/>
                  <w:vAlign w:val="center"/>
                </w:tcPr>
                <w:p w14:paraId="446625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为本招标项目的设计单位</w:t>
                  </w:r>
                </w:p>
              </w:tc>
            </w:tr>
            <w:tr w14:paraId="2DA3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4" w:type="dxa"/>
                  <w:tcBorders>
                    <w:top w:val="single" w:color="auto" w:sz="4" w:space="0"/>
                    <w:left w:val="single" w:color="auto" w:sz="4" w:space="0"/>
                    <w:bottom w:val="single" w:color="auto" w:sz="4" w:space="0"/>
                    <w:right w:val="single" w:color="auto" w:sz="4" w:space="0"/>
                  </w:tcBorders>
                  <w:noWrap w:val="0"/>
                  <w:vAlign w:val="center"/>
                </w:tcPr>
                <w:p w14:paraId="377428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35FB9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广东唯诚工程咨询有限公司</w:t>
                  </w:r>
                </w:p>
              </w:tc>
              <w:tc>
                <w:tcPr>
                  <w:tcW w:w="3512" w:type="dxa"/>
                  <w:tcBorders>
                    <w:top w:val="single" w:color="auto" w:sz="4" w:space="0"/>
                    <w:left w:val="single" w:color="auto" w:sz="4" w:space="0"/>
                    <w:bottom w:val="single" w:color="auto" w:sz="4" w:space="0"/>
                    <w:right w:val="single" w:color="auto" w:sz="4" w:space="0"/>
                  </w:tcBorders>
                  <w:noWrap w:val="0"/>
                  <w:vAlign w:val="center"/>
                </w:tcPr>
                <w:p w14:paraId="5405DF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为本招标项目的全过程咨询单位</w:t>
                  </w:r>
                </w:p>
              </w:tc>
            </w:tr>
            <w:tr w14:paraId="3C82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4" w:type="dxa"/>
                  <w:tcBorders>
                    <w:top w:val="single" w:color="auto" w:sz="4" w:space="0"/>
                    <w:left w:val="single" w:color="auto" w:sz="4" w:space="0"/>
                    <w:bottom w:val="single" w:color="auto" w:sz="4" w:space="0"/>
                    <w:right w:val="single" w:color="auto" w:sz="4" w:space="0"/>
                  </w:tcBorders>
                  <w:noWrap w:val="0"/>
                  <w:vAlign w:val="center"/>
                </w:tcPr>
                <w:p w14:paraId="284994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300B06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待定</w:t>
                  </w:r>
                </w:p>
              </w:tc>
              <w:tc>
                <w:tcPr>
                  <w:tcW w:w="3512" w:type="dxa"/>
                  <w:tcBorders>
                    <w:top w:val="single" w:color="auto" w:sz="4" w:space="0"/>
                    <w:left w:val="single" w:color="auto" w:sz="4" w:space="0"/>
                    <w:bottom w:val="single" w:color="auto" w:sz="4" w:space="0"/>
                    <w:right w:val="single" w:color="auto" w:sz="4" w:space="0"/>
                  </w:tcBorders>
                  <w:noWrap w:val="0"/>
                  <w:vAlign w:val="center"/>
                </w:tcPr>
                <w:p w14:paraId="65E12D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为本招标项目的监理单位</w:t>
                  </w:r>
                </w:p>
              </w:tc>
            </w:tr>
            <w:tr w14:paraId="520D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4" w:type="dxa"/>
                  <w:tcBorders>
                    <w:top w:val="single" w:color="auto" w:sz="4" w:space="0"/>
                    <w:left w:val="single" w:color="auto" w:sz="4" w:space="0"/>
                    <w:bottom w:val="single" w:color="auto" w:sz="4" w:space="0"/>
                    <w:right w:val="single" w:color="auto" w:sz="4" w:space="0"/>
                  </w:tcBorders>
                  <w:noWrap w:val="0"/>
                  <w:vAlign w:val="center"/>
                </w:tcPr>
                <w:p w14:paraId="2C3BB9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3E575B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韶关市繁盛项目管理有限公司</w:t>
                  </w:r>
                </w:p>
              </w:tc>
              <w:tc>
                <w:tcPr>
                  <w:tcW w:w="3512" w:type="dxa"/>
                  <w:tcBorders>
                    <w:top w:val="single" w:color="auto" w:sz="4" w:space="0"/>
                    <w:left w:val="single" w:color="auto" w:sz="4" w:space="0"/>
                    <w:bottom w:val="single" w:color="auto" w:sz="4" w:space="0"/>
                    <w:right w:val="single" w:color="auto" w:sz="4" w:space="0"/>
                  </w:tcBorders>
                  <w:noWrap w:val="0"/>
                  <w:vAlign w:val="center"/>
                </w:tcPr>
                <w:p w14:paraId="4C85D1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为本招标项目的招标代理机构</w:t>
                  </w:r>
                </w:p>
              </w:tc>
            </w:tr>
            <w:tr w14:paraId="7B99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4" w:type="dxa"/>
                  <w:tcBorders>
                    <w:top w:val="single" w:color="auto" w:sz="4" w:space="0"/>
                    <w:left w:val="single" w:color="auto" w:sz="4" w:space="0"/>
                    <w:bottom w:val="single" w:color="auto" w:sz="4" w:space="0"/>
                    <w:right w:val="single" w:color="auto" w:sz="4" w:space="0"/>
                  </w:tcBorders>
                  <w:noWrap w:val="0"/>
                  <w:vAlign w:val="center"/>
                </w:tcPr>
                <w:p w14:paraId="555409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3106" w:type="dxa"/>
                  <w:tcBorders>
                    <w:top w:val="single" w:color="auto" w:sz="4" w:space="0"/>
                    <w:left w:val="single" w:color="auto" w:sz="4" w:space="0"/>
                    <w:bottom w:val="single" w:color="auto" w:sz="4" w:space="0"/>
                    <w:right w:val="single" w:color="auto" w:sz="4" w:space="0"/>
                  </w:tcBorders>
                  <w:noWrap w:val="0"/>
                  <w:vAlign w:val="center"/>
                </w:tcPr>
                <w:p w14:paraId="0D2C2D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无</w:t>
                  </w:r>
                </w:p>
              </w:tc>
              <w:tc>
                <w:tcPr>
                  <w:tcW w:w="3512" w:type="dxa"/>
                  <w:tcBorders>
                    <w:top w:val="single" w:color="auto" w:sz="4" w:space="0"/>
                    <w:left w:val="single" w:color="auto" w:sz="4" w:space="0"/>
                    <w:bottom w:val="single" w:color="auto" w:sz="4" w:space="0"/>
                    <w:right w:val="single" w:color="auto" w:sz="4" w:space="0"/>
                  </w:tcBorders>
                  <w:noWrap w:val="0"/>
                  <w:vAlign w:val="center"/>
                </w:tcPr>
                <w:p w14:paraId="44FC63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为本招标项目上一次招标的中标人，但无正当理由不签订合同，被招标人书面拒绝再次投标。</w:t>
                  </w:r>
                </w:p>
              </w:tc>
            </w:tr>
          </w:tbl>
          <w:p w14:paraId="6618EC24">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 其他要求</w:t>
            </w:r>
          </w:p>
          <w:p w14:paraId="39FB6452">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120" w:leftChars="50" w:right="120" w:rightChars="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07FBC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1209DE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27</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3ED4246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投标有效期</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372025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本次招标的投标有效期为 90 个日历天。</w:t>
            </w:r>
          </w:p>
        </w:tc>
      </w:tr>
      <w:tr w14:paraId="18E56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687C7E9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28</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460DE79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投标文件组成</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099038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投标文件包括商务标书、经济标书、施工组织设计三个分册</w:t>
            </w:r>
          </w:p>
        </w:tc>
      </w:tr>
      <w:tr w14:paraId="2A19B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0752C0B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29</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47BF05C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施工组织设计</w:t>
            </w:r>
          </w:p>
          <w:p w14:paraId="5413A3B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评审方式</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00065E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本次招标施工组织设计不采用 “暗标”方式进行评审。</w:t>
            </w:r>
          </w:p>
        </w:tc>
      </w:tr>
      <w:tr w14:paraId="681B5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2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3F7F570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30</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08F3D15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评标委员会</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3DA66D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评标委员会由</w:t>
            </w:r>
            <w:r>
              <w:rPr>
                <w:rFonts w:hint="eastAsia" w:ascii="宋体" w:hAnsi="宋体" w:eastAsia="宋体" w:cs="宋体"/>
                <w:strike w:val="0"/>
                <w:dstrike w:val="0"/>
                <w:color w:val="auto"/>
                <w:kern w:val="0"/>
                <w:sz w:val="21"/>
                <w:szCs w:val="21"/>
                <w:highlight w:val="none"/>
                <w:u w:val="single"/>
                <w:lang w:val="en-US" w:eastAsia="zh-CN" w:bidi="ar"/>
              </w:rPr>
              <w:t xml:space="preserve"> 5 </w:t>
            </w:r>
            <w:r>
              <w:rPr>
                <w:rFonts w:hint="eastAsia" w:ascii="宋体" w:hAnsi="宋体" w:eastAsia="宋体" w:cs="宋体"/>
                <w:color w:val="auto"/>
                <w:kern w:val="0"/>
                <w:sz w:val="21"/>
                <w:szCs w:val="21"/>
                <w:highlight w:val="none"/>
                <w:lang w:val="en-US" w:eastAsia="zh-CN" w:bidi="ar"/>
              </w:rPr>
              <w:t>人组成，其中招标人代表</w:t>
            </w:r>
            <w:r>
              <w:rPr>
                <w:rFonts w:hint="eastAsia" w:ascii="宋体" w:hAnsi="宋体" w:eastAsia="宋体" w:cs="宋体"/>
                <w:color w:val="auto"/>
                <w:kern w:val="0"/>
                <w:sz w:val="21"/>
                <w:szCs w:val="21"/>
                <w:highlight w:val="none"/>
                <w:u w:val="single"/>
                <w:lang w:val="en-US" w:eastAsia="zh-CN" w:bidi="ar"/>
              </w:rPr>
              <w:t xml:space="preserve"> 0 </w:t>
            </w:r>
            <w:r>
              <w:rPr>
                <w:rFonts w:hint="eastAsia" w:ascii="宋体" w:hAnsi="宋体" w:eastAsia="宋体" w:cs="宋体"/>
                <w:color w:val="auto"/>
                <w:kern w:val="0"/>
                <w:sz w:val="21"/>
                <w:szCs w:val="21"/>
                <w:highlight w:val="none"/>
                <w:lang w:val="en-US" w:eastAsia="zh-CN" w:bidi="ar"/>
              </w:rPr>
              <w:t>人，专家</w:t>
            </w:r>
            <w:r>
              <w:rPr>
                <w:rFonts w:hint="eastAsia" w:ascii="宋体" w:hAnsi="宋体" w:eastAsia="宋体" w:cs="宋体"/>
                <w:color w:val="auto"/>
                <w:kern w:val="0"/>
                <w:sz w:val="21"/>
                <w:szCs w:val="21"/>
                <w:highlight w:val="none"/>
                <w:u w:val="single"/>
                <w:lang w:val="en-US" w:eastAsia="zh-CN" w:bidi="ar"/>
              </w:rPr>
              <w:t xml:space="preserve"> 5 </w:t>
            </w:r>
            <w:r>
              <w:rPr>
                <w:rFonts w:hint="eastAsia" w:ascii="宋体" w:hAnsi="宋体" w:eastAsia="宋体" w:cs="宋体"/>
                <w:color w:val="auto"/>
                <w:kern w:val="0"/>
                <w:sz w:val="21"/>
                <w:szCs w:val="21"/>
                <w:highlight w:val="none"/>
                <w:lang w:val="en-US" w:eastAsia="zh-CN" w:bidi="ar"/>
              </w:rPr>
              <w:t>人。专家从广东省综合评标评审专家库-韶关区域中随机抽取，其中技术类专家</w:t>
            </w:r>
            <w:r>
              <w:rPr>
                <w:rFonts w:hint="eastAsia" w:ascii="宋体" w:hAnsi="宋体" w:eastAsia="宋体" w:cs="宋体"/>
                <w:color w:val="auto"/>
                <w:kern w:val="0"/>
                <w:sz w:val="21"/>
                <w:szCs w:val="21"/>
                <w:highlight w:val="none"/>
                <w:u w:val="single"/>
                <w:lang w:val="en-US" w:eastAsia="zh-CN" w:bidi="ar"/>
              </w:rPr>
              <w:t xml:space="preserve"> 3 </w:t>
            </w:r>
            <w:r>
              <w:rPr>
                <w:rFonts w:hint="eastAsia" w:ascii="宋体" w:hAnsi="宋体" w:eastAsia="宋体" w:cs="宋体"/>
                <w:color w:val="auto"/>
                <w:kern w:val="0"/>
                <w:sz w:val="21"/>
                <w:szCs w:val="21"/>
                <w:highlight w:val="none"/>
                <w:lang w:val="en-US" w:eastAsia="zh-CN" w:bidi="ar"/>
              </w:rPr>
              <w:t>人，经济类专家</w:t>
            </w:r>
            <w:r>
              <w:rPr>
                <w:rFonts w:hint="eastAsia" w:ascii="宋体" w:hAnsi="宋体" w:eastAsia="宋体" w:cs="宋体"/>
                <w:color w:val="auto"/>
                <w:kern w:val="0"/>
                <w:sz w:val="21"/>
                <w:szCs w:val="21"/>
                <w:highlight w:val="none"/>
                <w:u w:val="single"/>
                <w:lang w:val="en-US" w:eastAsia="zh-CN" w:bidi="ar"/>
              </w:rPr>
              <w:t xml:space="preserve"> 2 </w:t>
            </w:r>
            <w:r>
              <w:rPr>
                <w:rFonts w:hint="eastAsia" w:ascii="宋体" w:hAnsi="宋体" w:eastAsia="宋体" w:cs="宋体"/>
                <w:color w:val="auto"/>
                <w:kern w:val="0"/>
                <w:sz w:val="21"/>
                <w:szCs w:val="21"/>
                <w:highlight w:val="none"/>
                <w:lang w:val="en-US" w:eastAsia="zh-CN" w:bidi="ar"/>
              </w:rPr>
              <w:t>人。</w:t>
            </w:r>
          </w:p>
        </w:tc>
      </w:tr>
      <w:tr w14:paraId="50882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2FBB78C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31</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30AFF15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评标方法</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3F21BC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 □ A＋B 值评标法     □经评审的最低投标价法    ☑综合评估法</w:t>
            </w:r>
          </w:p>
        </w:tc>
      </w:tr>
      <w:tr w14:paraId="200A2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83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6860D27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32</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4BF90D0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招标代理费及</w:t>
            </w:r>
            <w:r>
              <w:rPr>
                <w:rFonts w:hint="eastAsia" w:ascii="宋体" w:hAnsi="宋体" w:eastAsia="宋体" w:cs="宋体"/>
                <w:snapToGrid w:val="0"/>
                <w:color w:val="auto"/>
                <w:kern w:val="0"/>
                <w:sz w:val="21"/>
                <w:szCs w:val="21"/>
                <w:highlight w:val="none"/>
              </w:rPr>
              <w:t>评标专家酬劳</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5C0951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本项目的招标代理服务费及评标专家酬劳由中标人支付，投标人在投标报价时综合考虑在内。评标专家酬劳由招标代理机构先行垫付，中标人须在领取中标通知书前须向招标代理机构一次性付清招标代理服务费及评标专家酬劳，方可领取中标通知书。</w:t>
            </w:r>
          </w:p>
        </w:tc>
      </w:tr>
      <w:tr w14:paraId="362E2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2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4654331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33</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2F8ADF7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招标文件要求提交的用于评审的证书、证件、证明原件</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797603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投标人提交用于评审的证书、证件、证明原件的，投标人应自行将所需原件密封于文件袋（箱）中，并自行准备两张“原件一览表”(详见格式十六，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bookmarkEnd w:id="11"/>
      <w:tr w14:paraId="10F88A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25"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212B829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34</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1FD6399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p w14:paraId="68267F9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119A2B5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广东韶关曲江经济开发区管理委员会</w:t>
            </w:r>
          </w:p>
          <w:p w14:paraId="666F1F5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b w:val="0"/>
                <w:bCs w:val="0"/>
                <w:color w:val="auto"/>
                <w:sz w:val="21"/>
                <w:szCs w:val="21"/>
                <w:highlight w:val="none"/>
                <w:u w:val="none"/>
              </w:rPr>
              <w:t>办公地址：</w:t>
            </w:r>
            <w:r>
              <w:rPr>
                <w:rFonts w:hint="eastAsia" w:ascii="宋体" w:hAnsi="宋体" w:eastAsia="宋体" w:cs="宋体"/>
                <w:b w:val="0"/>
                <w:bCs w:val="0"/>
                <w:color w:val="auto"/>
                <w:sz w:val="21"/>
                <w:szCs w:val="21"/>
                <w:highlight w:val="none"/>
                <w:u w:val="none"/>
                <w:lang w:val="en-US" w:eastAsia="zh-CN"/>
              </w:rPr>
              <w:t>韶关市曲江区</w:t>
            </w:r>
            <w:r>
              <w:rPr>
                <w:rFonts w:hint="eastAsia" w:hAnsi="宋体" w:cs="宋体"/>
                <w:b w:val="0"/>
                <w:bCs w:val="0"/>
                <w:color w:val="auto"/>
                <w:sz w:val="21"/>
                <w:szCs w:val="21"/>
                <w:highlight w:val="none"/>
                <w:u w:val="none"/>
                <w:lang w:val="en-US" w:eastAsia="zh-CN"/>
              </w:rPr>
              <w:t>白土镇</w:t>
            </w:r>
            <w:r>
              <w:rPr>
                <w:rFonts w:hint="eastAsia" w:ascii="宋体" w:hAnsi="宋体" w:eastAsia="宋体" w:cs="宋体"/>
                <w:b w:val="0"/>
                <w:bCs w:val="0"/>
                <w:color w:val="auto"/>
                <w:sz w:val="21"/>
                <w:szCs w:val="21"/>
                <w:highlight w:val="none"/>
                <w:u w:val="none"/>
                <w:lang w:val="en-US" w:eastAsia="zh-CN"/>
              </w:rPr>
              <w:t>曲江</w:t>
            </w:r>
            <w:r>
              <w:rPr>
                <w:rFonts w:hint="eastAsia" w:hAnsi="宋体" w:cs="宋体"/>
                <w:b w:val="0"/>
                <w:bCs w:val="0"/>
                <w:color w:val="auto"/>
                <w:sz w:val="21"/>
                <w:szCs w:val="21"/>
                <w:highlight w:val="none"/>
                <w:u w:val="none"/>
                <w:lang w:val="en-US" w:eastAsia="zh-CN"/>
              </w:rPr>
              <w:t>经济开发区管理委员会</w:t>
            </w:r>
          </w:p>
          <w:p w14:paraId="55498F8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val="0"/>
                <w:bCs w:val="0"/>
                <w:color w:val="auto"/>
                <w:sz w:val="21"/>
                <w:szCs w:val="21"/>
                <w:highlight w:val="none"/>
                <w:u w:val="none"/>
              </w:rPr>
              <w:t>联系人（部门）：叶</w:t>
            </w:r>
            <w:r>
              <w:rPr>
                <w:rFonts w:hint="eastAsia" w:ascii="宋体" w:hAnsi="宋体" w:eastAsia="宋体" w:cs="宋体"/>
                <w:b w:val="0"/>
                <w:bCs w:val="0"/>
                <w:color w:val="auto"/>
                <w:sz w:val="21"/>
                <w:szCs w:val="21"/>
                <w:highlight w:val="none"/>
                <w:u w:val="none"/>
                <w:lang w:val="en-US" w:eastAsia="zh-CN"/>
              </w:rPr>
              <w:t>工</w:t>
            </w:r>
          </w:p>
          <w:p w14:paraId="32F5449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b w:val="0"/>
                <w:bCs w:val="0"/>
                <w:color w:val="auto"/>
                <w:sz w:val="21"/>
                <w:szCs w:val="21"/>
                <w:highlight w:val="none"/>
                <w:u w:val="none"/>
              </w:rPr>
              <w:t>联系电话：</w:t>
            </w:r>
            <w:r>
              <w:rPr>
                <w:rFonts w:hint="eastAsia" w:ascii="宋体" w:hAnsi="宋体" w:eastAsia="宋体" w:cs="宋体"/>
                <w:b w:val="0"/>
                <w:bCs w:val="0"/>
                <w:color w:val="auto"/>
                <w:sz w:val="21"/>
                <w:szCs w:val="21"/>
                <w:highlight w:val="none"/>
                <w:u w:val="none"/>
                <w:lang w:val="en-US" w:eastAsia="zh-CN"/>
              </w:rPr>
              <w:t>0751-</w:t>
            </w:r>
            <w:r>
              <w:rPr>
                <w:rFonts w:hint="eastAsia" w:hAnsi="宋体" w:cs="宋体"/>
                <w:b w:val="0"/>
                <w:bCs w:val="0"/>
                <w:color w:val="auto"/>
                <w:sz w:val="21"/>
                <w:szCs w:val="21"/>
                <w:highlight w:val="none"/>
                <w:u w:val="none"/>
                <w:lang w:val="en-US" w:eastAsia="zh-CN"/>
              </w:rPr>
              <w:t>6482933</w:t>
            </w:r>
          </w:p>
        </w:tc>
      </w:tr>
      <w:tr w14:paraId="5EEAF6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1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3A06E19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35</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541DF1D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p w14:paraId="4E7296B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47127B5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韶关市繁盛项目管理有限公司</w:t>
            </w:r>
          </w:p>
          <w:p w14:paraId="734D5B1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办公地址：</w:t>
            </w:r>
            <w:r>
              <w:rPr>
                <w:rFonts w:hint="eastAsia" w:ascii="宋体" w:hAnsi="宋体" w:eastAsia="宋体" w:cs="宋体"/>
                <w:snapToGrid w:val="0"/>
                <w:color w:val="auto"/>
                <w:kern w:val="0"/>
                <w:sz w:val="21"/>
                <w:szCs w:val="21"/>
                <w:highlight w:val="none"/>
                <w:lang w:val="en-US" w:eastAsia="zh-CN"/>
              </w:rPr>
              <w:t>韶关市曲江区马坝镇马坝村委会下街村民小组安置房1号楼502</w:t>
            </w:r>
          </w:p>
          <w:p w14:paraId="6F706EF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联系人（</w:t>
            </w:r>
            <w:r>
              <w:rPr>
                <w:rFonts w:hint="eastAsia" w:ascii="宋体" w:hAnsi="宋体" w:eastAsia="宋体" w:cs="宋体"/>
                <w:snapToGrid w:val="0"/>
                <w:color w:val="auto"/>
                <w:kern w:val="0"/>
                <w:sz w:val="21"/>
                <w:szCs w:val="21"/>
                <w:highlight w:val="none"/>
                <w:lang w:eastAsia="zh-CN"/>
              </w:rPr>
              <w:t>部门）：</w:t>
            </w:r>
            <w:r>
              <w:rPr>
                <w:rFonts w:hint="eastAsia" w:ascii="宋体" w:hAnsi="宋体" w:eastAsia="宋体" w:cs="宋体"/>
                <w:snapToGrid w:val="0"/>
                <w:color w:val="auto"/>
                <w:kern w:val="0"/>
                <w:sz w:val="21"/>
                <w:szCs w:val="21"/>
                <w:highlight w:val="none"/>
                <w:lang w:val="en-US" w:eastAsia="zh-CN"/>
              </w:rPr>
              <w:t>郑</w:t>
            </w:r>
            <w:r>
              <w:rPr>
                <w:rFonts w:hint="eastAsia" w:ascii="宋体" w:hAnsi="宋体" w:eastAsia="宋体" w:cs="宋体"/>
                <w:snapToGrid w:val="0"/>
                <w:color w:val="auto"/>
                <w:kern w:val="0"/>
                <w:sz w:val="21"/>
                <w:szCs w:val="21"/>
                <w:highlight w:val="none"/>
                <w:lang w:eastAsia="zh-CN"/>
              </w:rPr>
              <w:t>工</w:t>
            </w:r>
          </w:p>
          <w:p w14:paraId="7E8419B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210" w:firstLineChars="10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联系电</w:t>
            </w:r>
            <w:r>
              <w:rPr>
                <w:rFonts w:hint="eastAsia" w:ascii="宋体" w:hAnsi="宋体" w:eastAsia="宋体" w:cs="宋体"/>
                <w:snapToGrid w:val="0"/>
                <w:color w:val="auto"/>
                <w:kern w:val="0"/>
                <w:sz w:val="21"/>
                <w:szCs w:val="21"/>
                <w:highlight w:val="none"/>
                <w:lang w:eastAsia="zh-CN"/>
              </w:rPr>
              <w:t>话：</w:t>
            </w:r>
            <w:r>
              <w:rPr>
                <w:rFonts w:hint="eastAsia" w:hAnsi="宋体" w:cs="宋体"/>
                <w:snapToGrid w:val="0"/>
                <w:color w:val="auto"/>
                <w:kern w:val="0"/>
                <w:sz w:val="21"/>
                <w:szCs w:val="21"/>
                <w:highlight w:val="none"/>
                <w:lang w:val="en-US" w:eastAsia="zh-CN"/>
              </w:rPr>
              <w:t>13580104924</w:t>
            </w:r>
          </w:p>
        </w:tc>
      </w:tr>
      <w:tr w14:paraId="29E0D0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25"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29F2A5D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36</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47F9BBAA">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交易场所</w:t>
            </w:r>
          </w:p>
          <w:p w14:paraId="6FDD563E">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0" w:firstLine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15461C82">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单位名称：韶关市公共资源交易中心</w:t>
            </w:r>
          </w:p>
          <w:p w14:paraId="700171EF">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办公地址：韶关市曲江区马坝镇鞍山路曲江文化中心一楼</w:t>
            </w:r>
          </w:p>
          <w:p w14:paraId="717BF146">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联系人（部门）：工程交易部</w:t>
            </w:r>
          </w:p>
          <w:p w14:paraId="78A4BD3A">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联系电话：0751-6690193</w:t>
            </w:r>
          </w:p>
        </w:tc>
      </w:tr>
      <w:tr w14:paraId="1B98CD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80" w:hRule="atLeast"/>
        </w:trPr>
        <w:tc>
          <w:tcPr>
            <w:tcW w:w="614" w:type="dxa"/>
            <w:tcBorders>
              <w:top w:val="single" w:color="auto" w:sz="4" w:space="0"/>
              <w:left w:val="single" w:color="auto" w:sz="4" w:space="0"/>
              <w:bottom w:val="single" w:color="auto" w:sz="4" w:space="0"/>
              <w:right w:val="single" w:color="auto" w:sz="4" w:space="0"/>
            </w:tcBorders>
            <w:noWrap w:val="0"/>
            <w:vAlign w:val="center"/>
          </w:tcPr>
          <w:p w14:paraId="66D6073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37</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4C76247E">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行政监督部门</w:t>
            </w:r>
          </w:p>
          <w:p w14:paraId="66FAC527">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0" w:firstLineChars="0"/>
              <w:jc w:val="center"/>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联系方式</w:t>
            </w:r>
          </w:p>
        </w:tc>
        <w:tc>
          <w:tcPr>
            <w:tcW w:w="7705" w:type="dxa"/>
            <w:tcBorders>
              <w:top w:val="single" w:color="auto" w:sz="4" w:space="0"/>
              <w:left w:val="single" w:color="auto" w:sz="4" w:space="0"/>
              <w:bottom w:val="single" w:color="auto" w:sz="4" w:space="0"/>
              <w:right w:val="single" w:color="auto" w:sz="4" w:space="0"/>
            </w:tcBorders>
            <w:noWrap w:val="0"/>
            <w:vAlign w:val="center"/>
          </w:tcPr>
          <w:p w14:paraId="67D97913">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val="en-US" w:eastAsia="zh-CN"/>
              </w:rPr>
              <w:t>韶关市曲江区发展和改革局</w:t>
            </w:r>
          </w:p>
          <w:p w14:paraId="30AAA011">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210" w:firstLineChars="100"/>
              <w:jc w:val="lef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办公地址：</w:t>
            </w:r>
            <w:r>
              <w:rPr>
                <w:rFonts w:hint="eastAsia" w:ascii="宋体" w:hAnsi="宋体" w:eastAsia="宋体" w:cs="宋体"/>
                <w:snapToGrid w:val="0"/>
                <w:color w:val="auto"/>
                <w:kern w:val="0"/>
                <w:sz w:val="21"/>
                <w:szCs w:val="21"/>
                <w:highlight w:val="none"/>
                <w:lang w:eastAsia="zh-CN"/>
              </w:rPr>
              <w:t>韶关市曲江区</w:t>
            </w:r>
            <w:r>
              <w:rPr>
                <w:rFonts w:hint="eastAsia" w:ascii="宋体" w:hAnsi="宋体" w:eastAsia="宋体" w:cs="宋体"/>
                <w:snapToGrid w:val="0"/>
                <w:color w:val="auto"/>
                <w:kern w:val="0"/>
                <w:sz w:val="21"/>
                <w:szCs w:val="21"/>
                <w:highlight w:val="none"/>
                <w:lang w:val="en-US" w:eastAsia="zh-CN"/>
              </w:rPr>
              <w:t>府前中路6号</w:t>
            </w:r>
          </w:p>
          <w:p w14:paraId="60F6970B">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联系人（部门）：能源股</w:t>
            </w:r>
          </w:p>
          <w:p w14:paraId="42F62C88">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line="400" w:lineRule="exact"/>
              <w:ind w:left="0" w:right="0" w:firstLine="210" w:firstLineChars="10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联系电话：0751-6663898</w:t>
            </w:r>
          </w:p>
        </w:tc>
      </w:tr>
    </w:tbl>
    <w:p w14:paraId="0E99552A">
      <w:pPr>
        <w:pStyle w:val="4"/>
        <w:wordWrap w:val="0"/>
        <w:autoSpaceDE/>
        <w:autoSpaceDN/>
        <w:snapToGrid w:val="0"/>
        <w:spacing w:before="260" w:after="260" w:line="360" w:lineRule="exact"/>
        <w:jc w:val="both"/>
        <w:rPr>
          <w:rFonts w:hint="eastAsia" w:ascii="宋体" w:hAnsi="宋体" w:eastAsia="宋体" w:cs="宋体"/>
          <w:b/>
          <w:snapToGrid w:val="0"/>
          <w:color w:val="auto"/>
          <w:highlight w:val="none"/>
        </w:rPr>
        <w:sectPr>
          <w:headerReference r:id="rId9" w:type="default"/>
          <w:footerReference r:id="rId10"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start="1"/>
          <w:cols w:space="720" w:num="1"/>
          <w:docGrid w:linePitch="327" w:charSpace="0"/>
        </w:sectPr>
      </w:pPr>
    </w:p>
    <w:p w14:paraId="6CB9AFFF">
      <w:pPr>
        <w:pStyle w:val="4"/>
        <w:wordWrap w:val="0"/>
        <w:autoSpaceDE/>
        <w:autoSpaceDN/>
        <w:snapToGrid w:val="0"/>
        <w:spacing w:after="260" w:line="440" w:lineRule="exact"/>
        <w:jc w:val="both"/>
        <w:rPr>
          <w:rFonts w:hint="eastAsia" w:ascii="宋体" w:hAnsi="宋体" w:eastAsia="宋体" w:cs="宋体"/>
          <w:snapToGrid w:val="0"/>
          <w:color w:val="auto"/>
          <w:sz w:val="24"/>
          <w:highlight w:val="none"/>
        </w:rPr>
      </w:pPr>
      <w:bookmarkStart w:id="13" w:name="_Toc23447"/>
      <w:r>
        <w:rPr>
          <w:rFonts w:hint="eastAsia" w:ascii="宋体" w:hAnsi="宋体" w:eastAsia="宋体" w:cs="宋体"/>
          <w:b/>
          <w:snapToGrid w:val="0"/>
          <w:color w:val="auto"/>
          <w:highlight w:val="none"/>
        </w:rPr>
        <w:t>第二节 重要事项时间地点一览表</w:t>
      </w:r>
      <w:bookmarkEnd w:id="13"/>
    </w:p>
    <w:p w14:paraId="0FDE0E20">
      <w:pPr>
        <w:spacing w:line="240" w:lineRule="auto"/>
        <w:rPr>
          <w:rFonts w:hint="eastAsia" w:ascii="宋体" w:hAnsi="宋体" w:eastAsia="宋体" w:cs="宋体"/>
          <w:color w:val="auto"/>
          <w:highlight w:val="none"/>
        </w:rPr>
      </w:pPr>
    </w:p>
    <w:tbl>
      <w:tblPr>
        <w:tblStyle w:val="32"/>
        <w:tblW w:w="9563"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37"/>
        <w:gridCol w:w="1513"/>
        <w:gridCol w:w="7613"/>
      </w:tblGrid>
      <w:tr w14:paraId="3EC32E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90" w:hRule="atLeast"/>
          <w:jc w:val="center"/>
        </w:trPr>
        <w:tc>
          <w:tcPr>
            <w:tcW w:w="437" w:type="dxa"/>
            <w:tcBorders>
              <w:top w:val="single" w:color="080000" w:sz="4" w:space="0"/>
              <w:left w:val="single" w:color="080000" w:sz="4" w:space="0"/>
              <w:bottom w:val="single" w:color="080000" w:sz="4" w:space="0"/>
              <w:right w:val="single" w:color="080000" w:sz="4" w:space="0"/>
            </w:tcBorders>
            <w:noWrap w:val="0"/>
            <w:vAlign w:val="center"/>
          </w:tcPr>
          <w:p w14:paraId="63D036E3">
            <w:pPr>
              <w:pStyle w:val="29"/>
              <w:keepNext w:val="0"/>
              <w:keepLines w:val="0"/>
              <w:widowControl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w:t>
            </w:r>
          </w:p>
        </w:tc>
        <w:tc>
          <w:tcPr>
            <w:tcW w:w="1513" w:type="dxa"/>
            <w:tcBorders>
              <w:top w:val="single" w:color="080000" w:sz="4" w:space="0"/>
              <w:left w:val="nil"/>
              <w:bottom w:val="single" w:color="080000" w:sz="4" w:space="0"/>
              <w:right w:val="single" w:color="080000" w:sz="4" w:space="0"/>
            </w:tcBorders>
            <w:noWrap w:val="0"/>
            <w:vAlign w:val="center"/>
          </w:tcPr>
          <w:p w14:paraId="7BC6FA27">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招标公告</w:t>
            </w:r>
          </w:p>
          <w:p w14:paraId="4B5A7926">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发布时间 </w:t>
            </w:r>
          </w:p>
        </w:tc>
        <w:tc>
          <w:tcPr>
            <w:tcW w:w="7613" w:type="dxa"/>
            <w:tcBorders>
              <w:top w:val="single" w:color="080000" w:sz="4" w:space="0"/>
              <w:left w:val="nil"/>
              <w:bottom w:val="single" w:color="080000" w:sz="4" w:space="0"/>
              <w:right w:val="single" w:color="080000" w:sz="4" w:space="0"/>
            </w:tcBorders>
            <w:noWrap w:val="0"/>
            <w:vAlign w:val="center"/>
          </w:tcPr>
          <w:p w14:paraId="34B36B1B">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8</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29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18</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00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分</w:t>
            </w:r>
          </w:p>
        </w:tc>
      </w:tr>
      <w:tr w14:paraId="7728070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07" w:hRule="atLeast"/>
          <w:jc w:val="center"/>
        </w:trPr>
        <w:tc>
          <w:tcPr>
            <w:tcW w:w="437" w:type="dxa"/>
            <w:tcBorders>
              <w:top w:val="single" w:color="080000" w:sz="4" w:space="0"/>
              <w:left w:val="single" w:color="080000" w:sz="4" w:space="0"/>
              <w:bottom w:val="single" w:color="080000" w:sz="4" w:space="0"/>
              <w:right w:val="single" w:color="080000" w:sz="4" w:space="0"/>
            </w:tcBorders>
            <w:noWrap w:val="0"/>
            <w:vAlign w:val="center"/>
          </w:tcPr>
          <w:p w14:paraId="77E8E40E">
            <w:pPr>
              <w:pStyle w:val="29"/>
              <w:keepNext w:val="0"/>
              <w:keepLines w:val="0"/>
              <w:widowControl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2</w:t>
            </w:r>
          </w:p>
        </w:tc>
        <w:tc>
          <w:tcPr>
            <w:tcW w:w="1513" w:type="dxa"/>
            <w:tcBorders>
              <w:top w:val="single" w:color="080000" w:sz="4" w:space="0"/>
              <w:left w:val="nil"/>
              <w:bottom w:val="single" w:color="080000" w:sz="4" w:space="0"/>
              <w:right w:val="single" w:color="080000" w:sz="4" w:space="0"/>
            </w:tcBorders>
            <w:noWrap w:val="0"/>
            <w:vAlign w:val="center"/>
          </w:tcPr>
          <w:p w14:paraId="6C93A8D7">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获取招标文件</w:t>
            </w:r>
          </w:p>
          <w:p w14:paraId="7CD24211">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截止时间 </w:t>
            </w:r>
          </w:p>
        </w:tc>
        <w:tc>
          <w:tcPr>
            <w:tcW w:w="7613" w:type="dxa"/>
            <w:tcBorders>
              <w:top w:val="single" w:color="080000" w:sz="4" w:space="0"/>
              <w:left w:val="nil"/>
              <w:bottom w:val="single" w:color="080000" w:sz="4" w:space="0"/>
              <w:right w:val="single" w:color="080000" w:sz="4" w:space="0"/>
            </w:tcBorders>
            <w:noWrap w:val="0"/>
            <w:vAlign w:val="center"/>
          </w:tcPr>
          <w:p w14:paraId="281AF983">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30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分</w:t>
            </w:r>
          </w:p>
        </w:tc>
      </w:tr>
      <w:tr w14:paraId="13B2B7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72" w:hRule="atLeast"/>
          <w:jc w:val="center"/>
        </w:trPr>
        <w:tc>
          <w:tcPr>
            <w:tcW w:w="437" w:type="dxa"/>
            <w:tcBorders>
              <w:top w:val="single" w:color="080000" w:sz="4" w:space="0"/>
              <w:left w:val="single" w:color="080000" w:sz="4" w:space="0"/>
              <w:bottom w:val="single" w:color="080000" w:sz="4" w:space="0"/>
              <w:right w:val="single" w:color="080000" w:sz="4" w:space="0"/>
            </w:tcBorders>
            <w:noWrap w:val="0"/>
            <w:vAlign w:val="center"/>
          </w:tcPr>
          <w:p w14:paraId="133DFC49">
            <w:pPr>
              <w:pStyle w:val="29"/>
              <w:keepNext w:val="0"/>
              <w:keepLines w:val="0"/>
              <w:widowControl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3</w:t>
            </w:r>
          </w:p>
        </w:tc>
        <w:tc>
          <w:tcPr>
            <w:tcW w:w="1513" w:type="dxa"/>
            <w:tcBorders>
              <w:top w:val="single" w:color="080000" w:sz="4" w:space="0"/>
              <w:left w:val="nil"/>
              <w:bottom w:val="single" w:color="080000" w:sz="4" w:space="0"/>
              <w:right w:val="single" w:color="080000" w:sz="4" w:space="0"/>
            </w:tcBorders>
            <w:noWrap w:val="0"/>
            <w:vAlign w:val="center"/>
          </w:tcPr>
          <w:p w14:paraId="00C86288">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网上提问</w:t>
            </w:r>
          </w:p>
          <w:p w14:paraId="29444244">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截止时间 </w:t>
            </w:r>
          </w:p>
        </w:tc>
        <w:tc>
          <w:tcPr>
            <w:tcW w:w="7613" w:type="dxa"/>
            <w:tcBorders>
              <w:top w:val="single" w:color="080000" w:sz="4" w:space="0"/>
              <w:left w:val="nil"/>
              <w:bottom w:val="single" w:color="080000" w:sz="4" w:space="0"/>
              <w:right w:val="single" w:color="080000" w:sz="4" w:space="0"/>
            </w:tcBorders>
            <w:noWrap w:val="0"/>
            <w:vAlign w:val="center"/>
          </w:tcPr>
          <w:p w14:paraId="5BD737A7">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16</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00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分</w:t>
            </w:r>
          </w:p>
        </w:tc>
      </w:tr>
      <w:tr w14:paraId="661A08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2" w:hRule="atLeast"/>
          <w:jc w:val="center"/>
        </w:trPr>
        <w:tc>
          <w:tcPr>
            <w:tcW w:w="437" w:type="dxa"/>
            <w:tcBorders>
              <w:top w:val="single" w:color="080000" w:sz="4" w:space="0"/>
              <w:left w:val="single" w:color="080000" w:sz="4" w:space="0"/>
              <w:bottom w:val="single" w:color="080000" w:sz="4" w:space="0"/>
              <w:right w:val="single" w:color="080000" w:sz="4" w:space="0"/>
            </w:tcBorders>
            <w:noWrap w:val="0"/>
            <w:vAlign w:val="center"/>
          </w:tcPr>
          <w:p w14:paraId="6377051E">
            <w:pPr>
              <w:pStyle w:val="29"/>
              <w:keepNext w:val="0"/>
              <w:keepLines w:val="0"/>
              <w:widowControl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4</w:t>
            </w:r>
          </w:p>
        </w:tc>
        <w:tc>
          <w:tcPr>
            <w:tcW w:w="1513" w:type="dxa"/>
            <w:tcBorders>
              <w:top w:val="single" w:color="080000" w:sz="4" w:space="0"/>
              <w:left w:val="nil"/>
              <w:bottom w:val="single" w:color="080000" w:sz="4" w:space="0"/>
              <w:right w:val="single" w:color="080000" w:sz="4" w:space="0"/>
            </w:tcBorders>
            <w:noWrap w:val="0"/>
            <w:vAlign w:val="center"/>
          </w:tcPr>
          <w:p w14:paraId="5966E8AD">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网上答疑</w:t>
            </w:r>
          </w:p>
          <w:p w14:paraId="34E96DAE">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时间</w:t>
            </w:r>
          </w:p>
        </w:tc>
        <w:tc>
          <w:tcPr>
            <w:tcW w:w="7613" w:type="dxa"/>
            <w:tcBorders>
              <w:top w:val="single" w:color="080000" w:sz="4" w:space="0"/>
              <w:left w:val="nil"/>
              <w:bottom w:val="single" w:color="080000" w:sz="4" w:space="0"/>
              <w:right w:val="single" w:color="080000" w:sz="4" w:space="0"/>
            </w:tcBorders>
            <w:noWrap w:val="0"/>
            <w:vAlign w:val="center"/>
          </w:tcPr>
          <w:p w14:paraId="4DD77332">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16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30 </w:t>
            </w:r>
            <w:r>
              <w:rPr>
                <w:rFonts w:hint="eastAsia" w:ascii="宋体" w:hAnsi="宋体" w:eastAsia="宋体" w:cs="宋体"/>
                <w:color w:val="auto"/>
                <w:kern w:val="0"/>
                <w:sz w:val="21"/>
                <w:szCs w:val="21"/>
                <w:highlight w:val="none"/>
                <w:lang w:val="en-US" w:eastAsia="zh-CN" w:bidi="ar"/>
              </w:rPr>
              <w:t>分至</w:t>
            </w: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12</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16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00 </w:t>
            </w:r>
            <w:r>
              <w:rPr>
                <w:rFonts w:hint="eastAsia" w:ascii="宋体" w:hAnsi="宋体" w:eastAsia="宋体" w:cs="宋体"/>
                <w:color w:val="auto"/>
                <w:kern w:val="0"/>
                <w:sz w:val="21"/>
                <w:szCs w:val="21"/>
                <w:highlight w:val="none"/>
                <w:lang w:val="en-US" w:eastAsia="zh-CN" w:bidi="ar"/>
              </w:rPr>
              <w:t>分</w:t>
            </w:r>
          </w:p>
        </w:tc>
      </w:tr>
      <w:tr w14:paraId="0CA317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464" w:hRule="atLeast"/>
          <w:jc w:val="center"/>
        </w:trPr>
        <w:tc>
          <w:tcPr>
            <w:tcW w:w="437" w:type="dxa"/>
            <w:tcBorders>
              <w:top w:val="single" w:color="080000" w:sz="4" w:space="0"/>
              <w:left w:val="single" w:color="080000" w:sz="4" w:space="0"/>
              <w:bottom w:val="single" w:color="080000" w:sz="4" w:space="0"/>
              <w:right w:val="single" w:color="080000" w:sz="4" w:space="0"/>
            </w:tcBorders>
            <w:noWrap w:val="0"/>
            <w:vAlign w:val="center"/>
          </w:tcPr>
          <w:p w14:paraId="69F015D7">
            <w:pPr>
              <w:pStyle w:val="29"/>
              <w:keepNext w:val="0"/>
              <w:keepLines w:val="0"/>
              <w:widowControl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5</w:t>
            </w:r>
          </w:p>
        </w:tc>
        <w:tc>
          <w:tcPr>
            <w:tcW w:w="1513" w:type="dxa"/>
            <w:tcBorders>
              <w:top w:val="single" w:color="080000" w:sz="4" w:space="0"/>
              <w:left w:val="nil"/>
              <w:bottom w:val="single" w:color="080000" w:sz="4" w:space="0"/>
              <w:right w:val="single" w:color="080000" w:sz="4" w:space="0"/>
            </w:tcBorders>
            <w:noWrap w:val="0"/>
            <w:vAlign w:val="center"/>
          </w:tcPr>
          <w:p w14:paraId="0F17E57C">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投标保证缴</w:t>
            </w:r>
          </w:p>
          <w:p w14:paraId="7CDF7605">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纳截止时间</w:t>
            </w:r>
          </w:p>
        </w:tc>
        <w:tc>
          <w:tcPr>
            <w:tcW w:w="7613" w:type="dxa"/>
            <w:tcBorders>
              <w:top w:val="single" w:color="080000" w:sz="4" w:space="0"/>
              <w:left w:val="nil"/>
              <w:bottom w:val="single" w:color="080000" w:sz="4" w:space="0"/>
              <w:right w:val="single" w:color="080000" w:sz="4" w:space="0"/>
            </w:tcBorders>
            <w:noWrap w:val="0"/>
            <w:vAlign w:val="center"/>
          </w:tcPr>
          <w:p w14:paraId="41321359">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210" w:firstLineChars="1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投标保证金到账截止时间： </w:t>
            </w: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18</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30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分；</w:t>
            </w:r>
          </w:p>
          <w:p w14:paraId="6057CD60">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210" w:firstLineChars="1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投标保证担保上传截止时间： </w:t>
            </w: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18</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30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分；</w:t>
            </w:r>
          </w:p>
          <w:p w14:paraId="3167A143">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firstLine="210" w:firstLineChars="1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投标保证保险投保截止时间： </w:t>
            </w: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18</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30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分。</w:t>
            </w:r>
          </w:p>
        </w:tc>
      </w:tr>
      <w:tr w14:paraId="619566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32" w:hRule="atLeast"/>
          <w:jc w:val="center"/>
        </w:trPr>
        <w:tc>
          <w:tcPr>
            <w:tcW w:w="437" w:type="dxa"/>
            <w:tcBorders>
              <w:top w:val="single" w:color="080000" w:sz="4" w:space="0"/>
              <w:left w:val="single" w:color="080000" w:sz="4" w:space="0"/>
              <w:bottom w:val="single" w:color="080000" w:sz="4" w:space="0"/>
              <w:right w:val="single" w:color="080000" w:sz="4" w:space="0"/>
            </w:tcBorders>
            <w:noWrap w:val="0"/>
            <w:vAlign w:val="center"/>
          </w:tcPr>
          <w:p w14:paraId="23FFFF58">
            <w:pPr>
              <w:pStyle w:val="29"/>
              <w:keepNext w:val="0"/>
              <w:keepLines w:val="0"/>
              <w:widowControl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6</w:t>
            </w:r>
          </w:p>
        </w:tc>
        <w:tc>
          <w:tcPr>
            <w:tcW w:w="1513" w:type="dxa"/>
            <w:tcBorders>
              <w:top w:val="single" w:color="080000" w:sz="4" w:space="0"/>
              <w:left w:val="nil"/>
              <w:bottom w:val="single" w:color="080000" w:sz="4" w:space="0"/>
              <w:right w:val="single" w:color="080000" w:sz="4" w:space="0"/>
            </w:tcBorders>
            <w:noWrap w:val="0"/>
            <w:vAlign w:val="center"/>
          </w:tcPr>
          <w:p w14:paraId="03BD6F3A">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电子投标</w:t>
            </w:r>
          </w:p>
          <w:p w14:paraId="1D8C8C82">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截止时间 </w:t>
            </w:r>
          </w:p>
        </w:tc>
        <w:tc>
          <w:tcPr>
            <w:tcW w:w="7613" w:type="dxa"/>
            <w:tcBorders>
              <w:top w:val="single" w:color="080000" w:sz="4" w:space="0"/>
              <w:left w:val="nil"/>
              <w:bottom w:val="single" w:color="080000" w:sz="4" w:space="0"/>
              <w:right w:val="single" w:color="080000" w:sz="4" w:space="0"/>
            </w:tcBorders>
            <w:noWrap w:val="0"/>
            <w:vAlign w:val="center"/>
          </w:tcPr>
          <w:p w14:paraId="15866188">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30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分</w:t>
            </w:r>
          </w:p>
        </w:tc>
      </w:tr>
      <w:tr w14:paraId="73F744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327" w:hRule="atLeast"/>
          <w:jc w:val="center"/>
        </w:trPr>
        <w:tc>
          <w:tcPr>
            <w:tcW w:w="437" w:type="dxa"/>
            <w:tcBorders>
              <w:top w:val="single" w:color="080000" w:sz="4" w:space="0"/>
              <w:left w:val="single" w:color="080000" w:sz="4" w:space="0"/>
              <w:bottom w:val="single" w:color="080000" w:sz="4" w:space="0"/>
              <w:right w:val="single" w:color="080000" w:sz="4" w:space="0"/>
            </w:tcBorders>
            <w:noWrap w:val="0"/>
            <w:vAlign w:val="center"/>
          </w:tcPr>
          <w:p w14:paraId="70B8F3E0">
            <w:pPr>
              <w:pStyle w:val="29"/>
              <w:keepNext w:val="0"/>
              <w:keepLines w:val="0"/>
              <w:widowControl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7</w:t>
            </w:r>
          </w:p>
        </w:tc>
        <w:tc>
          <w:tcPr>
            <w:tcW w:w="1513" w:type="dxa"/>
            <w:tcBorders>
              <w:top w:val="single" w:color="080000" w:sz="4" w:space="0"/>
              <w:left w:val="nil"/>
              <w:bottom w:val="single" w:color="080000" w:sz="4" w:space="0"/>
              <w:right w:val="single" w:color="080000" w:sz="4" w:space="0"/>
            </w:tcBorders>
            <w:noWrap w:val="0"/>
            <w:vAlign w:val="center"/>
          </w:tcPr>
          <w:p w14:paraId="00E7D9E0">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投标评审原件（如有）递交</w:t>
            </w:r>
          </w:p>
          <w:p w14:paraId="2C883879">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时间</w:t>
            </w:r>
          </w:p>
        </w:tc>
        <w:tc>
          <w:tcPr>
            <w:tcW w:w="7613" w:type="dxa"/>
            <w:tcBorders>
              <w:top w:val="single" w:color="080000" w:sz="4" w:space="0"/>
              <w:left w:val="nil"/>
              <w:bottom w:val="single" w:color="080000" w:sz="4" w:space="0"/>
              <w:right w:val="single" w:color="080000" w:sz="4" w:space="0"/>
            </w:tcBorders>
            <w:noWrap w:val="0"/>
            <w:vAlign w:val="center"/>
          </w:tcPr>
          <w:p w14:paraId="3CBFE47F">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120" w:rightChars="50" w:firstLine="210" w:firstLineChars="100"/>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00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分至 </w:t>
            </w: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30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分</w:t>
            </w:r>
          </w:p>
        </w:tc>
      </w:tr>
      <w:tr w14:paraId="3C79CA3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327" w:hRule="atLeast"/>
          <w:jc w:val="center"/>
        </w:trPr>
        <w:tc>
          <w:tcPr>
            <w:tcW w:w="437" w:type="dxa"/>
            <w:tcBorders>
              <w:top w:val="single" w:color="080000" w:sz="4" w:space="0"/>
              <w:left w:val="single" w:color="080000" w:sz="4" w:space="0"/>
              <w:bottom w:val="single" w:color="080000" w:sz="4" w:space="0"/>
              <w:right w:val="single" w:color="080000" w:sz="4" w:space="0"/>
            </w:tcBorders>
            <w:noWrap w:val="0"/>
            <w:vAlign w:val="center"/>
          </w:tcPr>
          <w:p w14:paraId="2FBF6637">
            <w:pPr>
              <w:pStyle w:val="29"/>
              <w:keepNext w:val="0"/>
              <w:keepLines w:val="0"/>
              <w:widowControl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8</w:t>
            </w:r>
          </w:p>
        </w:tc>
        <w:tc>
          <w:tcPr>
            <w:tcW w:w="1513" w:type="dxa"/>
            <w:tcBorders>
              <w:top w:val="single" w:color="080000" w:sz="4" w:space="0"/>
              <w:left w:val="nil"/>
              <w:bottom w:val="single" w:color="080000" w:sz="4" w:space="0"/>
              <w:right w:val="single" w:color="080000" w:sz="4" w:space="0"/>
            </w:tcBorders>
            <w:noWrap w:val="0"/>
            <w:vAlign w:val="center"/>
          </w:tcPr>
          <w:p w14:paraId="69B00EB6">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投标评审原件（如有）递交</w:t>
            </w:r>
          </w:p>
          <w:p w14:paraId="578A1887">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地点</w:t>
            </w:r>
          </w:p>
        </w:tc>
        <w:tc>
          <w:tcPr>
            <w:tcW w:w="7613" w:type="dxa"/>
            <w:tcBorders>
              <w:top w:val="single" w:color="080000" w:sz="4" w:space="0"/>
              <w:left w:val="nil"/>
              <w:bottom w:val="single" w:color="080000" w:sz="4" w:space="0"/>
              <w:right w:val="single" w:color="080000" w:sz="4" w:space="0"/>
            </w:tcBorders>
            <w:noWrap w:val="0"/>
            <w:vAlign w:val="center"/>
          </w:tcPr>
          <w:p w14:paraId="75FF770A">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递交场所：韶关市公共资源交易中心曲江分中心，</w:t>
            </w:r>
          </w:p>
          <w:p w14:paraId="0E65D7BA">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地址：曲江区马坝镇鞍山路曲江文化中心一楼，具体开标室以当日现场通知为准。</w:t>
            </w:r>
          </w:p>
        </w:tc>
      </w:tr>
      <w:tr w14:paraId="5A39C5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42" w:hRule="atLeast"/>
          <w:jc w:val="center"/>
        </w:trPr>
        <w:tc>
          <w:tcPr>
            <w:tcW w:w="437" w:type="dxa"/>
            <w:tcBorders>
              <w:top w:val="single" w:color="080000" w:sz="4" w:space="0"/>
              <w:left w:val="single" w:color="080000" w:sz="4" w:space="0"/>
              <w:bottom w:val="single" w:color="080000" w:sz="4" w:space="0"/>
              <w:right w:val="single" w:color="080000" w:sz="4" w:space="0"/>
            </w:tcBorders>
            <w:noWrap w:val="0"/>
            <w:vAlign w:val="center"/>
          </w:tcPr>
          <w:p w14:paraId="1AB5AF54">
            <w:pPr>
              <w:pStyle w:val="29"/>
              <w:keepNext w:val="0"/>
              <w:keepLines w:val="0"/>
              <w:widowControl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9</w:t>
            </w:r>
          </w:p>
        </w:tc>
        <w:tc>
          <w:tcPr>
            <w:tcW w:w="1513" w:type="dxa"/>
            <w:tcBorders>
              <w:top w:val="single" w:color="080000" w:sz="4" w:space="0"/>
              <w:left w:val="nil"/>
              <w:bottom w:val="single" w:color="080000" w:sz="4" w:space="0"/>
              <w:right w:val="single" w:color="080000" w:sz="4" w:space="0"/>
            </w:tcBorders>
            <w:noWrap w:val="0"/>
            <w:vAlign w:val="center"/>
          </w:tcPr>
          <w:p w14:paraId="4204B6DB">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开标时间 </w:t>
            </w:r>
          </w:p>
        </w:tc>
        <w:tc>
          <w:tcPr>
            <w:tcW w:w="7613" w:type="dxa"/>
            <w:tcBorders>
              <w:top w:val="single" w:color="080000" w:sz="4" w:space="0"/>
              <w:left w:val="nil"/>
              <w:bottom w:val="single" w:color="080000" w:sz="4" w:space="0"/>
              <w:right w:val="single" w:color="080000" w:sz="4" w:space="0"/>
            </w:tcBorders>
            <w:noWrap w:val="0"/>
            <w:vAlign w:val="center"/>
          </w:tcPr>
          <w:p w14:paraId="122B2920">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u w:val="single"/>
                <w:lang w:val="en-US" w:eastAsia="zh-CN" w:bidi="ar"/>
              </w:rPr>
              <w:t>2025</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19</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日</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10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时</w:t>
            </w:r>
            <w:r>
              <w:rPr>
                <w:rFonts w:hint="eastAsia" w:ascii="宋体" w:hAnsi="宋体" w:eastAsia="宋体" w:cs="宋体"/>
                <w:color w:val="auto"/>
                <w:kern w:val="0"/>
                <w:sz w:val="21"/>
                <w:szCs w:val="21"/>
                <w:highlight w:val="none"/>
                <w:u w:val="single"/>
                <w:lang w:val="en-US" w:eastAsia="zh-CN" w:bidi="ar"/>
              </w:rPr>
              <w:t xml:space="preserve"> </w:t>
            </w:r>
            <w:r>
              <w:rPr>
                <w:rFonts w:hint="eastAsia" w:cs="宋体"/>
                <w:color w:val="auto"/>
                <w:kern w:val="0"/>
                <w:sz w:val="21"/>
                <w:szCs w:val="21"/>
                <w:highlight w:val="none"/>
                <w:u w:val="single"/>
                <w:lang w:val="en-US" w:eastAsia="zh-CN" w:bidi="ar"/>
              </w:rPr>
              <w:t>30</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分</w:t>
            </w:r>
          </w:p>
        </w:tc>
      </w:tr>
      <w:tr w14:paraId="63D25FE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30" w:hRule="atLeast"/>
          <w:jc w:val="center"/>
        </w:trPr>
        <w:tc>
          <w:tcPr>
            <w:tcW w:w="437" w:type="dxa"/>
            <w:tcBorders>
              <w:top w:val="single" w:color="080000" w:sz="4" w:space="0"/>
              <w:left w:val="single" w:color="080000" w:sz="4" w:space="0"/>
              <w:bottom w:val="single" w:color="080000" w:sz="4" w:space="0"/>
              <w:right w:val="single" w:color="080000" w:sz="4" w:space="0"/>
            </w:tcBorders>
            <w:noWrap w:val="0"/>
            <w:vAlign w:val="center"/>
          </w:tcPr>
          <w:p w14:paraId="391F265C">
            <w:pPr>
              <w:pStyle w:val="29"/>
              <w:keepNext w:val="0"/>
              <w:keepLines w:val="0"/>
              <w:widowControl w:val="0"/>
              <w:suppressLineNumbers w:val="0"/>
              <w:wordWrap w:val="0"/>
              <w:adjustRightInd w:val="0"/>
              <w:snapToGrid w:val="0"/>
              <w:spacing w:before="0" w:beforeAutospacing="0" w:after="0" w:afterAutospacing="0" w:line="36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10</w:t>
            </w:r>
          </w:p>
        </w:tc>
        <w:tc>
          <w:tcPr>
            <w:tcW w:w="1513" w:type="dxa"/>
            <w:tcBorders>
              <w:top w:val="single" w:color="080000" w:sz="4" w:space="0"/>
              <w:left w:val="nil"/>
              <w:bottom w:val="single" w:color="080000" w:sz="4" w:space="0"/>
              <w:right w:val="single" w:color="080000" w:sz="4" w:space="0"/>
            </w:tcBorders>
            <w:noWrap w:val="0"/>
            <w:vAlign w:val="center"/>
          </w:tcPr>
          <w:p w14:paraId="1987773E">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120" w:leftChars="50" w:right="120" w:rightChars="5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 xml:space="preserve">开标地点 </w:t>
            </w:r>
          </w:p>
        </w:tc>
        <w:tc>
          <w:tcPr>
            <w:tcW w:w="7613" w:type="dxa"/>
            <w:tcBorders>
              <w:top w:val="single" w:color="080000" w:sz="4" w:space="0"/>
              <w:left w:val="nil"/>
              <w:bottom w:val="single" w:color="080000" w:sz="4" w:space="0"/>
              <w:right w:val="single" w:color="080000" w:sz="4" w:space="0"/>
            </w:tcBorders>
            <w:noWrap w:val="0"/>
            <w:vAlign w:val="center"/>
          </w:tcPr>
          <w:p w14:paraId="0866A7A9">
            <w:pPr>
              <w:pStyle w:val="2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120" w:leftChars="50" w:right="120" w:rightChars="5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开标场所：韶关市公共资源交易中心曲江分中心；</w:t>
            </w:r>
          </w:p>
          <w:p w14:paraId="12FB30C0">
            <w:pPr>
              <w:pStyle w:val="29"/>
              <w:keepNext w:val="0"/>
              <w:keepLines w:val="0"/>
              <w:pageBreakBefore w:val="0"/>
              <w:widowControl/>
              <w:suppressLineNumbers w:val="0"/>
              <w:shd w:val="clear" w:color="auto" w:fill="FFFFFF"/>
              <w:kinsoku/>
              <w:overflowPunct/>
              <w:topLinePunct w:val="0"/>
              <w:autoSpaceDE/>
              <w:autoSpaceDN/>
              <w:bidi w:val="0"/>
              <w:adjustRightInd/>
              <w:snapToGrid/>
              <w:spacing w:before="75" w:beforeAutospacing="0" w:after="75" w:afterAutospacing="0" w:line="294" w:lineRule="atLeast"/>
              <w:ind w:left="120" w:leftChars="50" w:right="120" w:rightChars="50"/>
              <w:jc w:val="left"/>
              <w:textAlignment w:val="auto"/>
              <w:rPr>
                <w:rFonts w:hint="eastAsia" w:ascii="宋体" w:hAnsi="宋体" w:eastAsia="宋体" w:cs="宋体"/>
                <w:color w:val="auto"/>
                <w:kern w:val="0"/>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lang w:val="en-US" w:eastAsia="zh-CN" w:bidi="ar"/>
              </w:rPr>
              <w:t>地址：曲江区马坝镇鞍山路曲江文化中心一楼，具体开标室以当日现场通知为准。</w:t>
            </w:r>
          </w:p>
        </w:tc>
      </w:tr>
      <w:tr w14:paraId="1ED37B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85" w:hRule="atLeast"/>
          <w:jc w:val="center"/>
        </w:trPr>
        <w:tc>
          <w:tcPr>
            <w:tcW w:w="9563" w:type="dxa"/>
            <w:gridSpan w:val="3"/>
            <w:tcBorders>
              <w:top w:val="single" w:color="080000" w:sz="4" w:space="0"/>
              <w:left w:val="single" w:color="080000" w:sz="4" w:space="0"/>
              <w:bottom w:val="single" w:color="080000" w:sz="4" w:space="0"/>
              <w:right w:val="single" w:color="080000" w:sz="4" w:space="0"/>
            </w:tcBorders>
            <w:noWrap w:val="0"/>
            <w:vAlign w:val="center"/>
          </w:tcPr>
          <w:p w14:paraId="6FADEDC0">
            <w:pPr>
              <w:pStyle w:val="29"/>
              <w:keepNext w:val="0"/>
              <w:keepLines w:val="0"/>
              <w:widowControl/>
              <w:suppressLineNumbers w:val="0"/>
              <w:snapToGrid w:val="0"/>
              <w:spacing w:before="0" w:beforeAutospacing="0" w:after="0" w:afterAutospacing="0" w:line="340" w:lineRule="atLeast"/>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备注：自行下载招标文件、资料文件及招标答疑书等。若由于投标人自身原因未能及时取得上述资料的，由此发生的任何责任由投标人自负。</w:t>
            </w:r>
          </w:p>
        </w:tc>
      </w:tr>
    </w:tbl>
    <w:p w14:paraId="09CA5BA7">
      <w:pPr>
        <w:pStyle w:val="7"/>
        <w:rPr>
          <w:rFonts w:hint="eastAsia" w:ascii="宋体" w:hAnsi="宋体" w:eastAsia="宋体" w:cs="宋体"/>
          <w:color w:val="auto"/>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1F94C0F6">
      <w:pPr>
        <w:pStyle w:val="4"/>
        <w:wordWrap w:val="0"/>
        <w:autoSpaceDE/>
        <w:autoSpaceDN/>
        <w:snapToGrid w:val="0"/>
        <w:spacing w:after="260" w:line="440" w:lineRule="exact"/>
        <w:jc w:val="both"/>
        <w:rPr>
          <w:rFonts w:hint="eastAsia" w:ascii="宋体" w:hAnsi="宋体" w:eastAsia="宋体" w:cs="宋体"/>
          <w:b/>
          <w:snapToGrid w:val="0"/>
          <w:color w:val="auto"/>
          <w:highlight w:val="none"/>
        </w:rPr>
      </w:pPr>
      <w:bookmarkStart w:id="14" w:name="_Hlt87793819"/>
      <w:bookmarkEnd w:id="14"/>
      <w:bookmarkStart w:id="15" w:name="_Toc25052"/>
      <w:bookmarkStart w:id="16" w:name="_Hlt69698705"/>
      <w:bookmarkStart w:id="17" w:name="_Hlt69698754"/>
      <w:r>
        <w:rPr>
          <w:rFonts w:hint="eastAsia" w:ascii="宋体" w:hAnsi="宋体" w:eastAsia="宋体" w:cs="宋体"/>
          <w:b/>
          <w:snapToGrid w:val="0"/>
          <w:color w:val="auto"/>
          <w:highlight w:val="none"/>
        </w:rPr>
        <w:t>第三节 投标人须知</w:t>
      </w:r>
      <w:bookmarkStart w:id="18" w:name="_Hlt69669159"/>
      <w:bookmarkEnd w:id="18"/>
      <w:r>
        <w:rPr>
          <w:rFonts w:hint="eastAsia" w:ascii="宋体" w:hAnsi="宋体" w:eastAsia="宋体" w:cs="宋体"/>
          <w:b/>
          <w:snapToGrid w:val="0"/>
          <w:color w:val="auto"/>
          <w:highlight w:val="none"/>
        </w:rPr>
        <w:t>正文</w:t>
      </w:r>
      <w:bookmarkEnd w:id="15"/>
    </w:p>
    <w:bookmarkEnd w:id="16"/>
    <w:bookmarkEnd w:id="17"/>
    <w:p w14:paraId="0D7EB380">
      <w:pPr>
        <w:keepNext w:val="0"/>
        <w:keepLines w:val="0"/>
        <w:pageBreakBefore w:val="0"/>
        <w:kinsoku/>
        <w:wordWrap w:val="0"/>
        <w:overflowPunct/>
        <w:topLinePunct w:val="0"/>
        <w:bidi w:val="0"/>
        <w:adjustRightInd w:val="0"/>
        <w:snapToGrid w:val="0"/>
        <w:spacing w:line="360" w:lineRule="auto"/>
        <w:ind w:firstLine="420" w:firstLineChars="200"/>
        <w:rPr>
          <w:rFonts w:hint="eastAsia" w:ascii="宋体" w:hAnsi="宋体" w:eastAsia="宋体" w:cs="宋体"/>
          <w:b/>
          <w:snapToGrid w:val="0"/>
          <w:color w:val="auto"/>
          <w:sz w:val="21"/>
          <w:szCs w:val="21"/>
          <w:highlight w:val="none"/>
        </w:rPr>
      </w:pPr>
      <w:r>
        <w:rPr>
          <w:rFonts w:hint="eastAsia" w:ascii="宋体" w:hAnsi="宋体" w:eastAsia="宋体" w:cs="宋体"/>
          <w:snapToGrid w:val="0"/>
          <w:color w:val="auto"/>
          <w:kern w:val="0"/>
          <w:sz w:val="21"/>
          <w:szCs w:val="21"/>
          <w:highlight w:val="none"/>
          <w:u w:val="single"/>
          <w:lang w:eastAsia="zh-CN"/>
        </w:rPr>
        <w:t>曲江经济开发区东南片区基础设施建设项目</w:t>
      </w:r>
      <w:r>
        <w:rPr>
          <w:rFonts w:hint="eastAsia" w:ascii="宋体" w:hAnsi="宋体" w:eastAsia="宋体" w:cs="宋体"/>
          <w:snapToGrid w:val="0"/>
          <w:color w:val="auto"/>
          <w:kern w:val="0"/>
          <w:sz w:val="21"/>
          <w:szCs w:val="21"/>
          <w:highlight w:val="none"/>
          <w:u w:val="single"/>
          <w:lang w:val="en-US" w:eastAsia="zh-CN"/>
        </w:rPr>
        <w:t>-电力线路迁改工程</w:t>
      </w:r>
      <w:r>
        <w:rPr>
          <w:rFonts w:hint="eastAsia" w:ascii="宋体" w:hAnsi="宋体" w:eastAsia="宋体" w:cs="宋体"/>
          <w:snapToGrid w:val="0"/>
          <w:color w:val="auto"/>
          <w:kern w:val="0"/>
          <w:sz w:val="21"/>
          <w:szCs w:val="21"/>
          <w:highlight w:val="none"/>
          <w:u w:val="single"/>
          <w:lang w:eastAsia="zh-CN"/>
        </w:rPr>
        <w:t xml:space="preserve"> </w:t>
      </w:r>
      <w:r>
        <w:rPr>
          <w:rFonts w:hint="eastAsia" w:ascii="宋体" w:hAnsi="宋体" w:eastAsia="宋体" w:cs="宋体"/>
          <w:snapToGrid w:val="0"/>
          <w:color w:val="auto"/>
          <w:kern w:val="0"/>
          <w:sz w:val="21"/>
          <w:szCs w:val="21"/>
          <w:highlight w:val="none"/>
        </w:rPr>
        <w:t>经</w:t>
      </w:r>
      <w:r>
        <w:rPr>
          <w:rFonts w:hint="eastAsia" w:ascii="宋体" w:hAnsi="宋体" w:eastAsia="宋体" w:cs="宋体"/>
          <w:snapToGrid w:val="0"/>
          <w:color w:val="auto"/>
          <w:kern w:val="0"/>
          <w:sz w:val="21"/>
          <w:szCs w:val="21"/>
          <w:highlight w:val="none"/>
          <w:u w:val="single"/>
          <w:lang w:eastAsia="zh-CN"/>
        </w:rPr>
        <w:t>韶关市曲江区发展和改革局</w:t>
      </w:r>
      <w:r>
        <w:rPr>
          <w:rFonts w:hint="eastAsia" w:ascii="宋体" w:hAnsi="宋体" w:eastAsia="宋体" w:cs="宋体"/>
          <w:snapToGrid w:val="0"/>
          <w:color w:val="auto"/>
          <w:kern w:val="0"/>
          <w:sz w:val="21"/>
          <w:szCs w:val="21"/>
          <w:highlight w:val="none"/>
        </w:rPr>
        <w:t>以</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u w:val="single"/>
          <w:lang w:eastAsia="zh-CN"/>
        </w:rPr>
        <w:t>关于曲江经济开发区东南片区基础设施建设项目可行性研究报告的批复》</w:t>
      </w:r>
      <w:r>
        <w:rPr>
          <w:rFonts w:hint="eastAsia" w:ascii="宋体" w:hAnsi="宋体" w:eastAsia="宋体" w:cs="宋体"/>
          <w:snapToGrid w:val="0"/>
          <w:color w:val="auto"/>
          <w:kern w:val="0"/>
          <w:sz w:val="21"/>
          <w:szCs w:val="21"/>
          <w:highlight w:val="none"/>
          <w:u w:val="single"/>
        </w:rPr>
        <w:t>（</w:t>
      </w:r>
      <w:r>
        <w:rPr>
          <w:rFonts w:hint="eastAsia" w:ascii="宋体" w:hAnsi="宋体" w:eastAsia="宋体" w:cs="宋体"/>
          <w:snapToGrid w:val="0"/>
          <w:color w:val="auto"/>
          <w:kern w:val="0"/>
          <w:sz w:val="21"/>
          <w:szCs w:val="21"/>
          <w:highlight w:val="none"/>
          <w:u w:val="single"/>
          <w:lang w:eastAsia="zh-CN"/>
        </w:rPr>
        <w:t>曲发改投审〔202</w:t>
      </w:r>
      <w:r>
        <w:rPr>
          <w:rFonts w:hint="eastAsia" w:ascii="宋体" w:hAnsi="宋体" w:eastAsia="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u w:val="single"/>
          <w:lang w:eastAsia="zh-CN"/>
        </w:rPr>
        <w:t>〕</w:t>
      </w:r>
      <w:r>
        <w:rPr>
          <w:rFonts w:hint="eastAsia" w:ascii="宋体" w:hAnsi="宋体" w:eastAsia="宋体" w:cs="宋体"/>
          <w:snapToGrid w:val="0"/>
          <w:color w:val="auto"/>
          <w:kern w:val="0"/>
          <w:sz w:val="21"/>
          <w:szCs w:val="21"/>
          <w:highlight w:val="none"/>
          <w:u w:val="single"/>
          <w:lang w:val="en-US" w:eastAsia="zh-CN"/>
        </w:rPr>
        <w:t>16</w:t>
      </w:r>
      <w:r>
        <w:rPr>
          <w:rFonts w:hint="eastAsia" w:ascii="宋体" w:hAnsi="宋体" w:eastAsia="宋体" w:cs="宋体"/>
          <w:snapToGrid w:val="0"/>
          <w:color w:val="auto"/>
          <w:kern w:val="0"/>
          <w:sz w:val="21"/>
          <w:szCs w:val="21"/>
          <w:highlight w:val="none"/>
          <w:u w:val="single"/>
          <w:lang w:eastAsia="zh-CN"/>
        </w:rPr>
        <w:t>号</w:t>
      </w:r>
      <w:r>
        <w:rPr>
          <w:rFonts w:hint="eastAsia" w:ascii="宋体" w:hAnsi="宋体" w:eastAsia="宋体" w:cs="宋体"/>
          <w:snapToGrid w:val="0"/>
          <w:color w:val="auto"/>
          <w:kern w:val="0"/>
          <w:sz w:val="21"/>
          <w:szCs w:val="21"/>
          <w:highlight w:val="none"/>
          <w:u w:val="single"/>
        </w:rPr>
        <w:t>）</w:t>
      </w:r>
      <w:r>
        <w:rPr>
          <w:rFonts w:hint="eastAsia" w:ascii="宋体" w:hAnsi="宋体" w:eastAsia="宋体" w:cs="宋体"/>
          <w:snapToGrid w:val="0"/>
          <w:color w:val="auto"/>
          <w:kern w:val="0"/>
          <w:sz w:val="21"/>
          <w:szCs w:val="21"/>
          <w:highlight w:val="none"/>
          <w:u w:val="single"/>
          <w:lang w:eastAsia="zh-CN"/>
        </w:rPr>
        <w:t>、</w:t>
      </w:r>
      <w:r>
        <w:rPr>
          <w:rFonts w:hint="eastAsia" w:ascii="宋体" w:hAnsi="宋体" w:eastAsia="宋体" w:cs="宋体"/>
          <w:snapToGrid w:val="0"/>
          <w:color w:val="auto"/>
          <w:kern w:val="0"/>
          <w:sz w:val="21"/>
          <w:szCs w:val="21"/>
          <w:highlight w:val="none"/>
          <w:u w:val="single"/>
        </w:rPr>
        <w:t>《</w:t>
      </w:r>
      <w:r>
        <w:rPr>
          <w:rFonts w:hint="eastAsia" w:ascii="宋体" w:hAnsi="宋体" w:eastAsia="宋体" w:cs="宋体"/>
          <w:snapToGrid w:val="0"/>
          <w:color w:val="auto"/>
          <w:kern w:val="0"/>
          <w:sz w:val="21"/>
          <w:szCs w:val="21"/>
          <w:highlight w:val="none"/>
          <w:u w:val="single"/>
          <w:lang w:val="en-US" w:eastAsia="zh-CN"/>
        </w:rPr>
        <w:t>关于曲江经济开发区东南片区基础设施建设项目</w:t>
      </w:r>
      <w:r>
        <w:rPr>
          <w:rFonts w:hint="eastAsia" w:hAnsi="宋体" w:cs="宋体"/>
          <w:snapToGrid w:val="0"/>
          <w:color w:val="auto"/>
          <w:kern w:val="0"/>
          <w:sz w:val="21"/>
          <w:szCs w:val="21"/>
          <w:highlight w:val="none"/>
          <w:u w:val="single"/>
          <w:lang w:val="en-US" w:eastAsia="zh-CN"/>
        </w:rPr>
        <w:t>-</w:t>
      </w:r>
      <w:r>
        <w:rPr>
          <w:rFonts w:hint="eastAsia" w:ascii="宋体" w:hAnsi="宋体" w:eastAsia="宋体" w:cs="宋体"/>
          <w:snapToGrid w:val="0"/>
          <w:color w:val="auto"/>
          <w:kern w:val="0"/>
          <w:sz w:val="21"/>
          <w:szCs w:val="21"/>
          <w:highlight w:val="none"/>
          <w:u w:val="single"/>
          <w:lang w:val="en-US" w:eastAsia="zh-CN"/>
        </w:rPr>
        <w:t>电力线路迁改工程初步设计概算的批复</w:t>
      </w:r>
      <w:r>
        <w:rPr>
          <w:rFonts w:hint="eastAsia" w:ascii="宋体" w:hAnsi="宋体" w:eastAsia="宋体" w:cs="宋体"/>
          <w:snapToGrid w:val="0"/>
          <w:color w:val="auto"/>
          <w:kern w:val="0"/>
          <w:sz w:val="21"/>
          <w:szCs w:val="21"/>
          <w:highlight w:val="none"/>
          <w:u w:val="single"/>
        </w:rPr>
        <w:t>》（</w:t>
      </w:r>
      <w:r>
        <w:rPr>
          <w:rFonts w:hint="eastAsia" w:ascii="宋体" w:hAnsi="宋体" w:eastAsia="宋体" w:cs="宋体"/>
          <w:snapToGrid w:val="0"/>
          <w:color w:val="auto"/>
          <w:kern w:val="0"/>
          <w:sz w:val="21"/>
          <w:szCs w:val="21"/>
          <w:highlight w:val="none"/>
          <w:u w:val="single"/>
          <w:lang w:eastAsia="zh-CN"/>
        </w:rPr>
        <w:t>曲发改投审〔202</w:t>
      </w:r>
      <w:r>
        <w:rPr>
          <w:rFonts w:hint="eastAsia" w:ascii="宋体" w:hAnsi="宋体" w:eastAsia="宋体" w:cs="宋体"/>
          <w:snapToGrid w:val="0"/>
          <w:color w:val="auto"/>
          <w:kern w:val="0"/>
          <w:sz w:val="21"/>
          <w:szCs w:val="21"/>
          <w:highlight w:val="none"/>
          <w:u w:val="single"/>
          <w:lang w:val="en-US" w:eastAsia="zh-CN"/>
        </w:rPr>
        <w:t>5</w:t>
      </w:r>
      <w:r>
        <w:rPr>
          <w:rFonts w:hint="eastAsia" w:ascii="宋体" w:hAnsi="宋体" w:eastAsia="宋体" w:cs="宋体"/>
          <w:snapToGrid w:val="0"/>
          <w:color w:val="auto"/>
          <w:kern w:val="0"/>
          <w:sz w:val="21"/>
          <w:szCs w:val="21"/>
          <w:highlight w:val="none"/>
          <w:u w:val="single"/>
          <w:lang w:eastAsia="zh-CN"/>
        </w:rPr>
        <w:t>〕4</w:t>
      </w:r>
      <w:r>
        <w:rPr>
          <w:rFonts w:hint="eastAsia" w:ascii="宋体" w:hAnsi="宋体" w:eastAsia="宋体" w:cs="宋体"/>
          <w:snapToGrid w:val="0"/>
          <w:color w:val="auto"/>
          <w:kern w:val="0"/>
          <w:sz w:val="21"/>
          <w:szCs w:val="21"/>
          <w:highlight w:val="none"/>
          <w:u w:val="single"/>
          <w:lang w:val="en-US" w:eastAsia="zh-CN"/>
        </w:rPr>
        <w:t>4</w:t>
      </w:r>
      <w:r>
        <w:rPr>
          <w:rFonts w:hint="eastAsia" w:ascii="宋体" w:hAnsi="宋体" w:eastAsia="宋体" w:cs="宋体"/>
          <w:snapToGrid w:val="0"/>
          <w:color w:val="auto"/>
          <w:kern w:val="0"/>
          <w:sz w:val="21"/>
          <w:szCs w:val="21"/>
          <w:highlight w:val="none"/>
          <w:u w:val="single"/>
          <w:lang w:eastAsia="zh-CN"/>
        </w:rPr>
        <w:t>号</w:t>
      </w:r>
      <w:r>
        <w:rPr>
          <w:rFonts w:hint="eastAsia" w:ascii="宋体" w:hAnsi="宋体" w:eastAsia="宋体" w:cs="宋体"/>
          <w:snapToGrid w:val="0"/>
          <w:color w:val="auto"/>
          <w:kern w:val="0"/>
          <w:sz w:val="21"/>
          <w:szCs w:val="21"/>
          <w:highlight w:val="none"/>
          <w:u w:val="single"/>
        </w:rPr>
        <w:t>）</w:t>
      </w:r>
      <w:r>
        <w:rPr>
          <w:rFonts w:hint="eastAsia" w:ascii="宋体" w:hAnsi="宋体" w:eastAsia="宋体" w:cs="宋体"/>
          <w:snapToGrid w:val="0"/>
          <w:color w:val="auto"/>
          <w:kern w:val="0"/>
          <w:sz w:val="21"/>
          <w:szCs w:val="21"/>
          <w:highlight w:val="none"/>
        </w:rPr>
        <w:t>批准建设，项目代码为</w:t>
      </w:r>
      <w:r>
        <w:rPr>
          <w:rFonts w:hint="eastAsia" w:ascii="宋体" w:hAnsi="宋体" w:eastAsia="宋体" w:cs="宋体"/>
          <w:snapToGrid w:val="0"/>
          <w:color w:val="auto"/>
          <w:kern w:val="0"/>
          <w:sz w:val="21"/>
          <w:szCs w:val="21"/>
          <w:highlight w:val="none"/>
          <w:u w:val="single"/>
          <w:lang w:val="en-US" w:eastAsia="zh-CN"/>
        </w:rPr>
        <w:t>2503-440205-04-01-898960</w:t>
      </w:r>
      <w:r>
        <w:rPr>
          <w:rFonts w:hint="eastAsia" w:ascii="宋体" w:hAnsi="宋体" w:eastAsia="宋体" w:cs="宋体"/>
          <w:snapToGrid w:val="0"/>
          <w:color w:val="auto"/>
          <w:kern w:val="0"/>
          <w:sz w:val="21"/>
          <w:szCs w:val="21"/>
          <w:highlight w:val="none"/>
        </w:rPr>
        <w:t>。建设资金来自</w:t>
      </w:r>
      <w:r>
        <w:rPr>
          <w:rFonts w:hint="eastAsia" w:ascii="宋体" w:hAnsi="宋体" w:eastAsia="宋体" w:cs="宋体"/>
          <w:snapToGrid w:val="0"/>
          <w:color w:val="auto"/>
          <w:kern w:val="0"/>
          <w:sz w:val="21"/>
          <w:szCs w:val="21"/>
          <w:highlight w:val="none"/>
          <w:u w:val="single"/>
          <w:lang w:val="en-US" w:eastAsia="zh-CN"/>
        </w:rPr>
        <w:t>区财政统筹安排</w:t>
      </w:r>
      <w:r>
        <w:rPr>
          <w:rFonts w:hint="eastAsia" w:ascii="宋体" w:hAnsi="宋体" w:eastAsia="宋体" w:cs="宋体"/>
          <w:snapToGrid w:val="0"/>
          <w:color w:val="auto"/>
          <w:kern w:val="0"/>
          <w:sz w:val="21"/>
          <w:szCs w:val="21"/>
          <w:highlight w:val="none"/>
        </w:rPr>
        <w:t>，出资比例为</w:t>
      </w:r>
      <w:r>
        <w:rPr>
          <w:rFonts w:hint="eastAsia" w:ascii="宋体" w:hAnsi="宋体" w:eastAsia="宋体" w:cs="宋体"/>
          <w:snapToGrid w:val="0"/>
          <w:color w:val="auto"/>
          <w:kern w:val="0"/>
          <w:sz w:val="21"/>
          <w:szCs w:val="21"/>
          <w:highlight w:val="none"/>
          <w:u w:val="single"/>
        </w:rPr>
        <w:t>100%</w:t>
      </w:r>
      <w:r>
        <w:rPr>
          <w:rFonts w:hint="eastAsia" w:ascii="宋体" w:hAnsi="宋体" w:eastAsia="宋体" w:cs="宋体"/>
          <w:snapToGrid w:val="0"/>
          <w:color w:val="auto"/>
          <w:kern w:val="0"/>
          <w:sz w:val="21"/>
          <w:szCs w:val="21"/>
          <w:highlight w:val="none"/>
        </w:rPr>
        <w:t>，招标人为</w:t>
      </w:r>
      <w:r>
        <w:rPr>
          <w:rFonts w:hint="eastAsia" w:ascii="宋体" w:hAnsi="宋体" w:eastAsia="宋体" w:cs="宋体"/>
          <w:snapToGrid w:val="0"/>
          <w:color w:val="auto"/>
          <w:kern w:val="0"/>
          <w:sz w:val="21"/>
          <w:szCs w:val="21"/>
          <w:highlight w:val="none"/>
          <w:u w:val="single"/>
          <w:lang w:eastAsia="zh-CN"/>
        </w:rPr>
        <w:t>广东韶关曲江经济开发区管理委员会</w:t>
      </w:r>
      <w:r>
        <w:rPr>
          <w:rFonts w:hint="eastAsia" w:ascii="宋体" w:hAnsi="宋体" w:eastAsia="宋体" w:cs="宋体"/>
          <w:snapToGrid w:val="0"/>
          <w:color w:val="auto"/>
          <w:kern w:val="0"/>
          <w:sz w:val="21"/>
          <w:szCs w:val="21"/>
          <w:highlight w:val="none"/>
        </w:rPr>
        <w:t>，招标代理机构为</w:t>
      </w:r>
      <w:r>
        <w:rPr>
          <w:rFonts w:hint="eastAsia" w:ascii="宋体" w:hAnsi="宋体" w:eastAsia="宋体" w:cs="宋体"/>
          <w:snapToGrid w:val="0"/>
          <w:color w:val="auto"/>
          <w:kern w:val="0"/>
          <w:sz w:val="21"/>
          <w:szCs w:val="21"/>
          <w:highlight w:val="none"/>
          <w:u w:val="single"/>
          <w:lang w:eastAsia="zh-CN"/>
        </w:rPr>
        <w:t>韶关市繁盛项目管理有限公司</w:t>
      </w:r>
      <w:r>
        <w:rPr>
          <w:rFonts w:hint="eastAsia" w:ascii="宋体" w:hAnsi="宋体" w:eastAsia="宋体" w:cs="宋体"/>
          <w:snapToGrid w:val="0"/>
          <w:color w:val="auto"/>
          <w:kern w:val="0"/>
          <w:sz w:val="21"/>
          <w:szCs w:val="21"/>
          <w:highlight w:val="none"/>
        </w:rPr>
        <w:t>。项目已具备招标条件，现对该项目的</w:t>
      </w:r>
      <w:r>
        <w:rPr>
          <w:rFonts w:hint="eastAsia" w:ascii="宋体" w:hAnsi="宋体" w:eastAsia="宋体" w:cs="宋体"/>
          <w:snapToGrid w:val="0"/>
          <w:color w:val="auto"/>
          <w:kern w:val="0"/>
          <w:sz w:val="21"/>
          <w:szCs w:val="21"/>
          <w:highlight w:val="none"/>
          <w:u w:val="single"/>
          <w:lang w:eastAsia="zh-CN"/>
        </w:rPr>
        <w:t>施工</w:t>
      </w:r>
      <w:r>
        <w:rPr>
          <w:rFonts w:hint="eastAsia" w:ascii="宋体" w:hAnsi="宋体" w:eastAsia="宋体" w:cs="宋体"/>
          <w:snapToGrid w:val="0"/>
          <w:color w:val="auto"/>
          <w:kern w:val="0"/>
          <w:sz w:val="21"/>
          <w:szCs w:val="21"/>
          <w:highlight w:val="none"/>
        </w:rPr>
        <w:t>进行公开招标。</w:t>
      </w:r>
      <w:bookmarkStart w:id="19" w:name="_Hlt78795222"/>
      <w:bookmarkEnd w:id="19"/>
      <w:bookmarkStart w:id="20" w:name="_Hlt109358474"/>
      <w:bookmarkEnd w:id="20"/>
      <w:bookmarkStart w:id="21" w:name="_Hlt74474735"/>
      <w:bookmarkEnd w:id="21"/>
      <w:bookmarkStart w:id="22" w:name="_Hlt87948285"/>
      <w:bookmarkEnd w:id="22"/>
      <w:bookmarkStart w:id="23" w:name="_Hlt119991399"/>
      <w:bookmarkEnd w:id="23"/>
    </w:p>
    <w:p w14:paraId="50BAFAE9">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24" w:name="_Toc13665"/>
      <w:r>
        <w:rPr>
          <w:rFonts w:hint="eastAsia" w:ascii="宋体" w:hAnsi="宋体" w:eastAsia="宋体" w:cs="宋体"/>
          <w:b/>
          <w:snapToGrid w:val="0"/>
          <w:color w:val="auto"/>
          <w:sz w:val="21"/>
          <w:szCs w:val="21"/>
          <w:highlight w:val="none"/>
        </w:rPr>
        <w:t>1．项目概况、招标范围和标段划分、投标费用</w:t>
      </w:r>
      <w:bookmarkEnd w:id="24"/>
    </w:p>
    <w:p w14:paraId="700E4F51">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w:t>
      </w:r>
      <w:r>
        <w:rPr>
          <w:rFonts w:hint="eastAsia" w:ascii="宋体" w:hAnsi="宋体" w:eastAsia="宋体" w:cs="宋体"/>
          <w:snapToGrid w:val="0"/>
          <w:color w:val="auto"/>
          <w:kern w:val="0"/>
          <w:sz w:val="21"/>
          <w:szCs w:val="21"/>
          <w:highlight w:val="none"/>
        </w:rPr>
        <w:t xml:space="preserve"> 项目概况</w:t>
      </w:r>
    </w:p>
    <w:p w14:paraId="0111BF95">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u w:val="single"/>
          <w:lang w:eastAsia="zh-CN"/>
        </w:rPr>
      </w:pPr>
      <w:r>
        <w:rPr>
          <w:rFonts w:hint="eastAsia" w:ascii="宋体" w:hAnsi="宋体" w:eastAsia="宋体" w:cs="宋体"/>
          <w:b/>
          <w:bCs/>
          <w:snapToGrid w:val="0"/>
          <w:color w:val="auto"/>
          <w:kern w:val="0"/>
          <w:sz w:val="21"/>
          <w:szCs w:val="21"/>
          <w:highlight w:val="none"/>
        </w:rPr>
        <w:t>1.1.1</w:t>
      </w:r>
      <w:r>
        <w:rPr>
          <w:rFonts w:hint="eastAsia" w:ascii="宋体" w:hAnsi="宋体" w:eastAsia="宋体" w:cs="宋体"/>
          <w:snapToGrid w:val="0"/>
          <w:color w:val="auto"/>
          <w:kern w:val="0"/>
          <w:sz w:val="21"/>
          <w:szCs w:val="21"/>
          <w:highlight w:val="none"/>
        </w:rPr>
        <w:t xml:space="preserve"> 建设地点：</w:t>
      </w:r>
      <w:r>
        <w:rPr>
          <w:rFonts w:hint="eastAsia" w:ascii="宋体" w:hAnsi="宋体" w:eastAsia="宋体" w:cs="宋体"/>
          <w:snapToGrid w:val="0"/>
          <w:color w:val="auto"/>
          <w:kern w:val="0"/>
          <w:sz w:val="21"/>
          <w:szCs w:val="21"/>
          <w:highlight w:val="none"/>
          <w:u w:val="single"/>
          <w:lang w:eastAsia="zh-CN"/>
        </w:rPr>
        <w:t>曲江经济开发区东南片区</w:t>
      </w:r>
    </w:p>
    <w:p w14:paraId="091BB29D">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1.1.2</w:t>
      </w:r>
      <w:r>
        <w:rPr>
          <w:rFonts w:hint="eastAsia" w:ascii="宋体" w:hAnsi="宋体" w:eastAsia="宋体" w:cs="宋体"/>
          <w:snapToGrid w:val="0"/>
          <w:color w:val="auto"/>
          <w:kern w:val="0"/>
          <w:sz w:val="21"/>
          <w:szCs w:val="21"/>
          <w:highlight w:val="none"/>
        </w:rPr>
        <w:t xml:space="preserve"> 建设内容和规模：</w:t>
      </w:r>
      <w:r>
        <w:rPr>
          <w:rFonts w:hint="eastAsia" w:ascii="宋体" w:hAnsi="宋体" w:eastAsia="宋体" w:cs="宋体"/>
          <w:color w:val="auto"/>
          <w:kern w:val="0"/>
          <w:sz w:val="21"/>
          <w:szCs w:val="21"/>
          <w:highlight w:val="none"/>
          <w:u w:val="single"/>
          <w:lang w:val="en-US" w:eastAsia="zh-CN" w:bidi="ar"/>
        </w:rPr>
        <w:t>本工程包括河西地块部分和跨河段部分。其中河西地块部分建设内容主要为新架设10kV架空线路约8.688千米，新建铁塔11基等配套设施；拆除高压铁塔5基、10kV线路20.22千米、柱上负荷开关2台、柱上断路器开关1台、隔离刀闸1套及12米水泥电杆21根等。跨河段部分建设内容主要为新架设10kV架空线路约15.39千米，新建避雷线约5.13千米，新建铁塔12基等配套设施。</w:t>
      </w:r>
    </w:p>
    <w:p w14:paraId="1B2A5A1F">
      <w:pPr>
        <w:pStyle w:val="93"/>
        <w:keepNext w:val="0"/>
        <w:keepLines w:val="0"/>
        <w:pageBreakBefore w:val="0"/>
        <w:kinsoku/>
        <w:wordWrap w:val="0"/>
        <w:overflowPunct/>
        <w:topLinePunct w:val="0"/>
        <w:bidi w:val="0"/>
        <w:adjustRightInd w:val="0"/>
        <w:snapToGrid w:val="0"/>
        <w:spacing w:line="400" w:lineRule="atLeast"/>
        <w:ind w:firstLine="422" w:firstLineChars="200"/>
        <w:jc w:val="left"/>
        <w:rPr>
          <w:rFonts w:hint="default"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1.1.3</w:t>
      </w:r>
      <w:r>
        <w:rPr>
          <w:rFonts w:hint="eastAsia" w:ascii="宋体" w:hAnsi="宋体" w:eastAsia="宋体" w:cs="宋体"/>
          <w:snapToGrid w:val="0"/>
          <w:color w:val="auto"/>
          <w:kern w:val="0"/>
          <w:sz w:val="21"/>
          <w:szCs w:val="21"/>
          <w:highlight w:val="none"/>
        </w:rPr>
        <w:t xml:space="preserve"> 项目总投资：</w:t>
      </w:r>
      <w:r>
        <w:rPr>
          <w:rFonts w:hint="eastAsia" w:ascii="宋体" w:hAnsi="宋体" w:eastAsia="宋体" w:cs="宋体"/>
          <w:b w:val="0"/>
          <w:bCs w:val="0"/>
          <w:snapToGrid w:val="0"/>
          <w:color w:val="auto"/>
          <w:kern w:val="0"/>
          <w:sz w:val="21"/>
          <w:szCs w:val="21"/>
          <w:highlight w:val="none"/>
          <w:u w:val="single"/>
          <w:lang w:val="en-US" w:eastAsia="zh-CN"/>
        </w:rPr>
        <w:t>项目概算总投资933.43万元，其中工程费用650.93万元，工程建设其他费用275.99万元(含建设期利息)，预备费6.51万元。</w:t>
      </w:r>
    </w:p>
    <w:p w14:paraId="6B345C8A">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1.2 </w:t>
      </w:r>
      <w:r>
        <w:rPr>
          <w:rFonts w:hint="eastAsia" w:ascii="宋体" w:hAnsi="宋体" w:eastAsia="宋体" w:cs="宋体"/>
          <w:snapToGrid w:val="0"/>
          <w:color w:val="auto"/>
          <w:kern w:val="0"/>
          <w:sz w:val="21"/>
          <w:szCs w:val="21"/>
          <w:highlight w:val="none"/>
        </w:rPr>
        <w:t>招标范围和标段划分</w:t>
      </w:r>
    </w:p>
    <w:p w14:paraId="6534BE8C">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rPr>
        <w:t>1.2.1</w:t>
      </w:r>
      <w:r>
        <w:rPr>
          <w:rFonts w:hint="eastAsia" w:ascii="宋体" w:hAnsi="宋体" w:eastAsia="宋体" w:cs="宋体"/>
          <w:snapToGrid w:val="0"/>
          <w:color w:val="auto"/>
          <w:kern w:val="0"/>
          <w:sz w:val="21"/>
          <w:szCs w:val="21"/>
          <w:highlight w:val="none"/>
        </w:rPr>
        <w:t xml:space="preserve"> 招标范围：</w:t>
      </w:r>
      <w:r>
        <w:rPr>
          <w:rFonts w:hint="eastAsia" w:ascii="宋体" w:hAnsi="宋体" w:eastAsia="宋体" w:cs="宋体"/>
          <w:snapToGrid w:val="0"/>
          <w:color w:val="auto"/>
          <w:kern w:val="0"/>
          <w:sz w:val="21"/>
          <w:szCs w:val="21"/>
          <w:highlight w:val="none"/>
          <w:u w:val="single"/>
          <w:lang w:eastAsia="zh-CN"/>
        </w:rPr>
        <w:t>按审查合格的施工图纸及工程量清单内容施工</w:t>
      </w:r>
      <w:r>
        <w:rPr>
          <w:rFonts w:hint="eastAsia" w:ascii="宋体" w:hAnsi="宋体" w:eastAsia="宋体" w:cs="宋体"/>
          <w:snapToGrid w:val="0"/>
          <w:color w:val="auto"/>
          <w:kern w:val="0"/>
          <w:sz w:val="21"/>
          <w:szCs w:val="21"/>
          <w:highlight w:val="none"/>
          <w:u w:val="single"/>
        </w:rPr>
        <w:t>。</w:t>
      </w:r>
    </w:p>
    <w:p w14:paraId="61584B52">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 xml:space="preserve">1.2.2 </w:t>
      </w:r>
      <w:r>
        <w:rPr>
          <w:rFonts w:hint="eastAsia" w:ascii="宋体" w:hAnsi="宋体" w:eastAsia="宋体" w:cs="宋体"/>
          <w:snapToGrid w:val="0"/>
          <w:color w:val="auto"/>
          <w:kern w:val="0"/>
          <w:sz w:val="21"/>
          <w:szCs w:val="21"/>
          <w:highlight w:val="none"/>
        </w:rPr>
        <w:t>标段划分：本招标项目不划分标段。</w:t>
      </w:r>
    </w:p>
    <w:p w14:paraId="1FF96545">
      <w:pPr>
        <w:keepNext w:val="0"/>
        <w:keepLines w:val="0"/>
        <w:pageBreakBefore w:val="0"/>
        <w:tabs>
          <w:tab w:val="left" w:pos="7020"/>
        </w:tabs>
        <w:kinsoku/>
        <w:wordWrap w:val="0"/>
        <w:overflowPunct/>
        <w:topLinePunct w:val="0"/>
        <w:bidi w:val="0"/>
        <w:adjustRightInd w:val="0"/>
        <w:snapToGrid w:val="0"/>
        <w:spacing w:line="400" w:lineRule="atLeast"/>
        <w:ind w:firstLine="466" w:firstLineChars="221"/>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1.3</w:t>
      </w:r>
      <w:r>
        <w:rPr>
          <w:rFonts w:hint="eastAsia" w:ascii="宋体" w:hAnsi="宋体" w:eastAsia="宋体" w:cs="宋体"/>
          <w:snapToGrid w:val="0"/>
          <w:color w:val="auto"/>
          <w:kern w:val="0"/>
          <w:sz w:val="21"/>
          <w:szCs w:val="21"/>
          <w:highlight w:val="none"/>
        </w:rPr>
        <w:t xml:space="preserve"> 投标费用：投标人应承担所有准备和参加投标的相关费用，不论投标结果如何，招标人均无义务和责任承担这些费用。</w:t>
      </w:r>
    </w:p>
    <w:p w14:paraId="44F37897">
      <w:pPr>
        <w:keepNext w:val="0"/>
        <w:keepLines w:val="0"/>
        <w:pageBreakBefore w:val="0"/>
        <w:widowControl/>
        <w:suppressLineNumbers w:val="0"/>
        <w:kinsoku/>
        <w:overflowPunct/>
        <w:topLinePunct w:val="0"/>
        <w:bidi w:val="0"/>
        <w:spacing w:line="400" w:lineRule="atLeas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1.4 </w:t>
      </w:r>
      <w:r>
        <w:rPr>
          <w:rFonts w:hint="eastAsia" w:ascii="宋体" w:hAnsi="宋体" w:eastAsia="宋体" w:cs="宋体"/>
          <w:color w:val="auto"/>
          <w:kern w:val="0"/>
          <w:sz w:val="21"/>
          <w:szCs w:val="21"/>
          <w:highlight w:val="none"/>
          <w:lang w:val="en-US" w:eastAsia="zh-CN" w:bidi="ar"/>
        </w:rPr>
        <w:t xml:space="preserve">招标代理费用： </w:t>
      </w:r>
      <w:r>
        <w:rPr>
          <w:rFonts w:hint="eastAsia" w:ascii="宋体" w:hAnsi="宋体" w:eastAsia="宋体" w:cs="宋体"/>
          <w:bCs/>
          <w:snapToGrid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bidi="ar"/>
        </w:rPr>
        <w:t>由招标人支付   ☑由中标人支付。</w:t>
      </w:r>
    </w:p>
    <w:p w14:paraId="12C2BA52">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25" w:name="_Toc19143"/>
    </w:p>
    <w:p w14:paraId="07092D28">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2．投标人资格要求</w:t>
      </w:r>
      <w:bookmarkEnd w:id="25"/>
      <w:bookmarkStart w:id="26" w:name="_Hlt74496495"/>
      <w:bookmarkEnd w:id="26"/>
    </w:p>
    <w:p w14:paraId="2B13BF35">
      <w:pPr>
        <w:keepNext w:val="0"/>
        <w:keepLines w:val="0"/>
        <w:pageBreakBefore w:val="0"/>
        <w:kinsoku/>
        <w:wordWrap w:val="0"/>
        <w:overflowPunct/>
        <w:topLinePunct w:val="0"/>
        <w:bidi w:val="0"/>
        <w:adjustRightInd w:val="0"/>
        <w:snapToGrid w:val="0"/>
        <w:spacing w:line="400" w:lineRule="atLeast"/>
        <w:ind w:firstLine="422"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2.1 </w:t>
      </w:r>
      <w:r>
        <w:rPr>
          <w:rFonts w:hint="eastAsia" w:ascii="宋体" w:hAnsi="宋体" w:eastAsia="宋体" w:cs="宋体"/>
          <w:snapToGrid w:val="0"/>
          <w:color w:val="auto"/>
          <w:kern w:val="0"/>
          <w:sz w:val="21"/>
          <w:szCs w:val="21"/>
          <w:highlight w:val="none"/>
        </w:rPr>
        <w:t>本次招标不接受联合体投标。</w:t>
      </w:r>
    </w:p>
    <w:p w14:paraId="367131EA">
      <w:pPr>
        <w:keepNext w:val="0"/>
        <w:keepLines w:val="0"/>
        <w:pageBreakBefore w:val="0"/>
        <w:kinsoku/>
        <w:wordWrap w:val="0"/>
        <w:overflowPunct/>
        <w:topLinePunct w:val="0"/>
        <w:bidi w:val="0"/>
        <w:adjustRightInd w:val="0"/>
        <w:snapToGrid w:val="0"/>
        <w:spacing w:line="400" w:lineRule="atLeast"/>
        <w:ind w:firstLine="422"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snapToGrid w:val="0"/>
          <w:color w:val="auto"/>
          <w:kern w:val="0"/>
          <w:sz w:val="21"/>
          <w:szCs w:val="21"/>
          <w:highlight w:val="none"/>
        </w:rPr>
        <w:t xml:space="preserve"> 资格资质要求</w:t>
      </w:r>
    </w:p>
    <w:p w14:paraId="76094AB4">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2.2.1</w:t>
      </w:r>
      <w:r>
        <w:rPr>
          <w:rFonts w:hint="eastAsia" w:ascii="宋体" w:hAnsi="宋体" w:eastAsia="宋体" w:cs="宋体"/>
          <w:snapToGrid w:val="0"/>
          <w:color w:val="auto"/>
          <w:kern w:val="0"/>
          <w:sz w:val="21"/>
          <w:szCs w:val="21"/>
          <w:highlight w:val="none"/>
        </w:rPr>
        <w:t xml:space="preserve"> 投标人须具备独立法人资格，按国家法律经营。</w:t>
      </w:r>
    </w:p>
    <w:p w14:paraId="46C2F34E">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2.2.2</w:t>
      </w:r>
      <w:r>
        <w:rPr>
          <w:rFonts w:hint="eastAsia" w:ascii="宋体" w:hAnsi="宋体" w:eastAsia="宋体" w:cs="宋体"/>
          <w:snapToGrid w:val="0"/>
          <w:color w:val="auto"/>
          <w:kern w:val="0"/>
          <w:sz w:val="21"/>
          <w:szCs w:val="21"/>
          <w:highlight w:val="none"/>
        </w:rPr>
        <w:t xml:space="preserve"> 投标人须持有建设行政主管部门颁发的企业资质证书及安全生产许可证。</w:t>
      </w:r>
    </w:p>
    <w:p w14:paraId="27591844">
      <w:pPr>
        <w:keepNext w:val="0"/>
        <w:keepLines w:val="0"/>
        <w:pageBreakBefore w:val="0"/>
        <w:widowControl w:val="0"/>
        <w:kinsoku/>
        <w:wordWrap w:val="0"/>
        <w:overflowPunct/>
        <w:topLinePunct w:val="0"/>
        <w:autoSpaceDE/>
        <w:autoSpaceDN/>
        <w:bidi w:val="0"/>
        <w:adjustRightInd/>
        <w:snapToGrid/>
        <w:spacing w:line="400" w:lineRule="exact"/>
        <w:ind w:left="120" w:leftChars="50" w:right="120" w:rightChars="50" w:firstLine="422" w:firstLineChars="200"/>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2.2.3</w:t>
      </w:r>
      <w:r>
        <w:rPr>
          <w:rFonts w:hint="eastAsia" w:ascii="宋体" w:hAnsi="宋体" w:eastAsia="宋体" w:cs="宋体"/>
          <w:snapToGrid w:val="0"/>
          <w:color w:val="auto"/>
          <w:kern w:val="0"/>
          <w:sz w:val="21"/>
          <w:szCs w:val="21"/>
          <w:highlight w:val="none"/>
        </w:rPr>
        <w:t xml:space="preserve"> 投标人须具备以下资质：</w:t>
      </w:r>
    </w:p>
    <w:p w14:paraId="71746C68">
      <w:pPr>
        <w:keepNext w:val="0"/>
        <w:keepLines w:val="0"/>
        <w:pageBreakBefore w:val="0"/>
        <w:widowControl w:val="0"/>
        <w:kinsoku/>
        <w:wordWrap w:val="0"/>
        <w:overflowPunct/>
        <w:topLinePunct w:val="0"/>
        <w:autoSpaceDE/>
        <w:autoSpaceDN/>
        <w:bidi w:val="0"/>
        <w:adjustRightInd/>
        <w:snapToGrid/>
        <w:spacing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none"/>
          <w:lang w:eastAsia="zh-CN"/>
        </w:rPr>
        <w:t>电力工程施工总承包三级以上（含三级）资质或输变电工程专业承包三级以上（含三级）资质，并在有效期内；</w:t>
      </w:r>
    </w:p>
    <w:p w14:paraId="55C03438">
      <w:pPr>
        <w:keepNext w:val="0"/>
        <w:keepLines w:val="0"/>
        <w:pageBreakBefore w:val="0"/>
        <w:widowControl w:val="0"/>
        <w:kinsoku/>
        <w:wordWrap w:val="0"/>
        <w:overflowPunct/>
        <w:topLinePunct w:val="0"/>
        <w:autoSpaceDE/>
        <w:autoSpaceDN/>
        <w:bidi w:val="0"/>
        <w:adjustRightInd/>
        <w:snapToGrid/>
        <w:spacing w:line="400" w:lineRule="exact"/>
        <w:ind w:left="120" w:leftChars="50" w:right="120" w:rightChars="50" w:firstLine="420" w:firstLineChars="200"/>
        <w:jc w:val="left"/>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2</w:t>
      </w:r>
      <w:r>
        <w:rPr>
          <w:rFonts w:hint="eastAsia" w:ascii="宋体" w:hAnsi="宋体" w:eastAsia="宋体" w:cs="宋体"/>
          <w:color w:val="auto"/>
          <w:sz w:val="21"/>
          <w:szCs w:val="21"/>
          <w:highlight w:val="none"/>
          <w:u w:val="none"/>
          <w:lang w:eastAsia="zh-CN"/>
        </w:rPr>
        <w:t>）持有国家能源局颁发的《承装（修、试）电力设施许可证》，且许可类型和等级为承装类</w:t>
      </w:r>
      <w:r>
        <w:rPr>
          <w:rFonts w:hint="eastAsia" w:ascii="宋体" w:hAnsi="宋体" w:eastAsia="宋体" w:cs="宋体"/>
          <w:color w:val="auto"/>
          <w:sz w:val="21"/>
          <w:szCs w:val="21"/>
          <w:highlight w:val="none"/>
          <w:u w:val="none"/>
          <w:lang w:val="en-US" w:eastAsia="zh-CN"/>
        </w:rPr>
        <w:t>三</w:t>
      </w:r>
      <w:r>
        <w:rPr>
          <w:rFonts w:hint="eastAsia" w:ascii="宋体" w:hAnsi="宋体" w:eastAsia="宋体" w:cs="宋体"/>
          <w:color w:val="auto"/>
          <w:sz w:val="21"/>
          <w:szCs w:val="21"/>
          <w:highlight w:val="none"/>
          <w:u w:val="none"/>
          <w:lang w:eastAsia="zh-CN"/>
        </w:rPr>
        <w:t>级以上（含</w:t>
      </w:r>
      <w:r>
        <w:rPr>
          <w:rFonts w:hint="eastAsia" w:ascii="宋体" w:hAnsi="宋体" w:eastAsia="宋体" w:cs="宋体"/>
          <w:color w:val="auto"/>
          <w:sz w:val="21"/>
          <w:szCs w:val="21"/>
          <w:highlight w:val="none"/>
          <w:u w:val="none"/>
          <w:lang w:val="en-US" w:eastAsia="zh-CN"/>
        </w:rPr>
        <w:t>三</w:t>
      </w:r>
      <w:r>
        <w:rPr>
          <w:rFonts w:hint="eastAsia" w:ascii="宋体" w:hAnsi="宋体" w:eastAsia="宋体" w:cs="宋体"/>
          <w:color w:val="auto"/>
          <w:sz w:val="21"/>
          <w:szCs w:val="21"/>
          <w:highlight w:val="none"/>
          <w:u w:val="none"/>
          <w:lang w:eastAsia="zh-CN"/>
        </w:rPr>
        <w:t>级）、承试类</w:t>
      </w:r>
      <w:r>
        <w:rPr>
          <w:rFonts w:hint="eastAsia" w:ascii="宋体" w:hAnsi="宋体" w:eastAsia="宋体" w:cs="宋体"/>
          <w:color w:val="auto"/>
          <w:sz w:val="21"/>
          <w:szCs w:val="21"/>
          <w:highlight w:val="none"/>
          <w:u w:val="none"/>
          <w:lang w:val="en-US" w:eastAsia="zh-CN"/>
        </w:rPr>
        <w:t>三</w:t>
      </w:r>
      <w:r>
        <w:rPr>
          <w:rFonts w:hint="eastAsia" w:ascii="宋体" w:hAnsi="宋体" w:eastAsia="宋体" w:cs="宋体"/>
          <w:color w:val="auto"/>
          <w:sz w:val="21"/>
          <w:szCs w:val="21"/>
          <w:highlight w:val="none"/>
          <w:u w:val="none"/>
          <w:lang w:eastAsia="zh-CN"/>
        </w:rPr>
        <w:t>级以上（含</w:t>
      </w:r>
      <w:r>
        <w:rPr>
          <w:rFonts w:hint="eastAsia" w:ascii="宋体" w:hAnsi="宋体" w:eastAsia="宋体" w:cs="宋体"/>
          <w:color w:val="auto"/>
          <w:sz w:val="21"/>
          <w:szCs w:val="21"/>
          <w:highlight w:val="none"/>
          <w:u w:val="none"/>
          <w:lang w:val="en-US" w:eastAsia="zh-CN"/>
        </w:rPr>
        <w:t>三</w:t>
      </w:r>
      <w:r>
        <w:rPr>
          <w:rFonts w:hint="eastAsia" w:ascii="宋体" w:hAnsi="宋体" w:eastAsia="宋体" w:cs="宋体"/>
          <w:color w:val="auto"/>
          <w:sz w:val="21"/>
          <w:szCs w:val="21"/>
          <w:highlight w:val="none"/>
          <w:u w:val="none"/>
          <w:lang w:eastAsia="zh-CN"/>
        </w:rPr>
        <w:t>级）许可，并在有效期内。</w:t>
      </w:r>
    </w:p>
    <w:p w14:paraId="3378DAAC">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p>
    <w:p w14:paraId="3A6DC56A">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2.2.4</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56F7047C">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w:t>
      </w:r>
      <w:r>
        <w:rPr>
          <w:rFonts w:hint="eastAsia" w:ascii="宋体" w:hAnsi="宋体" w:eastAsia="宋体" w:cs="宋体"/>
          <w:snapToGrid w:val="0"/>
          <w:color w:val="auto"/>
          <w:kern w:val="0"/>
          <w:sz w:val="21"/>
          <w:szCs w:val="21"/>
          <w:highlight w:val="none"/>
        </w:rPr>
        <w:t xml:space="preserve"> 相关人员要求</w:t>
      </w:r>
    </w:p>
    <w:p w14:paraId="5809F9A3">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w:t>
      </w:r>
      <w:r>
        <w:rPr>
          <w:rFonts w:hint="eastAsia" w:ascii="宋体" w:hAnsi="宋体" w:eastAsia="宋体" w:cs="宋体"/>
          <w:snapToGrid w:val="0"/>
          <w:color w:val="auto"/>
          <w:kern w:val="0"/>
          <w:sz w:val="21"/>
          <w:szCs w:val="21"/>
          <w:highlight w:val="none"/>
        </w:rPr>
        <w:t xml:space="preserve"> 拟派项目经理为</w:t>
      </w:r>
      <w:r>
        <w:rPr>
          <w:rFonts w:hint="eastAsia" w:ascii="宋体" w:hAnsi="宋体" w:eastAsia="宋体" w:cs="宋体"/>
          <w:snapToGrid w:val="0"/>
          <w:color w:val="auto"/>
          <w:kern w:val="0"/>
          <w:sz w:val="21"/>
          <w:szCs w:val="21"/>
          <w:highlight w:val="none"/>
          <w:u w:val="single"/>
          <w:lang w:eastAsia="zh-CN"/>
        </w:rPr>
        <w:t>机电工程</w:t>
      </w:r>
      <w:r>
        <w:rPr>
          <w:rFonts w:hint="eastAsia" w:ascii="宋体" w:hAnsi="宋体" w:eastAsia="宋体" w:cs="宋体"/>
          <w:snapToGrid w:val="0"/>
          <w:color w:val="auto"/>
          <w:kern w:val="0"/>
          <w:sz w:val="21"/>
          <w:szCs w:val="21"/>
          <w:highlight w:val="none"/>
        </w:rPr>
        <w:t>专业一级或二级注册建造师，</w:t>
      </w:r>
      <w:r>
        <w:rPr>
          <w:rFonts w:hint="eastAsia" w:ascii="宋体" w:hAnsi="宋体" w:eastAsia="宋体" w:cs="宋体"/>
          <w:snapToGrid w:val="0"/>
          <w:color w:val="auto"/>
          <w:kern w:val="0"/>
          <w:sz w:val="21"/>
          <w:szCs w:val="21"/>
          <w:highlight w:val="none"/>
          <w:lang w:eastAsia="zh-CN"/>
        </w:rPr>
        <w:t>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宋体" w:hAnsi="宋体" w:eastAsia="宋体" w:cs="宋体"/>
          <w:snapToGrid w:val="0"/>
          <w:color w:val="auto"/>
          <w:kern w:val="0"/>
          <w:sz w:val="21"/>
          <w:szCs w:val="21"/>
          <w:highlight w:val="none"/>
        </w:rPr>
        <w:t xml:space="preserve">  </w:t>
      </w:r>
    </w:p>
    <w:p w14:paraId="4B90E47E">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w:t>
      </w:r>
      <w:r>
        <w:rPr>
          <w:rFonts w:hint="eastAsia" w:ascii="宋体" w:hAnsi="宋体" w:eastAsia="宋体" w:cs="宋体"/>
          <w:snapToGrid w:val="0"/>
          <w:color w:val="auto"/>
          <w:kern w:val="0"/>
          <w:sz w:val="21"/>
          <w:szCs w:val="21"/>
          <w:highlight w:val="none"/>
        </w:rPr>
        <w:t xml:space="preserve"> 拟派项目技术负责人须具备</w:t>
      </w:r>
      <w:r>
        <w:rPr>
          <w:rFonts w:hint="eastAsia" w:ascii="宋体" w:hAnsi="宋体" w:eastAsia="宋体" w:cs="宋体"/>
          <w:snapToGrid w:val="0"/>
          <w:color w:val="auto"/>
          <w:kern w:val="0"/>
          <w:sz w:val="21"/>
          <w:szCs w:val="21"/>
          <w:highlight w:val="none"/>
          <w:u w:val="single"/>
          <w:lang w:val="en-US" w:eastAsia="zh-CN"/>
        </w:rPr>
        <w:t>电力类或电气类</w:t>
      </w:r>
      <w:r>
        <w:rPr>
          <w:rFonts w:hint="eastAsia" w:ascii="宋体" w:hAnsi="宋体" w:eastAsia="宋体" w:cs="宋体"/>
          <w:snapToGrid w:val="0"/>
          <w:color w:val="auto"/>
          <w:kern w:val="0"/>
          <w:sz w:val="21"/>
          <w:szCs w:val="21"/>
          <w:highlight w:val="none"/>
          <w:u w:val="none"/>
        </w:rPr>
        <w:t>相关</w:t>
      </w:r>
      <w:r>
        <w:rPr>
          <w:rFonts w:hint="eastAsia" w:ascii="宋体" w:hAnsi="宋体" w:eastAsia="宋体" w:cs="宋体"/>
          <w:snapToGrid w:val="0"/>
          <w:color w:val="auto"/>
          <w:kern w:val="0"/>
          <w:sz w:val="21"/>
          <w:szCs w:val="21"/>
          <w:highlight w:val="none"/>
        </w:rPr>
        <w:t>专业</w:t>
      </w:r>
      <w:r>
        <w:rPr>
          <w:rFonts w:hint="eastAsia" w:ascii="宋体" w:hAnsi="宋体" w:eastAsia="宋体" w:cs="宋体"/>
          <w:snapToGrid w:val="0"/>
          <w:color w:val="auto"/>
          <w:kern w:val="0"/>
          <w:sz w:val="21"/>
          <w:szCs w:val="21"/>
          <w:highlight w:val="none"/>
          <w:u w:val="single"/>
        </w:rPr>
        <w:t>中</w:t>
      </w:r>
      <w:r>
        <w:rPr>
          <w:rFonts w:hint="eastAsia" w:ascii="宋体" w:hAnsi="宋体" w:eastAsia="宋体" w:cs="宋体"/>
          <w:snapToGrid w:val="0"/>
          <w:color w:val="auto"/>
          <w:kern w:val="0"/>
          <w:sz w:val="21"/>
          <w:szCs w:val="21"/>
          <w:highlight w:val="none"/>
        </w:rPr>
        <w:t>级或以上技术职称。</w:t>
      </w:r>
    </w:p>
    <w:p w14:paraId="4235E1E4">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snapToGrid w:val="0"/>
          <w:color w:val="auto"/>
          <w:kern w:val="0"/>
          <w:sz w:val="21"/>
          <w:szCs w:val="21"/>
          <w:highlight w:val="none"/>
          <w:u w:val="single"/>
          <w:lang w:val="en-US" w:eastAsia="zh-CN"/>
        </w:rPr>
        <w:t xml:space="preserve"> 1 </w:t>
      </w:r>
      <w:r>
        <w:rPr>
          <w:rFonts w:hint="eastAsia" w:ascii="宋体" w:hAnsi="宋体" w:eastAsia="宋体" w:cs="宋体"/>
          <w:snapToGrid w:val="0"/>
          <w:color w:val="auto"/>
          <w:kern w:val="0"/>
          <w:sz w:val="21"/>
          <w:szCs w:val="21"/>
          <w:highlight w:val="none"/>
        </w:rPr>
        <w:t xml:space="preserve">人。 </w:t>
      </w:r>
    </w:p>
    <w:p w14:paraId="51915C85">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2.3.4</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0BD4F061">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 xml:space="preserve"> 禁止投标条款</w:t>
      </w:r>
    </w:p>
    <w:p w14:paraId="53170D69">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2.4.1</w:t>
      </w:r>
      <w:r>
        <w:rPr>
          <w:rFonts w:hint="eastAsia" w:ascii="宋体" w:hAnsi="宋体" w:eastAsia="宋体" w:cs="宋体"/>
          <w:snapToGrid w:val="0"/>
          <w:color w:val="auto"/>
          <w:kern w:val="0"/>
          <w:sz w:val="21"/>
          <w:szCs w:val="21"/>
          <w:highlight w:val="none"/>
        </w:rPr>
        <w:t xml:space="preserve"> 投标人不得存在下列情形之一：</w:t>
      </w:r>
    </w:p>
    <w:p w14:paraId="36163FA5">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（1）为招标人不具有独立法人资格的附属机构（单位）；</w:t>
      </w:r>
    </w:p>
    <w:p w14:paraId="3BC3D54E">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（2）为本招标项目前期准备提供设计或咨询服务的；</w:t>
      </w:r>
    </w:p>
    <w:p w14:paraId="4145BE62">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（3）与本招标项目的其他投标人为同一个单位负责人；</w:t>
      </w:r>
    </w:p>
    <w:p w14:paraId="6634F290">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（4）与本招标项目的其他投标人存在控股、管理关系；</w:t>
      </w:r>
    </w:p>
    <w:p w14:paraId="2B4C370B">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（5）为本招标项目的监理人；</w:t>
      </w:r>
    </w:p>
    <w:p w14:paraId="3D7BD985">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（6）为本招标项目的代建人；</w:t>
      </w:r>
    </w:p>
    <w:p w14:paraId="5E78B270">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（7）为本招标项目的招标代理机构；</w:t>
      </w:r>
    </w:p>
    <w:p w14:paraId="66CFC71B">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（8）与本招标项目的监理人或代建人或招标代理机构同为一个法定代表人；</w:t>
      </w:r>
    </w:p>
    <w:p w14:paraId="4C34FCF5">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（9）与本招标项目的监理人或代建人或招标代理机构存在控股或参股关系；</w:t>
      </w:r>
    </w:p>
    <w:p w14:paraId="3C5A1C71">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（10）与本招标项目的监理人或代建人或招标代理机构存在相互任职或工作关系；</w:t>
      </w:r>
    </w:p>
    <w:p w14:paraId="1EA0CE76">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（11）被依法暂停或者取消投标资格；</w:t>
      </w:r>
    </w:p>
    <w:p w14:paraId="6E29995A">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（12）被责令停产停业、暂扣或者吊销许可证、暂扣或者吊销执照；</w:t>
      </w:r>
    </w:p>
    <w:p w14:paraId="10543132">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（13）进入清算程序，或被宣告破产，或其他丧失履约能力的情形；</w:t>
      </w:r>
    </w:p>
    <w:p w14:paraId="487E977C">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（14）在最近三年内发生重大工程质量或安全问题（以相关行业主管部门的行政处罚决定或司法机关出具的有关法律文书为准）；</w:t>
      </w:r>
    </w:p>
    <w:p w14:paraId="61D5E2F4">
      <w:pPr>
        <w:pStyle w:val="93"/>
        <w:keepNext w:val="0"/>
        <w:keepLines w:val="0"/>
        <w:pageBreakBefore w:val="0"/>
        <w:kinsoku/>
        <w:wordWrap w:val="0"/>
        <w:overflowPunct/>
        <w:topLinePunct w:val="0"/>
        <w:bidi w:val="0"/>
        <w:adjustRightInd w:val="0"/>
        <w:snapToGrid w:val="0"/>
        <w:spacing w:line="400" w:lineRule="atLeast"/>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（15）被“信用中国”网站（https://www.creditchina.gov.cn）发布的《法人和非法人组织公共信用信息报告》列为严重失信主体名单的。</w:t>
      </w:r>
    </w:p>
    <w:p w14:paraId="3E0D6CFE">
      <w:pPr>
        <w:pStyle w:val="93"/>
        <w:keepNext w:val="0"/>
        <w:keepLines w:val="0"/>
        <w:pageBreakBefore w:val="0"/>
        <w:kinsoku/>
        <w:wordWrap w:val="0"/>
        <w:overflowPunct/>
        <w:topLinePunct w:val="0"/>
        <w:bidi w:val="0"/>
        <w:adjustRightInd w:val="0"/>
        <w:snapToGrid w:val="0"/>
        <w:spacing w:line="400" w:lineRule="atLeast"/>
        <w:ind w:firstLine="422"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2.4.2</w:t>
      </w:r>
      <w:r>
        <w:rPr>
          <w:rFonts w:hint="eastAsia" w:ascii="宋体" w:hAnsi="宋体" w:eastAsia="宋体" w:cs="宋体"/>
          <w:snapToGrid w:val="0"/>
          <w:color w:val="auto"/>
          <w:kern w:val="0"/>
          <w:sz w:val="21"/>
          <w:szCs w:val="21"/>
          <w:highlight w:val="none"/>
        </w:rPr>
        <w:t xml:space="preserve"> 招标人拒绝以下名单中的单位参加本次投标：</w:t>
      </w:r>
    </w:p>
    <w:tbl>
      <w:tblPr>
        <w:tblStyle w:val="32"/>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3758"/>
        <w:gridCol w:w="5092"/>
      </w:tblGrid>
      <w:tr w14:paraId="425F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71800E8E">
            <w:pPr>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bidi="ar"/>
              </w:rPr>
              <w:t>序号</w:t>
            </w:r>
          </w:p>
        </w:tc>
        <w:tc>
          <w:tcPr>
            <w:tcW w:w="3758" w:type="dxa"/>
            <w:tcBorders>
              <w:top w:val="single" w:color="auto" w:sz="4" w:space="0"/>
              <w:left w:val="single" w:color="auto" w:sz="4" w:space="0"/>
              <w:bottom w:val="single" w:color="auto" w:sz="4" w:space="0"/>
              <w:right w:val="single" w:color="auto" w:sz="4" w:space="0"/>
            </w:tcBorders>
            <w:noWrap w:val="0"/>
            <w:vAlign w:val="center"/>
          </w:tcPr>
          <w:p w14:paraId="7240CDDD">
            <w:pPr>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bidi="ar"/>
              </w:rPr>
              <w:t>单位名称</w:t>
            </w:r>
          </w:p>
        </w:tc>
        <w:tc>
          <w:tcPr>
            <w:tcW w:w="5092" w:type="dxa"/>
            <w:tcBorders>
              <w:top w:val="single" w:color="auto" w:sz="4" w:space="0"/>
              <w:left w:val="single" w:color="auto" w:sz="4" w:space="0"/>
              <w:bottom w:val="single" w:color="auto" w:sz="4" w:space="0"/>
              <w:right w:val="single" w:color="auto" w:sz="4" w:space="0"/>
            </w:tcBorders>
            <w:noWrap w:val="0"/>
            <w:vAlign w:val="center"/>
          </w:tcPr>
          <w:p w14:paraId="53E31497">
            <w:pPr>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bidi="ar"/>
              </w:rPr>
              <w:t>拒绝原因</w:t>
            </w:r>
          </w:p>
        </w:tc>
      </w:tr>
      <w:tr w14:paraId="5311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5B5CEC99">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highlight w:val="none"/>
                <w:lang w:val="en-US" w:eastAsia="zh-CN" w:bidi="ar"/>
              </w:rPr>
              <w:t>1</w:t>
            </w:r>
          </w:p>
        </w:tc>
        <w:tc>
          <w:tcPr>
            <w:tcW w:w="3758" w:type="dxa"/>
            <w:tcBorders>
              <w:top w:val="single" w:color="auto" w:sz="4" w:space="0"/>
              <w:left w:val="single" w:color="auto" w:sz="4" w:space="0"/>
              <w:bottom w:val="single" w:color="auto" w:sz="4" w:space="0"/>
              <w:right w:val="single" w:color="auto" w:sz="4" w:space="0"/>
            </w:tcBorders>
            <w:noWrap w:val="0"/>
            <w:vAlign w:val="center"/>
          </w:tcPr>
          <w:p w14:paraId="5EA14996">
            <w:pPr>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bidi="ar"/>
              </w:rPr>
              <w:t>无</w:t>
            </w:r>
          </w:p>
        </w:tc>
        <w:tc>
          <w:tcPr>
            <w:tcW w:w="5092" w:type="dxa"/>
            <w:tcBorders>
              <w:top w:val="single" w:color="auto" w:sz="4" w:space="0"/>
              <w:left w:val="single" w:color="auto" w:sz="4" w:space="0"/>
              <w:bottom w:val="single" w:color="auto" w:sz="4" w:space="0"/>
              <w:right w:val="single" w:color="auto" w:sz="4" w:space="0"/>
            </w:tcBorders>
            <w:noWrap w:val="0"/>
            <w:vAlign w:val="center"/>
          </w:tcPr>
          <w:p w14:paraId="5718C59A">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highlight w:val="none"/>
                <w:lang w:val="en-US" w:eastAsia="zh-CN" w:bidi="ar"/>
              </w:rPr>
              <w:t>为招标人不具有独立法人资格的附属机构</w:t>
            </w:r>
          </w:p>
        </w:tc>
      </w:tr>
      <w:tr w14:paraId="557B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03632023">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highlight w:val="none"/>
                <w:lang w:val="en-US" w:eastAsia="zh-CN" w:bidi="ar"/>
              </w:rPr>
              <w:t>2</w:t>
            </w:r>
          </w:p>
        </w:tc>
        <w:tc>
          <w:tcPr>
            <w:tcW w:w="3758" w:type="dxa"/>
            <w:tcBorders>
              <w:top w:val="single" w:color="auto" w:sz="4" w:space="0"/>
              <w:left w:val="single" w:color="auto" w:sz="4" w:space="0"/>
              <w:bottom w:val="single" w:color="auto" w:sz="4" w:space="0"/>
              <w:right w:val="single" w:color="auto" w:sz="4" w:space="0"/>
            </w:tcBorders>
            <w:noWrap w:val="0"/>
            <w:vAlign w:val="center"/>
          </w:tcPr>
          <w:p w14:paraId="73E31BB7">
            <w:pPr>
              <w:pStyle w:val="29"/>
              <w:keepNext w:val="0"/>
              <w:keepLines w:val="0"/>
              <w:widowControl/>
              <w:suppressLineNumbers w:val="0"/>
              <w:autoSpaceDE w:val="0"/>
              <w:autoSpaceDN/>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广东韶关曲江经济开发区管理委员会</w:t>
            </w:r>
          </w:p>
        </w:tc>
        <w:tc>
          <w:tcPr>
            <w:tcW w:w="5092" w:type="dxa"/>
            <w:tcBorders>
              <w:top w:val="single" w:color="auto" w:sz="4" w:space="0"/>
              <w:left w:val="single" w:color="auto" w:sz="4" w:space="0"/>
              <w:bottom w:val="single" w:color="auto" w:sz="4" w:space="0"/>
              <w:right w:val="single" w:color="auto" w:sz="4" w:space="0"/>
            </w:tcBorders>
            <w:noWrap w:val="0"/>
            <w:vAlign w:val="center"/>
          </w:tcPr>
          <w:p w14:paraId="0F624E0A">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highlight w:val="none"/>
                <w:lang w:val="en-US" w:eastAsia="zh-CN" w:bidi="ar"/>
              </w:rPr>
              <w:t>为本招标项目的招标人</w:t>
            </w:r>
          </w:p>
        </w:tc>
      </w:tr>
      <w:tr w14:paraId="2B48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5A28CD08">
            <w:pPr>
              <w:pStyle w:val="29"/>
              <w:keepNext w:val="0"/>
              <w:keepLines w:val="0"/>
              <w:widowControl w:val="0"/>
              <w:suppressLineNumbers w:val="0"/>
              <w:wordWrap w:val="0"/>
              <w:adjustRightInd w:val="0"/>
              <w:snapToGrid w:val="0"/>
              <w:spacing w:before="0" w:beforeAutospacing="0" w:after="0" w:afterAutospacing="0" w:line="240" w:lineRule="auto"/>
              <w:ind w:left="0" w:leftChars="0" w:right="0" w:rightChars="0"/>
              <w:jc w:val="center"/>
              <w:rPr>
                <w:rFonts w:hint="eastAsia" w:ascii="宋体" w:hAnsi="宋体" w:eastAsia="宋体" w:cs="宋体"/>
                <w:iCs/>
                <w:color w:val="auto"/>
                <w:kern w:val="0"/>
                <w:sz w:val="21"/>
                <w:szCs w:val="21"/>
                <w:highlight w:val="none"/>
                <w:lang w:val="en-US" w:eastAsia="zh-CN" w:bidi="ar-SA"/>
              </w:rPr>
            </w:pPr>
            <w:r>
              <w:rPr>
                <w:rFonts w:hint="eastAsia" w:ascii="宋体" w:hAnsi="宋体" w:eastAsia="宋体" w:cs="宋体"/>
                <w:iCs/>
                <w:color w:val="auto"/>
                <w:kern w:val="0"/>
                <w:sz w:val="21"/>
                <w:szCs w:val="21"/>
                <w:highlight w:val="none"/>
                <w:lang w:val="en-US" w:eastAsia="zh-CN" w:bidi="ar"/>
              </w:rPr>
              <w:t>3</w:t>
            </w:r>
          </w:p>
        </w:tc>
        <w:tc>
          <w:tcPr>
            <w:tcW w:w="3758" w:type="dxa"/>
            <w:tcBorders>
              <w:top w:val="single" w:color="auto" w:sz="4" w:space="0"/>
              <w:left w:val="single" w:color="auto" w:sz="4" w:space="0"/>
              <w:bottom w:val="single" w:color="auto" w:sz="4" w:space="0"/>
              <w:right w:val="single" w:color="auto" w:sz="4" w:space="0"/>
            </w:tcBorders>
            <w:noWrap w:val="0"/>
            <w:vAlign w:val="center"/>
          </w:tcPr>
          <w:p w14:paraId="113007E4">
            <w:pPr>
              <w:pStyle w:val="29"/>
              <w:keepNext w:val="0"/>
              <w:keepLines w:val="0"/>
              <w:widowControl/>
              <w:suppressLineNumbers w:val="0"/>
              <w:autoSpaceDE w:val="0"/>
              <w:autoSpaceDN/>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广东韶关曲江经济开发区管理委员会</w:t>
            </w:r>
          </w:p>
        </w:tc>
        <w:tc>
          <w:tcPr>
            <w:tcW w:w="5092" w:type="dxa"/>
            <w:tcBorders>
              <w:top w:val="single" w:color="auto" w:sz="4" w:space="0"/>
              <w:left w:val="single" w:color="auto" w:sz="4" w:space="0"/>
              <w:bottom w:val="single" w:color="auto" w:sz="4" w:space="0"/>
              <w:right w:val="single" w:color="auto" w:sz="4" w:space="0"/>
            </w:tcBorders>
            <w:noWrap w:val="0"/>
            <w:vAlign w:val="center"/>
          </w:tcPr>
          <w:p w14:paraId="374555A8">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default" w:ascii="宋体" w:hAnsi="宋体" w:eastAsia="宋体" w:cs="宋体"/>
                <w:iCs/>
                <w:color w:val="auto"/>
                <w:kern w:val="0"/>
                <w:sz w:val="21"/>
                <w:szCs w:val="21"/>
                <w:highlight w:val="none"/>
                <w:lang w:val="en-US"/>
              </w:rPr>
            </w:pPr>
            <w:r>
              <w:rPr>
                <w:rFonts w:hint="eastAsia" w:ascii="宋体" w:hAnsi="宋体" w:eastAsia="宋体" w:cs="宋体"/>
                <w:color w:val="auto"/>
                <w:sz w:val="21"/>
                <w:szCs w:val="16"/>
                <w:highlight w:val="none"/>
                <w:lang w:val="en-US" w:eastAsia="zh-CN"/>
              </w:rPr>
              <w:t>为本招标项目的</w:t>
            </w:r>
            <w:r>
              <w:rPr>
                <w:rFonts w:hint="eastAsia" w:ascii="宋体" w:hAnsi="宋体" w:eastAsia="宋体" w:cs="宋体"/>
                <w:iCs/>
                <w:color w:val="auto"/>
                <w:kern w:val="0"/>
                <w:sz w:val="21"/>
                <w:szCs w:val="21"/>
                <w:highlight w:val="none"/>
                <w:lang w:val="en-US" w:eastAsia="zh-CN" w:bidi="ar"/>
              </w:rPr>
              <w:t>业主单位</w:t>
            </w:r>
          </w:p>
        </w:tc>
      </w:tr>
      <w:tr w14:paraId="32EE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562AFB6B">
            <w:pPr>
              <w:pStyle w:val="29"/>
              <w:keepNext w:val="0"/>
              <w:keepLines w:val="0"/>
              <w:widowControl w:val="0"/>
              <w:suppressLineNumbers w:val="0"/>
              <w:wordWrap w:val="0"/>
              <w:adjustRightInd w:val="0"/>
              <w:snapToGrid w:val="0"/>
              <w:spacing w:before="0" w:beforeAutospacing="0" w:after="0" w:afterAutospacing="0" w:line="240" w:lineRule="auto"/>
              <w:ind w:left="0" w:leftChars="0" w:right="0" w:rightChars="0"/>
              <w:jc w:val="center"/>
              <w:rPr>
                <w:rFonts w:hint="eastAsia" w:ascii="宋体" w:hAnsi="宋体" w:eastAsia="宋体" w:cs="宋体"/>
                <w:iCs/>
                <w:color w:val="auto"/>
                <w:kern w:val="0"/>
                <w:sz w:val="21"/>
                <w:szCs w:val="21"/>
                <w:highlight w:val="none"/>
                <w:lang w:val="en-US" w:eastAsia="zh-CN" w:bidi="ar-SA"/>
              </w:rPr>
            </w:pPr>
            <w:r>
              <w:rPr>
                <w:rFonts w:hint="eastAsia" w:ascii="宋体" w:hAnsi="宋体" w:eastAsia="宋体" w:cs="宋体"/>
                <w:iCs/>
                <w:color w:val="auto"/>
                <w:kern w:val="0"/>
                <w:sz w:val="21"/>
                <w:szCs w:val="21"/>
                <w:highlight w:val="none"/>
                <w:lang w:val="en-US" w:eastAsia="zh-CN" w:bidi="ar"/>
              </w:rPr>
              <w:t>4</w:t>
            </w:r>
          </w:p>
        </w:tc>
        <w:tc>
          <w:tcPr>
            <w:tcW w:w="3758" w:type="dxa"/>
            <w:tcBorders>
              <w:top w:val="single" w:color="auto" w:sz="4" w:space="0"/>
              <w:left w:val="single" w:color="auto" w:sz="4" w:space="0"/>
              <w:bottom w:val="single" w:color="auto" w:sz="4" w:space="0"/>
              <w:right w:val="single" w:color="auto" w:sz="4" w:space="0"/>
            </w:tcBorders>
            <w:noWrap w:val="0"/>
            <w:vAlign w:val="center"/>
          </w:tcPr>
          <w:p w14:paraId="1F3368F7">
            <w:pPr>
              <w:pStyle w:val="29"/>
              <w:keepNext w:val="0"/>
              <w:keepLines w:val="0"/>
              <w:widowControl/>
              <w:suppressLineNumbers w:val="0"/>
              <w:autoSpaceDE w:val="0"/>
              <w:autoSpaceDN/>
              <w:spacing w:before="0" w:beforeAutospacing="0" w:after="0" w:afterAutospacing="0" w:line="240" w:lineRule="auto"/>
              <w:ind w:left="0" w:leftChars="0" w:right="0" w:rightChars="0" w:firstLine="0" w:firstLineChars="0"/>
              <w:jc w:val="center"/>
              <w:rPr>
                <w:rFonts w:hint="eastAsia" w:ascii="宋体" w:hAnsi="宋体" w:eastAsia="宋体" w:cs="宋体"/>
                <w:color w:val="auto"/>
                <w:kern w:val="0"/>
                <w:sz w:val="21"/>
                <w:szCs w:val="21"/>
                <w:highlight w:val="none"/>
                <w:lang w:eastAsia="zh-CN"/>
              </w:rPr>
            </w:pPr>
            <w:r>
              <w:rPr>
                <w:rFonts w:hint="eastAsia" w:cs="宋体"/>
                <w:color w:val="auto"/>
                <w:sz w:val="21"/>
                <w:szCs w:val="21"/>
                <w:highlight w:val="none"/>
                <w:lang w:eastAsia="zh-CN"/>
              </w:rPr>
              <w:t>中豫建设工程咨询有限公司</w:t>
            </w:r>
          </w:p>
        </w:tc>
        <w:tc>
          <w:tcPr>
            <w:tcW w:w="5092" w:type="dxa"/>
            <w:tcBorders>
              <w:top w:val="single" w:color="auto" w:sz="4" w:space="0"/>
              <w:left w:val="single" w:color="auto" w:sz="4" w:space="0"/>
              <w:bottom w:val="single" w:color="auto" w:sz="4" w:space="0"/>
              <w:right w:val="single" w:color="auto" w:sz="4" w:space="0"/>
            </w:tcBorders>
            <w:noWrap w:val="0"/>
            <w:vAlign w:val="center"/>
          </w:tcPr>
          <w:p w14:paraId="28FFD3DA">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highlight w:val="none"/>
                <w:lang w:val="en-US" w:eastAsia="zh-CN" w:bidi="ar"/>
              </w:rPr>
              <w:t>为本招标项目的可研编制单位</w:t>
            </w:r>
          </w:p>
        </w:tc>
      </w:tr>
      <w:tr w14:paraId="21B0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1A861B13">
            <w:pPr>
              <w:pStyle w:val="29"/>
              <w:keepNext w:val="0"/>
              <w:keepLines w:val="0"/>
              <w:widowControl w:val="0"/>
              <w:suppressLineNumbers w:val="0"/>
              <w:wordWrap w:val="0"/>
              <w:adjustRightInd w:val="0"/>
              <w:snapToGrid w:val="0"/>
              <w:spacing w:before="0" w:beforeAutospacing="0" w:after="0" w:afterAutospacing="0" w:line="240" w:lineRule="auto"/>
              <w:ind w:left="0" w:leftChars="0" w:right="0" w:rightChars="0"/>
              <w:jc w:val="center"/>
              <w:rPr>
                <w:rFonts w:hint="eastAsia" w:ascii="宋体" w:hAnsi="宋体" w:eastAsia="宋体" w:cs="宋体"/>
                <w:iCs/>
                <w:color w:val="auto"/>
                <w:kern w:val="0"/>
                <w:sz w:val="21"/>
                <w:szCs w:val="21"/>
                <w:highlight w:val="none"/>
                <w:lang w:val="en-US" w:eastAsia="zh-CN" w:bidi="ar-SA"/>
              </w:rPr>
            </w:pPr>
            <w:r>
              <w:rPr>
                <w:rFonts w:hint="eastAsia" w:ascii="宋体" w:hAnsi="宋体" w:eastAsia="宋体" w:cs="宋体"/>
                <w:iCs/>
                <w:color w:val="auto"/>
                <w:kern w:val="0"/>
                <w:sz w:val="21"/>
                <w:szCs w:val="21"/>
                <w:highlight w:val="none"/>
                <w:lang w:val="en-US" w:eastAsia="zh-CN" w:bidi="ar"/>
              </w:rPr>
              <w:t>5</w:t>
            </w:r>
          </w:p>
        </w:tc>
        <w:tc>
          <w:tcPr>
            <w:tcW w:w="3758" w:type="dxa"/>
            <w:tcBorders>
              <w:top w:val="single" w:color="auto" w:sz="4" w:space="0"/>
              <w:left w:val="single" w:color="auto" w:sz="4" w:space="0"/>
              <w:bottom w:val="single" w:color="auto" w:sz="4" w:space="0"/>
              <w:right w:val="single" w:color="auto" w:sz="4" w:space="0"/>
            </w:tcBorders>
            <w:noWrap w:val="0"/>
            <w:vAlign w:val="center"/>
          </w:tcPr>
          <w:p w14:paraId="635417D7">
            <w:pPr>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韶关市擎能设计有限公司</w:t>
            </w:r>
          </w:p>
        </w:tc>
        <w:tc>
          <w:tcPr>
            <w:tcW w:w="5092" w:type="dxa"/>
            <w:tcBorders>
              <w:top w:val="single" w:color="auto" w:sz="4" w:space="0"/>
              <w:left w:val="single" w:color="auto" w:sz="4" w:space="0"/>
              <w:bottom w:val="single" w:color="auto" w:sz="4" w:space="0"/>
              <w:right w:val="single" w:color="auto" w:sz="4" w:space="0"/>
            </w:tcBorders>
            <w:noWrap w:val="0"/>
            <w:vAlign w:val="center"/>
          </w:tcPr>
          <w:p w14:paraId="3AA53E4A">
            <w:pPr>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highlight w:val="none"/>
                <w:lang w:val="en-US" w:eastAsia="zh-CN" w:bidi="ar"/>
              </w:rPr>
              <w:t>为本招标项目的设计单位</w:t>
            </w:r>
          </w:p>
        </w:tc>
      </w:tr>
      <w:tr w14:paraId="2639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67CFE077">
            <w:pPr>
              <w:pStyle w:val="29"/>
              <w:keepNext w:val="0"/>
              <w:keepLines w:val="0"/>
              <w:widowControl w:val="0"/>
              <w:suppressLineNumbers w:val="0"/>
              <w:wordWrap w:val="0"/>
              <w:adjustRightInd w:val="0"/>
              <w:snapToGrid w:val="0"/>
              <w:spacing w:before="0" w:beforeAutospacing="0" w:after="0" w:afterAutospacing="0" w:line="240" w:lineRule="auto"/>
              <w:ind w:left="0" w:leftChars="0" w:right="0" w:rightChars="0"/>
              <w:jc w:val="center"/>
              <w:rPr>
                <w:rFonts w:hint="default" w:ascii="宋体" w:hAnsi="宋体" w:eastAsia="宋体" w:cs="宋体"/>
                <w:iCs/>
                <w:color w:val="auto"/>
                <w:kern w:val="0"/>
                <w:sz w:val="21"/>
                <w:szCs w:val="21"/>
                <w:highlight w:val="none"/>
                <w:lang w:val="en-US" w:eastAsia="zh-CN" w:bidi="ar-SA"/>
              </w:rPr>
            </w:pPr>
            <w:r>
              <w:rPr>
                <w:rFonts w:hint="eastAsia" w:ascii="宋体" w:hAnsi="宋体" w:eastAsia="宋体" w:cs="宋体"/>
                <w:iCs/>
                <w:color w:val="auto"/>
                <w:kern w:val="0"/>
                <w:sz w:val="21"/>
                <w:szCs w:val="21"/>
                <w:highlight w:val="none"/>
                <w:lang w:val="en-US" w:eastAsia="zh-CN" w:bidi="ar-SA"/>
              </w:rPr>
              <w:t>6</w:t>
            </w:r>
          </w:p>
        </w:tc>
        <w:tc>
          <w:tcPr>
            <w:tcW w:w="3758" w:type="dxa"/>
            <w:tcBorders>
              <w:top w:val="single" w:color="auto" w:sz="4" w:space="0"/>
              <w:left w:val="single" w:color="auto" w:sz="4" w:space="0"/>
              <w:bottom w:val="single" w:color="auto" w:sz="4" w:space="0"/>
              <w:right w:val="single" w:color="auto" w:sz="4" w:space="0"/>
            </w:tcBorders>
            <w:noWrap w:val="0"/>
            <w:vAlign w:val="center"/>
          </w:tcPr>
          <w:p w14:paraId="24A21CDA">
            <w:pPr>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lang w:val="en-US" w:eastAsia="zh-CN"/>
              </w:rPr>
              <w:t>广东唯诚工程咨询有限公司</w:t>
            </w:r>
          </w:p>
        </w:tc>
        <w:tc>
          <w:tcPr>
            <w:tcW w:w="5092" w:type="dxa"/>
            <w:tcBorders>
              <w:top w:val="single" w:color="auto" w:sz="4" w:space="0"/>
              <w:left w:val="single" w:color="auto" w:sz="4" w:space="0"/>
              <w:bottom w:val="single" w:color="auto" w:sz="4" w:space="0"/>
              <w:right w:val="single" w:color="auto" w:sz="4" w:space="0"/>
            </w:tcBorders>
            <w:noWrap w:val="0"/>
            <w:vAlign w:val="center"/>
          </w:tcPr>
          <w:p w14:paraId="71533A69">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highlight w:val="none"/>
                <w:lang w:val="en-US" w:eastAsia="zh-CN" w:bidi="ar"/>
              </w:rPr>
              <w:t>为本招标项目的全过程咨询单位</w:t>
            </w:r>
          </w:p>
        </w:tc>
      </w:tr>
      <w:tr w14:paraId="06F7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7AC34ED4">
            <w:pPr>
              <w:pStyle w:val="29"/>
              <w:keepNext w:val="0"/>
              <w:keepLines w:val="0"/>
              <w:widowControl w:val="0"/>
              <w:suppressLineNumbers w:val="0"/>
              <w:wordWrap w:val="0"/>
              <w:adjustRightInd w:val="0"/>
              <w:snapToGrid w:val="0"/>
              <w:spacing w:before="0" w:beforeAutospacing="0" w:after="0" w:afterAutospacing="0" w:line="240" w:lineRule="auto"/>
              <w:ind w:left="0" w:leftChars="0" w:right="0" w:rightChars="0"/>
              <w:jc w:val="center"/>
              <w:rPr>
                <w:rFonts w:hint="default" w:ascii="宋体" w:hAnsi="宋体" w:eastAsia="宋体" w:cs="宋体"/>
                <w:iCs/>
                <w:color w:val="auto"/>
                <w:kern w:val="0"/>
                <w:sz w:val="21"/>
                <w:szCs w:val="21"/>
                <w:highlight w:val="none"/>
                <w:lang w:val="en-US" w:eastAsia="zh-CN" w:bidi="ar-SA"/>
              </w:rPr>
            </w:pPr>
            <w:r>
              <w:rPr>
                <w:rFonts w:hint="eastAsia" w:ascii="宋体" w:hAnsi="宋体" w:eastAsia="宋体" w:cs="宋体"/>
                <w:iCs/>
                <w:color w:val="auto"/>
                <w:kern w:val="0"/>
                <w:sz w:val="21"/>
                <w:szCs w:val="21"/>
                <w:highlight w:val="none"/>
                <w:lang w:val="en-US" w:eastAsia="zh-CN" w:bidi="ar-SA"/>
              </w:rPr>
              <w:t>7</w:t>
            </w:r>
          </w:p>
        </w:tc>
        <w:tc>
          <w:tcPr>
            <w:tcW w:w="3758" w:type="dxa"/>
            <w:tcBorders>
              <w:top w:val="single" w:color="auto" w:sz="4" w:space="0"/>
              <w:left w:val="single" w:color="auto" w:sz="4" w:space="0"/>
              <w:bottom w:val="single" w:color="auto" w:sz="4" w:space="0"/>
              <w:right w:val="single" w:color="auto" w:sz="4" w:space="0"/>
            </w:tcBorders>
            <w:noWrap w:val="0"/>
            <w:vAlign w:val="center"/>
          </w:tcPr>
          <w:p w14:paraId="62D9DE17">
            <w:pPr>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待定</w:t>
            </w:r>
          </w:p>
        </w:tc>
        <w:tc>
          <w:tcPr>
            <w:tcW w:w="5092" w:type="dxa"/>
            <w:tcBorders>
              <w:top w:val="single" w:color="auto" w:sz="4" w:space="0"/>
              <w:left w:val="single" w:color="auto" w:sz="4" w:space="0"/>
              <w:bottom w:val="single" w:color="auto" w:sz="4" w:space="0"/>
              <w:right w:val="single" w:color="auto" w:sz="4" w:space="0"/>
            </w:tcBorders>
            <w:noWrap w:val="0"/>
            <w:vAlign w:val="center"/>
          </w:tcPr>
          <w:p w14:paraId="3BA95BAE">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highlight w:val="none"/>
                <w:lang w:val="en-US" w:eastAsia="zh-CN" w:bidi="ar"/>
              </w:rPr>
              <w:t>为本招标项目的监理单位</w:t>
            </w:r>
          </w:p>
        </w:tc>
      </w:tr>
      <w:tr w14:paraId="1FFC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064EBD02">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default" w:ascii="宋体" w:hAnsi="宋体" w:eastAsia="宋体" w:cs="宋体"/>
                <w:iCs/>
                <w:color w:val="auto"/>
                <w:kern w:val="0"/>
                <w:sz w:val="21"/>
                <w:szCs w:val="21"/>
                <w:highlight w:val="none"/>
                <w:lang w:val="en-US" w:eastAsia="zh-CN"/>
              </w:rPr>
            </w:pPr>
            <w:r>
              <w:rPr>
                <w:rFonts w:hint="eastAsia" w:ascii="宋体" w:hAnsi="宋体" w:eastAsia="宋体" w:cs="宋体"/>
                <w:iCs/>
                <w:color w:val="auto"/>
                <w:kern w:val="0"/>
                <w:sz w:val="21"/>
                <w:szCs w:val="21"/>
                <w:highlight w:val="none"/>
                <w:lang w:val="en-US" w:eastAsia="zh-CN"/>
              </w:rPr>
              <w:t>8</w:t>
            </w:r>
          </w:p>
        </w:tc>
        <w:tc>
          <w:tcPr>
            <w:tcW w:w="3758" w:type="dxa"/>
            <w:tcBorders>
              <w:top w:val="single" w:color="auto" w:sz="4" w:space="0"/>
              <w:left w:val="single" w:color="auto" w:sz="4" w:space="0"/>
              <w:bottom w:val="single" w:color="auto" w:sz="4" w:space="0"/>
              <w:right w:val="single" w:color="auto" w:sz="4" w:space="0"/>
            </w:tcBorders>
            <w:noWrap w:val="0"/>
            <w:vAlign w:val="center"/>
          </w:tcPr>
          <w:p w14:paraId="5BD16661">
            <w:pPr>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韶关市繁盛项目管理有限公司</w:t>
            </w:r>
          </w:p>
        </w:tc>
        <w:tc>
          <w:tcPr>
            <w:tcW w:w="5092" w:type="dxa"/>
            <w:tcBorders>
              <w:top w:val="single" w:color="auto" w:sz="4" w:space="0"/>
              <w:left w:val="single" w:color="auto" w:sz="4" w:space="0"/>
              <w:bottom w:val="single" w:color="auto" w:sz="4" w:space="0"/>
              <w:right w:val="single" w:color="auto" w:sz="4" w:space="0"/>
            </w:tcBorders>
            <w:noWrap w:val="0"/>
            <w:vAlign w:val="center"/>
          </w:tcPr>
          <w:p w14:paraId="7ED83DAC">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highlight w:val="none"/>
                <w:lang w:val="en-US" w:eastAsia="zh-CN" w:bidi="ar"/>
              </w:rPr>
              <w:t>为本招标项目的招标代理机构</w:t>
            </w:r>
          </w:p>
        </w:tc>
      </w:tr>
      <w:tr w14:paraId="08BC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07E42E56">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default" w:ascii="宋体" w:hAnsi="宋体" w:eastAsia="宋体" w:cs="宋体"/>
                <w:iCs/>
                <w:color w:val="auto"/>
                <w:kern w:val="0"/>
                <w:sz w:val="21"/>
                <w:szCs w:val="21"/>
                <w:highlight w:val="none"/>
                <w:lang w:val="en-US" w:eastAsia="zh-CN"/>
              </w:rPr>
            </w:pPr>
            <w:r>
              <w:rPr>
                <w:rFonts w:hint="eastAsia" w:ascii="宋体" w:hAnsi="宋体" w:eastAsia="宋体" w:cs="宋体"/>
                <w:iCs/>
                <w:color w:val="auto"/>
                <w:kern w:val="0"/>
                <w:sz w:val="21"/>
                <w:szCs w:val="21"/>
                <w:highlight w:val="none"/>
                <w:lang w:val="en-US" w:eastAsia="zh-CN"/>
              </w:rPr>
              <w:t>9</w:t>
            </w:r>
          </w:p>
        </w:tc>
        <w:tc>
          <w:tcPr>
            <w:tcW w:w="3758" w:type="dxa"/>
            <w:tcBorders>
              <w:top w:val="single" w:color="auto" w:sz="4" w:space="0"/>
              <w:left w:val="single" w:color="auto" w:sz="4" w:space="0"/>
              <w:bottom w:val="single" w:color="auto" w:sz="4" w:space="0"/>
              <w:right w:val="single" w:color="auto" w:sz="4" w:space="0"/>
            </w:tcBorders>
            <w:noWrap w:val="0"/>
            <w:vAlign w:val="center"/>
          </w:tcPr>
          <w:p w14:paraId="5DB2A047">
            <w:pPr>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highlight w:val="none"/>
                <w:lang w:val="en-US" w:eastAsia="zh-CN" w:bidi="ar"/>
              </w:rPr>
              <w:t>无</w:t>
            </w:r>
          </w:p>
        </w:tc>
        <w:tc>
          <w:tcPr>
            <w:tcW w:w="5092" w:type="dxa"/>
            <w:tcBorders>
              <w:top w:val="single" w:color="auto" w:sz="4" w:space="0"/>
              <w:left w:val="single" w:color="auto" w:sz="4" w:space="0"/>
              <w:bottom w:val="single" w:color="auto" w:sz="4" w:space="0"/>
              <w:right w:val="single" w:color="auto" w:sz="4" w:space="0"/>
            </w:tcBorders>
            <w:noWrap w:val="0"/>
            <w:vAlign w:val="center"/>
          </w:tcPr>
          <w:p w14:paraId="2DD12465">
            <w:pPr>
              <w:pStyle w:val="29"/>
              <w:keepNext w:val="0"/>
              <w:keepLines w:val="0"/>
              <w:widowControl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iCs/>
                <w:color w:val="auto"/>
                <w:kern w:val="0"/>
                <w:sz w:val="21"/>
                <w:szCs w:val="21"/>
                <w:highlight w:val="none"/>
              </w:rPr>
            </w:pPr>
            <w:r>
              <w:rPr>
                <w:rFonts w:hint="eastAsia" w:ascii="宋体" w:hAnsi="宋体" w:eastAsia="宋体" w:cs="宋体"/>
                <w:iCs/>
                <w:color w:val="auto"/>
                <w:kern w:val="0"/>
                <w:sz w:val="21"/>
                <w:szCs w:val="21"/>
                <w:highlight w:val="none"/>
                <w:lang w:val="en-US" w:eastAsia="zh-CN" w:bidi="ar"/>
              </w:rPr>
              <w:t>为本招标项目上一次招标的中标人，但无正当理由不签订合同，被招标人书面拒绝再次投标。</w:t>
            </w:r>
          </w:p>
        </w:tc>
      </w:tr>
    </w:tbl>
    <w:p w14:paraId="0670DD83">
      <w:pPr>
        <w:keepNext w:val="0"/>
        <w:keepLines w:val="0"/>
        <w:pageBreakBefore w:val="0"/>
        <w:tabs>
          <w:tab w:val="left" w:pos="7020"/>
        </w:tabs>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2.5</w:t>
      </w:r>
      <w:r>
        <w:rPr>
          <w:rFonts w:hint="eastAsia" w:ascii="宋体" w:hAnsi="宋体" w:eastAsia="宋体" w:cs="宋体"/>
          <w:snapToGrid w:val="0"/>
          <w:color w:val="auto"/>
          <w:kern w:val="0"/>
          <w:sz w:val="21"/>
          <w:szCs w:val="21"/>
          <w:highlight w:val="none"/>
        </w:rPr>
        <w:t xml:space="preserve"> 其他要求</w:t>
      </w:r>
    </w:p>
    <w:p w14:paraId="08CBAA53">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501F355E">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27" w:name="_Toc20967"/>
    </w:p>
    <w:p w14:paraId="5184665A">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3．招标文件的获取</w:t>
      </w:r>
      <w:bookmarkEnd w:id="27"/>
    </w:p>
    <w:p w14:paraId="397A5493">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3.1 </w:t>
      </w:r>
      <w:r>
        <w:rPr>
          <w:rFonts w:hint="eastAsia" w:ascii="宋体" w:hAnsi="宋体" w:eastAsia="宋体" w:cs="宋体"/>
          <w:snapToGrid w:val="0"/>
          <w:color w:val="auto"/>
          <w:kern w:val="0"/>
          <w:sz w:val="21"/>
          <w:szCs w:val="21"/>
          <w:highlight w:val="none"/>
        </w:rPr>
        <w:t>本次招标实行电子投标。本项目招标文件随招标公告一并在广东省招标投标监管网（</w:t>
      </w:r>
      <w:r>
        <w:rPr>
          <w:rFonts w:hint="eastAsia" w:ascii="宋体" w:hAnsi="宋体" w:eastAsia="宋体" w:cs="宋体"/>
          <w:snapToGrid w:val="0"/>
          <w:color w:val="auto"/>
          <w:kern w:val="0"/>
          <w:sz w:val="21"/>
          <w:szCs w:val="21"/>
          <w:highlight w:val="none"/>
          <w:lang w:eastAsia="zh-CN"/>
        </w:rPr>
        <w:t>http://zbtb.gd.gov.cn</w:t>
      </w:r>
      <w:r>
        <w:rPr>
          <w:rFonts w:hint="eastAsia" w:ascii="宋体" w:hAnsi="宋体" w:eastAsia="宋体" w:cs="宋体"/>
          <w:snapToGrid w:val="0"/>
          <w:color w:val="auto"/>
          <w:kern w:val="0"/>
          <w:sz w:val="21"/>
          <w:szCs w:val="21"/>
          <w:highlight w:val="none"/>
        </w:rPr>
        <w:t>）、全国公共资源交易平台（广东省·韶关市）（https://ygp.gdzwfw.gov.cn/ggzy-portal/#/440200/index）网站发布。招标文件一经广东省招标投标监管网、全国公共资源交易平台（广东省·韶关市）发布，视为发送投标人，招标文件及相关附件由投标人自行在全国公共资源交易平台（广东省·韶关市）网站下载。请于招标文件获取期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完成电子投标。投标人可登录全国公共资源交易平台（广东省·韶关市）（https://ygp.gdzwfw.gov.cn/ggzy-portal/#/440200/index），在【服务指南】栏目中下载《韶关市公共资源建设工程交易系统-投标人操作指南（电子评标）V1.3》，了解网上获取招标文件操作流程。技术咨询电话：18819797080/0751-8379671伍先生，业务咨询电话：0751-8633211、8633071。</w:t>
      </w:r>
    </w:p>
    <w:p w14:paraId="1E39D84E">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3.2 </w:t>
      </w:r>
      <w:r>
        <w:rPr>
          <w:rFonts w:hint="eastAsia" w:ascii="宋体" w:hAnsi="宋体" w:eastAsia="宋体" w:cs="宋体"/>
          <w:snapToGrid w:val="0"/>
          <w:color w:val="auto"/>
          <w:kern w:val="0"/>
          <w:sz w:val="21"/>
          <w:szCs w:val="21"/>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14:paraId="4D2AA3A8">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首次在韶关市参与建设工程招标投标活动的投标人，必须在平台系统上传企业相关资料办理企业入库事宜。投标人可登录全国公共资源交易平台（广东省·韶关市）（https://ygp.gdzwfw.gov.cn/ggzy-portal/#/440200/index）办理办理企业入库、数字证书及电子印章事宜，具体请在平台查阅相应的交易指引。</w:t>
      </w:r>
    </w:p>
    <w:p w14:paraId="584D682D">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已入库企业有关信息（如单位名称、基本账号、资质、人员等）发生变化的，须及时在交易系统进行相应变更。投标人未及时变更信息而造成的损失和后果，由投标人自行承担。</w:t>
      </w:r>
    </w:p>
    <w:p w14:paraId="00FE975E">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b w:val="0"/>
          <w:bCs w:val="0"/>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645BFE5D">
      <w:pPr>
        <w:keepNext w:val="0"/>
        <w:keepLines w:val="0"/>
        <w:pageBreakBefore w:val="0"/>
        <w:tabs>
          <w:tab w:val="left" w:pos="7020"/>
        </w:tabs>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投标保证</w:t>
      </w:r>
    </w:p>
    <w:p w14:paraId="1971E394">
      <w:pPr>
        <w:keepNext w:val="0"/>
        <w:keepLines w:val="0"/>
        <w:pageBreakBefore w:val="0"/>
        <w:tabs>
          <w:tab w:val="left" w:pos="7020"/>
        </w:tabs>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rPr>
        <w:t>3.3.1</w:t>
      </w:r>
      <w:r>
        <w:rPr>
          <w:rFonts w:hint="eastAsia" w:ascii="宋体" w:hAnsi="宋体" w:eastAsia="宋体" w:cs="宋体"/>
          <w:snapToGrid w:val="0"/>
          <w:color w:val="auto"/>
          <w:kern w:val="0"/>
          <w:sz w:val="21"/>
          <w:szCs w:val="21"/>
          <w:highlight w:val="none"/>
        </w:rPr>
        <w:t xml:space="preserve"> 投标人须缴纳金额为人民币</w:t>
      </w:r>
      <w:r>
        <w:rPr>
          <w:rFonts w:hint="eastAsia" w:ascii="宋体" w:hAnsi="宋体" w:eastAsia="宋体" w:cs="宋体"/>
          <w:snapToGrid w:val="0"/>
          <w:color w:val="auto"/>
          <w:kern w:val="0"/>
          <w:sz w:val="21"/>
          <w:szCs w:val="21"/>
          <w:highlight w:val="none"/>
          <w:u w:val="single"/>
          <w:lang w:val="en-US" w:eastAsia="zh-CN"/>
        </w:rPr>
        <w:t>陆万元整</w:t>
      </w:r>
      <w:r>
        <w:rPr>
          <w:rFonts w:hint="eastAsia" w:ascii="宋体" w:hAnsi="宋体" w:eastAsia="宋体" w:cs="宋体"/>
          <w:snapToGrid w:val="0"/>
          <w:color w:val="auto"/>
          <w:kern w:val="0"/>
          <w:sz w:val="21"/>
          <w:szCs w:val="21"/>
          <w:highlight w:val="none"/>
        </w:rPr>
        <w:t>的投标保证。</w:t>
      </w:r>
    </w:p>
    <w:p w14:paraId="4084EF1E">
      <w:pPr>
        <w:keepNext w:val="0"/>
        <w:keepLines w:val="0"/>
        <w:pageBreakBefore w:val="0"/>
        <w:tabs>
          <w:tab w:val="left" w:pos="7020"/>
        </w:tabs>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3.3.2</w:t>
      </w:r>
      <w:r>
        <w:rPr>
          <w:rFonts w:hint="eastAsia" w:ascii="宋体" w:hAnsi="宋体" w:eastAsia="宋体" w:cs="宋体"/>
          <w:snapToGrid w:val="0"/>
          <w:color w:val="auto"/>
          <w:kern w:val="0"/>
          <w:sz w:val="21"/>
          <w:szCs w:val="21"/>
          <w:highlight w:val="none"/>
        </w:rPr>
        <w:t xml:space="preserve"> 投标保证的形式包括投标保证金、投标保证担保、投标保证保险三种，由投标人自主选择。</w:t>
      </w:r>
    </w:p>
    <w:p w14:paraId="1961E272">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“重要事项时间地点一览表”）前，从其基本账户将投标保证金转账到指定的缴纳账号。逾期到账的、从非投标人基本账户转出的，其投标无效。</w:t>
      </w:r>
    </w:p>
    <w:p w14:paraId="1432E87C">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（2）采用投标保证担保的，投标人应提交有效的电子保函或保证保险，电子保函或保证保险的有效期不得短于投标有效期。投标人必须在投标保证担保截止时间（详</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“重要事项时间地点一览表”）前，使用工程建设交易系统完成网上办理电子保函或保证保险。</w:t>
      </w:r>
    </w:p>
    <w:p w14:paraId="26D9D172">
      <w:pPr>
        <w:keepNext w:val="0"/>
        <w:keepLines w:val="0"/>
        <w:pageBreakBefore w:val="0"/>
        <w:tabs>
          <w:tab w:val="left" w:pos="7020"/>
        </w:tabs>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（3）采用投标保证保险的，投标人须在投标保证保险投保截止时间（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ygp.gdzwfw.gov.cn/ggzy-portal/#/440200/index），在【服务指南】栏目中下载《韶关市公共资源建设工程交易系统-投标人操作指南（电子评标）V1.3》，了解网上投保具体操作流程。逾期投保的，其投标无效。</w:t>
      </w:r>
    </w:p>
    <w:p w14:paraId="7C637229">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温馨提</w:t>
      </w:r>
      <w:r>
        <w:rPr>
          <w:rFonts w:hint="eastAsia" w:ascii="宋体" w:hAnsi="宋体" w:eastAsia="宋体" w:cs="宋体"/>
          <w:snapToGrid w:val="0"/>
          <w:color w:val="auto"/>
          <w:kern w:val="0"/>
          <w:sz w:val="21"/>
          <w:szCs w:val="21"/>
          <w:highlight w:val="none"/>
          <w:lang w:eastAsia="zh-CN"/>
        </w:rPr>
        <w:t>示</w:t>
      </w:r>
      <w:r>
        <w:rPr>
          <w:rFonts w:hint="eastAsia" w:ascii="宋体" w:hAnsi="宋体" w:eastAsia="宋体" w:cs="宋体"/>
          <w:snapToGrid w:val="0"/>
          <w:color w:val="auto"/>
          <w:kern w:val="0"/>
          <w:sz w:val="21"/>
          <w:szCs w:val="21"/>
          <w:highlight w:val="none"/>
        </w:rPr>
        <w:t>：1.投标人采用投标保证担保或投标保证保险的，为避免在评标过程中因有效期发生争议，建议投标人将银行保函或电子保单有效期设置为较招标文件规定的投标有效期延长不少于20个日历天。</w:t>
      </w:r>
    </w:p>
    <w:p w14:paraId="3DFC26A5">
      <w:pPr>
        <w:pStyle w:val="11"/>
        <w:keepNext w:val="0"/>
        <w:keepLines w:val="0"/>
        <w:pageBreakBefore w:val="0"/>
        <w:widowControl w:val="0"/>
        <w:kinsoku/>
        <w:overflowPunct/>
        <w:topLinePunct w:val="0"/>
        <w:autoSpaceDE/>
        <w:autoSpaceDN/>
        <w:bidi w:val="0"/>
        <w:adjustRightInd w:val="0"/>
        <w:spacing w:line="400" w:lineRule="atLeast"/>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bCs/>
          <w:snapToGrid w:val="0"/>
          <w:color w:val="auto"/>
          <w:sz w:val="21"/>
          <w:szCs w:val="21"/>
          <w:highlight w:val="none"/>
        </w:rPr>
        <w:t>3.4</w:t>
      </w:r>
      <w:r>
        <w:rPr>
          <w:rFonts w:hint="eastAsia" w:ascii="宋体" w:hAnsi="宋体" w:eastAsia="宋体" w:cs="宋体"/>
          <w:snapToGrid w:val="0"/>
          <w:color w:val="auto"/>
          <w:sz w:val="21"/>
          <w:szCs w:val="21"/>
          <w:highlight w:val="none"/>
        </w:rPr>
        <w:t xml:space="preserve"> 若投标人因自身原因未能正确获取招标文件、电子投标、缴纳投标保证的，其投标无效。</w:t>
      </w:r>
    </w:p>
    <w:p w14:paraId="6899D305">
      <w:pPr>
        <w:pStyle w:val="4"/>
        <w:keepNext w:val="0"/>
        <w:keepLines w:val="0"/>
        <w:pageBreakBefore w:val="0"/>
        <w:widowControl w:val="0"/>
        <w:kinsoku/>
        <w:wordWrap w:val="0"/>
        <w:overflowPunct/>
        <w:topLinePunct w:val="0"/>
        <w:autoSpaceDE/>
        <w:autoSpaceDN/>
        <w:bidi w:val="0"/>
        <w:adjustRightInd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28" w:name="_Toc16636"/>
    </w:p>
    <w:p w14:paraId="3DB3DEAF">
      <w:pPr>
        <w:pStyle w:val="4"/>
        <w:keepNext w:val="0"/>
        <w:keepLines w:val="0"/>
        <w:pageBreakBefore w:val="0"/>
        <w:widowControl w:val="0"/>
        <w:kinsoku/>
        <w:wordWrap w:val="0"/>
        <w:overflowPunct/>
        <w:topLinePunct w:val="0"/>
        <w:autoSpaceDE/>
        <w:autoSpaceDN/>
        <w:bidi w:val="0"/>
        <w:adjustRightInd w:val="0"/>
        <w:snapToGrid w:val="0"/>
        <w:spacing w:line="400" w:lineRule="atLeast"/>
        <w:ind w:firstLine="480"/>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4．工期要求</w:t>
      </w:r>
      <w:bookmarkEnd w:id="28"/>
    </w:p>
    <w:p w14:paraId="06840C30">
      <w:pPr>
        <w:keepNext w:val="0"/>
        <w:keepLines w:val="0"/>
        <w:pageBreakBefore w:val="0"/>
        <w:widowControl w:val="0"/>
        <w:tabs>
          <w:tab w:val="left" w:pos="7020"/>
        </w:tabs>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本招标项目施工工期为</w:t>
      </w:r>
      <w:r>
        <w:rPr>
          <w:rFonts w:hint="eastAsia" w:ascii="宋体" w:hAnsi="宋体" w:eastAsia="宋体" w:cs="宋体"/>
          <w:strike w:val="0"/>
          <w:dstrike w:val="0"/>
          <w:snapToGrid w:val="0"/>
          <w:color w:val="auto"/>
          <w:kern w:val="0"/>
          <w:sz w:val="21"/>
          <w:szCs w:val="21"/>
          <w:highlight w:val="none"/>
          <w:u w:val="single"/>
          <w:lang w:val="en-US" w:eastAsia="zh-CN"/>
        </w:rPr>
        <w:t xml:space="preserve"> 90个日历天</w:t>
      </w:r>
      <w:r>
        <w:rPr>
          <w:rFonts w:hint="eastAsia" w:ascii="宋体" w:hAnsi="宋体" w:eastAsia="宋体" w:cs="宋体"/>
          <w:snapToGrid w:val="0"/>
          <w:color w:val="auto"/>
          <w:kern w:val="0"/>
          <w:sz w:val="21"/>
          <w:szCs w:val="21"/>
          <w:highlight w:val="none"/>
        </w:rPr>
        <w:t>，中标人必须在招标工期内完成招标范围内的全部内容。</w:t>
      </w:r>
    </w:p>
    <w:p w14:paraId="0F7698DE">
      <w:pPr>
        <w:pStyle w:val="4"/>
        <w:keepNext w:val="0"/>
        <w:keepLines w:val="0"/>
        <w:pageBreakBefore w:val="0"/>
        <w:widowControl w:val="0"/>
        <w:kinsoku/>
        <w:wordWrap w:val="0"/>
        <w:overflowPunct/>
        <w:topLinePunct w:val="0"/>
        <w:autoSpaceDE/>
        <w:autoSpaceDN/>
        <w:bidi w:val="0"/>
        <w:adjustRightInd w:val="0"/>
        <w:snapToGrid w:val="0"/>
        <w:spacing w:line="400" w:lineRule="atLeast"/>
        <w:ind w:firstLine="480"/>
        <w:jc w:val="both"/>
        <w:textAlignment w:val="auto"/>
        <w:rPr>
          <w:rFonts w:hint="eastAsia" w:ascii="宋体" w:hAnsi="宋体" w:eastAsia="宋体" w:cs="宋体"/>
          <w:b/>
          <w:snapToGrid w:val="0"/>
          <w:color w:val="auto"/>
          <w:sz w:val="21"/>
          <w:szCs w:val="21"/>
          <w:highlight w:val="none"/>
        </w:rPr>
      </w:pPr>
      <w:bookmarkStart w:id="29" w:name="_Toc5904"/>
    </w:p>
    <w:p w14:paraId="58D06A0B">
      <w:pPr>
        <w:pStyle w:val="4"/>
        <w:keepNext w:val="0"/>
        <w:keepLines w:val="0"/>
        <w:pageBreakBefore w:val="0"/>
        <w:widowControl w:val="0"/>
        <w:kinsoku/>
        <w:wordWrap w:val="0"/>
        <w:overflowPunct/>
        <w:topLinePunct w:val="0"/>
        <w:autoSpaceDE/>
        <w:autoSpaceDN/>
        <w:bidi w:val="0"/>
        <w:adjustRightInd w:val="0"/>
        <w:snapToGrid w:val="0"/>
        <w:spacing w:line="400" w:lineRule="atLeast"/>
        <w:ind w:firstLine="480"/>
        <w:jc w:val="both"/>
        <w:textAlignment w:val="auto"/>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5．质量标准和材料、机械要求</w:t>
      </w:r>
      <w:bookmarkEnd w:id="29"/>
    </w:p>
    <w:p w14:paraId="736DD853">
      <w:pPr>
        <w:keepNext w:val="0"/>
        <w:keepLines w:val="0"/>
        <w:pageBreakBefore w:val="0"/>
        <w:widowControl w:val="0"/>
        <w:kinsoku/>
        <w:wordWrap w:val="0"/>
        <w:overflowPunct/>
        <w:topLinePunct w:val="0"/>
        <w:autoSpaceDE/>
        <w:autoSpaceDN/>
        <w:bidi w:val="0"/>
        <w:adjustRightInd w:val="0"/>
        <w:snapToGrid w:val="0"/>
        <w:spacing w:line="400" w:lineRule="atLeas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lang w:val="en-US" w:eastAsia="zh-CN"/>
        </w:rPr>
        <w:t xml:space="preserve"> </w:t>
      </w:r>
      <w:r>
        <w:rPr>
          <w:rFonts w:hint="eastAsia" w:ascii="宋体" w:hAnsi="宋体" w:eastAsia="宋体" w:cs="宋体"/>
          <w:b/>
          <w:bCs/>
          <w:snapToGrid w:val="0"/>
          <w:color w:val="auto"/>
          <w:kern w:val="0"/>
          <w:sz w:val="21"/>
          <w:szCs w:val="21"/>
          <w:highlight w:val="none"/>
        </w:rPr>
        <w:t xml:space="preserve"> 5.1</w:t>
      </w:r>
      <w:r>
        <w:rPr>
          <w:rFonts w:hint="eastAsia" w:ascii="宋体" w:hAnsi="宋体" w:eastAsia="宋体" w:cs="宋体"/>
          <w:snapToGrid w:val="0"/>
          <w:color w:val="auto"/>
          <w:kern w:val="0"/>
          <w:sz w:val="21"/>
          <w:szCs w:val="21"/>
          <w:highlight w:val="none"/>
        </w:rPr>
        <w:t xml:space="preserve"> 施工工艺严格按照国家和广东省的有关现行施工技术规范及标准执行，工程质量标准须</w:t>
      </w:r>
      <w:r>
        <w:rPr>
          <w:rFonts w:hint="eastAsia" w:ascii="宋体" w:hAnsi="宋体" w:eastAsia="宋体" w:cs="宋体"/>
          <w:snapToGrid w:val="0"/>
          <w:color w:val="auto"/>
          <w:kern w:val="0"/>
          <w:sz w:val="21"/>
          <w:szCs w:val="21"/>
          <w:highlight w:val="none"/>
          <w:u w:val="single"/>
        </w:rPr>
        <w:t>达到合格</w:t>
      </w:r>
      <w:r>
        <w:rPr>
          <w:rFonts w:hint="eastAsia" w:ascii="宋体" w:hAnsi="宋体" w:eastAsia="宋体" w:cs="宋体"/>
          <w:snapToGrid w:val="0"/>
          <w:color w:val="auto"/>
          <w:kern w:val="0"/>
          <w:sz w:val="21"/>
          <w:szCs w:val="21"/>
          <w:highlight w:val="none"/>
          <w:u w:val="single"/>
          <w:lang w:eastAsia="zh-CN"/>
        </w:rPr>
        <w:t>。</w:t>
      </w:r>
    </w:p>
    <w:p w14:paraId="3C5D1D77">
      <w:pPr>
        <w:keepNext w:val="0"/>
        <w:keepLines w:val="0"/>
        <w:pageBreakBefore w:val="0"/>
        <w:widowControl w:val="0"/>
        <w:kinsoku/>
        <w:wordWrap w:val="0"/>
        <w:overflowPunct/>
        <w:topLinePunct w:val="0"/>
        <w:autoSpaceDE/>
        <w:autoSpaceDN/>
        <w:bidi w:val="0"/>
        <w:adjustRightInd w:val="0"/>
        <w:snapToGrid w:val="0"/>
        <w:spacing w:line="400" w:lineRule="atLeast"/>
        <w:ind w:firstLine="56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5.2</w:t>
      </w:r>
      <w:r>
        <w:rPr>
          <w:rFonts w:hint="eastAsia" w:ascii="宋体" w:hAnsi="宋体" w:eastAsia="宋体" w:cs="宋体"/>
          <w:snapToGrid w:val="0"/>
          <w:color w:val="auto"/>
          <w:kern w:val="0"/>
          <w:sz w:val="21"/>
          <w:szCs w:val="21"/>
          <w:highlight w:val="none"/>
        </w:rPr>
        <w:t xml:space="preserve"> 中标人在施工中如果工程质量不符合设计要求和有关规定，招标人或监理单位要求停工和返工的必须立即执行，并承担由此产生的各种费用，工期不予顺延。</w:t>
      </w:r>
    </w:p>
    <w:p w14:paraId="2F1482C6">
      <w:pPr>
        <w:keepNext w:val="0"/>
        <w:keepLines w:val="0"/>
        <w:pageBreakBefore w:val="0"/>
        <w:widowControl w:val="0"/>
        <w:kinsoku/>
        <w:wordWrap w:val="0"/>
        <w:overflowPunct/>
        <w:topLinePunct w:val="0"/>
        <w:autoSpaceDE/>
        <w:autoSpaceDN/>
        <w:bidi w:val="0"/>
        <w:adjustRightInd w:val="0"/>
        <w:snapToGrid w:val="0"/>
        <w:spacing w:line="400" w:lineRule="atLeast"/>
        <w:ind w:firstLine="57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5.3</w:t>
      </w:r>
      <w:r>
        <w:rPr>
          <w:rFonts w:hint="eastAsia" w:ascii="宋体" w:hAnsi="宋体" w:eastAsia="宋体" w:cs="宋体"/>
          <w:snapToGrid w:val="0"/>
          <w:color w:val="auto"/>
          <w:kern w:val="0"/>
          <w:sz w:val="21"/>
          <w:szCs w:val="21"/>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3932AB22">
      <w:pPr>
        <w:keepNext w:val="0"/>
        <w:keepLines w:val="0"/>
        <w:pageBreakBefore w:val="0"/>
        <w:widowControl w:val="0"/>
        <w:kinsoku/>
        <w:wordWrap w:val="0"/>
        <w:overflowPunct/>
        <w:topLinePunct w:val="0"/>
        <w:autoSpaceDE/>
        <w:autoSpaceDN/>
        <w:bidi w:val="0"/>
        <w:adjustRightInd w:val="0"/>
        <w:snapToGrid w:val="0"/>
        <w:spacing w:line="400" w:lineRule="atLeast"/>
        <w:ind w:firstLine="56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5.4</w:t>
      </w:r>
      <w:r>
        <w:rPr>
          <w:rFonts w:hint="eastAsia" w:ascii="宋体" w:hAnsi="宋体" w:eastAsia="宋体" w:cs="宋体"/>
          <w:snapToGrid w:val="0"/>
          <w:color w:val="auto"/>
          <w:kern w:val="0"/>
          <w:sz w:val="21"/>
          <w:szCs w:val="21"/>
          <w:highlight w:val="none"/>
        </w:rPr>
        <w:t xml:space="preserve"> 本招标项目</w:t>
      </w:r>
      <w:r>
        <w:rPr>
          <w:rFonts w:hint="eastAsia" w:ascii="宋体" w:hAnsi="宋体" w:eastAsia="宋体" w:cs="宋体"/>
          <w:snapToGrid w:val="0"/>
          <w:color w:val="auto"/>
          <w:kern w:val="0"/>
          <w:sz w:val="21"/>
          <w:szCs w:val="21"/>
          <w:highlight w:val="none"/>
          <w:lang w:eastAsia="zh-CN"/>
        </w:rPr>
        <w:t>不</w:t>
      </w:r>
      <w:r>
        <w:rPr>
          <w:rFonts w:hint="eastAsia" w:ascii="宋体" w:hAnsi="宋体" w:eastAsia="宋体" w:cs="宋体"/>
          <w:snapToGrid w:val="0"/>
          <w:color w:val="auto"/>
          <w:kern w:val="0"/>
          <w:sz w:val="21"/>
          <w:szCs w:val="21"/>
          <w:highlight w:val="none"/>
        </w:rPr>
        <w:t>纳入绿色建筑实施范围。</w:t>
      </w:r>
    </w:p>
    <w:p w14:paraId="11437F59">
      <w:pPr>
        <w:keepNext w:val="0"/>
        <w:keepLines w:val="0"/>
        <w:pageBreakBefore w:val="0"/>
        <w:widowControl w:val="0"/>
        <w:kinsoku/>
        <w:wordWrap w:val="0"/>
        <w:overflowPunct/>
        <w:topLinePunct w:val="0"/>
        <w:autoSpaceDE/>
        <w:autoSpaceDN/>
        <w:bidi w:val="0"/>
        <w:adjustRightInd w:val="0"/>
        <w:snapToGrid w:val="0"/>
        <w:spacing w:line="400" w:lineRule="atLeast"/>
        <w:ind w:firstLine="56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5.5 </w:t>
      </w:r>
      <w:r>
        <w:rPr>
          <w:rFonts w:hint="eastAsia" w:ascii="宋体" w:hAnsi="宋体" w:eastAsia="宋体" w:cs="宋体"/>
          <w:snapToGrid w:val="0"/>
          <w:color w:val="auto"/>
          <w:kern w:val="0"/>
          <w:sz w:val="21"/>
          <w:szCs w:val="21"/>
          <w:highlight w:val="none"/>
          <w:lang w:eastAsia="zh-CN"/>
        </w:rPr>
        <w:t>本项目</w:t>
      </w:r>
      <w:r>
        <w:rPr>
          <w:rFonts w:hint="eastAsia" w:ascii="宋体" w:hAnsi="宋体" w:eastAsia="宋体" w:cs="宋体"/>
          <w:snapToGrid w:val="0"/>
          <w:color w:val="auto"/>
          <w:kern w:val="0"/>
          <w:sz w:val="21"/>
          <w:szCs w:val="21"/>
          <w:highlight w:val="none"/>
        </w:rPr>
        <w:t>未纳入装配式建造建设实施范围。</w:t>
      </w:r>
    </w:p>
    <w:p w14:paraId="4A1FE45B">
      <w:pPr>
        <w:keepNext w:val="0"/>
        <w:keepLines w:val="0"/>
        <w:pageBreakBefore w:val="0"/>
        <w:widowControl w:val="0"/>
        <w:kinsoku/>
        <w:wordWrap w:val="0"/>
        <w:overflowPunct/>
        <w:topLinePunct w:val="0"/>
        <w:autoSpaceDE/>
        <w:autoSpaceDN/>
        <w:bidi w:val="0"/>
        <w:adjustRightInd w:val="0"/>
        <w:snapToGrid w:val="0"/>
        <w:spacing w:line="400" w:lineRule="atLeast"/>
        <w:ind w:firstLine="560"/>
        <w:textAlignment w:val="auto"/>
        <w:rPr>
          <w:rFonts w:hint="eastAsia" w:ascii="宋体" w:hAnsi="宋体" w:eastAsia="宋体" w:cs="宋体"/>
          <w:strike/>
          <w:dstrike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w:t>
      </w:r>
      <w:r>
        <w:rPr>
          <w:rFonts w:hint="eastAsia" w:ascii="宋体" w:hAnsi="宋体" w:eastAsia="宋体" w:cs="宋体"/>
          <w:b/>
          <w:bCs/>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r>
        <w:rPr>
          <w:rFonts w:hint="eastAsia" w:ascii="宋体" w:hAnsi="宋体" w:eastAsia="宋体" w:cs="宋体"/>
          <w:strike w:val="0"/>
          <w:dstrike w:val="0"/>
          <w:snapToGrid w:val="0"/>
          <w:color w:val="auto"/>
          <w:kern w:val="0"/>
          <w:sz w:val="21"/>
          <w:szCs w:val="21"/>
          <w:highlight w:val="none"/>
        </w:rPr>
        <w:t>。</w:t>
      </w:r>
    </w:p>
    <w:p w14:paraId="4304A744">
      <w:pPr>
        <w:pStyle w:val="2"/>
        <w:keepNext w:val="0"/>
        <w:keepLines w:val="0"/>
        <w:pageBreakBefore w:val="0"/>
        <w:kinsoku/>
        <w:overflowPunct/>
        <w:topLinePunct w:val="0"/>
        <w:bidi w:val="0"/>
        <w:spacing w:line="400" w:lineRule="atLeast"/>
        <w:rPr>
          <w:rFonts w:hint="eastAsia" w:ascii="宋体" w:hAnsi="宋体" w:eastAsia="宋体" w:cs="宋体"/>
          <w:b/>
          <w:bCs/>
          <w:color w:val="auto"/>
          <w:sz w:val="21"/>
          <w:szCs w:val="21"/>
          <w:highlight w:val="none"/>
          <w:lang w:val="en-US" w:eastAsia="zh-CN"/>
        </w:rPr>
      </w:pPr>
      <w:bookmarkStart w:id="30" w:name="_Hlt88974078"/>
      <w:bookmarkEnd w:id="30"/>
      <w:bookmarkStart w:id="31" w:name="_Hlt111690342"/>
      <w:bookmarkEnd w:id="31"/>
      <w:bookmarkStart w:id="32" w:name="_Hlt69699204"/>
      <w:bookmarkEnd w:id="32"/>
      <w:bookmarkStart w:id="33" w:name="_Hlt69356505"/>
      <w:bookmarkEnd w:id="33"/>
      <w:bookmarkStart w:id="34" w:name="_Hlt121563076"/>
      <w:bookmarkEnd w:id="34"/>
      <w:bookmarkStart w:id="35" w:name="_Hlt74493474"/>
      <w:bookmarkEnd w:id="35"/>
      <w:bookmarkStart w:id="36" w:name="_Hlt74496537"/>
      <w:bookmarkEnd w:id="36"/>
      <w:bookmarkStart w:id="37" w:name="_Hlt120502666"/>
      <w:bookmarkEnd w:id="37"/>
      <w:r>
        <w:rPr>
          <w:rFonts w:hint="eastAsia" w:ascii="宋体" w:hAnsi="宋体" w:eastAsia="宋体" w:cs="宋体"/>
          <w:b/>
          <w:bCs/>
          <w:color w:val="auto"/>
          <w:sz w:val="21"/>
          <w:szCs w:val="21"/>
          <w:highlight w:val="none"/>
          <w:lang w:val="en-US" w:eastAsia="zh-CN"/>
        </w:rPr>
        <w:t>5.7</w:t>
      </w:r>
      <w:r>
        <w:rPr>
          <w:rFonts w:hint="eastAsia" w:ascii="宋体" w:hAnsi="宋体" w:eastAsia="宋体" w:cs="宋体"/>
          <w:b w:val="0"/>
          <w:bCs w:val="0"/>
          <w:color w:val="auto"/>
          <w:sz w:val="21"/>
          <w:szCs w:val="21"/>
          <w:highlight w:val="none"/>
          <w:lang w:val="en-US" w:eastAsia="zh-CN"/>
        </w:rPr>
        <w:t>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682B3BF1">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38" w:name="_Toc22731"/>
    </w:p>
    <w:p w14:paraId="2F34AF33">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6．施工条件及现场踏勘</w:t>
      </w:r>
      <w:bookmarkEnd w:id="38"/>
    </w:p>
    <w:p w14:paraId="543ABAC7">
      <w:pPr>
        <w:pStyle w:val="13"/>
        <w:keepNext w:val="0"/>
        <w:keepLines w:val="0"/>
        <w:pageBreakBefore w:val="0"/>
        <w:kinsoku/>
        <w:wordWrap w:val="0"/>
        <w:overflowPunct/>
        <w:topLinePunct w:val="0"/>
        <w:bidi w:val="0"/>
        <w:adjustRightInd w:val="0"/>
        <w:snapToGrid w:val="0"/>
        <w:spacing w:line="400" w:lineRule="atLeast"/>
        <w:ind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6.1</w:t>
      </w:r>
      <w:r>
        <w:rPr>
          <w:rFonts w:hint="eastAsia" w:ascii="宋体" w:hAnsi="宋体" w:eastAsia="宋体" w:cs="宋体"/>
          <w:snapToGrid w:val="0"/>
          <w:color w:val="auto"/>
          <w:kern w:val="0"/>
          <w:sz w:val="21"/>
          <w:szCs w:val="21"/>
          <w:highlight w:val="none"/>
        </w:rPr>
        <w:t xml:space="preserve"> 招标人仅在本招标项目征地红线范围内提供场地，其他一切场地费用由中标人自行负责（含临时道路）。</w:t>
      </w:r>
    </w:p>
    <w:p w14:paraId="54BF2298">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6.2</w:t>
      </w:r>
      <w:r>
        <w:rPr>
          <w:rFonts w:hint="eastAsia" w:ascii="宋体" w:hAnsi="宋体" w:eastAsia="宋体" w:cs="宋体"/>
          <w:snapToGrid w:val="0"/>
          <w:color w:val="auto"/>
          <w:kern w:val="0"/>
          <w:sz w:val="21"/>
          <w:szCs w:val="21"/>
          <w:highlight w:val="none"/>
        </w:rPr>
        <w:t xml:space="preserve"> 施工用水：</w:t>
      </w:r>
      <w:r>
        <w:rPr>
          <w:rFonts w:hint="eastAsia" w:ascii="宋体" w:hAnsi="宋体" w:eastAsia="宋体" w:cs="宋体"/>
          <w:snapToGrid w:val="0"/>
          <w:color w:val="auto"/>
          <w:kern w:val="0"/>
          <w:sz w:val="21"/>
          <w:szCs w:val="21"/>
          <w:highlight w:val="none"/>
          <w:u w:val="single"/>
        </w:rPr>
        <w:t>施工用水及水源</w:t>
      </w:r>
      <w:r>
        <w:rPr>
          <w:rFonts w:hint="eastAsia" w:ascii="宋体" w:hAnsi="宋体" w:eastAsia="宋体" w:cs="宋体"/>
          <w:color w:val="auto"/>
          <w:kern w:val="0"/>
          <w:sz w:val="21"/>
          <w:szCs w:val="21"/>
          <w:highlight w:val="none"/>
          <w:u w:val="single"/>
        </w:rPr>
        <w:t>由投标人自行解决，费用考虑在投标报价中。</w:t>
      </w:r>
    </w:p>
    <w:p w14:paraId="4FCD7AF9">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6.3</w:t>
      </w:r>
      <w:r>
        <w:rPr>
          <w:rFonts w:hint="eastAsia" w:ascii="宋体" w:hAnsi="宋体" w:eastAsia="宋体" w:cs="宋体"/>
          <w:snapToGrid w:val="0"/>
          <w:color w:val="auto"/>
          <w:kern w:val="0"/>
          <w:sz w:val="21"/>
          <w:szCs w:val="21"/>
          <w:highlight w:val="none"/>
        </w:rPr>
        <w:t xml:space="preserve"> 施工用电：</w:t>
      </w:r>
      <w:r>
        <w:rPr>
          <w:rFonts w:hint="eastAsia" w:ascii="宋体" w:hAnsi="宋体" w:eastAsia="宋体" w:cs="宋体"/>
          <w:snapToGrid w:val="0"/>
          <w:color w:val="auto"/>
          <w:kern w:val="0"/>
          <w:sz w:val="21"/>
          <w:szCs w:val="21"/>
          <w:highlight w:val="none"/>
          <w:u w:val="single"/>
        </w:rPr>
        <w:t>施工用电及电源</w:t>
      </w:r>
      <w:r>
        <w:rPr>
          <w:rFonts w:hint="eastAsia" w:ascii="宋体" w:hAnsi="宋体" w:eastAsia="宋体" w:cs="宋体"/>
          <w:color w:val="auto"/>
          <w:kern w:val="0"/>
          <w:sz w:val="21"/>
          <w:szCs w:val="21"/>
          <w:highlight w:val="none"/>
          <w:u w:val="single"/>
        </w:rPr>
        <w:t>由投标人自行解决，费用考虑在投标报价中。</w:t>
      </w:r>
    </w:p>
    <w:p w14:paraId="26B4DBFD">
      <w:pPr>
        <w:keepNext w:val="0"/>
        <w:keepLines w:val="0"/>
        <w:pageBreakBefore w:val="0"/>
        <w:kinsoku/>
        <w:wordWrap w:val="0"/>
        <w:overflowPunct/>
        <w:topLinePunct w:val="0"/>
        <w:autoSpaceDE/>
        <w:autoSpaceDN/>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6.4</w:t>
      </w:r>
      <w:r>
        <w:rPr>
          <w:rFonts w:hint="eastAsia" w:ascii="宋体" w:hAnsi="宋体" w:eastAsia="宋体" w:cs="宋体"/>
          <w:snapToGrid w:val="0"/>
          <w:color w:val="auto"/>
          <w:kern w:val="0"/>
          <w:sz w:val="21"/>
          <w:szCs w:val="21"/>
          <w:highlight w:val="none"/>
        </w:rPr>
        <w:t xml:space="preserve"> 施工用水、用电要求中标人单独安装水表、电表，其水、电费按项目所在地</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eastAsia="zh-CN"/>
        </w:rPr>
        <w:t>韶关市曲江区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基建工程水、电计费标准计算并由中标人缴纳。</w:t>
      </w:r>
    </w:p>
    <w:p w14:paraId="2AEAD640">
      <w:pPr>
        <w:keepNext w:val="0"/>
        <w:keepLines w:val="0"/>
        <w:pageBreakBefore w:val="0"/>
        <w:kinsoku/>
        <w:wordWrap w:val="0"/>
        <w:overflowPunct/>
        <w:topLinePunct w:val="0"/>
        <w:autoSpaceDE/>
        <w:autoSpaceDN/>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6.5</w:t>
      </w:r>
      <w:r>
        <w:rPr>
          <w:rFonts w:hint="eastAsia" w:ascii="宋体" w:hAnsi="宋体" w:eastAsia="宋体" w:cs="宋体"/>
          <w:snapToGrid w:val="0"/>
          <w:color w:val="auto"/>
          <w:kern w:val="0"/>
          <w:sz w:val="21"/>
          <w:szCs w:val="21"/>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1A2CCBD2">
      <w:pPr>
        <w:keepNext w:val="0"/>
        <w:keepLines w:val="0"/>
        <w:pageBreakBefore w:val="0"/>
        <w:kinsoku/>
        <w:wordWrap w:val="0"/>
        <w:overflowPunct/>
        <w:topLinePunct w:val="0"/>
        <w:autoSpaceDE/>
        <w:autoSpaceDN/>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6.6</w:t>
      </w:r>
      <w:r>
        <w:rPr>
          <w:rFonts w:hint="eastAsia" w:ascii="宋体" w:hAnsi="宋体" w:eastAsia="宋体" w:cs="宋体"/>
          <w:snapToGrid w:val="0"/>
          <w:color w:val="auto"/>
          <w:kern w:val="0"/>
          <w:sz w:val="21"/>
          <w:szCs w:val="21"/>
          <w:highlight w:val="none"/>
        </w:rPr>
        <w:t xml:space="preserve"> 在现场踏勘过程中，投标人应确保自身安全，投标人如果发生人身伤亡、财物或其他损失，法律法规有规定的按有关规定处理，没有规定的由投标人自行负责。</w:t>
      </w:r>
    </w:p>
    <w:p w14:paraId="55FE4245">
      <w:pPr>
        <w:keepNext w:val="0"/>
        <w:keepLines w:val="0"/>
        <w:pageBreakBefore w:val="0"/>
        <w:kinsoku/>
        <w:wordWrap w:val="0"/>
        <w:overflowPunct/>
        <w:topLinePunct w:val="0"/>
        <w:autoSpaceDE/>
        <w:autoSpaceDN/>
        <w:bidi w:val="0"/>
        <w:adjustRightInd w:val="0"/>
        <w:snapToGrid w:val="0"/>
        <w:spacing w:line="400" w:lineRule="atLeast"/>
        <w:ind w:firstLine="560"/>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6.7</w:t>
      </w:r>
      <w:r>
        <w:rPr>
          <w:rFonts w:hint="eastAsia" w:ascii="宋体" w:hAnsi="宋体" w:eastAsia="宋体" w:cs="宋体"/>
          <w:snapToGrid w:val="0"/>
          <w:color w:val="auto"/>
          <w:kern w:val="0"/>
          <w:sz w:val="21"/>
          <w:szCs w:val="21"/>
          <w:highlight w:val="none"/>
        </w:rPr>
        <w:t xml:space="preserve"> 现场踏勘期间的交通、食宿由投标人自行安排，费用自理。</w:t>
      </w:r>
    </w:p>
    <w:p w14:paraId="4F081515">
      <w:pPr>
        <w:pStyle w:val="4"/>
        <w:keepNext w:val="0"/>
        <w:keepLines w:val="0"/>
        <w:pageBreakBefore w:val="0"/>
        <w:kinsoku/>
        <w:wordWrap w:val="0"/>
        <w:overflowPunct/>
        <w:topLinePunct w:val="0"/>
        <w:autoSpaceDE/>
        <w:autoSpaceDN/>
        <w:bidi w:val="0"/>
        <w:snapToGrid w:val="0"/>
        <w:spacing w:line="400" w:lineRule="atLeast"/>
        <w:ind w:firstLine="422" w:firstLineChars="200"/>
        <w:jc w:val="both"/>
        <w:rPr>
          <w:rFonts w:hint="eastAsia" w:ascii="宋体" w:hAnsi="宋体" w:eastAsia="宋体" w:cs="宋体"/>
          <w:b/>
          <w:snapToGrid w:val="0"/>
          <w:color w:val="auto"/>
          <w:sz w:val="21"/>
          <w:szCs w:val="21"/>
          <w:highlight w:val="none"/>
        </w:rPr>
      </w:pPr>
      <w:bookmarkStart w:id="39" w:name="_Toc32226"/>
    </w:p>
    <w:p w14:paraId="5361A5A2">
      <w:pPr>
        <w:pStyle w:val="4"/>
        <w:keepNext w:val="0"/>
        <w:keepLines w:val="0"/>
        <w:pageBreakBefore w:val="0"/>
        <w:kinsoku/>
        <w:wordWrap w:val="0"/>
        <w:overflowPunct/>
        <w:topLinePunct w:val="0"/>
        <w:autoSpaceDE/>
        <w:autoSpaceDN/>
        <w:bidi w:val="0"/>
        <w:snapToGrid w:val="0"/>
        <w:spacing w:line="400" w:lineRule="atLeast"/>
        <w:ind w:firstLine="422" w:firstLineChars="200"/>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7．招标文件的提问和答疑</w:t>
      </w:r>
      <w:bookmarkEnd w:id="39"/>
      <w:bookmarkStart w:id="40" w:name="_Hlt74496410"/>
      <w:bookmarkEnd w:id="40"/>
    </w:p>
    <w:p w14:paraId="6B79E0BA">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lang w:bidi="ar"/>
        </w:rPr>
      </w:pPr>
      <w:r>
        <w:rPr>
          <w:rFonts w:hint="eastAsia" w:ascii="宋体" w:hAnsi="宋体" w:eastAsia="宋体" w:cs="宋体"/>
          <w:b/>
          <w:bCs/>
          <w:snapToGrid w:val="0"/>
          <w:color w:val="auto"/>
          <w:kern w:val="0"/>
          <w:sz w:val="21"/>
          <w:szCs w:val="21"/>
          <w:highlight w:val="none"/>
        </w:rPr>
        <w:t>7.1</w:t>
      </w:r>
      <w:r>
        <w:rPr>
          <w:rFonts w:hint="eastAsia" w:ascii="宋体" w:hAnsi="宋体" w:eastAsia="宋体" w:cs="宋体"/>
          <w:snapToGrid w:val="0"/>
          <w:color w:val="auto"/>
          <w:kern w:val="0"/>
          <w:sz w:val="21"/>
          <w:szCs w:val="21"/>
          <w:highlight w:val="none"/>
        </w:rPr>
        <w:t xml:space="preserve"> 投标人若对招标文件（含施工图、招标工程量清单）有疑问，应在提问截止时间（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 w:val="21"/>
          <w:szCs w:val="21"/>
          <w:highlight w:val="none"/>
          <w:lang w:bidi="ar"/>
        </w:rPr>
        <w:t>。</w:t>
      </w:r>
    </w:p>
    <w:p w14:paraId="093EDD10">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trike/>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7.2 </w:t>
      </w:r>
      <w:r>
        <w:rPr>
          <w:rFonts w:hint="eastAsia" w:ascii="宋体" w:hAnsi="宋体" w:eastAsia="宋体" w:cs="宋体"/>
          <w:snapToGrid w:val="0"/>
          <w:color w:val="auto"/>
          <w:kern w:val="0"/>
          <w:sz w:val="21"/>
          <w:szCs w:val="21"/>
          <w:highlight w:val="none"/>
        </w:rPr>
        <w:t>招标人在提问截止时间（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64815D2">
      <w:pPr>
        <w:keepNext w:val="0"/>
        <w:keepLines w:val="0"/>
        <w:pageBreakBefore w:val="0"/>
        <w:kinsoku/>
        <w:wordWrap w:val="0"/>
        <w:overflowPunct/>
        <w:topLinePunct w:val="0"/>
        <w:autoSpaceDE/>
        <w:autoSpaceDN/>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7.3</w:t>
      </w:r>
      <w:r>
        <w:rPr>
          <w:rFonts w:hint="eastAsia" w:ascii="宋体" w:hAnsi="宋体" w:eastAsia="宋体" w:cs="宋体"/>
          <w:snapToGrid w:val="0"/>
          <w:color w:val="auto"/>
          <w:kern w:val="0"/>
          <w:sz w:val="21"/>
          <w:szCs w:val="21"/>
          <w:highlight w:val="none"/>
        </w:rPr>
        <w:t xml:space="preserve"> 招标人对招标文件所作的答疑（或修改）公告，构成招标文件的组成部分。</w:t>
      </w:r>
    </w:p>
    <w:p w14:paraId="289D359D">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41" w:name="_Hlt92513711"/>
      <w:bookmarkEnd w:id="41"/>
      <w:bookmarkStart w:id="42" w:name="_Hlt92513715"/>
      <w:bookmarkEnd w:id="42"/>
      <w:bookmarkStart w:id="43" w:name="_Hlt69699188"/>
      <w:bookmarkEnd w:id="43"/>
      <w:bookmarkStart w:id="44" w:name="_Toc27957"/>
    </w:p>
    <w:p w14:paraId="461E586C">
      <w:pPr>
        <w:pStyle w:val="4"/>
        <w:keepNext w:val="0"/>
        <w:keepLines w:val="0"/>
        <w:pageBreakBefore w:val="0"/>
        <w:kinsoku/>
        <w:wordWrap w:val="0"/>
        <w:overflowPunct/>
        <w:topLinePunct w:val="0"/>
        <w:autoSpaceDE/>
        <w:autoSpaceDN/>
        <w:bidi w:val="0"/>
        <w:snapToGrid w:val="0"/>
        <w:spacing w:line="400" w:lineRule="atLeast"/>
        <w:ind w:firstLine="422" w:firstLineChars="200"/>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8．招标控制价</w:t>
      </w:r>
      <w:bookmarkEnd w:id="44"/>
    </w:p>
    <w:p w14:paraId="789B785C">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8.1</w:t>
      </w:r>
      <w:r>
        <w:rPr>
          <w:rFonts w:hint="eastAsia" w:ascii="宋体" w:hAnsi="宋体" w:eastAsia="宋体" w:cs="宋体"/>
          <w:snapToGrid w:val="0"/>
          <w:color w:val="auto"/>
          <w:kern w:val="0"/>
          <w:sz w:val="21"/>
          <w:szCs w:val="21"/>
          <w:highlight w:val="none"/>
        </w:rPr>
        <w:t xml:space="preserve"> 本招标项目按照以下依据编制招标控制价：</w:t>
      </w:r>
    </w:p>
    <w:p w14:paraId="1E83DF49">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（1）定额套用：《电网技术改造工程预算定额（2020 年版）》、《电网拆除工程预算定额（2020 年版）》、《电网检修工程预算定额（2020 年版）》，不足部分选用或参考其他相关定额，其他定额选用或参考顺序：《电力建设工程预算定额（2018 年版）》、《20kV及以下配电网工程预算定额（2016 年版）》，《广东省建设工程计价依据（2018）》。</w:t>
      </w:r>
    </w:p>
    <w:p w14:paraId="29659CFC">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（2）取费标准：执行《电网技术改造工程预算编制与计算规定（2020 年版) 》、《电网检修工程预算编制与计算规定（2020 年版）》和《关于印发广东省电网技术改造工程预算编制与计算规定实施细则等两项规定的通知》(粤电定[2021]15 号)及电网公司的最新规定。</w:t>
      </w:r>
    </w:p>
    <w:p w14:paraId="0643D3A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（3）人工单价调整:参照执行《电力工程造价与定额管理总站关于发布2018版电力建设工程概预算定额2020年度价格水平调整的通知》（定额[2021]3号）。</w:t>
      </w:r>
    </w:p>
    <w:p w14:paraId="379128DD">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材料价差调整：安装工程定额材料调整参照执行《电力工程造价与定额管理总站关于发布2018版电力建设工程概预算定额2020年度价格水平调整的通知》（定额[2021]3号）；安装工程装置性材料市场价按中电联定额〔2020〕44号《中电联关于发布2018年版电力建设工程装置性材料预算价格与综合预算价格》，按《关于转发南方电网公司2022年第一度电网工程主要设备材料信息价的通知》以及韶关市场价计取材差，地材按当地最新信息价计价差；建筑工程参照执行工程所在地建设工程造价管理机构公布的投标截止日前最新信息价计取材料价差。</w:t>
      </w:r>
    </w:p>
    <w:p w14:paraId="203E1CEE">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5）施工机械费价差调整：安装工程定额机械调整参照执行《电力工程造价与定额管理总站关于发布2018版电力建设工程概预算定额2020年度价格水平调整的通知》（定额[2021]3号）；建筑工程施工机械价差调整参照执行《电力工程造价与定额管理总站关于发布2018版电力建设工程概预算定额2020年度价格水平调整的通知》（定额[2021]3号）。</w:t>
      </w:r>
    </w:p>
    <w:p w14:paraId="586D1B12">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）施工图及相关资料；</w:t>
      </w:r>
    </w:p>
    <w:p w14:paraId="5B4E1D2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7</w:t>
      </w:r>
      <w:r>
        <w:rPr>
          <w:rFonts w:hint="eastAsia" w:ascii="宋体" w:hAnsi="宋体" w:eastAsia="宋体" w:cs="宋体"/>
          <w:snapToGrid w:val="0"/>
          <w:color w:val="auto"/>
          <w:kern w:val="0"/>
          <w:sz w:val="21"/>
          <w:szCs w:val="21"/>
          <w:highlight w:val="none"/>
        </w:rPr>
        <w:t>）招标文件及招标工程量清单；</w:t>
      </w:r>
    </w:p>
    <w:p w14:paraId="084A10E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8</w:t>
      </w:r>
      <w:r>
        <w:rPr>
          <w:rFonts w:hint="eastAsia" w:ascii="宋体" w:hAnsi="宋体" w:eastAsia="宋体" w:cs="宋体"/>
          <w:snapToGrid w:val="0"/>
          <w:color w:val="auto"/>
          <w:kern w:val="0"/>
          <w:sz w:val="21"/>
          <w:szCs w:val="21"/>
          <w:highlight w:val="none"/>
        </w:rPr>
        <w:t>）施工现场情况、工程特点及常规施工方案；</w:t>
      </w:r>
    </w:p>
    <w:p w14:paraId="79F6D07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）项目所在地工程造价管理机构发布的工程造价信息，工程造价信息缺项的，参照市场价格；</w:t>
      </w:r>
    </w:p>
    <w:p w14:paraId="4A81370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）与建设项目相关的标准、规范、技术资料。</w:t>
      </w:r>
    </w:p>
    <w:p w14:paraId="56521AE5">
      <w:pPr>
        <w:keepNext w:val="0"/>
        <w:keepLines w:val="0"/>
        <w:pageBreakBefore w:val="0"/>
        <w:kinsoku/>
        <w:wordWrap w:val="0"/>
        <w:overflowPunct/>
        <w:topLinePunct w:val="0"/>
        <w:bidi w:val="0"/>
        <w:adjustRightInd w:val="0"/>
        <w:snapToGrid w:val="0"/>
        <w:spacing w:line="400" w:lineRule="atLeast"/>
        <w:ind w:firstLine="422" w:firstLineChars="200"/>
        <w:rPr>
          <w:rFonts w:hint="eastAsia" w:hAnsi="宋体" w:cs="宋体"/>
          <w:color w:val="auto"/>
          <w:sz w:val="21"/>
          <w:szCs w:val="21"/>
          <w:highlight w:val="none"/>
          <w:lang w:val="en-US" w:eastAsia="zh-CN"/>
        </w:rPr>
      </w:pPr>
      <w:r>
        <w:rPr>
          <w:rFonts w:hint="eastAsia" w:ascii="宋体" w:hAnsi="宋体" w:eastAsia="宋体" w:cs="宋体"/>
          <w:b/>
          <w:bCs/>
          <w:snapToGrid w:val="0"/>
          <w:color w:val="auto"/>
          <w:kern w:val="0"/>
          <w:sz w:val="21"/>
          <w:szCs w:val="21"/>
          <w:highlight w:val="none"/>
        </w:rPr>
        <w:t>8.2</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color w:val="auto"/>
          <w:sz w:val="21"/>
          <w:szCs w:val="21"/>
          <w:highlight w:val="none"/>
        </w:rPr>
        <w:t>本项目</w:t>
      </w:r>
      <w:r>
        <w:rPr>
          <w:rFonts w:hint="eastAsia" w:hAnsi="宋体" w:cs="宋体"/>
          <w:color w:val="auto"/>
          <w:sz w:val="21"/>
          <w:szCs w:val="21"/>
          <w:highlight w:val="none"/>
          <w:lang w:val="en-US" w:eastAsia="zh-CN"/>
        </w:rPr>
        <w:t>最高投标限价为人民币：大写伍佰柒拾叁万壹仟捌佰伍拾柒元叁角陆分(小写¥5731857.36元)。其中绿色施工安全防护措施费不得低于：¥434325.81元；暂列金额（统一报价）：¥470000.00元。</w:t>
      </w:r>
    </w:p>
    <w:tbl>
      <w:tblPr>
        <w:tblStyle w:val="33"/>
        <w:tblW w:w="9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993"/>
        <w:gridCol w:w="1876"/>
        <w:gridCol w:w="1246"/>
        <w:gridCol w:w="1834"/>
        <w:gridCol w:w="1149"/>
      </w:tblGrid>
      <w:tr w14:paraId="5E93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60" w:type="dxa"/>
            <w:vMerge w:val="restart"/>
            <w:vAlign w:val="center"/>
          </w:tcPr>
          <w:p w14:paraId="3CC4D559">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2993" w:type="dxa"/>
            <w:vMerge w:val="restart"/>
            <w:vAlign w:val="center"/>
          </w:tcPr>
          <w:p w14:paraId="701E642E">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单位工程名称</w:t>
            </w:r>
          </w:p>
        </w:tc>
        <w:tc>
          <w:tcPr>
            <w:tcW w:w="1876" w:type="dxa"/>
            <w:vMerge w:val="restart"/>
            <w:vAlign w:val="center"/>
          </w:tcPr>
          <w:p w14:paraId="63628788">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金额（元）</w:t>
            </w:r>
          </w:p>
        </w:tc>
        <w:tc>
          <w:tcPr>
            <w:tcW w:w="4229" w:type="dxa"/>
            <w:gridSpan w:val="3"/>
            <w:vAlign w:val="center"/>
          </w:tcPr>
          <w:p w14:paraId="226A93C9">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其中：（元）</w:t>
            </w:r>
          </w:p>
        </w:tc>
      </w:tr>
      <w:tr w14:paraId="786A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660" w:type="dxa"/>
            <w:vMerge w:val="continue"/>
            <w:vAlign w:val="center"/>
          </w:tcPr>
          <w:p w14:paraId="2D4F219E">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p>
        </w:tc>
        <w:tc>
          <w:tcPr>
            <w:tcW w:w="2993" w:type="dxa"/>
            <w:vMerge w:val="continue"/>
            <w:vAlign w:val="center"/>
          </w:tcPr>
          <w:p w14:paraId="2767329D">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p>
        </w:tc>
        <w:tc>
          <w:tcPr>
            <w:tcW w:w="1876" w:type="dxa"/>
            <w:vMerge w:val="continue"/>
            <w:vAlign w:val="center"/>
          </w:tcPr>
          <w:p w14:paraId="62A3D221">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p>
        </w:tc>
        <w:tc>
          <w:tcPr>
            <w:tcW w:w="1246" w:type="dxa"/>
            <w:vAlign w:val="center"/>
          </w:tcPr>
          <w:p w14:paraId="3F9772BC">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暂估价</w:t>
            </w:r>
          </w:p>
        </w:tc>
        <w:tc>
          <w:tcPr>
            <w:tcW w:w="1834" w:type="dxa"/>
            <w:vAlign w:val="center"/>
          </w:tcPr>
          <w:p w14:paraId="36028E16">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绿色施工安全防护措施费</w:t>
            </w:r>
          </w:p>
        </w:tc>
        <w:tc>
          <w:tcPr>
            <w:tcW w:w="1149" w:type="dxa"/>
            <w:vAlign w:val="center"/>
          </w:tcPr>
          <w:p w14:paraId="09F3D02B">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规费</w:t>
            </w:r>
          </w:p>
        </w:tc>
      </w:tr>
      <w:tr w14:paraId="5406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60" w:type="dxa"/>
            <w:vAlign w:val="center"/>
          </w:tcPr>
          <w:p w14:paraId="02349EB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993" w:type="dxa"/>
            <w:vAlign w:val="center"/>
          </w:tcPr>
          <w:p w14:paraId="2605C44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安装工程-河西地块部分</w:t>
            </w:r>
          </w:p>
        </w:tc>
        <w:tc>
          <w:tcPr>
            <w:tcW w:w="1876" w:type="dxa"/>
            <w:vAlign w:val="center"/>
          </w:tcPr>
          <w:p w14:paraId="2DE98E5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1411224.86</w:t>
            </w:r>
          </w:p>
        </w:tc>
        <w:tc>
          <w:tcPr>
            <w:tcW w:w="1246" w:type="dxa"/>
            <w:vAlign w:val="center"/>
          </w:tcPr>
          <w:p w14:paraId="4A26F4E2">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1834" w:type="dxa"/>
            <w:vAlign w:val="center"/>
          </w:tcPr>
          <w:p w14:paraId="323B6B6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95596.15</w:t>
            </w:r>
          </w:p>
        </w:tc>
        <w:tc>
          <w:tcPr>
            <w:tcW w:w="1149" w:type="dxa"/>
            <w:vAlign w:val="center"/>
          </w:tcPr>
          <w:p w14:paraId="7BEF618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5C20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60" w:type="dxa"/>
            <w:vAlign w:val="center"/>
          </w:tcPr>
          <w:p w14:paraId="6A020D4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993" w:type="dxa"/>
            <w:vAlign w:val="center"/>
          </w:tcPr>
          <w:p w14:paraId="68AA51F6">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市政工程-河西地块部分</w:t>
            </w:r>
          </w:p>
        </w:tc>
        <w:tc>
          <w:tcPr>
            <w:tcW w:w="1876" w:type="dxa"/>
            <w:vAlign w:val="center"/>
          </w:tcPr>
          <w:p w14:paraId="54D28395">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41906.09</w:t>
            </w:r>
          </w:p>
        </w:tc>
        <w:tc>
          <w:tcPr>
            <w:tcW w:w="1246" w:type="dxa"/>
            <w:vAlign w:val="center"/>
          </w:tcPr>
          <w:p w14:paraId="4F09C68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1834" w:type="dxa"/>
            <w:vAlign w:val="center"/>
          </w:tcPr>
          <w:p w14:paraId="3F94EFE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4226.71</w:t>
            </w:r>
          </w:p>
        </w:tc>
        <w:tc>
          <w:tcPr>
            <w:tcW w:w="1149" w:type="dxa"/>
            <w:vAlign w:val="center"/>
          </w:tcPr>
          <w:p w14:paraId="7AEDC0E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2609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60" w:type="dxa"/>
            <w:vAlign w:val="center"/>
          </w:tcPr>
          <w:p w14:paraId="4E62427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993" w:type="dxa"/>
            <w:vAlign w:val="center"/>
          </w:tcPr>
          <w:p w14:paraId="3DFADC3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安装工程-跨河段部分</w:t>
            </w:r>
          </w:p>
        </w:tc>
        <w:tc>
          <w:tcPr>
            <w:tcW w:w="1876" w:type="dxa"/>
            <w:vAlign w:val="center"/>
          </w:tcPr>
          <w:p w14:paraId="1554827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3806683.02</w:t>
            </w:r>
          </w:p>
        </w:tc>
        <w:tc>
          <w:tcPr>
            <w:tcW w:w="1246" w:type="dxa"/>
            <w:vAlign w:val="center"/>
          </w:tcPr>
          <w:p w14:paraId="5AD7563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1834" w:type="dxa"/>
            <w:vAlign w:val="center"/>
          </w:tcPr>
          <w:p w14:paraId="0CC3F515">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334456.22</w:t>
            </w:r>
          </w:p>
        </w:tc>
        <w:tc>
          <w:tcPr>
            <w:tcW w:w="1149" w:type="dxa"/>
            <w:vAlign w:val="center"/>
          </w:tcPr>
          <w:p w14:paraId="0F54764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60E7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60" w:type="dxa"/>
            <w:vAlign w:val="center"/>
          </w:tcPr>
          <w:p w14:paraId="661EF0F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993" w:type="dxa"/>
            <w:vAlign w:val="center"/>
          </w:tcPr>
          <w:p w14:paraId="7B69599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市政工程-跨河段部分</w:t>
            </w:r>
          </w:p>
        </w:tc>
        <w:tc>
          <w:tcPr>
            <w:tcW w:w="1876" w:type="dxa"/>
            <w:vAlign w:val="center"/>
          </w:tcPr>
          <w:p w14:paraId="36F920FA">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2043.38</w:t>
            </w:r>
          </w:p>
        </w:tc>
        <w:tc>
          <w:tcPr>
            <w:tcW w:w="1246" w:type="dxa"/>
            <w:vAlign w:val="center"/>
          </w:tcPr>
          <w:p w14:paraId="06F1016E">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1834" w:type="dxa"/>
            <w:vAlign w:val="center"/>
          </w:tcPr>
          <w:p w14:paraId="4D6A7D39">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46.73</w:t>
            </w:r>
          </w:p>
        </w:tc>
        <w:tc>
          <w:tcPr>
            <w:tcW w:w="1149" w:type="dxa"/>
            <w:vAlign w:val="center"/>
          </w:tcPr>
          <w:p w14:paraId="13AFB6D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4409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60" w:type="dxa"/>
            <w:vAlign w:val="center"/>
          </w:tcPr>
          <w:p w14:paraId="4AD88BF0">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2993" w:type="dxa"/>
            <w:vAlign w:val="center"/>
          </w:tcPr>
          <w:p w14:paraId="36C8CCD5">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暂列金</w:t>
            </w:r>
          </w:p>
        </w:tc>
        <w:tc>
          <w:tcPr>
            <w:tcW w:w="1876" w:type="dxa"/>
            <w:vAlign w:val="center"/>
          </w:tcPr>
          <w:p w14:paraId="4A1A431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470000.00</w:t>
            </w:r>
          </w:p>
        </w:tc>
        <w:tc>
          <w:tcPr>
            <w:tcW w:w="1246" w:type="dxa"/>
            <w:vAlign w:val="center"/>
          </w:tcPr>
          <w:p w14:paraId="7246AF35">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p>
        </w:tc>
        <w:tc>
          <w:tcPr>
            <w:tcW w:w="1834" w:type="dxa"/>
            <w:vAlign w:val="center"/>
          </w:tcPr>
          <w:p w14:paraId="7059897F">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1149" w:type="dxa"/>
            <w:vAlign w:val="center"/>
          </w:tcPr>
          <w:p w14:paraId="0CDEF53B">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p>
        </w:tc>
      </w:tr>
      <w:tr w14:paraId="08B3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653" w:type="dxa"/>
            <w:gridSpan w:val="2"/>
            <w:vAlign w:val="center"/>
          </w:tcPr>
          <w:p w14:paraId="26BE0BB3">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合计</w:t>
            </w:r>
          </w:p>
        </w:tc>
        <w:tc>
          <w:tcPr>
            <w:tcW w:w="1876" w:type="dxa"/>
            <w:vAlign w:val="center"/>
          </w:tcPr>
          <w:p w14:paraId="0884256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5731857.36</w:t>
            </w:r>
          </w:p>
        </w:tc>
        <w:tc>
          <w:tcPr>
            <w:tcW w:w="1246" w:type="dxa"/>
            <w:vAlign w:val="center"/>
          </w:tcPr>
          <w:p w14:paraId="305C483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1834" w:type="dxa"/>
            <w:vAlign w:val="center"/>
          </w:tcPr>
          <w:p w14:paraId="09050AF2">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434325.81</w:t>
            </w:r>
          </w:p>
        </w:tc>
        <w:tc>
          <w:tcPr>
            <w:tcW w:w="1149" w:type="dxa"/>
            <w:vAlign w:val="center"/>
          </w:tcPr>
          <w:p w14:paraId="7A7AAA29">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bl>
    <w:p w14:paraId="78FB0EF0">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8.3</w:t>
      </w:r>
      <w:r>
        <w:rPr>
          <w:rFonts w:hint="eastAsia" w:ascii="宋体" w:hAnsi="宋体" w:eastAsia="宋体" w:cs="宋体"/>
          <w:snapToGrid w:val="0"/>
          <w:color w:val="auto"/>
          <w:kern w:val="0"/>
          <w:sz w:val="21"/>
          <w:szCs w:val="21"/>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7EA93046">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8.4</w:t>
      </w:r>
      <w:r>
        <w:rPr>
          <w:rFonts w:hint="eastAsia" w:ascii="宋体" w:hAnsi="宋体" w:eastAsia="宋体" w:cs="宋体"/>
          <w:snapToGrid w:val="0"/>
          <w:color w:val="auto"/>
          <w:kern w:val="0"/>
          <w:sz w:val="21"/>
          <w:szCs w:val="21"/>
          <w:highlight w:val="none"/>
        </w:rPr>
        <w:t xml:space="preserve"> 本招标项目以暂估价形式列入招标工程量清单中的材料、工程设备、专业工程（以下统称“暂估价项目”）包括：</w:t>
      </w:r>
      <w:r>
        <w:rPr>
          <w:rFonts w:hint="eastAsia" w:ascii="宋体" w:hAnsi="宋体" w:eastAsia="宋体" w:cs="宋体"/>
          <w:snapToGrid w:val="0"/>
          <w:color w:val="auto"/>
          <w:kern w:val="0"/>
          <w:sz w:val="21"/>
          <w:szCs w:val="21"/>
          <w:highlight w:val="none"/>
          <w:u w:val="single"/>
        </w:rPr>
        <w:t>(具体详见工程清单)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宋体" w:hAnsi="宋体" w:eastAsia="宋体" w:cs="宋体"/>
          <w:snapToGrid w:val="0"/>
          <w:color w:val="auto"/>
          <w:kern w:val="0"/>
          <w:sz w:val="21"/>
          <w:szCs w:val="21"/>
          <w:highlight w:val="none"/>
        </w:rPr>
        <w:t>。</w:t>
      </w:r>
    </w:p>
    <w:p w14:paraId="5B60E7DF">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snapToGrid w:val="0"/>
          <w:color w:val="auto"/>
          <w:kern w:val="0"/>
          <w:sz w:val="21"/>
          <w:szCs w:val="21"/>
          <w:highlight w:val="none"/>
        </w:rPr>
        <w:t xml:space="preserve"> 当暂估价项目的内容、标准、要求在项目实施过程中得以深化、明确、固定后，按以下原则发包：</w:t>
      </w:r>
    </w:p>
    <w:p w14:paraId="3110CE51">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（1）暂估价项目按工程、货物（指材料或工程设备，下同）的类别分类汇总的金额，达到必须招标规模标准的，由</w:t>
      </w:r>
      <w:r>
        <w:rPr>
          <w:rFonts w:hint="eastAsia" w:ascii="宋体" w:hAnsi="宋体" w:eastAsia="宋体" w:cs="宋体"/>
          <w:snapToGrid w:val="0"/>
          <w:color w:val="auto"/>
          <w:kern w:val="0"/>
          <w:sz w:val="21"/>
          <w:szCs w:val="21"/>
          <w:highlight w:val="none"/>
          <w:u w:val="single"/>
        </w:rPr>
        <w:t>中标人招标，招标人参与管理</w:t>
      </w:r>
      <w:r>
        <w:rPr>
          <w:rFonts w:hint="eastAsia" w:ascii="宋体" w:hAnsi="宋体" w:eastAsia="宋体" w:cs="宋体"/>
          <w:snapToGrid w:val="0"/>
          <w:color w:val="auto"/>
          <w:kern w:val="0"/>
          <w:sz w:val="21"/>
          <w:szCs w:val="21"/>
          <w:highlight w:val="none"/>
        </w:rPr>
        <w:t>，确定专业工程承包人（或材料、工程设备供应商）和合同价格。</w:t>
      </w:r>
    </w:p>
    <w:p w14:paraId="7A9BEA39">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（2）暂估价项目按工程、货物的类别分类汇总的金额，未达到必须招标规模标准但适用政府采购规定的，按照政府采购规定确定专业工程承包人（或材料、工程设备供应商）和合同价格。</w:t>
      </w:r>
    </w:p>
    <w:p w14:paraId="7A65B095">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330293B9">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（4）暂估价项目按工程、货物的类别分类汇总的金额，未达到必须招标规模标准也不适用政府采购规定，中标人既不具备相应资格条件又不具备分包权的，由招标人另行发包。</w:t>
      </w:r>
    </w:p>
    <w:p w14:paraId="5D84018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（5）暂估价项目由其他承包人承包的，纳入中标人的管理和协调范围，由其他承包人向中标人承担质量、安全、文明施工、工期责任，中标人向招标人承担责任。</w:t>
      </w:r>
    </w:p>
    <w:p w14:paraId="13873B86">
      <w:pPr>
        <w:pStyle w:val="4"/>
        <w:keepNext w:val="0"/>
        <w:keepLines w:val="0"/>
        <w:pageBreakBefore w:val="0"/>
        <w:kinsoku/>
        <w:wordWrap w:val="0"/>
        <w:overflowPunct/>
        <w:topLinePunct w:val="0"/>
        <w:autoSpaceDE/>
        <w:autoSpaceDN/>
        <w:bidi w:val="0"/>
        <w:snapToGrid w:val="0"/>
        <w:spacing w:line="400" w:lineRule="atLeast"/>
        <w:ind w:firstLine="422" w:firstLineChars="200"/>
        <w:jc w:val="both"/>
        <w:rPr>
          <w:rFonts w:hint="eastAsia" w:ascii="宋体" w:hAnsi="宋体" w:eastAsia="宋体" w:cs="宋体"/>
          <w:b/>
          <w:snapToGrid w:val="0"/>
          <w:color w:val="auto"/>
          <w:sz w:val="21"/>
          <w:szCs w:val="21"/>
          <w:highlight w:val="none"/>
        </w:rPr>
      </w:pPr>
      <w:bookmarkStart w:id="45" w:name="_Toc14189"/>
      <w:bookmarkStart w:id="46" w:name="_Toc27434"/>
      <w:r>
        <w:rPr>
          <w:rFonts w:hint="eastAsia" w:ascii="宋体" w:hAnsi="宋体" w:eastAsia="宋体" w:cs="宋体"/>
          <w:b/>
          <w:bCs/>
          <w:snapToGrid w:val="0"/>
          <w:color w:val="auto"/>
          <w:kern w:val="0"/>
          <w:sz w:val="21"/>
          <w:szCs w:val="21"/>
          <w:highlight w:val="none"/>
        </w:rPr>
        <w:t>8.6</w:t>
      </w:r>
      <w:r>
        <w:rPr>
          <w:rFonts w:hint="eastAsia" w:ascii="宋体" w:hAnsi="宋体" w:eastAsia="宋体" w:cs="宋体"/>
          <w:snapToGrid w:val="0"/>
          <w:color w:val="auto"/>
          <w:kern w:val="0"/>
          <w:sz w:val="21"/>
          <w:szCs w:val="21"/>
          <w:highlight w:val="none"/>
        </w:rPr>
        <w:t xml:space="preserve"> 本招标项目以</w:t>
      </w:r>
      <w:r>
        <w:rPr>
          <w:rFonts w:hint="eastAsia" w:ascii="宋体" w:hAnsi="宋体" w:eastAsia="宋体" w:cs="宋体"/>
          <w:snapToGrid w:val="0"/>
          <w:color w:val="auto"/>
          <w:sz w:val="21"/>
          <w:szCs w:val="21"/>
          <w:highlight w:val="none"/>
        </w:rPr>
        <w:t>暂列金额</w:t>
      </w:r>
      <w:r>
        <w:rPr>
          <w:rFonts w:hint="eastAsia" w:ascii="宋体" w:hAnsi="宋体" w:eastAsia="宋体" w:cs="宋体"/>
          <w:snapToGrid w:val="0"/>
          <w:color w:val="auto"/>
          <w:kern w:val="0"/>
          <w:sz w:val="21"/>
          <w:szCs w:val="21"/>
          <w:highlight w:val="none"/>
        </w:rPr>
        <w:t>形式列入招标工程量清单中的</w:t>
      </w:r>
      <w:r>
        <w:rPr>
          <w:rFonts w:hint="eastAsia" w:ascii="宋体" w:hAnsi="宋体" w:eastAsia="宋体" w:cs="宋体"/>
          <w:snapToGrid w:val="0"/>
          <w:color w:val="auto"/>
          <w:sz w:val="21"/>
          <w:szCs w:val="21"/>
          <w:highlight w:val="none"/>
        </w:rPr>
        <w:t>所需货物和服务的采购</w:t>
      </w:r>
      <w:r>
        <w:rPr>
          <w:rFonts w:hint="eastAsia" w:ascii="宋体" w:hAnsi="宋体" w:eastAsia="宋体" w:cs="宋体"/>
          <w:snapToGrid w:val="0"/>
          <w:color w:val="auto"/>
          <w:kern w:val="0"/>
          <w:sz w:val="21"/>
          <w:szCs w:val="21"/>
          <w:highlight w:val="none"/>
        </w:rPr>
        <w:t>（以下统称“暂列金额项目”）若有</w:t>
      </w:r>
      <w:r>
        <w:rPr>
          <w:rFonts w:hint="eastAsia" w:ascii="宋体" w:hAnsi="宋体" w:eastAsia="宋体" w:cs="宋体"/>
          <w:snapToGrid w:val="0"/>
          <w:color w:val="auto"/>
          <w:sz w:val="21"/>
          <w:szCs w:val="21"/>
          <w:highlight w:val="none"/>
        </w:rPr>
        <w:t>发生，按照本节第</w:t>
      </w: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snapToGrid w:val="0"/>
          <w:color w:val="auto"/>
          <w:sz w:val="21"/>
          <w:szCs w:val="21"/>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bookmarkEnd w:id="45"/>
      <w:bookmarkEnd w:id="46"/>
    </w:p>
    <w:p w14:paraId="1BD7E952">
      <w:pPr>
        <w:pStyle w:val="4"/>
        <w:keepNext w:val="0"/>
        <w:keepLines w:val="0"/>
        <w:pageBreakBefore w:val="0"/>
        <w:kinsoku/>
        <w:wordWrap w:val="0"/>
        <w:overflowPunct/>
        <w:topLinePunct w:val="0"/>
        <w:autoSpaceDE/>
        <w:autoSpaceDN/>
        <w:bidi w:val="0"/>
        <w:snapToGrid w:val="0"/>
        <w:spacing w:line="400" w:lineRule="atLeast"/>
        <w:ind w:firstLine="422" w:firstLineChars="200"/>
        <w:jc w:val="both"/>
        <w:rPr>
          <w:rFonts w:hint="eastAsia" w:ascii="宋体" w:hAnsi="宋体" w:eastAsia="宋体" w:cs="宋体"/>
          <w:b/>
          <w:snapToGrid w:val="0"/>
          <w:color w:val="auto"/>
          <w:sz w:val="21"/>
          <w:szCs w:val="21"/>
          <w:highlight w:val="none"/>
        </w:rPr>
      </w:pPr>
      <w:bookmarkStart w:id="47" w:name="_Toc5746"/>
    </w:p>
    <w:p w14:paraId="7053328B">
      <w:pPr>
        <w:pStyle w:val="4"/>
        <w:keepNext w:val="0"/>
        <w:keepLines w:val="0"/>
        <w:pageBreakBefore w:val="0"/>
        <w:kinsoku/>
        <w:wordWrap w:val="0"/>
        <w:overflowPunct/>
        <w:topLinePunct w:val="0"/>
        <w:autoSpaceDE/>
        <w:autoSpaceDN/>
        <w:bidi w:val="0"/>
        <w:snapToGrid w:val="0"/>
        <w:spacing w:line="400" w:lineRule="atLeast"/>
        <w:ind w:firstLine="422" w:firstLineChars="200"/>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9．投标报价</w:t>
      </w:r>
      <w:bookmarkEnd w:id="47"/>
      <w:bookmarkStart w:id="48" w:name="_Hlt74498519"/>
      <w:bookmarkEnd w:id="48"/>
    </w:p>
    <w:p w14:paraId="627AC4A1">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9.1</w:t>
      </w:r>
      <w:r>
        <w:rPr>
          <w:rFonts w:hint="eastAsia" w:ascii="宋体" w:hAnsi="宋体" w:eastAsia="宋体" w:cs="宋体"/>
          <w:snapToGrid w:val="0"/>
          <w:color w:val="auto"/>
          <w:kern w:val="0"/>
          <w:sz w:val="21"/>
          <w:szCs w:val="21"/>
          <w:highlight w:val="none"/>
        </w:rPr>
        <w:t xml:space="preserve"> 投标人应按照以下依据编制投标报价：</w:t>
      </w:r>
    </w:p>
    <w:p w14:paraId="07B6091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（1）定额套用：《电网技术改造工程预算定额（2020 年版）》、《电网拆除工程预算定额（2020 年版）》、《电网检修工程预算定额（2020 年版）》，不足部分选用或参考其他相关定额，其他定额选用或参考顺序：《电力建设工程预算定额（2018 年版）》、《20kV及以下配电网工程预算定额（2016 年版）》，《广东省建设工程计价依据（2018）》。</w:t>
      </w:r>
    </w:p>
    <w:p w14:paraId="070195B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（2）取费标准：执行《电网技术改造工程预算编制与计算规定（2020 年版) 》、《电网检修工程预算编制与计算规定（2020 年版）》和《关于印发广东省电网技术改造工程预算编制与计算规定实施细则等两项规定的通知》(粤电定[2021]15 号)及电网公司的最新规定。</w:t>
      </w:r>
    </w:p>
    <w:p w14:paraId="0B84D28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（3）人工单价调整:参照执行《电力工程造价与定额管理总站关于发布2018版电力建设工程概预算定额2020年度价格水平调整的通知》（定额[2021]3号）。</w:t>
      </w:r>
    </w:p>
    <w:p w14:paraId="36B23F50">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材料价差调整：安装工程定额材料调整参照执行《电力工程造价与定额管理总站关于发布2018版电力建设工程概预算定额2020年度价格水平调整的通知》（定额[2021]3号）；安装工程装置性材料市场价按中电联定额〔2020〕44号《中电联关于发布2018年版电力建设工程装置性材料预算价格与综合预算价格》，按《关于转发南方电网公司2022年第一度电网工程主要设备材料信息价的通知》以及韶关市场价计取材差，地材按当地最新信息价计价差；建筑工程参照执行工程所在地建设工程造价管理机构公布的投标截止日前最新信息价计取材料价差。</w:t>
      </w:r>
    </w:p>
    <w:p w14:paraId="3B2F96A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5）施工机械费价差调整：安装工程定额机械调整参照执行《电力工程造价与定额管理总站关于发布2018版电力建设工程概预算定额2020年度价格水平调整的通知》（定额[2021]3号）；建筑工程施工机械价差调整参照执行《电力工程造价与定额管理总站关于发布2018版电力建设工程概预算定额2020年度价格水平调整的通知》（定额[2021]3号）。</w:t>
      </w:r>
    </w:p>
    <w:p w14:paraId="24301C0F">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）企业定额；</w:t>
      </w:r>
    </w:p>
    <w:p w14:paraId="62053897">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7</w:t>
      </w:r>
      <w:r>
        <w:rPr>
          <w:rFonts w:hint="eastAsia" w:ascii="宋体" w:hAnsi="宋体" w:eastAsia="宋体" w:cs="宋体"/>
          <w:snapToGrid w:val="0"/>
          <w:color w:val="auto"/>
          <w:kern w:val="0"/>
          <w:sz w:val="21"/>
          <w:szCs w:val="21"/>
          <w:highlight w:val="none"/>
        </w:rPr>
        <w:t>）招标文件及其答疑（或修改）公告、招标工程量清单；</w:t>
      </w:r>
    </w:p>
    <w:p w14:paraId="4A8F9451">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8</w:t>
      </w:r>
      <w:r>
        <w:rPr>
          <w:rFonts w:hint="eastAsia" w:ascii="宋体" w:hAnsi="宋体" w:eastAsia="宋体" w:cs="宋体"/>
          <w:snapToGrid w:val="0"/>
          <w:color w:val="auto"/>
          <w:kern w:val="0"/>
          <w:sz w:val="21"/>
          <w:szCs w:val="21"/>
          <w:highlight w:val="none"/>
        </w:rPr>
        <w:t>）施工图及相关资料；</w:t>
      </w:r>
    </w:p>
    <w:p w14:paraId="0A799BE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）施工现场情况、工程特点及投标时拟定的施工组织设计或施工方案；</w:t>
      </w:r>
    </w:p>
    <w:p w14:paraId="3BCFA1DF">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）市场价格信息或项目所在地工程造价管理机构发布的工程造价信息；</w:t>
      </w:r>
    </w:p>
    <w:p w14:paraId="650B70BB">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11</w:t>
      </w:r>
      <w:r>
        <w:rPr>
          <w:rFonts w:hint="eastAsia" w:ascii="宋体" w:hAnsi="宋体" w:eastAsia="宋体" w:cs="宋体"/>
          <w:snapToGrid w:val="0"/>
          <w:color w:val="auto"/>
          <w:kern w:val="0"/>
          <w:sz w:val="21"/>
          <w:szCs w:val="21"/>
          <w:highlight w:val="none"/>
        </w:rPr>
        <w:t>）与建设项目相关的标准、规范、技术资料。</w:t>
      </w:r>
    </w:p>
    <w:p w14:paraId="61884740">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9.2</w:t>
      </w:r>
      <w:r>
        <w:rPr>
          <w:rFonts w:hint="eastAsia" w:ascii="宋体" w:hAnsi="宋体" w:eastAsia="宋体" w:cs="宋体"/>
          <w:snapToGrid w:val="0"/>
          <w:color w:val="auto"/>
          <w:kern w:val="0"/>
          <w:sz w:val="21"/>
          <w:szCs w:val="21"/>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49" w:name="_Hlt66594003"/>
      <w:bookmarkEnd w:id="49"/>
      <w:r>
        <w:rPr>
          <w:rFonts w:hint="eastAsia" w:ascii="宋体" w:hAnsi="宋体" w:eastAsia="宋体" w:cs="宋体"/>
          <w:snapToGrid w:val="0"/>
          <w:color w:val="auto"/>
          <w:kern w:val="0"/>
          <w:sz w:val="21"/>
          <w:szCs w:val="21"/>
          <w:highlight w:val="none"/>
        </w:rPr>
        <w:t>所谓“一定范围内的风险”是指合同约定的风险。</w:t>
      </w:r>
    </w:p>
    <w:p w14:paraId="5C75574C">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bookmarkStart w:id="50" w:name="_Hlt69335755"/>
      <w:bookmarkEnd w:id="50"/>
      <w:r>
        <w:rPr>
          <w:rFonts w:hint="eastAsia" w:ascii="宋体" w:hAnsi="宋体" w:eastAsia="宋体" w:cs="宋体"/>
          <w:b/>
          <w:bCs/>
          <w:snapToGrid w:val="0"/>
          <w:color w:val="auto"/>
          <w:kern w:val="0"/>
          <w:sz w:val="21"/>
          <w:szCs w:val="21"/>
          <w:highlight w:val="none"/>
        </w:rPr>
        <w:t>9.3</w:t>
      </w:r>
      <w:r>
        <w:rPr>
          <w:rFonts w:hint="eastAsia" w:ascii="宋体" w:hAnsi="宋体" w:eastAsia="宋体" w:cs="宋体"/>
          <w:snapToGrid w:val="0"/>
          <w:color w:val="auto"/>
          <w:kern w:val="0"/>
          <w:sz w:val="21"/>
          <w:szCs w:val="21"/>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51" w:name="_Hlt66509056"/>
      <w:bookmarkEnd w:id="51"/>
      <w:r>
        <w:rPr>
          <w:rFonts w:hint="eastAsia" w:ascii="宋体" w:hAnsi="宋体" w:eastAsia="宋体" w:cs="宋体"/>
          <w:snapToGrid w:val="0"/>
          <w:color w:val="auto"/>
          <w:kern w:val="0"/>
          <w:sz w:val="21"/>
          <w:szCs w:val="21"/>
          <w:highlight w:val="none"/>
        </w:rPr>
        <w:t>接资料。投标人应针对现场情况编制施工组织设计，并在编制投标报价时考虑现场情况的影响。</w:t>
      </w:r>
    </w:p>
    <w:p w14:paraId="2D90B1B6">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9.4</w:t>
      </w:r>
      <w:r>
        <w:rPr>
          <w:rFonts w:hint="eastAsia" w:ascii="宋体" w:hAnsi="宋体" w:eastAsia="宋体" w:cs="宋体"/>
          <w:snapToGrid w:val="0"/>
          <w:color w:val="auto"/>
          <w:kern w:val="0"/>
          <w:sz w:val="21"/>
          <w:szCs w:val="21"/>
          <w:highlight w:val="none"/>
        </w:rPr>
        <w:t xml:space="preserve"> 招标人向投标人提供的有关现场的数据和资料，是招标人现有的能被投标人利用的资料，招标人对投标人做出的任何推论、理解和结论均不负责任。</w:t>
      </w:r>
    </w:p>
    <w:p w14:paraId="144305F6">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9.5</w:t>
      </w:r>
      <w:r>
        <w:rPr>
          <w:rFonts w:hint="eastAsia" w:ascii="宋体" w:hAnsi="宋体" w:eastAsia="宋体" w:cs="宋体"/>
          <w:snapToGrid w:val="0"/>
          <w:color w:val="auto"/>
          <w:kern w:val="0"/>
          <w:sz w:val="21"/>
          <w:szCs w:val="21"/>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14:paraId="444D3C98">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9.6</w:t>
      </w:r>
      <w:r>
        <w:rPr>
          <w:rFonts w:hint="eastAsia" w:ascii="宋体" w:hAnsi="宋体" w:eastAsia="宋体" w:cs="宋体"/>
          <w:snapToGrid w:val="0"/>
          <w:color w:val="auto"/>
          <w:kern w:val="0"/>
          <w:sz w:val="21"/>
          <w:szCs w:val="21"/>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07C984A1">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trike/>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9.7</w:t>
      </w:r>
      <w:r>
        <w:rPr>
          <w:rFonts w:hint="eastAsia" w:ascii="宋体" w:hAnsi="宋体" w:eastAsia="宋体" w:cs="宋体"/>
          <w:snapToGrid w:val="0"/>
          <w:color w:val="auto"/>
          <w:kern w:val="0"/>
          <w:sz w:val="21"/>
          <w:szCs w:val="21"/>
          <w:highlight w:val="none"/>
        </w:rPr>
        <w:t xml:space="preserve"> 投标人的投标总价不得高于招标控制价，也不得低于工程成本。投标人对投标总价的所有优惠（降价、让利等），均应当反映在具体清单项目或其综合单价的报价上。</w:t>
      </w:r>
      <w:r>
        <w:rPr>
          <w:rFonts w:hint="eastAsia" w:ascii="宋体" w:hAnsi="宋体" w:eastAsia="宋体" w:cs="宋体"/>
          <w:b/>
          <w:snapToGrid w:val="0"/>
          <w:color w:val="auto"/>
          <w:kern w:val="0"/>
          <w:sz w:val="21"/>
          <w:szCs w:val="21"/>
          <w:highlight w:val="none"/>
        </w:rPr>
        <w:t>如果投标人的投标总价下浮率高于 15%时，投标人必须在投标文件中专项作出详细合理的书面说明并提供以往类似工程详细成本分析报告供评标委员会审查。投标总价下浮率＝（1－投标总价÷招标控制价）×100%</w:t>
      </w:r>
      <w:r>
        <w:rPr>
          <w:rFonts w:hint="eastAsia" w:ascii="宋体" w:hAnsi="宋体" w:eastAsia="宋体" w:cs="宋体"/>
          <w:b/>
          <w:snapToGrid w:val="0"/>
          <w:color w:val="auto"/>
          <w:kern w:val="0"/>
          <w:sz w:val="21"/>
          <w:szCs w:val="21"/>
          <w:highlight w:val="none"/>
          <w:lang w:eastAsia="zh-CN"/>
        </w:rPr>
        <w:t>。</w:t>
      </w:r>
    </w:p>
    <w:p w14:paraId="3B5A12E1">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9.8</w:t>
      </w:r>
      <w:r>
        <w:rPr>
          <w:rFonts w:hint="eastAsia" w:ascii="宋体" w:hAnsi="宋体" w:eastAsia="宋体" w:cs="宋体"/>
          <w:snapToGrid w:val="0"/>
          <w:color w:val="auto"/>
          <w:kern w:val="0"/>
          <w:sz w:val="21"/>
          <w:szCs w:val="21"/>
          <w:highlight w:val="none"/>
        </w:rPr>
        <w:t xml:space="preserve"> 投标人的绿色施工安全防护措施费报价必须达到或超过</w:t>
      </w:r>
      <w:r>
        <w:rPr>
          <w:rFonts w:hint="eastAsia" w:ascii="宋体" w:hAnsi="宋体" w:eastAsia="宋体" w:cs="宋体"/>
          <w:color w:val="auto"/>
          <w:sz w:val="21"/>
          <w:szCs w:val="21"/>
          <w:highlight w:val="none"/>
          <w:lang w:val="en-US" w:eastAsia="zh-CN"/>
        </w:rPr>
        <w:t>招标控制价中</w:t>
      </w:r>
      <w:r>
        <w:rPr>
          <w:rFonts w:hint="eastAsia" w:ascii="宋体" w:hAnsi="宋体" w:eastAsia="宋体" w:cs="宋体"/>
          <w:snapToGrid w:val="0"/>
          <w:color w:val="auto"/>
          <w:kern w:val="0"/>
          <w:sz w:val="21"/>
          <w:szCs w:val="21"/>
          <w:highlight w:val="none"/>
        </w:rPr>
        <w:t>提供的绿色施工安全防护措施费。</w:t>
      </w:r>
    </w:p>
    <w:p w14:paraId="754118C7">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9.9</w:t>
      </w:r>
      <w:r>
        <w:rPr>
          <w:rFonts w:hint="eastAsia" w:ascii="宋体" w:hAnsi="宋体" w:eastAsia="宋体" w:cs="宋体"/>
          <w:snapToGrid w:val="0"/>
          <w:color w:val="auto"/>
          <w:kern w:val="0"/>
          <w:sz w:val="21"/>
          <w:szCs w:val="21"/>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bookmarkStart w:id="52" w:name="_（十）投标文件的编制、包装、密封"/>
      <w:bookmarkEnd w:id="52"/>
    </w:p>
    <w:p w14:paraId="2C0169C0">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lang w:val="en-US" w:eastAsia="zh-CN"/>
        </w:rPr>
        <w:t xml:space="preserve">9.10 </w:t>
      </w:r>
      <w:r>
        <w:rPr>
          <w:rFonts w:hint="eastAsia" w:ascii="宋体" w:hAnsi="宋体" w:eastAsia="宋体" w:cs="宋体"/>
          <w:b w:val="0"/>
          <w:bCs w:val="0"/>
          <w:snapToGrid w:val="0"/>
          <w:color w:val="auto"/>
          <w:kern w:val="0"/>
          <w:sz w:val="21"/>
          <w:szCs w:val="21"/>
          <w:highlight w:val="none"/>
          <w:lang w:val="en-US" w:eastAsia="zh-CN"/>
        </w:rPr>
        <w:t>预算包干内容一般包括施工雨（污）水的排除、因地形影响造成的场内料具二次运输、20 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7EE57E59">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trike/>
          <w:snapToGrid w:val="0"/>
          <w:color w:val="auto"/>
          <w:sz w:val="21"/>
          <w:szCs w:val="21"/>
          <w:highlight w:val="none"/>
        </w:rPr>
      </w:pPr>
      <w:bookmarkStart w:id="53" w:name="_Toc19027"/>
      <w:r>
        <w:rPr>
          <w:rFonts w:hint="eastAsia" w:ascii="宋体" w:hAnsi="宋体" w:eastAsia="宋体" w:cs="宋体"/>
          <w:b/>
          <w:snapToGrid w:val="0"/>
          <w:color w:val="auto"/>
          <w:sz w:val="21"/>
          <w:szCs w:val="21"/>
          <w:highlight w:val="none"/>
        </w:rPr>
        <w:t>10．投标文件的编制</w:t>
      </w:r>
      <w:bookmarkStart w:id="54" w:name="_Hlt69208262"/>
      <w:bookmarkEnd w:id="54"/>
      <w:bookmarkStart w:id="55" w:name="_Hlt69332370"/>
      <w:bookmarkEnd w:id="55"/>
      <w:r>
        <w:rPr>
          <w:rFonts w:hint="eastAsia" w:ascii="宋体" w:hAnsi="宋体" w:eastAsia="宋体" w:cs="宋体"/>
          <w:b/>
          <w:snapToGrid w:val="0"/>
          <w:color w:val="auto"/>
          <w:sz w:val="21"/>
          <w:szCs w:val="21"/>
          <w:highlight w:val="none"/>
        </w:rPr>
        <w:t>要求</w:t>
      </w:r>
      <w:bookmarkEnd w:id="53"/>
      <w:bookmarkStart w:id="56" w:name="_Hlt74497202"/>
      <w:bookmarkEnd w:id="56"/>
      <w:bookmarkStart w:id="57" w:name="_Hlt78768224"/>
      <w:bookmarkEnd w:id="57"/>
      <w:bookmarkStart w:id="58" w:name="_Hlt74495594"/>
      <w:bookmarkEnd w:id="58"/>
    </w:p>
    <w:p w14:paraId="4C3EA90F">
      <w:pPr>
        <w:pStyle w:val="7"/>
        <w:keepNext w:val="0"/>
        <w:keepLines w:val="0"/>
        <w:pageBreakBefore w:val="0"/>
        <w:kinsoku/>
        <w:wordWrap w:val="0"/>
        <w:overflowPunct/>
        <w:topLinePunct w:val="0"/>
        <w:bidi w:val="0"/>
        <w:adjustRightInd w:val="0"/>
        <w:snapToGrid w:val="0"/>
        <w:spacing w:before="0" w:after="0" w:line="400" w:lineRule="atLeast"/>
        <w:ind w:firstLine="420" w:firstLineChars="200"/>
        <w:rPr>
          <w:rFonts w:hint="eastAsia" w:ascii="宋体" w:hAnsi="宋体" w:eastAsia="宋体" w:cs="宋体"/>
          <w:snapToGrid w:val="0"/>
          <w:color w:val="auto"/>
          <w:kern w:val="0"/>
          <w:sz w:val="21"/>
          <w:szCs w:val="21"/>
          <w:highlight w:val="none"/>
        </w:rPr>
      </w:pPr>
      <w:bookmarkStart w:id="59" w:name="_Toc1156"/>
      <w:bookmarkStart w:id="60" w:name="_Toc13010"/>
      <w:bookmarkStart w:id="61" w:name="_Toc24051"/>
      <w:bookmarkStart w:id="62" w:name="_Toc17310"/>
      <w:bookmarkStart w:id="63" w:name="_Toc257031159"/>
      <w:bookmarkStart w:id="64" w:name="_Toc274313880"/>
      <w:r>
        <w:rPr>
          <w:rFonts w:hint="eastAsia" w:ascii="宋体" w:hAnsi="宋体" w:eastAsia="宋体" w:cs="宋体"/>
          <w:snapToGrid w:val="0"/>
          <w:color w:val="auto"/>
          <w:kern w:val="0"/>
          <w:sz w:val="21"/>
          <w:szCs w:val="21"/>
          <w:highlight w:val="none"/>
        </w:rPr>
        <w:t>10.1 一般要求</w:t>
      </w:r>
      <w:bookmarkEnd w:id="59"/>
      <w:bookmarkEnd w:id="60"/>
      <w:bookmarkEnd w:id="61"/>
      <w:bookmarkEnd w:id="62"/>
    </w:p>
    <w:p w14:paraId="1A45753A">
      <w:pPr>
        <w:pStyle w:val="13"/>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投标文件应按第六章 投标文件格式规定的内容，投标人提交的投标文件应当使用招标文件所提供的投标文件全部格式。</w:t>
      </w:r>
    </w:p>
    <w:p w14:paraId="361A3778">
      <w:pPr>
        <w:pStyle w:val="13"/>
        <w:keepNext w:val="0"/>
        <w:keepLines w:val="0"/>
        <w:pageBreakBefore w:val="0"/>
        <w:kinsoku/>
        <w:wordWrap w:val="0"/>
        <w:overflowPunct/>
        <w:topLinePunct w:val="0"/>
        <w:bidi w:val="0"/>
        <w:adjustRightInd w:val="0"/>
        <w:snapToGrid w:val="0"/>
        <w:spacing w:line="400" w:lineRule="atLeast"/>
        <w:ind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10.1.1</w:t>
      </w:r>
      <w:r>
        <w:rPr>
          <w:rFonts w:hint="eastAsia" w:ascii="宋体" w:hAnsi="宋体" w:eastAsia="宋体" w:cs="宋体"/>
          <w:snapToGrid w:val="0"/>
          <w:color w:val="auto"/>
          <w:kern w:val="0"/>
          <w:sz w:val="21"/>
          <w:szCs w:val="21"/>
          <w:highlight w:val="none"/>
        </w:rPr>
        <w:t xml:space="preserve"> 投标人必须响应招标文件，并在充分理解招标人提供的全部文件、设计图纸、资料及现场条件的基础</w:t>
      </w:r>
      <w:bookmarkStart w:id="65" w:name="_Hlt78709790"/>
      <w:bookmarkEnd w:id="65"/>
      <w:r>
        <w:rPr>
          <w:rFonts w:hint="eastAsia" w:ascii="宋体" w:hAnsi="宋体" w:eastAsia="宋体" w:cs="宋体"/>
          <w:snapToGrid w:val="0"/>
          <w:color w:val="auto"/>
          <w:kern w:val="0"/>
          <w:sz w:val="21"/>
          <w:szCs w:val="21"/>
          <w:highlight w:val="none"/>
        </w:rPr>
        <w:t>上编制投标文件。因投标文件不符合招标文件的要求而造成的损失和后果，由投标人自行承担。</w:t>
      </w:r>
      <w:bookmarkStart w:id="66" w:name="_Hlt74496890"/>
      <w:bookmarkEnd w:id="66"/>
    </w:p>
    <w:p w14:paraId="066CEEF2">
      <w:pPr>
        <w:pStyle w:val="13"/>
        <w:keepNext w:val="0"/>
        <w:keepLines w:val="0"/>
        <w:pageBreakBefore w:val="0"/>
        <w:kinsoku/>
        <w:wordWrap w:val="0"/>
        <w:overflowPunct/>
        <w:topLinePunct w:val="0"/>
        <w:autoSpaceDE/>
        <w:autoSpaceDN/>
        <w:bidi w:val="0"/>
        <w:adjustRightInd w:val="0"/>
        <w:snapToGrid w:val="0"/>
        <w:spacing w:line="400" w:lineRule="atLeast"/>
        <w:ind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10.1.2</w:t>
      </w:r>
      <w:r>
        <w:rPr>
          <w:rFonts w:hint="eastAsia" w:ascii="宋体" w:hAnsi="宋体" w:eastAsia="宋体" w:cs="宋体"/>
          <w:b w:val="0"/>
          <w:bCs w:val="0"/>
          <w:snapToGrid w:val="0"/>
          <w:color w:val="auto"/>
          <w:kern w:val="0"/>
          <w:sz w:val="21"/>
          <w:szCs w:val="21"/>
          <w:highlight w:val="none"/>
          <w:lang w:val="en-US" w:eastAsia="zh-CN"/>
        </w:rPr>
        <w:t>投标文件包括商务标书、经济标书、施工组织设计三个分册，</w:t>
      </w:r>
      <w:r>
        <w:rPr>
          <w:rFonts w:hint="eastAsia" w:ascii="宋体" w:hAnsi="宋体" w:eastAsia="宋体" w:cs="宋体"/>
          <w:snapToGrid w:val="0"/>
          <w:color w:val="auto"/>
          <w:kern w:val="0"/>
          <w:sz w:val="21"/>
          <w:szCs w:val="21"/>
          <w:highlight w:val="none"/>
        </w:rPr>
        <w:t>投标文件全部采用电子文档，</w:t>
      </w:r>
      <w:r>
        <w:rPr>
          <w:rFonts w:hint="eastAsia" w:ascii="宋体" w:hAnsi="宋体" w:eastAsia="宋体" w:cs="宋体"/>
          <w:b/>
          <w:bCs/>
          <w:snapToGrid w:val="0"/>
          <w:color w:val="auto"/>
          <w:kern w:val="0"/>
          <w:sz w:val="21"/>
          <w:szCs w:val="21"/>
          <w:highlight w:val="none"/>
        </w:rPr>
        <w:t>投标文件所附证书证件均为原件扫描件</w:t>
      </w:r>
      <w:r>
        <w:rPr>
          <w:rFonts w:hint="eastAsia" w:ascii="宋体" w:hAnsi="宋体" w:eastAsia="宋体" w:cs="宋体"/>
          <w:snapToGrid w:val="0"/>
          <w:color w:val="auto"/>
          <w:kern w:val="0"/>
          <w:sz w:val="21"/>
          <w:szCs w:val="21"/>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 交易指引。</w:t>
      </w:r>
    </w:p>
    <w:p w14:paraId="5EB99AD1">
      <w:pPr>
        <w:pStyle w:val="13"/>
        <w:keepNext w:val="0"/>
        <w:keepLines w:val="0"/>
        <w:pageBreakBefore w:val="0"/>
        <w:kinsoku/>
        <w:wordWrap w:val="0"/>
        <w:overflowPunct/>
        <w:topLinePunct w:val="0"/>
        <w:bidi w:val="0"/>
        <w:adjustRightInd w:val="0"/>
        <w:snapToGrid w:val="0"/>
        <w:spacing w:line="400" w:lineRule="atLeast"/>
        <w:ind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w:t>
      </w:r>
      <w:r>
        <w:rPr>
          <w:rFonts w:hint="eastAsia" w:ascii="宋体" w:hAnsi="宋体" w:eastAsia="宋体" w:cs="宋体"/>
          <w:snapToGrid w:val="0"/>
          <w:color w:val="auto"/>
          <w:kern w:val="0"/>
          <w:sz w:val="21"/>
          <w:szCs w:val="21"/>
          <w:highlight w:val="none"/>
        </w:rPr>
        <w:t>投标文件需按以下要求签字、盖章：</w:t>
      </w:r>
    </w:p>
    <w:p w14:paraId="77126EC7">
      <w:pPr>
        <w:pStyle w:val="13"/>
        <w:keepNext w:val="0"/>
        <w:keepLines w:val="0"/>
        <w:pageBreakBefore w:val="0"/>
        <w:kinsoku/>
        <w:wordWrap w:val="0"/>
        <w:overflowPunct/>
        <w:topLinePunct w:val="0"/>
        <w:bidi w:val="0"/>
        <w:adjustRightInd w:val="0"/>
        <w:snapToGrid w:val="0"/>
        <w:spacing w:line="400" w:lineRule="atLeast"/>
        <w:ind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电子投标文件：</w:t>
      </w:r>
    </w:p>
    <w:p w14:paraId="6A855E93">
      <w:pPr>
        <w:pStyle w:val="13"/>
        <w:keepNext w:val="0"/>
        <w:keepLines w:val="0"/>
        <w:pageBreakBefore w:val="0"/>
        <w:kinsoku/>
        <w:wordWrap w:val="0"/>
        <w:overflowPunct/>
        <w:topLinePunct w:val="0"/>
        <w:bidi w:val="0"/>
        <w:adjustRightInd w:val="0"/>
        <w:snapToGrid w:val="0"/>
        <w:spacing w:line="400" w:lineRule="atLeast"/>
        <w:ind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10.1.3.1</w:t>
      </w:r>
      <w:r>
        <w:rPr>
          <w:rFonts w:hint="eastAsia" w:ascii="宋体" w:hAnsi="宋体" w:eastAsia="宋体" w:cs="宋体"/>
          <w:snapToGrid w:val="0"/>
          <w:color w:val="auto"/>
          <w:kern w:val="0"/>
          <w:sz w:val="21"/>
          <w:szCs w:val="21"/>
          <w:highlight w:val="none"/>
        </w:rPr>
        <w:t xml:space="preserve"> 投标文件封面、组成内容中凡注明“签字”处由要求的人员签字或电子签章；凡注明“签字或盖章”处由要求的人员签字或盖其私章（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电子印章）；凡注明“签字并盖执业印章”处由要求的人员签字并盖其执业印章。</w:t>
      </w:r>
    </w:p>
    <w:p w14:paraId="62EE05A1">
      <w:pPr>
        <w:pStyle w:val="13"/>
        <w:keepNext w:val="0"/>
        <w:keepLines w:val="0"/>
        <w:pageBreakBefore w:val="0"/>
        <w:kinsoku/>
        <w:wordWrap w:val="0"/>
        <w:overflowPunct/>
        <w:topLinePunct w:val="0"/>
        <w:bidi w:val="0"/>
        <w:adjustRightInd w:val="0"/>
        <w:snapToGrid w:val="0"/>
        <w:spacing w:line="400" w:lineRule="atLeast"/>
        <w:ind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10.1.3.2</w:t>
      </w:r>
      <w:r>
        <w:rPr>
          <w:rFonts w:hint="eastAsia" w:ascii="宋体" w:hAnsi="宋体" w:eastAsia="宋体" w:cs="宋体"/>
          <w:snapToGrid w:val="0"/>
          <w:color w:val="auto"/>
          <w:kern w:val="0"/>
          <w:sz w:val="21"/>
          <w:szCs w:val="21"/>
          <w:highlight w:val="none"/>
        </w:rPr>
        <w:t>投标文件封套、封面、组成内容中凡要求录入投标人名称且注明“盖单位章”处盖单位法人公章（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w:t>
      </w:r>
    </w:p>
    <w:p w14:paraId="2F307ACE">
      <w:pPr>
        <w:pStyle w:val="13"/>
        <w:keepNext w:val="0"/>
        <w:keepLines w:val="0"/>
        <w:pageBreakBefore w:val="0"/>
        <w:kinsoku/>
        <w:wordWrap w:val="0"/>
        <w:overflowPunct/>
        <w:topLinePunct w:val="0"/>
        <w:autoSpaceDE/>
        <w:autoSpaceDN/>
        <w:bidi w:val="0"/>
        <w:adjustRightInd w:val="0"/>
        <w:snapToGrid w:val="0"/>
        <w:spacing w:line="400" w:lineRule="atLeast"/>
        <w:ind w:firstLineChars="0"/>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 xml:space="preserve">10.1.3.3 </w:t>
      </w:r>
      <w:r>
        <w:rPr>
          <w:rFonts w:hint="eastAsia" w:ascii="宋体" w:hAnsi="宋体" w:eastAsia="宋体" w:cs="宋体"/>
          <w:snapToGrid w:val="0"/>
          <w:color w:val="auto"/>
          <w:kern w:val="0"/>
          <w:sz w:val="21"/>
          <w:szCs w:val="21"/>
          <w:highlight w:val="none"/>
        </w:rPr>
        <w:t>投标文件的签字均为签字人本人亲笔署名或签章（</w:t>
      </w:r>
      <w:r>
        <w:rPr>
          <w:rFonts w:hint="eastAsia" w:ascii="宋体" w:hAnsi="宋体" w:eastAsia="宋体" w:cs="宋体"/>
          <w:snapToGrid w:val="0"/>
          <w:color w:val="auto"/>
          <w:kern w:val="0"/>
          <w:sz w:val="21"/>
          <w:szCs w:val="21"/>
          <w:highlight w:val="none"/>
          <w:lang w:val="en-US" w:eastAsia="zh-CN"/>
        </w:rPr>
        <w:t>或</w:t>
      </w:r>
      <w:r>
        <w:rPr>
          <w:rFonts w:hint="eastAsia" w:ascii="宋体" w:hAnsi="宋体" w:eastAsia="宋体" w:cs="宋体"/>
          <w:snapToGrid w:val="0"/>
          <w:color w:val="auto"/>
          <w:kern w:val="0"/>
          <w:sz w:val="21"/>
          <w:szCs w:val="21"/>
          <w:highlight w:val="none"/>
        </w:rPr>
        <w:t>电子印章），其余部分的</w:t>
      </w:r>
      <w:r>
        <w:rPr>
          <w:rFonts w:hint="eastAsia" w:ascii="宋体" w:hAnsi="宋体" w:eastAsia="宋体" w:cs="宋体"/>
          <w:snapToGrid w:val="0"/>
          <w:color w:val="auto"/>
          <w:kern w:val="0"/>
          <w:sz w:val="21"/>
          <w:szCs w:val="21"/>
          <w:highlight w:val="none"/>
          <w:lang w:val="en-US" w:eastAsia="zh-CN"/>
        </w:rPr>
        <w:t>彩色扫描件</w:t>
      </w:r>
      <w:r>
        <w:rPr>
          <w:rFonts w:hint="eastAsia" w:ascii="宋体" w:hAnsi="宋体" w:eastAsia="宋体" w:cs="宋体"/>
          <w:snapToGrid w:val="0"/>
          <w:color w:val="auto"/>
          <w:kern w:val="0"/>
          <w:sz w:val="21"/>
          <w:szCs w:val="21"/>
          <w:highlight w:val="none"/>
        </w:rPr>
        <w:t>无须另行签字、盖章。</w:t>
      </w:r>
    </w:p>
    <w:p w14:paraId="0C3EF48A">
      <w:pPr>
        <w:pStyle w:val="5"/>
        <w:keepNext w:val="0"/>
        <w:keepLines w:val="0"/>
        <w:pageBreakBefore w:val="0"/>
        <w:widowControl w:val="0"/>
        <w:kinsoku/>
        <w:wordWrap w:val="0"/>
        <w:overflowPunct/>
        <w:topLinePunct w:val="0"/>
        <w:bidi w:val="0"/>
        <w:adjustRightInd w:val="0"/>
        <w:snapToGrid w:val="0"/>
        <w:spacing w:before="0" w:after="0" w:line="400" w:lineRule="atLeast"/>
        <w:ind w:firstLine="422" w:firstLineChars="200"/>
        <w:jc w:val="both"/>
        <w:rPr>
          <w:rFonts w:hint="eastAsia" w:ascii="宋体" w:hAnsi="宋体" w:eastAsia="宋体" w:cs="宋体"/>
          <w:b/>
          <w:snapToGrid w:val="0"/>
          <w:color w:val="auto"/>
          <w:sz w:val="21"/>
          <w:szCs w:val="21"/>
          <w:highlight w:val="none"/>
        </w:rPr>
      </w:pPr>
      <w:bookmarkStart w:id="67" w:name="_Toc5298"/>
      <w:bookmarkStart w:id="68" w:name="_Toc25591"/>
      <w:r>
        <w:rPr>
          <w:rFonts w:hint="eastAsia" w:ascii="宋体" w:hAnsi="宋体" w:eastAsia="宋体" w:cs="宋体"/>
          <w:b/>
          <w:bCs/>
          <w:snapToGrid w:val="0"/>
          <w:color w:val="auto"/>
          <w:sz w:val="21"/>
          <w:szCs w:val="21"/>
          <w:highlight w:val="none"/>
        </w:rPr>
        <w:t>10.2</w:t>
      </w:r>
      <w:r>
        <w:rPr>
          <w:rFonts w:hint="eastAsia" w:ascii="宋体" w:hAnsi="宋体" w:eastAsia="宋体" w:cs="宋体"/>
          <w:bCs/>
          <w:snapToGrid w:val="0"/>
          <w:color w:val="auto"/>
          <w:sz w:val="21"/>
          <w:szCs w:val="21"/>
          <w:highlight w:val="none"/>
        </w:rPr>
        <w:t xml:space="preserve"> 商务标书的编制要求</w:t>
      </w:r>
      <w:bookmarkEnd w:id="63"/>
      <w:bookmarkEnd w:id="64"/>
      <w:bookmarkEnd w:id="67"/>
      <w:bookmarkEnd w:id="68"/>
    </w:p>
    <w:p w14:paraId="639EE1F4">
      <w:pPr>
        <w:keepNext w:val="0"/>
        <w:keepLines w:val="0"/>
        <w:pageBreakBefore w:val="0"/>
        <w:kinsoku/>
        <w:wordWrap w:val="0"/>
        <w:overflowPunct/>
        <w:topLinePunct w:val="0"/>
        <w:bidi w:val="0"/>
        <w:adjustRightInd w:val="0"/>
        <w:snapToGrid w:val="0"/>
        <w:spacing w:line="400" w:lineRule="atLeast"/>
        <w:ind w:firstLine="561"/>
        <w:rPr>
          <w:rFonts w:hint="eastAsia" w:ascii="宋体" w:hAnsi="宋体" w:eastAsia="宋体" w:cs="宋体"/>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rPr>
        <w:t>10.2.1</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Cs/>
          <w:snapToGrid w:val="0"/>
          <w:color w:val="auto"/>
          <w:kern w:val="0"/>
          <w:sz w:val="21"/>
          <w:szCs w:val="21"/>
          <w:highlight w:val="none"/>
        </w:rPr>
        <w:t>商务标书</w:t>
      </w:r>
      <w:r>
        <w:rPr>
          <w:rFonts w:hint="eastAsia" w:ascii="宋体" w:hAnsi="宋体" w:eastAsia="宋体" w:cs="宋体"/>
          <w:snapToGrid w:val="0"/>
          <w:color w:val="auto"/>
          <w:kern w:val="0"/>
          <w:sz w:val="21"/>
          <w:szCs w:val="21"/>
          <w:highlight w:val="none"/>
        </w:rPr>
        <w:t>包括但不限于以下内容：</w:t>
      </w:r>
    </w:p>
    <w:p w14:paraId="6060A5F0">
      <w:pPr>
        <w:keepNext w:val="0"/>
        <w:keepLines w:val="0"/>
        <w:pageBreakBefore w:val="0"/>
        <w:kinsoku/>
        <w:wordWrap w:val="0"/>
        <w:overflowPunct/>
        <w:topLinePunct w:val="0"/>
        <w:bidi w:val="0"/>
        <w:adjustRightInd w:val="0"/>
        <w:snapToGrid w:val="0"/>
        <w:spacing w:line="400" w:lineRule="atLeas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（1）封面（格式一）；</w:t>
      </w:r>
    </w:p>
    <w:p w14:paraId="40FDA407">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（2）目录； </w:t>
      </w:r>
    </w:p>
    <w:p w14:paraId="13273D5D">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（3）《投标函》（格式二）；</w:t>
      </w:r>
    </w:p>
    <w:p w14:paraId="7538020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（4）《各项承诺一览表》（格式三）；</w:t>
      </w:r>
    </w:p>
    <w:p w14:paraId="031508C8">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（5）《授权委托书》（格式四）；</w:t>
      </w:r>
    </w:p>
    <w:p w14:paraId="600D985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（6）《法定代表人身份证明》（格式五）；</w:t>
      </w:r>
    </w:p>
    <w:p w14:paraId="5CC6CEF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（7）《联合体协议书》（格式六）及所附资料；</w:t>
      </w:r>
    </w:p>
    <w:p w14:paraId="23A9EB2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投标保证缴纳证明（投标人采用投标保证金的，附建设工程交易系统《缴纳投标保证金通知书》页面截图打印件和银行转账单彩色扫描件；采用投标保证担保的，附银行保函彩色扫描件；采用投标保证保险的，附电子保单和《韶关市公共资源交易一体化平台保证金缴纳信息》页面截图）；</w:t>
      </w:r>
    </w:p>
    <w:p w14:paraId="582880D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（9）《投标人基本情况表》（格式七）及所附资料；</w:t>
      </w:r>
    </w:p>
    <w:p w14:paraId="63C0ECB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（10）《项目经理简历表》（格式八）及所附资料；</w:t>
      </w:r>
    </w:p>
    <w:p w14:paraId="62CCAA8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（11）《项目经理任职声明》（格式九）；</w:t>
      </w:r>
    </w:p>
    <w:p w14:paraId="556B89DB">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（12）《项目技术负责人简历表》（格式十）及所附资料；</w:t>
      </w:r>
    </w:p>
    <w:p w14:paraId="265FCB5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（13）《项目管理机构组成表》（格式十一）及所附资料；</w:t>
      </w:r>
    </w:p>
    <w:p w14:paraId="5E7D0631">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（14）本节第15.5.1目“评标方法”要求提供的评审资料；</w:t>
      </w:r>
    </w:p>
    <w:p w14:paraId="0E969DC1">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r>
        <w:rPr>
          <w:rFonts w:hint="eastAsia" w:ascii="宋体" w:hAnsi="宋体" w:eastAsia="宋体" w:cs="宋体"/>
          <w:snapToGrid w:val="0"/>
          <w:color w:val="auto"/>
          <w:kern w:val="0"/>
          <w:sz w:val="21"/>
          <w:szCs w:val="21"/>
          <w:highlight w:val="none"/>
          <w:lang w:eastAsia="zh-CN"/>
        </w:rPr>
        <w:t>；</w:t>
      </w:r>
    </w:p>
    <w:p w14:paraId="4548A671">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10.2.2</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10.2.1</w:t>
      </w:r>
      <w:r>
        <w:rPr>
          <w:rFonts w:hint="eastAsia" w:ascii="宋体" w:hAnsi="宋体" w:eastAsia="宋体" w:cs="宋体"/>
          <w:snapToGrid w:val="0"/>
          <w:color w:val="auto"/>
          <w:kern w:val="0"/>
          <w:sz w:val="21"/>
          <w:szCs w:val="21"/>
          <w:highlight w:val="none"/>
        </w:rPr>
        <w:t>目中所列出的商务标书组成内容中，第（1）至第（1</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）项所有投标人均应提供</w:t>
      </w:r>
      <w:r>
        <w:rPr>
          <w:rFonts w:hint="eastAsia" w:ascii="宋体" w:hAnsi="宋体" w:eastAsia="宋体" w:cs="宋体"/>
          <w:b/>
          <w:bCs/>
          <w:snapToGrid w:val="0"/>
          <w:color w:val="auto"/>
          <w:kern w:val="0"/>
          <w:sz w:val="21"/>
          <w:szCs w:val="21"/>
          <w:highlight w:val="none"/>
        </w:rPr>
        <w:t>。但非联合体投标的，无需提供第（7）项内容。</w:t>
      </w:r>
    </w:p>
    <w:p w14:paraId="4A029E76">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10.2.3</w:t>
      </w:r>
      <w:r>
        <w:rPr>
          <w:rFonts w:hint="eastAsia" w:ascii="宋体" w:hAnsi="宋体" w:eastAsia="宋体" w:cs="宋体"/>
          <w:snapToGrid w:val="0"/>
          <w:color w:val="auto"/>
          <w:kern w:val="0"/>
          <w:sz w:val="21"/>
          <w:szCs w:val="21"/>
          <w:highlight w:val="none"/>
        </w:rPr>
        <w:t xml:space="preserve"> 商务标书的组成内容按本节第10.2.1目规定的顺序整理、编排后，逐页（页码起始从封面开始）连续标记页码，作成一个PDF格式电子文件。</w:t>
      </w:r>
      <w:bookmarkStart w:id="69" w:name="_Hlt87783273"/>
      <w:bookmarkEnd w:id="69"/>
      <w:bookmarkStart w:id="70" w:name="_Hlt69670029"/>
      <w:bookmarkEnd w:id="70"/>
      <w:bookmarkStart w:id="71" w:name="_Toc274313881"/>
    </w:p>
    <w:p w14:paraId="5B1791C7">
      <w:pPr>
        <w:pStyle w:val="5"/>
        <w:keepNext w:val="0"/>
        <w:keepLines w:val="0"/>
        <w:pageBreakBefore w:val="0"/>
        <w:widowControl w:val="0"/>
        <w:kinsoku/>
        <w:wordWrap w:val="0"/>
        <w:overflowPunct/>
        <w:topLinePunct w:val="0"/>
        <w:bidi w:val="0"/>
        <w:adjustRightInd w:val="0"/>
        <w:snapToGrid w:val="0"/>
        <w:spacing w:before="0" w:after="0" w:line="400" w:lineRule="atLeast"/>
        <w:ind w:firstLine="422" w:firstLineChars="200"/>
        <w:jc w:val="both"/>
        <w:rPr>
          <w:rFonts w:hint="eastAsia" w:ascii="宋体" w:hAnsi="宋体" w:eastAsia="宋体" w:cs="宋体"/>
          <w:b/>
          <w:snapToGrid w:val="0"/>
          <w:color w:val="auto"/>
          <w:sz w:val="21"/>
          <w:szCs w:val="21"/>
          <w:highlight w:val="none"/>
        </w:rPr>
      </w:pPr>
      <w:bookmarkStart w:id="72" w:name="_Toc27672"/>
      <w:bookmarkStart w:id="73" w:name="_Toc25391"/>
      <w:r>
        <w:rPr>
          <w:rFonts w:hint="eastAsia" w:ascii="宋体" w:hAnsi="宋体" w:eastAsia="宋体" w:cs="宋体"/>
          <w:b/>
          <w:bCs/>
          <w:snapToGrid w:val="0"/>
          <w:color w:val="auto"/>
          <w:sz w:val="21"/>
          <w:szCs w:val="21"/>
          <w:highlight w:val="none"/>
        </w:rPr>
        <w:t>10.3</w:t>
      </w:r>
      <w:bookmarkStart w:id="74" w:name="_Hlt69670035"/>
      <w:bookmarkEnd w:id="74"/>
      <w:r>
        <w:rPr>
          <w:rFonts w:hint="eastAsia" w:ascii="宋体" w:hAnsi="宋体" w:eastAsia="宋体" w:cs="宋体"/>
          <w:bCs/>
          <w:snapToGrid w:val="0"/>
          <w:color w:val="auto"/>
          <w:sz w:val="21"/>
          <w:szCs w:val="21"/>
          <w:highlight w:val="none"/>
        </w:rPr>
        <w:t xml:space="preserve"> 经济标书的编制要求</w:t>
      </w:r>
      <w:bookmarkEnd w:id="71"/>
      <w:bookmarkEnd w:id="72"/>
      <w:bookmarkEnd w:id="73"/>
    </w:p>
    <w:p w14:paraId="40C28CA8">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10.3.1</w:t>
      </w:r>
      <w:r>
        <w:rPr>
          <w:rFonts w:hint="eastAsia" w:ascii="宋体" w:hAnsi="宋体" w:eastAsia="宋体" w:cs="宋体"/>
          <w:snapToGrid w:val="0"/>
          <w:color w:val="auto"/>
          <w:kern w:val="0"/>
          <w:sz w:val="21"/>
          <w:szCs w:val="21"/>
          <w:highlight w:val="none"/>
        </w:rPr>
        <w:t xml:space="preserve"> 经济标书包括以下内容：</w:t>
      </w:r>
    </w:p>
    <w:p w14:paraId="6F03E4BB">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6E22B94C">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03D65275">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color w:val="auto"/>
          <w:sz w:val="21"/>
          <w:szCs w:val="21"/>
          <w:highlight w:val="none"/>
        </w:rPr>
      </w:pPr>
      <w:bookmarkStart w:id="75" w:name="_Hlt69699579"/>
      <w:bookmarkEnd w:id="75"/>
      <w:r>
        <w:rPr>
          <w:rFonts w:hint="eastAsia" w:ascii="宋体" w:hAnsi="宋体" w:eastAsia="宋体" w:cs="宋体"/>
          <w:color w:val="auto"/>
          <w:sz w:val="21"/>
          <w:szCs w:val="21"/>
          <w:highlight w:val="none"/>
        </w:rPr>
        <w:t>（3）《投标总价》；</w:t>
      </w:r>
    </w:p>
    <w:p w14:paraId="3A04D048">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 </w:t>
      </w:r>
      <w:r>
        <w:rPr>
          <w:rFonts w:hint="eastAsia" w:ascii="宋体" w:hAnsi="宋体" w:eastAsia="宋体" w:cs="宋体"/>
          <w:snapToGrid w:val="0"/>
          <w:color w:val="auto"/>
          <w:kern w:val="0"/>
          <w:sz w:val="21"/>
          <w:szCs w:val="21"/>
          <w:highlight w:val="none"/>
        </w:rPr>
        <w:t>说明：《投标总价》的格式按照《建设工程工程量清单计价规范》（GB50500—2013）执行，并应满足以下要求：</w:t>
      </w:r>
    </w:p>
    <w:p w14:paraId="46606DF9">
      <w:pPr>
        <w:keepNext w:val="0"/>
        <w:keepLines w:val="0"/>
        <w:pageBreakBefore w:val="0"/>
        <w:widowControl/>
        <w:suppressLineNumbers w:val="0"/>
        <w:kinsoku/>
        <w:overflowPunct/>
        <w:topLinePunct w:val="0"/>
        <w:bidi w:val="0"/>
        <w:spacing w:line="400" w:lineRule="atLeast"/>
        <w:ind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．《投标总价扉页》（即扉—3）后应附编制人的造价工程师注册证书</w:t>
      </w:r>
      <w:r>
        <w:rPr>
          <w:rFonts w:hint="eastAsia" w:ascii="宋体" w:hAnsi="宋体" w:eastAsia="宋体" w:cs="宋体"/>
          <w:snapToGrid w:val="0"/>
          <w:color w:val="auto"/>
          <w:kern w:val="0"/>
          <w:sz w:val="21"/>
          <w:szCs w:val="21"/>
          <w:highlight w:val="none"/>
          <w:lang w:val="en-US" w:eastAsia="zh-CN"/>
        </w:rPr>
        <w:t>彩色扫描件</w:t>
      </w:r>
      <w:r>
        <w:rPr>
          <w:rFonts w:hint="eastAsia" w:ascii="宋体" w:hAnsi="宋体" w:eastAsia="宋体" w:cs="宋体"/>
          <w:snapToGrid w:val="0"/>
          <w:color w:val="auto"/>
          <w:kern w:val="0"/>
          <w:sz w:val="21"/>
          <w:szCs w:val="21"/>
          <w:highlight w:val="none"/>
        </w:rPr>
        <w:t>（须复印或打印至变更注册栏</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bidi="ar"/>
        </w:rPr>
        <w:t>一级造价师或二级造价师均可提供电子证书</w:t>
      </w:r>
      <w:r>
        <w:rPr>
          <w:rFonts w:hint="eastAsia" w:ascii="宋体" w:hAnsi="宋体" w:eastAsia="宋体" w:cs="宋体"/>
          <w:snapToGrid w:val="0"/>
          <w:color w:val="auto"/>
          <w:kern w:val="0"/>
          <w:sz w:val="21"/>
          <w:szCs w:val="21"/>
          <w:highlight w:val="none"/>
        </w:rPr>
        <w:t>）；投标人委托造价咨询单位编制《投标总价》的，在该扉页“投标人”栏目加盖造价咨询人公章，并在该扉页后附造价咨询人的营业执照副本</w:t>
      </w:r>
      <w:r>
        <w:rPr>
          <w:rFonts w:hint="eastAsia" w:ascii="宋体" w:hAnsi="宋体" w:eastAsia="宋体" w:cs="宋体"/>
          <w:snapToGrid w:val="0"/>
          <w:color w:val="auto"/>
          <w:kern w:val="0"/>
          <w:sz w:val="21"/>
          <w:szCs w:val="21"/>
          <w:highlight w:val="none"/>
          <w:lang w:val="en-US" w:eastAsia="zh-CN"/>
        </w:rPr>
        <w:t>彩色扫描件</w:t>
      </w:r>
      <w:r>
        <w:rPr>
          <w:rFonts w:hint="eastAsia" w:ascii="宋体" w:hAnsi="宋体" w:eastAsia="宋体" w:cs="宋体"/>
          <w:snapToGrid w:val="0"/>
          <w:color w:val="auto"/>
          <w:kern w:val="0"/>
          <w:sz w:val="21"/>
          <w:szCs w:val="21"/>
          <w:highlight w:val="none"/>
        </w:rPr>
        <w:t>。</w:t>
      </w:r>
    </w:p>
    <w:p w14:paraId="07726843">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．投标人认为有必要补充的其他资料（例如关于投标总价下浮率超过15%的书面说明和佐证材料）。</w:t>
      </w:r>
    </w:p>
    <w:p w14:paraId="7ADDE1EA">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10.3.2</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10.3.1</w:t>
      </w:r>
      <w:r>
        <w:rPr>
          <w:rFonts w:hint="eastAsia" w:ascii="宋体" w:hAnsi="宋体" w:eastAsia="宋体" w:cs="宋体"/>
          <w:snapToGrid w:val="0"/>
          <w:color w:val="auto"/>
          <w:kern w:val="0"/>
          <w:sz w:val="21"/>
          <w:szCs w:val="21"/>
          <w:highlight w:val="none"/>
        </w:rPr>
        <w:t>目中所列出的经济标书组成内容中，第（1）至第（3）项所有投标人均应提供</w:t>
      </w:r>
      <w:bookmarkStart w:id="76" w:name="_Hlt145127239"/>
      <w:bookmarkEnd w:id="76"/>
      <w:r>
        <w:rPr>
          <w:rFonts w:hint="eastAsia" w:ascii="宋体" w:hAnsi="宋体" w:eastAsia="宋体" w:cs="宋体"/>
          <w:snapToGrid w:val="0"/>
          <w:color w:val="auto"/>
          <w:kern w:val="0"/>
          <w:sz w:val="21"/>
          <w:szCs w:val="21"/>
          <w:highlight w:val="none"/>
        </w:rPr>
        <w:t>。</w:t>
      </w:r>
    </w:p>
    <w:p w14:paraId="07B09C46">
      <w:pPr>
        <w:pStyle w:val="11"/>
        <w:keepNext w:val="0"/>
        <w:keepLines w:val="0"/>
        <w:pageBreakBefore w:val="0"/>
        <w:widowControl w:val="0"/>
        <w:kinsoku/>
        <w:wordWrap/>
        <w:overflowPunct/>
        <w:topLinePunct w:val="0"/>
        <w:autoSpaceDE/>
        <w:autoSpaceDN/>
        <w:bidi w:val="0"/>
        <w:adjustRightInd w:val="0"/>
        <w:snapToGrid/>
        <w:spacing w:line="400" w:lineRule="atLeast"/>
        <w:ind w:firstLine="422" w:firstLineChars="200"/>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10.3.3</w:t>
      </w:r>
      <w:r>
        <w:rPr>
          <w:rFonts w:hint="eastAsia" w:ascii="宋体" w:hAnsi="宋体" w:eastAsia="宋体" w:cs="宋体"/>
          <w:b/>
          <w:bCs/>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lang w:val="en-US" w:eastAsia="zh-CN" w:bidi="ar-SA"/>
        </w:rPr>
        <w:t>经济标书的组成内容按本节第10.3.1目规定的顺序整理、编排后，逐页（页码起始从封面开始）连续标记页码，作成一个PDF格式电子文件。</w:t>
      </w:r>
    </w:p>
    <w:p w14:paraId="70CC3271">
      <w:pPr>
        <w:pStyle w:val="5"/>
        <w:keepNext w:val="0"/>
        <w:keepLines w:val="0"/>
        <w:pageBreakBefore w:val="0"/>
        <w:widowControl w:val="0"/>
        <w:kinsoku/>
        <w:wordWrap w:val="0"/>
        <w:overflowPunct/>
        <w:topLinePunct w:val="0"/>
        <w:bidi w:val="0"/>
        <w:adjustRightInd w:val="0"/>
        <w:snapToGrid w:val="0"/>
        <w:spacing w:before="0" w:after="0" w:line="400" w:lineRule="atLeast"/>
        <w:ind w:firstLine="422" w:firstLineChars="200"/>
        <w:jc w:val="both"/>
        <w:rPr>
          <w:rFonts w:hint="eastAsia" w:ascii="宋体" w:hAnsi="宋体" w:eastAsia="宋体" w:cs="宋体"/>
          <w:bCs/>
          <w:snapToGrid w:val="0"/>
          <w:color w:val="auto"/>
          <w:sz w:val="21"/>
          <w:szCs w:val="21"/>
          <w:highlight w:val="none"/>
        </w:rPr>
      </w:pPr>
      <w:bookmarkStart w:id="77" w:name="_Toc3720"/>
      <w:bookmarkStart w:id="78" w:name="_Toc30191"/>
      <w:r>
        <w:rPr>
          <w:rFonts w:hint="eastAsia" w:ascii="宋体" w:hAnsi="宋体" w:eastAsia="宋体" w:cs="宋体"/>
          <w:b/>
          <w:bCs/>
          <w:snapToGrid w:val="0"/>
          <w:color w:val="auto"/>
          <w:sz w:val="21"/>
          <w:szCs w:val="21"/>
          <w:highlight w:val="none"/>
        </w:rPr>
        <w:t xml:space="preserve">10.4 </w:t>
      </w:r>
      <w:r>
        <w:rPr>
          <w:rFonts w:hint="eastAsia" w:ascii="宋体" w:hAnsi="宋体" w:eastAsia="宋体" w:cs="宋体"/>
          <w:bCs/>
          <w:snapToGrid w:val="0"/>
          <w:color w:val="auto"/>
          <w:sz w:val="21"/>
          <w:szCs w:val="21"/>
          <w:highlight w:val="none"/>
        </w:rPr>
        <w:t>施工组织设计的编制要求</w:t>
      </w:r>
      <w:bookmarkEnd w:id="77"/>
      <w:bookmarkEnd w:id="78"/>
    </w:p>
    <w:p w14:paraId="68682EEC">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10.4.1</w:t>
      </w:r>
      <w:r>
        <w:rPr>
          <w:rFonts w:hint="eastAsia" w:ascii="宋体" w:hAnsi="宋体" w:eastAsia="宋体" w:cs="宋体"/>
          <w:bCs/>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施工组织设计的编制依据包括且不限于</w:t>
      </w:r>
      <w:r>
        <w:rPr>
          <w:rFonts w:hint="eastAsia" w:ascii="宋体" w:hAnsi="宋体" w:eastAsia="宋体" w:cs="宋体"/>
          <w:bCs/>
          <w:snapToGrid w:val="0"/>
          <w:color w:val="auto"/>
          <w:kern w:val="0"/>
          <w:sz w:val="21"/>
          <w:szCs w:val="21"/>
          <w:highlight w:val="none"/>
        </w:rPr>
        <w:t>：</w:t>
      </w:r>
    </w:p>
    <w:p w14:paraId="6474C4B0">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（1）招标文件及</w:t>
      </w:r>
      <w:r>
        <w:rPr>
          <w:rFonts w:hint="eastAsia" w:ascii="宋体" w:hAnsi="宋体" w:eastAsia="宋体" w:cs="宋体"/>
          <w:snapToGrid w:val="0"/>
          <w:color w:val="auto"/>
          <w:kern w:val="0"/>
          <w:sz w:val="21"/>
          <w:szCs w:val="21"/>
          <w:highlight w:val="none"/>
        </w:rPr>
        <w:t>其答疑（或修改）公告；</w:t>
      </w:r>
    </w:p>
    <w:p w14:paraId="4A3DF5FB">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（2）施工图及相关资料；</w:t>
      </w:r>
    </w:p>
    <w:p w14:paraId="181CB732">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（3）施工现场情况、工程特点；</w:t>
      </w:r>
    </w:p>
    <w:p w14:paraId="45ABD770">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（4）相关法律、法规、规定；</w:t>
      </w:r>
    </w:p>
    <w:p w14:paraId="08F6D987">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399B128E">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（6）企业内部标准、工法。</w:t>
      </w:r>
    </w:p>
    <w:p w14:paraId="72EA08C1">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10.4.2</w:t>
      </w:r>
      <w:r>
        <w:rPr>
          <w:rFonts w:hint="eastAsia" w:ascii="宋体" w:hAnsi="宋体" w:eastAsia="宋体" w:cs="宋体"/>
          <w:bCs/>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rPr>
        <w:t>施工组织设计包括但不限于以下内容：</w:t>
      </w:r>
    </w:p>
    <w:p w14:paraId="33266A9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（1）封面（格式一）；</w:t>
      </w:r>
    </w:p>
    <w:p w14:paraId="7CCA846F">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（2）目录；</w:t>
      </w:r>
    </w:p>
    <w:p w14:paraId="139115EE">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（3）总体概述（包括施工程序总体设想及施工段划分等内容）；</w:t>
      </w:r>
    </w:p>
    <w:p w14:paraId="67E322F8">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（4）施工总进度计划及保证措施（包括进度管理目标；以横道图或标明关键线路的网络进度计划；保障进度计划需要的人、材、机需求计划及保证措施；违约责任承诺等内容）；</w:t>
      </w:r>
    </w:p>
    <w:p w14:paraId="4725D61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（5）质量保证措施（包括质量管理目标；相应保证措施；违约责任承诺等内容）；</w:t>
      </w:r>
    </w:p>
    <w:p w14:paraId="1B78679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（6）施工技术措施（包括关键施工技术、工艺及工程项目实施的重点、难点分析和解决方案；新技术应用与承诺等内容）；</w:t>
      </w:r>
    </w:p>
    <w:p w14:paraId="71BAAABE">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（7）绿色施工、安全防护、文明施工措施计划</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b/>
          <w:bCs/>
          <w:snapToGrid w:val="0"/>
          <w:color w:val="auto"/>
          <w:kern w:val="0"/>
          <w:sz w:val="21"/>
          <w:szCs w:val="21"/>
          <w:highlight w:val="none"/>
        </w:rPr>
        <w:t>应对建设单位组织的勘察设计等单位在施工招标文件中列出的危大工程清单(详见格式十三)进行投标文件回应</w:t>
      </w:r>
      <w:r>
        <w:rPr>
          <w:rFonts w:hint="eastAsia" w:ascii="宋体" w:hAnsi="宋体" w:eastAsia="宋体" w:cs="宋体"/>
          <w:b/>
          <w:bCs/>
          <w:snapToGrid w:val="0"/>
          <w:color w:val="auto"/>
          <w:kern w:val="0"/>
          <w:sz w:val="21"/>
          <w:szCs w:val="21"/>
          <w:highlight w:val="none"/>
          <w:lang w:val="en-US" w:eastAsia="zh-CN"/>
        </w:rPr>
        <w:t>,如有</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w:t>
      </w:r>
    </w:p>
    <w:p w14:paraId="5BEAB598">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45EAB142">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（9）项目管理机构。</w:t>
      </w:r>
    </w:p>
    <w:p w14:paraId="7734F389">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（10）投标人认为有必要补充的其他内容。</w:t>
      </w:r>
      <w:r>
        <w:rPr>
          <w:rFonts w:hint="eastAsia" w:ascii="宋体" w:hAnsi="宋体" w:eastAsia="宋体" w:cs="宋体"/>
          <w:snapToGrid w:val="0"/>
          <w:color w:val="auto"/>
          <w:kern w:val="0"/>
          <w:sz w:val="21"/>
          <w:szCs w:val="21"/>
          <w:highlight w:val="none"/>
          <w:lang w:val="en-US" w:eastAsia="zh-CN"/>
        </w:rPr>
        <w:t>（例如对总包管理的认识以及对专业分包工程的管理、协调、配合、服务方案）。</w:t>
      </w:r>
    </w:p>
    <w:p w14:paraId="66C30E19">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10.4.3</w:t>
      </w:r>
      <w:r>
        <w:rPr>
          <w:rFonts w:hint="eastAsia" w:ascii="宋体" w:hAnsi="宋体" w:eastAsia="宋体" w:cs="宋体"/>
          <w:snapToGrid w:val="0"/>
          <w:color w:val="auto"/>
          <w:kern w:val="0"/>
          <w:sz w:val="21"/>
          <w:szCs w:val="21"/>
          <w:highlight w:val="none"/>
        </w:rPr>
        <w:t xml:space="preserve"> 本节第</w:t>
      </w:r>
      <w:r>
        <w:rPr>
          <w:rFonts w:hint="eastAsia" w:ascii="宋体" w:hAnsi="宋体" w:eastAsia="宋体" w:cs="宋体"/>
          <w:b/>
          <w:bCs/>
          <w:snapToGrid w:val="0"/>
          <w:color w:val="auto"/>
          <w:kern w:val="0"/>
          <w:sz w:val="21"/>
          <w:szCs w:val="21"/>
          <w:highlight w:val="none"/>
        </w:rPr>
        <w:t>10.4.2</w:t>
      </w:r>
      <w:r>
        <w:rPr>
          <w:rFonts w:hint="eastAsia" w:ascii="宋体" w:hAnsi="宋体" w:eastAsia="宋体" w:cs="宋体"/>
          <w:snapToGrid w:val="0"/>
          <w:color w:val="auto"/>
          <w:kern w:val="0"/>
          <w:sz w:val="21"/>
          <w:szCs w:val="21"/>
          <w:highlight w:val="none"/>
        </w:rPr>
        <w:t>目中所列出的施工组织设计组成内容中，第（1）至第（9）项所有投标人均应提供。</w:t>
      </w:r>
    </w:p>
    <w:p w14:paraId="4DFDCC3C">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10.4.4</w:t>
      </w:r>
      <w:r>
        <w:rPr>
          <w:rFonts w:hint="eastAsia" w:ascii="宋体" w:hAnsi="宋体" w:eastAsia="宋体" w:cs="宋体"/>
          <w:snapToGrid w:val="0"/>
          <w:color w:val="auto"/>
          <w:kern w:val="0"/>
          <w:sz w:val="21"/>
          <w:szCs w:val="21"/>
          <w:highlight w:val="none"/>
        </w:rPr>
        <w:t xml:space="preserve"> 施工组织设计的组成内容按本节第10.4.2目规定的顺序整理、编排后，逐页（页码起始从封面开始）连续标记页码，作成一个PDF格式电子文件。</w:t>
      </w:r>
    </w:p>
    <w:p w14:paraId="07F79664">
      <w:pPr>
        <w:keepNext w:val="0"/>
        <w:keepLines w:val="0"/>
        <w:pageBreakBefore w:val="0"/>
        <w:widowControl/>
        <w:suppressLineNumbers w:val="0"/>
        <w:kinsoku/>
        <w:overflowPunct/>
        <w:topLinePunct w:val="0"/>
        <w:bidi w:val="0"/>
        <w:spacing w:line="400" w:lineRule="atLeast"/>
        <w:jc w:val="left"/>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lang w:val="en-US" w:eastAsia="zh-CN"/>
        </w:rPr>
        <w:t xml:space="preserve">  </w:t>
      </w:r>
    </w:p>
    <w:p w14:paraId="3B2B7DC2">
      <w:pPr>
        <w:pStyle w:val="4"/>
        <w:keepNext w:val="0"/>
        <w:keepLines w:val="0"/>
        <w:pageBreakBefore w:val="0"/>
        <w:kinsoku/>
        <w:overflowPunct/>
        <w:topLinePunct w:val="0"/>
        <w:bidi w:val="0"/>
        <w:spacing w:line="400" w:lineRule="atLeast"/>
        <w:ind w:firstLine="422" w:firstLineChars="200"/>
        <w:rPr>
          <w:rFonts w:hint="eastAsia" w:ascii="宋体" w:hAnsi="宋体" w:eastAsia="宋体" w:cs="宋体"/>
          <w:b/>
          <w:bCs/>
          <w:color w:val="auto"/>
          <w:sz w:val="21"/>
          <w:szCs w:val="21"/>
          <w:highlight w:val="none"/>
        </w:rPr>
      </w:pPr>
      <w:bookmarkStart w:id="79" w:name="_Toc32748"/>
      <w:r>
        <w:rPr>
          <w:rFonts w:hint="eastAsia" w:ascii="宋体" w:hAnsi="宋体" w:eastAsia="宋体" w:cs="宋体"/>
          <w:b/>
          <w:bCs/>
          <w:color w:val="auto"/>
          <w:sz w:val="21"/>
          <w:szCs w:val="21"/>
          <w:highlight w:val="none"/>
        </w:rPr>
        <w:t>11.电子投标：</w:t>
      </w:r>
      <w:bookmarkEnd w:id="79"/>
    </w:p>
    <w:p w14:paraId="1972F933">
      <w:pPr>
        <w:keepNext w:val="0"/>
        <w:keepLines w:val="0"/>
        <w:pageBreakBefore w:val="0"/>
        <w:kinsoku/>
        <w:wordWrap w:val="0"/>
        <w:overflowPunct/>
        <w:topLinePunct w:val="0"/>
        <w:autoSpaceDE/>
        <w:autoSpaceDN/>
        <w:bidi w:val="0"/>
        <w:adjustRightInd w:val="0"/>
        <w:spacing w:line="400" w:lineRule="atLeast"/>
        <w:ind w:firstLine="420" w:firstLineChars="200"/>
        <w:rPr>
          <w:rFonts w:hint="eastAsia" w:ascii="宋体" w:hAnsi="宋体" w:eastAsia="宋体" w:cs="宋体"/>
          <w:bCs/>
          <w:snapToGrid w:val="0"/>
          <w:color w:val="auto"/>
          <w:sz w:val="21"/>
          <w:szCs w:val="21"/>
          <w:highlight w:val="none"/>
        </w:rPr>
      </w:pPr>
      <w:bookmarkStart w:id="80" w:name="_Hlt88627590"/>
      <w:bookmarkEnd w:id="80"/>
      <w:r>
        <w:rPr>
          <w:rFonts w:hint="eastAsia" w:ascii="宋体" w:hAnsi="宋体" w:eastAsia="宋体" w:cs="宋体"/>
          <w:bCs/>
          <w:snapToGrid w:val="0"/>
          <w:color w:val="auto"/>
          <w:sz w:val="21"/>
          <w:szCs w:val="21"/>
          <w:highlight w:val="none"/>
        </w:rPr>
        <w:t>11.1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全国公共资源交易平台（广东省·韶关市）新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48CA85FD">
      <w:pPr>
        <w:keepNext w:val="0"/>
        <w:keepLines w:val="0"/>
        <w:pageBreakBefore w:val="0"/>
        <w:kinsoku/>
        <w:wordWrap w:val="0"/>
        <w:overflowPunct/>
        <w:topLinePunct w:val="0"/>
        <w:autoSpaceDE/>
        <w:autoSpaceDN/>
        <w:bidi w:val="0"/>
        <w:adjustRightInd w:val="0"/>
        <w:spacing w:line="400" w:lineRule="atLeast"/>
        <w:ind w:firstLine="420" w:firstLineChars="200"/>
        <w:rPr>
          <w:rFonts w:hint="eastAsia" w:ascii="宋体" w:hAnsi="宋体" w:eastAsia="宋体" w:cs="宋体"/>
          <w:b w:val="0"/>
          <w:bCs/>
          <w:snapToGrid w:val="0"/>
          <w:color w:val="auto"/>
          <w:kern w:val="0"/>
          <w:sz w:val="21"/>
          <w:szCs w:val="21"/>
          <w:highlight w:val="none"/>
        </w:rPr>
      </w:pPr>
      <w:r>
        <w:rPr>
          <w:rFonts w:hint="eastAsia" w:ascii="宋体" w:hAnsi="宋体" w:eastAsia="宋体" w:cs="宋体"/>
          <w:bCs/>
          <w:snapToGrid w:val="0"/>
          <w:color w:val="auto"/>
          <w:sz w:val="21"/>
          <w:szCs w:val="21"/>
          <w:highlight w:val="none"/>
        </w:rPr>
        <w:t>11.2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6D42342E">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bCs w:val="0"/>
          <w:snapToGrid w:val="0"/>
          <w:color w:val="auto"/>
          <w:sz w:val="21"/>
          <w:szCs w:val="21"/>
          <w:highlight w:val="none"/>
        </w:rPr>
      </w:pPr>
      <w:bookmarkStart w:id="81" w:name="_Toc19524"/>
      <w:bookmarkStart w:id="82" w:name="_Toc3041"/>
      <w:bookmarkStart w:id="83" w:name="_Toc17220"/>
      <w:bookmarkStart w:id="84" w:name="_Toc8301"/>
      <w:bookmarkStart w:id="85" w:name="_Toc2181"/>
      <w:bookmarkStart w:id="86" w:name="_Toc32344"/>
      <w:bookmarkStart w:id="87" w:name="_Toc236"/>
      <w:bookmarkStart w:id="88" w:name="_Toc28970"/>
    </w:p>
    <w:p w14:paraId="66CA9BE4">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val="0"/>
          <w:bCs/>
          <w:snapToGrid w:val="0"/>
          <w:color w:val="auto"/>
          <w:sz w:val="21"/>
          <w:szCs w:val="21"/>
          <w:highlight w:val="none"/>
        </w:rPr>
      </w:pPr>
      <w:r>
        <w:rPr>
          <w:rFonts w:hint="eastAsia" w:ascii="宋体" w:hAnsi="宋体" w:eastAsia="宋体" w:cs="宋体"/>
          <w:b/>
          <w:bCs w:val="0"/>
          <w:snapToGrid w:val="0"/>
          <w:color w:val="auto"/>
          <w:sz w:val="21"/>
          <w:szCs w:val="21"/>
          <w:highlight w:val="none"/>
        </w:rPr>
        <w:t>12．</w:t>
      </w:r>
      <w:bookmarkEnd w:id="81"/>
      <w:bookmarkEnd w:id="82"/>
      <w:bookmarkEnd w:id="83"/>
      <w:bookmarkEnd w:id="84"/>
      <w:bookmarkEnd w:id="85"/>
      <w:bookmarkEnd w:id="86"/>
      <w:r>
        <w:rPr>
          <w:rFonts w:hint="eastAsia" w:ascii="宋体" w:hAnsi="宋体" w:eastAsia="宋体" w:cs="宋体"/>
          <w:b/>
          <w:bCs w:val="0"/>
          <w:snapToGrid w:val="0"/>
          <w:color w:val="auto"/>
          <w:sz w:val="21"/>
          <w:szCs w:val="21"/>
          <w:highlight w:val="none"/>
        </w:rPr>
        <w:t>电子投标及投标解密失败及突发情况的补救方案</w:t>
      </w:r>
      <w:bookmarkEnd w:id="87"/>
      <w:bookmarkEnd w:id="88"/>
    </w:p>
    <w:p w14:paraId="6FD646D8">
      <w:pPr>
        <w:keepNext w:val="0"/>
        <w:keepLines w:val="0"/>
        <w:pageBreakBefore w:val="0"/>
        <w:kinsoku/>
        <w:wordWrap w:val="0"/>
        <w:overflowPunct/>
        <w:topLinePunct w:val="0"/>
        <w:autoSpaceDE/>
        <w:autoSpaceDN/>
        <w:bidi w:val="0"/>
        <w:adjustRightInd w:val="0"/>
        <w:spacing w:line="400" w:lineRule="atLeast"/>
        <w:ind w:firstLine="420" w:firstLineChars="200"/>
        <w:rPr>
          <w:rFonts w:hint="eastAsia" w:ascii="宋体" w:hAnsi="宋体" w:eastAsia="宋体" w:cs="宋体"/>
          <w:bCs/>
          <w:snapToGrid w:val="0"/>
          <w:color w:val="auto"/>
          <w:sz w:val="21"/>
          <w:szCs w:val="21"/>
          <w:highlight w:val="none"/>
        </w:rPr>
      </w:pPr>
      <w:r>
        <w:rPr>
          <w:rFonts w:hint="eastAsia" w:ascii="宋体" w:hAnsi="宋体" w:eastAsia="宋体" w:cs="宋体"/>
          <w:bCs/>
          <w:snapToGrid w:val="0"/>
          <w:color w:val="auto"/>
          <w:sz w:val="21"/>
          <w:szCs w:val="21"/>
          <w:highlight w:val="none"/>
        </w:rPr>
        <w:t xml:space="preserve">12.1按照交易平台关于全流程电子化项目的相关指南进行操作。详见：或全国公共资源交易平台（广东省·韶关市）（https://ygp.gdzwfw.gov.cn/ggzy-portal/#/440200/index）服务指南栏目发布的最新版操作指引。  </w:t>
      </w:r>
    </w:p>
    <w:p w14:paraId="44AF85DA">
      <w:pPr>
        <w:keepNext w:val="0"/>
        <w:keepLines w:val="0"/>
        <w:pageBreakBefore w:val="0"/>
        <w:kinsoku/>
        <w:wordWrap w:val="0"/>
        <w:overflowPunct/>
        <w:topLinePunct w:val="0"/>
        <w:bidi w:val="0"/>
        <w:adjustRightInd w:val="0"/>
        <w:spacing w:line="400" w:lineRule="atLeast"/>
        <w:ind w:firstLine="420" w:firstLineChars="200"/>
        <w:rPr>
          <w:rFonts w:hint="eastAsia" w:ascii="宋体" w:hAnsi="宋体" w:eastAsia="宋体" w:cs="宋体"/>
          <w:bCs/>
          <w:snapToGrid w:val="0"/>
          <w:color w:val="auto"/>
          <w:sz w:val="21"/>
          <w:szCs w:val="21"/>
          <w:highlight w:val="none"/>
        </w:rPr>
      </w:pPr>
      <w:r>
        <w:rPr>
          <w:rFonts w:hint="eastAsia" w:ascii="宋体" w:hAnsi="宋体" w:eastAsia="宋体" w:cs="宋体"/>
          <w:bCs/>
          <w:snapToGrid w:val="0"/>
          <w:color w:val="auto"/>
          <w:sz w:val="21"/>
          <w:szCs w:val="21"/>
          <w:highlight w:val="none"/>
        </w:rPr>
        <w:t>12.</w:t>
      </w:r>
      <w:r>
        <w:rPr>
          <w:rFonts w:hint="eastAsia" w:ascii="宋体" w:hAnsi="宋体" w:eastAsia="宋体" w:cs="宋体"/>
          <w:bCs/>
          <w:snapToGrid w:val="0"/>
          <w:color w:val="auto"/>
          <w:sz w:val="21"/>
          <w:szCs w:val="21"/>
          <w:highlight w:val="none"/>
          <w:lang w:val="en-US" w:eastAsia="zh-CN"/>
        </w:rPr>
        <w:t>2</w:t>
      </w:r>
      <w:r>
        <w:rPr>
          <w:rFonts w:hint="eastAsia" w:ascii="宋体" w:hAnsi="宋体" w:eastAsia="宋体" w:cs="宋体"/>
          <w:bCs/>
          <w:snapToGrid w:val="0"/>
          <w:color w:val="auto"/>
          <w:sz w:val="21"/>
          <w:szCs w:val="21"/>
          <w:highlight w:val="none"/>
        </w:rPr>
        <w:t>补救方案：</w:t>
      </w:r>
    </w:p>
    <w:p w14:paraId="387777A5">
      <w:pPr>
        <w:keepNext w:val="0"/>
        <w:keepLines w:val="0"/>
        <w:pageBreakBefore w:val="0"/>
        <w:widowControl w:val="0"/>
        <w:numPr>
          <w:ilvl w:val="0"/>
          <w:numId w:val="1"/>
        </w:numPr>
        <w:kinsoku/>
        <w:wordWrap/>
        <w:overflowPunct/>
        <w:topLinePunct w:val="0"/>
        <w:autoSpaceDE/>
        <w:autoSpaceDN/>
        <w:bidi w:val="0"/>
        <w:adjustRightInd/>
        <w:snapToGrid/>
        <w:spacing w:line="400" w:lineRule="atLeast"/>
        <w:ind w:left="0" w:leftChars="0" w:firstLine="420" w:firstLineChars="200"/>
        <w:textAlignment w:val="auto"/>
        <w:outlineLvl w:val="9"/>
        <w:rPr>
          <w:rFonts w:hint="eastAsia" w:ascii="宋体" w:hAnsi="宋体" w:eastAsia="宋体" w:cs="宋体"/>
          <w:bCs/>
          <w:snapToGrid w:val="0"/>
          <w:color w:val="auto"/>
          <w:sz w:val="21"/>
          <w:szCs w:val="21"/>
          <w:highlight w:val="none"/>
        </w:rPr>
      </w:pPr>
      <w:r>
        <w:rPr>
          <w:rFonts w:hint="eastAsia" w:ascii="宋体" w:hAnsi="宋体" w:eastAsia="宋体" w:cs="宋体"/>
          <w:bCs/>
          <w:snapToGrid w:val="0"/>
          <w:color w:val="auto"/>
          <w:sz w:val="21"/>
          <w:szCs w:val="21"/>
          <w:highlight w:val="none"/>
        </w:rPr>
        <w:t>投标文件解密失败的补救方案：</w:t>
      </w:r>
    </w:p>
    <w:p w14:paraId="1481AE11">
      <w:pPr>
        <w:keepNext w:val="0"/>
        <w:keepLines w:val="0"/>
        <w:pageBreakBefore w:val="0"/>
        <w:kinsoku/>
        <w:wordWrap w:val="0"/>
        <w:overflowPunct/>
        <w:topLinePunct w:val="0"/>
        <w:bidi w:val="0"/>
        <w:adjustRightInd w:val="0"/>
        <w:spacing w:line="400" w:lineRule="atLeast"/>
        <w:ind w:firstLine="420" w:firstLineChars="200"/>
        <w:outlineLvl w:val="9"/>
        <w:rPr>
          <w:rFonts w:hint="eastAsia" w:ascii="宋体" w:hAnsi="宋体" w:eastAsia="宋体" w:cs="宋体"/>
          <w:bCs/>
          <w:snapToGrid w:val="0"/>
          <w:color w:val="auto"/>
          <w:sz w:val="21"/>
          <w:szCs w:val="21"/>
          <w:highlight w:val="none"/>
        </w:rPr>
      </w:pPr>
      <w:r>
        <w:rPr>
          <w:rFonts w:hint="eastAsia" w:ascii="宋体" w:hAnsi="宋体" w:eastAsia="宋体" w:cs="宋体"/>
          <w:bCs/>
          <w:snapToGrid w:val="0"/>
          <w:color w:val="auto"/>
          <w:sz w:val="21"/>
          <w:szCs w:val="21"/>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5A572DC1">
      <w:pPr>
        <w:keepNext w:val="0"/>
        <w:keepLines w:val="0"/>
        <w:pageBreakBefore w:val="0"/>
        <w:kinsoku/>
        <w:wordWrap w:val="0"/>
        <w:overflowPunct/>
        <w:topLinePunct w:val="0"/>
        <w:bidi w:val="0"/>
        <w:adjustRightInd w:val="0"/>
        <w:spacing w:line="400" w:lineRule="atLeast"/>
        <w:ind w:firstLine="420" w:firstLineChars="200"/>
        <w:outlineLvl w:val="9"/>
        <w:rPr>
          <w:rFonts w:hint="eastAsia" w:ascii="宋体" w:hAnsi="宋体" w:eastAsia="宋体" w:cs="宋体"/>
          <w:bCs/>
          <w:snapToGrid w:val="0"/>
          <w:color w:val="auto"/>
          <w:sz w:val="21"/>
          <w:szCs w:val="21"/>
          <w:highlight w:val="none"/>
        </w:rPr>
      </w:pPr>
      <w:r>
        <w:rPr>
          <w:rFonts w:hint="eastAsia" w:ascii="宋体" w:hAnsi="宋体" w:eastAsia="宋体" w:cs="宋体"/>
          <w:bCs/>
          <w:snapToGrid w:val="0"/>
          <w:color w:val="auto"/>
          <w:sz w:val="21"/>
          <w:szCs w:val="21"/>
          <w:highlight w:val="none"/>
        </w:rPr>
        <w:t>（2）评标时突发情况的补救方案</w:t>
      </w:r>
    </w:p>
    <w:p w14:paraId="434AAC01">
      <w:pPr>
        <w:keepNext w:val="0"/>
        <w:keepLines w:val="0"/>
        <w:pageBreakBefore w:val="0"/>
        <w:kinsoku/>
        <w:wordWrap w:val="0"/>
        <w:overflowPunct/>
        <w:topLinePunct w:val="0"/>
        <w:bidi w:val="0"/>
        <w:adjustRightInd w:val="0"/>
        <w:spacing w:line="400" w:lineRule="atLeast"/>
        <w:ind w:firstLine="420" w:firstLineChars="200"/>
        <w:outlineLvl w:val="9"/>
        <w:rPr>
          <w:rFonts w:hint="eastAsia" w:ascii="宋体" w:hAnsi="宋体" w:eastAsia="宋体" w:cs="宋体"/>
          <w:bCs/>
          <w:snapToGrid w:val="0"/>
          <w:color w:val="auto"/>
          <w:sz w:val="21"/>
          <w:szCs w:val="21"/>
          <w:highlight w:val="none"/>
        </w:rPr>
      </w:pPr>
      <w:r>
        <w:rPr>
          <w:rFonts w:hint="eastAsia" w:ascii="宋体" w:hAnsi="宋体" w:eastAsia="宋体" w:cs="宋体"/>
          <w:bCs/>
          <w:snapToGrid w:val="0"/>
          <w:color w:val="auto"/>
          <w:sz w:val="21"/>
          <w:szCs w:val="21"/>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30F1A372">
      <w:pPr>
        <w:pStyle w:val="93"/>
        <w:keepNext w:val="0"/>
        <w:keepLines w:val="0"/>
        <w:pageBreakBefore w:val="0"/>
        <w:widowControl w:val="0"/>
        <w:numPr>
          <w:ilvl w:val="0"/>
          <w:numId w:val="0"/>
        </w:numPr>
        <w:kinsoku/>
        <w:wordWrap w:val="0"/>
        <w:overflowPunct/>
        <w:topLinePunct w:val="0"/>
        <w:autoSpaceDE/>
        <w:autoSpaceDN/>
        <w:bidi w:val="0"/>
        <w:adjustRightInd w:val="0"/>
        <w:snapToGrid w:val="0"/>
        <w:spacing w:line="400" w:lineRule="atLeast"/>
        <w:ind w:firstLine="420" w:firstLineChars="200"/>
        <w:jc w:val="left"/>
        <w:textAlignment w:val="auto"/>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2"/>
          <w:sz w:val="21"/>
          <w:szCs w:val="21"/>
          <w:highlight w:val="none"/>
          <w:lang w:val="en-US" w:eastAsia="zh-CN" w:bidi="ar-SA"/>
        </w:rPr>
        <w:t>（3）除发生上述情况外，开标评标均以投标人通过交易平台网上递交的电子投标文件为准。</w:t>
      </w:r>
    </w:p>
    <w:p w14:paraId="54AA55C0">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12.</w:t>
      </w:r>
      <w:r>
        <w:rPr>
          <w:rFonts w:hint="eastAsia" w:ascii="宋体" w:hAnsi="宋体" w:eastAsia="宋体" w:cs="宋体"/>
          <w:b/>
          <w:bCs/>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Cs/>
          <w:snapToGrid w:val="0"/>
          <w:color w:val="auto"/>
          <w:kern w:val="2"/>
          <w:sz w:val="21"/>
          <w:szCs w:val="21"/>
          <w:highlight w:val="none"/>
          <w:lang w:val="en-US" w:eastAsia="zh-CN" w:bidi="ar-SA"/>
        </w:rPr>
        <w:t>招标人或其授权的招标代理机构核对、接收投标人递交的投标文件和相关资料后，应向投标人出具标明签收人和签收时间的凭证，并妥善保管。</w:t>
      </w:r>
    </w:p>
    <w:p w14:paraId="0A1AFEFE">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89" w:name="_Toc12279"/>
    </w:p>
    <w:p w14:paraId="6047A453">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1</w:t>
      </w:r>
      <w:r>
        <w:rPr>
          <w:rFonts w:hint="eastAsia" w:ascii="宋体" w:hAnsi="宋体" w:eastAsia="宋体" w:cs="宋体"/>
          <w:b/>
          <w:snapToGrid w:val="0"/>
          <w:color w:val="auto"/>
          <w:sz w:val="21"/>
          <w:szCs w:val="21"/>
          <w:highlight w:val="none"/>
          <w:lang w:val="en-US" w:eastAsia="zh-CN"/>
        </w:rPr>
        <w:t>3</w:t>
      </w:r>
      <w:r>
        <w:rPr>
          <w:rFonts w:hint="eastAsia" w:ascii="宋体" w:hAnsi="宋体" w:eastAsia="宋体" w:cs="宋体"/>
          <w:b/>
          <w:snapToGrid w:val="0"/>
          <w:color w:val="auto"/>
          <w:sz w:val="21"/>
          <w:szCs w:val="21"/>
          <w:highlight w:val="none"/>
        </w:rPr>
        <w:t>．投标文件的递交</w:t>
      </w:r>
      <w:bookmarkEnd w:id="89"/>
    </w:p>
    <w:p w14:paraId="190122D9">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13.1在投标文件提交截止时间前，投标人通过全国公共资源交易平台（广东省·韶关市）建设工程交易系统提交已加密投标文件。逾期提交的电子投标文件，全国公共资源交易平台（广东省·韶关市）建设工程交易系统将予以拒收。</w:t>
      </w:r>
    </w:p>
    <w:p w14:paraId="3CE81ED5">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13.2提交时间和地点：</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w:t>
      </w:r>
    </w:p>
    <w:p w14:paraId="623ADF39">
      <w:pPr>
        <w:pStyle w:val="11"/>
        <w:keepNext w:val="0"/>
        <w:keepLines w:val="0"/>
        <w:pageBreakBefore w:val="0"/>
        <w:kinsoku/>
        <w:overflowPunct/>
        <w:topLinePunct w:val="0"/>
        <w:bidi w:val="0"/>
        <w:spacing w:line="400" w:lineRule="atLeast"/>
        <w:ind w:firstLine="420" w:firstLineChars="200"/>
        <w:rPr>
          <w:rFonts w:hint="eastAsia" w:ascii="宋体" w:hAnsi="宋体" w:eastAsia="宋体" w:cs="宋体"/>
          <w:bCs/>
          <w:snapToGrid w:val="0"/>
          <w:color w:val="auto"/>
          <w:sz w:val="21"/>
          <w:szCs w:val="21"/>
          <w:highlight w:val="none"/>
        </w:rPr>
      </w:pPr>
      <w:r>
        <w:rPr>
          <w:rFonts w:hint="eastAsia" w:ascii="宋体" w:hAnsi="宋体" w:eastAsia="宋体" w:cs="宋体"/>
          <w:snapToGrid w:val="0"/>
          <w:color w:val="auto"/>
          <w:sz w:val="21"/>
          <w:szCs w:val="21"/>
          <w:highlight w:val="none"/>
        </w:rPr>
        <w:t>13.3</w:t>
      </w:r>
      <w:r>
        <w:rPr>
          <w:rFonts w:hint="eastAsia" w:ascii="宋体" w:hAnsi="宋体" w:eastAsia="宋体" w:cs="宋体"/>
          <w:snapToGrid w:val="0"/>
          <w:color w:val="auto"/>
          <w:kern w:val="0"/>
          <w:sz w:val="21"/>
          <w:szCs w:val="21"/>
          <w:highlight w:val="none"/>
        </w:rPr>
        <w:t>递交时间和地点：投标人如有招标文件要求提交的用于评审的证书、证件、证明原件（附一式两份清单），由投标人法定代表人或其委托代理人在指定的时间和地点递交（</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sz w:val="21"/>
          <w:szCs w:val="21"/>
          <w:highlight w:val="none"/>
        </w:rPr>
        <w:t xml:space="preserve"> </w:t>
      </w:r>
    </w:p>
    <w:p w14:paraId="32110EBD">
      <w:pPr>
        <w:pStyle w:val="11"/>
        <w:keepNext w:val="0"/>
        <w:keepLines w:val="0"/>
        <w:pageBreakBefore w:val="0"/>
        <w:kinsoku/>
        <w:overflowPunct/>
        <w:topLinePunct w:val="0"/>
        <w:bidi w:val="0"/>
        <w:spacing w:line="400" w:lineRule="atLeast"/>
        <w:ind w:firstLine="420" w:firstLineChars="200"/>
        <w:rPr>
          <w:rFonts w:hint="eastAsia" w:ascii="宋体" w:hAnsi="宋体" w:eastAsia="宋体" w:cs="宋体"/>
          <w:bCs/>
          <w:snapToGrid w:val="0"/>
          <w:color w:val="auto"/>
          <w:sz w:val="21"/>
          <w:szCs w:val="21"/>
          <w:highlight w:val="none"/>
        </w:rPr>
      </w:pPr>
      <w:r>
        <w:rPr>
          <w:rFonts w:hint="eastAsia" w:ascii="宋体" w:hAnsi="宋体" w:eastAsia="宋体" w:cs="宋体"/>
          <w:snapToGrid w:val="0"/>
          <w:color w:val="auto"/>
          <w:kern w:val="0"/>
          <w:sz w:val="21"/>
          <w:szCs w:val="21"/>
          <w:highlight w:val="none"/>
          <w:lang w:val="en-US" w:eastAsia="zh-CN" w:bidi="ar-SA"/>
        </w:rPr>
        <w:t xml:space="preserve">13.4 </w:t>
      </w:r>
      <w:r>
        <w:rPr>
          <w:rFonts w:hint="eastAsia" w:ascii="宋体" w:hAnsi="宋体" w:eastAsia="宋体" w:cs="宋体"/>
          <w:snapToGrid w:val="0"/>
          <w:color w:val="auto"/>
          <w:kern w:val="0"/>
          <w:sz w:val="21"/>
          <w:szCs w:val="21"/>
          <w:highlight w:val="none"/>
        </w:rPr>
        <w:t>代理机构对因不可抗力事件造成的投标文件的损坏、丢失的，不承担责任。</w:t>
      </w:r>
    </w:p>
    <w:p w14:paraId="6889361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snapToGrid w:val="0"/>
          <w:color w:val="auto"/>
          <w:kern w:val="0"/>
          <w:sz w:val="21"/>
          <w:szCs w:val="21"/>
          <w:highlight w:val="none"/>
        </w:rPr>
        <w:t>3.5</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rPr>
        <w:t>出现下述情形之一，属于未成功提交投标文件，按无效投标处理：</w:t>
      </w:r>
    </w:p>
    <w:p w14:paraId="5FB21C46">
      <w:pPr>
        <w:keepNext w:val="0"/>
        <w:keepLines w:val="0"/>
        <w:pageBreakBefore w:val="0"/>
        <w:numPr>
          <w:ilvl w:val="0"/>
          <w:numId w:val="2"/>
        </w:numPr>
        <w:kinsoku/>
        <w:overflowPunct/>
        <w:topLinePunct w:val="0"/>
        <w:bidi w:val="0"/>
        <w:spacing w:line="400" w:lineRule="atLeast"/>
        <w:ind w:firstLine="630" w:firstLineChars="3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至提交投标文件截止时，投标文件未完整上传及提交标书；</w:t>
      </w:r>
    </w:p>
    <w:p w14:paraId="22FEFFE6">
      <w:pPr>
        <w:keepNext w:val="0"/>
        <w:keepLines w:val="0"/>
        <w:pageBreakBefore w:val="0"/>
        <w:numPr>
          <w:ilvl w:val="0"/>
          <w:numId w:val="2"/>
        </w:numPr>
        <w:kinsoku/>
        <w:overflowPunct/>
        <w:topLinePunct w:val="0"/>
        <w:bidi w:val="0"/>
        <w:spacing w:line="400" w:lineRule="atLeast"/>
        <w:ind w:firstLine="630" w:firstLineChars="3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解密失败且在规定时间内未重新提交投标文件的</w:t>
      </w:r>
      <w:r>
        <w:rPr>
          <w:rFonts w:hint="eastAsia" w:ascii="宋体" w:hAnsi="宋体" w:eastAsia="宋体" w:cs="宋体"/>
          <w:snapToGrid w:val="0"/>
          <w:color w:val="auto"/>
          <w:kern w:val="0"/>
          <w:sz w:val="21"/>
          <w:szCs w:val="21"/>
          <w:highlight w:val="none"/>
          <w:lang w:eastAsia="zh-CN"/>
        </w:rPr>
        <w:t>；</w:t>
      </w:r>
    </w:p>
    <w:p w14:paraId="1885A00A">
      <w:pPr>
        <w:keepNext w:val="0"/>
        <w:keepLines w:val="0"/>
        <w:pageBreakBefore w:val="0"/>
        <w:numPr>
          <w:ilvl w:val="0"/>
          <w:numId w:val="2"/>
        </w:numPr>
        <w:kinsoku/>
        <w:overflowPunct/>
        <w:topLinePunct w:val="0"/>
        <w:bidi w:val="0"/>
        <w:spacing w:line="400" w:lineRule="atLeast"/>
        <w:ind w:firstLine="630" w:firstLineChars="3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投标文件损坏或格式不正确的；</w:t>
      </w:r>
    </w:p>
    <w:p w14:paraId="74BFBBF3">
      <w:pPr>
        <w:pStyle w:val="11"/>
        <w:keepNext w:val="0"/>
        <w:keepLines w:val="0"/>
        <w:pageBreakBefore w:val="0"/>
        <w:kinsoku/>
        <w:overflowPunct/>
        <w:topLinePunct w:val="0"/>
        <w:autoSpaceDE/>
        <w:autoSpaceDN/>
        <w:bidi w:val="0"/>
        <w:spacing w:line="4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招标人或其授权的招标代理机构核对、接收投标人递交的投标相关资料后，应向投标人出具标明签收人和签收时间的凭证，并妥善保管。</w:t>
      </w:r>
    </w:p>
    <w:p w14:paraId="55CEA2D8">
      <w:pPr>
        <w:keepNext w:val="0"/>
        <w:keepLines w:val="0"/>
        <w:pageBreakBefore w:val="0"/>
        <w:widowControl/>
        <w:suppressLineNumbers w:val="0"/>
        <w:kinsoku/>
        <w:overflowPunct/>
        <w:topLinePunct w:val="0"/>
        <w:bidi w:val="0"/>
        <w:spacing w:line="400" w:lineRule="atLeas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13.7</w:t>
      </w:r>
      <w:r>
        <w:rPr>
          <w:rFonts w:hint="eastAsia" w:ascii="宋体" w:hAnsi="宋体" w:eastAsia="宋体" w:cs="宋体"/>
          <w:color w:val="auto"/>
          <w:kern w:val="0"/>
          <w:sz w:val="21"/>
          <w:szCs w:val="21"/>
          <w:highlight w:val="none"/>
          <w:lang w:val="en-US" w:eastAsia="zh-CN" w:bidi="ar"/>
        </w:rPr>
        <w:t>本次招标投标有效期为</w:t>
      </w:r>
      <w:r>
        <w:rPr>
          <w:rFonts w:hint="eastAsia" w:ascii="宋体" w:hAnsi="宋体" w:eastAsia="宋体" w:cs="宋体"/>
          <w:color w:val="auto"/>
          <w:kern w:val="0"/>
          <w:sz w:val="21"/>
          <w:szCs w:val="21"/>
          <w:highlight w:val="none"/>
          <w:u w:val="single"/>
          <w:lang w:val="en-US" w:eastAsia="zh-CN" w:bidi="ar"/>
        </w:rPr>
        <w:t xml:space="preserve"> 90 </w:t>
      </w:r>
      <w:r>
        <w:rPr>
          <w:rFonts w:hint="eastAsia" w:ascii="宋体" w:hAnsi="宋体" w:eastAsia="宋体" w:cs="宋体"/>
          <w:color w:val="auto"/>
          <w:kern w:val="0"/>
          <w:sz w:val="21"/>
          <w:szCs w:val="21"/>
          <w:highlight w:val="none"/>
          <w:lang w:val="en-US" w:eastAsia="zh-CN" w:bidi="ar"/>
        </w:rPr>
        <w:t>个日历天，投标有效期从提交投标文件的截止之日起计算。在此期间，投标人不得撤销或修改其投标文件，否则其投标保证不予退还。</w:t>
      </w:r>
    </w:p>
    <w:p w14:paraId="3D9C4BED">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90" w:name="_Toc8165"/>
    </w:p>
    <w:p w14:paraId="2BB6722E">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1</w:t>
      </w:r>
      <w:r>
        <w:rPr>
          <w:rFonts w:hint="eastAsia" w:ascii="宋体" w:hAnsi="宋体" w:eastAsia="宋体" w:cs="宋体"/>
          <w:b/>
          <w:snapToGrid w:val="0"/>
          <w:color w:val="auto"/>
          <w:sz w:val="21"/>
          <w:szCs w:val="21"/>
          <w:highlight w:val="none"/>
          <w:lang w:val="en-US" w:eastAsia="zh-CN"/>
        </w:rPr>
        <w:t>4</w:t>
      </w:r>
      <w:r>
        <w:rPr>
          <w:rFonts w:hint="eastAsia" w:ascii="宋体" w:hAnsi="宋体" w:eastAsia="宋体" w:cs="宋体"/>
          <w:b/>
          <w:snapToGrid w:val="0"/>
          <w:color w:val="auto"/>
          <w:sz w:val="21"/>
          <w:szCs w:val="21"/>
          <w:highlight w:val="none"/>
        </w:rPr>
        <w:t>．开标</w:t>
      </w:r>
      <w:bookmarkEnd w:id="90"/>
    </w:p>
    <w:p w14:paraId="26C4B294">
      <w:pPr>
        <w:keepNext w:val="0"/>
        <w:keepLines w:val="0"/>
        <w:pageBreakBefore w:val="0"/>
        <w:widowControl/>
        <w:suppressLineNumbers w:val="0"/>
        <w:kinsoku/>
        <w:overflowPunct/>
        <w:topLinePunct w:val="0"/>
        <w:bidi w:val="0"/>
        <w:spacing w:line="400" w:lineRule="atLeas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14.1</w:t>
      </w:r>
      <w:r>
        <w:rPr>
          <w:rFonts w:hint="eastAsia" w:ascii="宋体" w:hAnsi="宋体" w:eastAsia="宋体" w:cs="宋体"/>
          <w:snapToGrid w:val="0"/>
          <w:color w:val="auto"/>
          <w:kern w:val="0"/>
          <w:sz w:val="21"/>
          <w:szCs w:val="21"/>
          <w:highlight w:val="none"/>
        </w:rPr>
        <w:t xml:space="preserve"> 招标人邀请所有正确获取招标文件、缴纳投标保证、电子投标的投标人参加开标，投标人可自主决定是否参加。投标人无须进行现场签到，可登录交易平台观看开标实况、提出异议或进行澄清、确认等操作，具体按招标文件和系统操作手册为准。</w:t>
      </w:r>
      <w:r>
        <w:rPr>
          <w:rFonts w:hint="eastAsia" w:ascii="宋体" w:hAnsi="宋体" w:eastAsia="宋体" w:cs="宋体"/>
          <w:color w:val="auto"/>
          <w:kern w:val="0"/>
          <w:sz w:val="21"/>
          <w:szCs w:val="21"/>
          <w:highlight w:val="none"/>
          <w:lang w:val="en-US" w:eastAsia="zh-CN" w:bidi="ar"/>
        </w:rPr>
        <w:t>投标人不参加开标的，视其默认开标结果，以及放弃在开标期间见证、监督、投诉、申辩的权利。</w:t>
      </w:r>
    </w:p>
    <w:p w14:paraId="522C819A">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14.1.1</w:t>
      </w:r>
      <w:r>
        <w:rPr>
          <w:rFonts w:hint="eastAsia" w:ascii="宋体" w:hAnsi="宋体" w:eastAsia="宋体" w:cs="宋体"/>
          <w:snapToGrid w:val="0"/>
          <w:color w:val="auto"/>
          <w:kern w:val="0"/>
          <w:sz w:val="21"/>
          <w:szCs w:val="21"/>
          <w:highlight w:val="none"/>
        </w:rPr>
        <w:t xml:space="preserve"> 开标时间和地点：</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w:t>
      </w:r>
    </w:p>
    <w:p w14:paraId="705ED35C">
      <w:pPr>
        <w:pStyle w:val="93"/>
        <w:keepNext w:val="0"/>
        <w:keepLines w:val="0"/>
        <w:pageBreakBefore w:val="0"/>
        <w:kinsoku/>
        <w:wordWrap w:val="0"/>
        <w:overflowPunct/>
        <w:topLinePunct w:val="0"/>
        <w:bidi w:val="0"/>
        <w:adjustRightInd w:val="0"/>
        <w:snapToGrid w:val="0"/>
        <w:spacing w:line="400" w:lineRule="atLeast"/>
        <w:ind w:firstLine="480"/>
        <w:jc w:val="lef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14.1.2</w:t>
      </w:r>
      <w:r>
        <w:rPr>
          <w:rFonts w:hint="eastAsia" w:ascii="宋体" w:hAnsi="宋体" w:eastAsia="宋体" w:cs="宋体"/>
          <w:snapToGrid w:val="0"/>
          <w:color w:val="auto"/>
          <w:kern w:val="0"/>
          <w:sz w:val="21"/>
          <w:szCs w:val="21"/>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“重要事项时间地点一览表”）至电子投标截止时间（</w:t>
      </w:r>
      <w:r>
        <w:rPr>
          <w:rFonts w:hint="eastAsia" w:ascii="宋体" w:hAnsi="宋体" w:eastAsia="宋体" w:cs="宋体"/>
          <w:snapToGrid w:val="0"/>
          <w:color w:val="auto"/>
          <w:kern w:val="0"/>
          <w:sz w:val="21"/>
          <w:szCs w:val="21"/>
          <w:highlight w:val="none"/>
          <w:lang w:eastAsia="zh-CN"/>
        </w:rPr>
        <w:t>见本招标文件</w:t>
      </w:r>
      <w:r>
        <w:rPr>
          <w:rFonts w:hint="eastAsia" w:ascii="宋体" w:hAnsi="宋体" w:eastAsia="宋体" w:cs="宋体"/>
          <w:snapToGrid w:val="0"/>
          <w:color w:val="auto"/>
          <w:kern w:val="0"/>
          <w:sz w:val="21"/>
          <w:szCs w:val="21"/>
          <w:highlight w:val="none"/>
        </w:rPr>
        <w:t>“重要事项时间地点一览表”）期间登录</w:t>
      </w:r>
      <w:r>
        <w:rPr>
          <w:rFonts w:hint="eastAsia" w:ascii="宋体" w:hAnsi="宋体" w:eastAsia="宋体" w:cs="宋体"/>
          <w:snapToGrid w:val="0"/>
          <w:color w:val="auto"/>
          <w:kern w:val="0"/>
          <w:sz w:val="21"/>
          <w:szCs w:val="21"/>
          <w:highlight w:val="none"/>
          <w:lang w:eastAsia="zh-CN"/>
        </w:rPr>
        <w:t>全国公共资源交易平台（广东省·韶关市）（https://ygp.gdzwfw.gov.cn/ggzy-portal/#/440200/index）</w:t>
      </w:r>
      <w:r>
        <w:rPr>
          <w:rFonts w:hint="eastAsia" w:ascii="宋体" w:hAnsi="宋体" w:eastAsia="宋体" w:cs="宋体"/>
          <w:snapToGrid w:val="0"/>
          <w:color w:val="auto"/>
          <w:kern w:val="0"/>
          <w:sz w:val="21"/>
          <w:szCs w:val="21"/>
          <w:highlight w:val="none"/>
        </w:rPr>
        <w:t>查询是否发布了取消开标活动的相关信息。</w:t>
      </w:r>
    </w:p>
    <w:p w14:paraId="58A7D8E3">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14.1.3</w:t>
      </w:r>
      <w:r>
        <w:rPr>
          <w:rFonts w:hint="eastAsia" w:ascii="宋体" w:hAnsi="宋体" w:eastAsia="宋体" w:cs="宋体"/>
          <w:snapToGrid w:val="0"/>
          <w:color w:val="auto"/>
          <w:kern w:val="0"/>
          <w:sz w:val="21"/>
          <w:szCs w:val="21"/>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025B36A">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14.2</w:t>
      </w:r>
      <w:r>
        <w:rPr>
          <w:rFonts w:hint="eastAsia" w:ascii="宋体" w:hAnsi="宋体" w:eastAsia="宋体" w:cs="宋体"/>
          <w:snapToGrid w:val="0"/>
          <w:color w:val="auto"/>
          <w:kern w:val="0"/>
          <w:sz w:val="21"/>
          <w:szCs w:val="21"/>
          <w:highlight w:val="none"/>
        </w:rPr>
        <w:t xml:space="preserve"> 开标程序</w:t>
      </w:r>
      <w:bookmarkStart w:id="91" w:name="_Toc19190"/>
    </w:p>
    <w:p w14:paraId="17557877">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（1）主持人（招标人代表或招标人授权的招标代理机构人员）宣读开标纪律。</w:t>
      </w:r>
      <w:bookmarkEnd w:id="91"/>
      <w:bookmarkStart w:id="92" w:name="_Toc30079"/>
    </w:p>
    <w:p w14:paraId="359310F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（2）主持人宣布唱标人、记录人、见证人、监督人等有关人员姓名。</w:t>
      </w:r>
      <w:bookmarkEnd w:id="92"/>
      <w:bookmarkStart w:id="93" w:name="_Toc23816"/>
    </w:p>
    <w:p w14:paraId="2BCD17D8">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val="en-US" w:eastAsia="zh-CN"/>
        </w:rPr>
        <w:t>唱标人公布在投标截止时间前进行投标文件的投标人数量和名称。</w:t>
      </w:r>
    </w:p>
    <w:bookmarkEnd w:id="93"/>
    <w:p w14:paraId="417CC17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bookmarkStart w:id="94" w:name="_Toc21677"/>
      <w:r>
        <w:rPr>
          <w:rFonts w:hint="eastAsia" w:ascii="宋体" w:hAnsi="宋体" w:eastAsia="宋体" w:cs="宋体"/>
          <w:snapToGrid w:val="0"/>
          <w:color w:val="auto"/>
          <w:kern w:val="0"/>
          <w:sz w:val="21"/>
          <w:szCs w:val="21"/>
          <w:highlight w:val="none"/>
        </w:rPr>
        <w:t>（4）招标代理机构在交易场所工作人员见证下，对投标人的电子投标信息进行解密，建设工程交易系统自动生成《投标保证缴纳情况表》和《开标一览表》。</w:t>
      </w:r>
      <w:bookmarkEnd w:id="94"/>
      <w:bookmarkStart w:id="95" w:name="_Toc30701"/>
    </w:p>
    <w:p w14:paraId="789B7E7E">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bookmarkEnd w:id="95"/>
    </w:p>
    <w:p w14:paraId="3F73DF8E">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（5））招标人代表、唱标人、记录人等有关人员在《投标保证缴纳情况表》以及《开标一览表》上签字确认。</w:t>
      </w:r>
    </w:p>
    <w:p w14:paraId="6C9E9675">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w:t>
      </w:r>
      <w:r>
        <w:rPr>
          <w:rFonts w:hint="eastAsia" w:ascii="宋体" w:hAnsi="宋体" w:eastAsia="宋体" w:cs="宋体"/>
          <w:b w:val="0"/>
          <w:bCs w:val="0"/>
          <w:snapToGrid w:val="0"/>
          <w:color w:val="auto"/>
          <w:kern w:val="0"/>
          <w:sz w:val="21"/>
          <w:szCs w:val="21"/>
          <w:highlight w:val="none"/>
          <w:lang w:val="en-US" w:eastAsia="zh-CN"/>
        </w:rPr>
        <w:t>6</w:t>
      </w:r>
      <w:r>
        <w:rPr>
          <w:rFonts w:hint="eastAsia" w:ascii="宋体" w:hAnsi="宋体" w:eastAsia="宋体" w:cs="宋体"/>
          <w:b w:val="0"/>
          <w:bCs w:val="0"/>
          <w:snapToGrid w:val="0"/>
          <w:color w:val="auto"/>
          <w:kern w:val="0"/>
          <w:sz w:val="21"/>
          <w:szCs w:val="21"/>
          <w:highlight w:val="none"/>
        </w:rPr>
        <w:t>）主持人宣布有关注意事项后，宣布开标结束。</w:t>
      </w:r>
    </w:p>
    <w:p w14:paraId="1BE68B3B">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14.3</w:t>
      </w:r>
      <w:r>
        <w:rPr>
          <w:rFonts w:hint="eastAsia" w:ascii="宋体" w:hAnsi="宋体" w:eastAsia="宋体" w:cs="宋体"/>
          <w:snapToGrid w:val="0"/>
          <w:color w:val="auto"/>
          <w:kern w:val="0"/>
          <w:sz w:val="21"/>
          <w:szCs w:val="21"/>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1FD79838">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14.4</w:t>
      </w:r>
      <w:r>
        <w:rPr>
          <w:rFonts w:hint="eastAsia" w:ascii="宋体" w:hAnsi="宋体" w:eastAsia="宋体" w:cs="宋体"/>
          <w:snapToGrid w:val="0"/>
          <w:color w:val="auto"/>
          <w:kern w:val="0"/>
          <w:sz w:val="21"/>
          <w:szCs w:val="21"/>
          <w:highlight w:val="none"/>
        </w:rPr>
        <w:t xml:space="preserve"> </w:t>
      </w:r>
      <w:bookmarkStart w:id="96" w:name="_Hlt127093805"/>
      <w:bookmarkEnd w:id="96"/>
      <w:r>
        <w:rPr>
          <w:rFonts w:hint="eastAsia" w:ascii="宋体" w:hAnsi="宋体" w:eastAsia="宋体" w:cs="宋体"/>
          <w:snapToGrid w:val="0"/>
          <w:color w:val="auto"/>
          <w:kern w:val="0"/>
          <w:sz w:val="21"/>
          <w:szCs w:val="21"/>
          <w:highlight w:val="none"/>
        </w:rPr>
        <w:t>招标代理机构将资料原件</w:t>
      </w:r>
      <w:r>
        <w:rPr>
          <w:rFonts w:hint="eastAsia" w:ascii="宋体" w:hAnsi="宋体" w:eastAsia="宋体" w:cs="宋体"/>
          <w:snapToGrid w:val="0"/>
          <w:color w:val="auto"/>
          <w:kern w:val="0"/>
          <w:sz w:val="21"/>
          <w:szCs w:val="21"/>
          <w:highlight w:val="none"/>
          <w:lang w:eastAsia="zh-CN"/>
        </w:rPr>
        <w:t>（如有）</w:t>
      </w:r>
      <w:r>
        <w:rPr>
          <w:rFonts w:hint="eastAsia" w:ascii="宋体" w:hAnsi="宋体" w:eastAsia="宋体" w:cs="宋体"/>
          <w:snapToGrid w:val="0"/>
          <w:color w:val="auto"/>
          <w:kern w:val="0"/>
          <w:sz w:val="21"/>
          <w:szCs w:val="21"/>
          <w:highlight w:val="none"/>
        </w:rPr>
        <w:t>、《开标一览表》以及其他有关资料移交评标委员会。</w:t>
      </w:r>
    </w:p>
    <w:p w14:paraId="3C764F8A">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bookmarkStart w:id="97" w:name="_Toc24414"/>
    </w:p>
    <w:p w14:paraId="3766E29B">
      <w:pPr>
        <w:pStyle w:val="4"/>
        <w:keepNext w:val="0"/>
        <w:keepLines w:val="0"/>
        <w:pageBreakBefore w:val="0"/>
        <w:kinsoku/>
        <w:wordWrap w:val="0"/>
        <w:overflowPunct/>
        <w:topLinePunct w:val="0"/>
        <w:autoSpaceDE/>
        <w:autoSpaceDN/>
        <w:bidi w:val="0"/>
        <w:snapToGrid w:val="0"/>
        <w:spacing w:line="400" w:lineRule="atLeast"/>
        <w:ind w:firstLine="480"/>
        <w:jc w:val="both"/>
        <w:rPr>
          <w:rFonts w:hint="eastAsia" w:ascii="宋体" w:hAnsi="宋体" w:eastAsia="宋体" w:cs="宋体"/>
          <w:b/>
          <w:snapToGrid w:val="0"/>
          <w:color w:val="auto"/>
          <w:sz w:val="21"/>
          <w:szCs w:val="21"/>
          <w:highlight w:val="none"/>
        </w:rPr>
      </w:pPr>
      <w:r>
        <w:rPr>
          <w:rFonts w:hint="eastAsia" w:ascii="宋体" w:hAnsi="宋体" w:eastAsia="宋体" w:cs="宋体"/>
          <w:b/>
          <w:snapToGrid w:val="0"/>
          <w:color w:val="auto"/>
          <w:sz w:val="21"/>
          <w:szCs w:val="21"/>
          <w:highlight w:val="none"/>
        </w:rPr>
        <w:t>15．评标</w:t>
      </w:r>
      <w:bookmarkEnd w:id="97"/>
    </w:p>
    <w:p w14:paraId="1F7D6E88">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个中标候选人，并向招标人提交由全体评标委员会成员签字的评标报告。</w:t>
      </w:r>
    </w:p>
    <w:p w14:paraId="33E40F46">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w:t>
      </w:r>
      <w:r>
        <w:rPr>
          <w:rFonts w:hint="eastAsia" w:ascii="宋体" w:hAnsi="宋体" w:eastAsia="宋体" w:cs="宋体"/>
          <w:bCs/>
          <w:snapToGrid w:val="0"/>
          <w:color w:val="auto"/>
          <w:kern w:val="0"/>
          <w:sz w:val="21"/>
          <w:szCs w:val="21"/>
          <w:highlight w:val="none"/>
        </w:rPr>
        <w:t xml:space="preserve"> 评标委员会</w:t>
      </w:r>
    </w:p>
    <w:p w14:paraId="36396643">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15.1.1</w:t>
      </w:r>
      <w:r>
        <w:rPr>
          <w:rFonts w:hint="eastAsia" w:ascii="宋体" w:hAnsi="宋体" w:eastAsia="宋体" w:cs="宋体"/>
          <w:snapToGrid w:val="0"/>
          <w:color w:val="auto"/>
          <w:kern w:val="0"/>
          <w:sz w:val="21"/>
          <w:szCs w:val="21"/>
          <w:highlight w:val="none"/>
        </w:rPr>
        <w:t xml:space="preserve"> 评标委员会由</w:t>
      </w:r>
      <w:r>
        <w:rPr>
          <w:rFonts w:hint="eastAsia" w:ascii="宋体" w:hAnsi="宋体" w:eastAsia="宋体" w:cs="宋体"/>
          <w:snapToGrid w:val="0"/>
          <w:color w:val="auto"/>
          <w:kern w:val="0"/>
          <w:sz w:val="21"/>
          <w:szCs w:val="21"/>
          <w:highlight w:val="none"/>
          <w:u w:val="single"/>
        </w:rPr>
        <w:t xml:space="preserve"> 5 </w:t>
      </w:r>
      <w:r>
        <w:rPr>
          <w:rFonts w:hint="eastAsia" w:ascii="宋体" w:hAnsi="宋体" w:eastAsia="宋体" w:cs="宋体"/>
          <w:snapToGrid w:val="0"/>
          <w:color w:val="auto"/>
          <w:kern w:val="0"/>
          <w:sz w:val="21"/>
          <w:szCs w:val="21"/>
          <w:highlight w:val="none"/>
        </w:rPr>
        <w:t>人组成，其中招标人代表</w:t>
      </w:r>
      <w:r>
        <w:rPr>
          <w:rFonts w:hint="eastAsia" w:ascii="宋体" w:hAnsi="宋体" w:eastAsia="宋体" w:cs="宋体"/>
          <w:snapToGrid w:val="0"/>
          <w:color w:val="auto"/>
          <w:kern w:val="0"/>
          <w:sz w:val="21"/>
          <w:szCs w:val="21"/>
          <w:highlight w:val="none"/>
          <w:u w:val="single"/>
        </w:rPr>
        <w:t xml:space="preserve"> 0 </w:t>
      </w:r>
      <w:r>
        <w:rPr>
          <w:rFonts w:hint="eastAsia" w:ascii="宋体" w:hAnsi="宋体" w:eastAsia="宋体" w:cs="宋体"/>
          <w:snapToGrid w:val="0"/>
          <w:color w:val="auto"/>
          <w:kern w:val="0"/>
          <w:sz w:val="21"/>
          <w:szCs w:val="21"/>
          <w:highlight w:val="none"/>
        </w:rPr>
        <w:t>人，专家</w:t>
      </w:r>
      <w:r>
        <w:rPr>
          <w:rFonts w:hint="eastAsia" w:ascii="宋体" w:hAnsi="宋体" w:eastAsia="宋体" w:cs="宋体"/>
          <w:snapToGrid w:val="0"/>
          <w:color w:val="auto"/>
          <w:kern w:val="0"/>
          <w:sz w:val="21"/>
          <w:szCs w:val="21"/>
          <w:highlight w:val="none"/>
          <w:u w:val="single"/>
        </w:rPr>
        <w:t xml:space="preserve"> 5 </w:t>
      </w:r>
      <w:r>
        <w:rPr>
          <w:rFonts w:hint="eastAsia" w:ascii="宋体" w:hAnsi="宋体" w:eastAsia="宋体" w:cs="宋体"/>
          <w:snapToGrid w:val="0"/>
          <w:color w:val="auto"/>
          <w:kern w:val="0"/>
          <w:sz w:val="21"/>
          <w:szCs w:val="21"/>
          <w:highlight w:val="none"/>
        </w:rPr>
        <w:t>人。专家从</w:t>
      </w:r>
      <w:r>
        <w:rPr>
          <w:rFonts w:hint="eastAsia" w:ascii="宋体" w:hAnsi="宋体" w:eastAsia="宋体" w:cs="宋体"/>
          <w:snapToGrid w:val="0"/>
          <w:color w:val="auto"/>
          <w:kern w:val="0"/>
          <w:sz w:val="21"/>
          <w:szCs w:val="21"/>
          <w:highlight w:val="none"/>
          <w:u w:val="single"/>
        </w:rPr>
        <w:t>广东省综合评标评审专家库-韶关区域</w:t>
      </w:r>
      <w:r>
        <w:rPr>
          <w:rFonts w:hint="eastAsia" w:ascii="宋体" w:hAnsi="宋体" w:eastAsia="宋体" w:cs="宋体"/>
          <w:snapToGrid w:val="0"/>
          <w:color w:val="auto"/>
          <w:kern w:val="0"/>
          <w:sz w:val="21"/>
          <w:szCs w:val="21"/>
          <w:highlight w:val="none"/>
        </w:rPr>
        <w:t>中随机抽取，其中技术类专家</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人，经济类专家</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人。评标委员会设负责人，由评标委员会成员推举产生。评标委员会负责人与评标委员会的其他成员有同等的表决权。</w:t>
      </w:r>
    </w:p>
    <w:p w14:paraId="717235AF">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15.1.2</w:t>
      </w:r>
      <w:r>
        <w:rPr>
          <w:rFonts w:hint="eastAsia" w:ascii="宋体" w:hAnsi="宋体" w:eastAsia="宋体" w:cs="宋体"/>
          <w:snapToGrid w:val="0"/>
          <w:color w:val="auto"/>
          <w:kern w:val="0"/>
          <w:sz w:val="21"/>
          <w:szCs w:val="21"/>
          <w:highlight w:val="none"/>
        </w:rPr>
        <w:t xml:space="preserve"> 评标委员会应认真、公正、诚实、廉洁地履行职责。有下列情形之一的，不得担任评标委员会成员：</w:t>
      </w:r>
    </w:p>
    <w:p w14:paraId="4CE036AC">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（1）投标人或投标人主要负责人的近亲属；</w:t>
      </w:r>
    </w:p>
    <w:p w14:paraId="4199348A">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（2）项目主管部门或者行政监督部门的人员；</w:t>
      </w:r>
    </w:p>
    <w:p w14:paraId="5A1181F6">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（3）与投标人有经济利益关系，可能影响对投标公正评审的；</w:t>
      </w:r>
    </w:p>
    <w:p w14:paraId="35F0FADB">
      <w:pPr>
        <w:keepNext w:val="0"/>
        <w:keepLines w:val="0"/>
        <w:pageBreakBefore w:val="0"/>
        <w:kinsoku/>
        <w:wordWrap w:val="0"/>
        <w:overflowPunct/>
        <w:topLinePunct w:val="0"/>
        <w:bidi w:val="0"/>
        <w:adjustRightInd w:val="0"/>
        <w:snapToGrid w:val="0"/>
        <w:spacing w:line="400" w:lineRule="atLeas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（4）曾因在招标、评标以及其他与招标投标有关活动中从事违法行为而受过行政处罚或刑事处罚的。</w:t>
      </w:r>
    </w:p>
    <w:p w14:paraId="5217D251">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评标委员会成员有以上情形之一的，应主动提出回避。</w:t>
      </w:r>
    </w:p>
    <w:p w14:paraId="1178E304">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15.1.3</w:t>
      </w:r>
      <w:r>
        <w:rPr>
          <w:rFonts w:hint="eastAsia" w:ascii="宋体" w:hAnsi="宋体" w:eastAsia="宋体" w:cs="宋体"/>
          <w:snapToGrid w:val="0"/>
          <w:color w:val="auto"/>
          <w:kern w:val="0"/>
          <w:sz w:val="21"/>
          <w:szCs w:val="21"/>
          <w:highlight w:val="none"/>
        </w:rPr>
        <w:t xml:space="preserve"> 评标全过程实行封闭式管理，在中标结果公布前，禁止评标委员会成员以任何方式私下接触投标人。</w:t>
      </w:r>
    </w:p>
    <w:p w14:paraId="4DCEDEFE">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15.1.4</w:t>
      </w:r>
      <w:r>
        <w:rPr>
          <w:rFonts w:hint="eastAsia" w:ascii="宋体" w:hAnsi="宋体" w:eastAsia="宋体" w:cs="宋体"/>
          <w:snapToGrid w:val="0"/>
          <w:color w:val="auto"/>
          <w:kern w:val="0"/>
          <w:sz w:val="21"/>
          <w:szCs w:val="21"/>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4476821F">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15.1.5</w:t>
      </w:r>
      <w:r>
        <w:rPr>
          <w:rFonts w:hint="eastAsia" w:ascii="宋体" w:hAnsi="宋体" w:eastAsia="宋体" w:cs="宋体"/>
          <w:snapToGrid w:val="0"/>
          <w:color w:val="auto"/>
          <w:kern w:val="0"/>
          <w:sz w:val="21"/>
          <w:szCs w:val="21"/>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2831DB7B">
      <w:pPr>
        <w:keepNext w:val="0"/>
        <w:keepLines w:val="0"/>
        <w:pageBreakBefore w:val="0"/>
        <w:kinsoku/>
        <w:wordWrap w:val="0"/>
        <w:overflowPunct/>
        <w:topLinePunct w:val="0"/>
        <w:bidi w:val="0"/>
        <w:adjustRightInd w:val="0"/>
        <w:snapToGrid w:val="0"/>
        <w:spacing w:line="400" w:lineRule="atLeast"/>
        <w:ind w:firstLine="561"/>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15.2</w:t>
      </w:r>
      <w:r>
        <w:rPr>
          <w:rFonts w:hint="eastAsia" w:ascii="宋体" w:hAnsi="宋体" w:eastAsia="宋体" w:cs="宋体"/>
          <w:bCs/>
          <w:snapToGrid w:val="0"/>
          <w:color w:val="auto"/>
          <w:kern w:val="0"/>
          <w:sz w:val="21"/>
          <w:szCs w:val="21"/>
          <w:highlight w:val="none"/>
        </w:rPr>
        <w:t xml:space="preserve"> 评标方法</w:t>
      </w:r>
    </w:p>
    <w:p w14:paraId="38F1207E">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根据有关法律、法规的相关规定，结合本招标项目资金来源和规模特点，本次招标采用</w:t>
      </w:r>
      <w:r>
        <w:rPr>
          <w:rFonts w:hint="eastAsia" w:ascii="宋体" w:hAnsi="宋体" w:eastAsia="宋体" w:cs="宋体"/>
          <w:b/>
          <w:bCs/>
          <w:snapToGrid w:val="0"/>
          <w:color w:val="auto"/>
          <w:kern w:val="0"/>
          <w:sz w:val="21"/>
          <w:szCs w:val="21"/>
          <w:highlight w:val="none"/>
          <w:u w:val="single"/>
        </w:rPr>
        <w:t>综合评估法</w:t>
      </w:r>
      <w:r>
        <w:rPr>
          <w:rFonts w:hint="eastAsia" w:ascii="宋体" w:hAnsi="宋体" w:eastAsia="宋体" w:cs="宋体"/>
          <w:snapToGrid w:val="0"/>
          <w:color w:val="auto"/>
          <w:kern w:val="0"/>
          <w:sz w:val="21"/>
          <w:szCs w:val="21"/>
          <w:highlight w:val="none"/>
        </w:rPr>
        <w:t>进行评标。</w:t>
      </w:r>
    </w:p>
    <w:p w14:paraId="78EAB09F">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15.3 </w:t>
      </w:r>
      <w:r>
        <w:rPr>
          <w:rFonts w:hint="eastAsia" w:ascii="宋体" w:hAnsi="宋体" w:eastAsia="宋体" w:cs="宋体"/>
          <w:snapToGrid w:val="0"/>
          <w:color w:val="auto"/>
          <w:kern w:val="0"/>
          <w:sz w:val="21"/>
          <w:szCs w:val="21"/>
          <w:highlight w:val="none"/>
        </w:rPr>
        <w:t>评审范围</w:t>
      </w:r>
    </w:p>
    <w:p w14:paraId="6119F0DA">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15.3.1 评标方法采用“综合评估法”的，评标委员会应对所有投标人的投标文件进行评审。</w:t>
      </w:r>
    </w:p>
    <w:p w14:paraId="1FE55A83">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w:t>
      </w:r>
      <w:r>
        <w:rPr>
          <w:rFonts w:hint="eastAsia" w:ascii="宋体" w:hAnsi="宋体" w:eastAsia="宋体" w:cs="宋体"/>
          <w:snapToGrid w:val="0"/>
          <w:color w:val="auto"/>
          <w:kern w:val="0"/>
          <w:sz w:val="21"/>
          <w:szCs w:val="21"/>
          <w:highlight w:val="none"/>
        </w:rPr>
        <w:t xml:space="preserve"> 初步评审阶段</w:t>
      </w:r>
    </w:p>
    <w:p w14:paraId="2DFA053A">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初步评审阶段分为资格评审、形式评审和响应性评审三个环节。</w:t>
      </w:r>
    </w:p>
    <w:p w14:paraId="32B8C248">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15.4.1</w:t>
      </w:r>
      <w:r>
        <w:rPr>
          <w:rFonts w:hint="eastAsia" w:ascii="宋体" w:hAnsi="宋体" w:eastAsia="宋体" w:cs="宋体"/>
          <w:snapToGrid w:val="0"/>
          <w:color w:val="auto"/>
          <w:kern w:val="0"/>
          <w:sz w:val="21"/>
          <w:szCs w:val="21"/>
          <w:highlight w:val="none"/>
        </w:rPr>
        <w:t xml:space="preserve"> 资格评审环节</w:t>
      </w:r>
    </w:p>
    <w:p w14:paraId="015180FC">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资格评审事项包括：</w:t>
      </w:r>
    </w:p>
    <w:p w14:paraId="6D7B449D">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（1）投标人是否符合本章第三节第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 xml:space="preserve">条“禁止投标条款”规定。如果“禁止投标条款”包括失信惩戒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 </w:t>
      </w:r>
    </w:p>
    <w:p w14:paraId="61D6A1DA">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（2）投标人名称是否与营业执照、资质证书、安全生产许可证一致。</w:t>
      </w:r>
    </w:p>
    <w:p w14:paraId="71F6F020">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（3）投标人的资质是否符合招标文件规定；其营业执照、资质证书、安全生产许可证（</w:t>
      </w:r>
      <w:r>
        <w:rPr>
          <w:rFonts w:hint="eastAsia" w:ascii="宋体" w:hAnsi="宋体" w:eastAsia="宋体" w:cs="宋体"/>
          <w:snapToGrid w:val="0"/>
          <w:color w:val="auto"/>
          <w:kern w:val="0"/>
          <w:sz w:val="21"/>
          <w:szCs w:val="21"/>
          <w:highlight w:val="none"/>
          <w:lang w:eastAsia="zh-CN"/>
        </w:rPr>
        <w:t>含</w:t>
      </w:r>
      <w:r>
        <w:rPr>
          <w:rFonts w:hint="eastAsia" w:ascii="宋体" w:hAnsi="宋体" w:eastAsia="宋体" w:cs="宋体"/>
          <w:snapToGrid w:val="0"/>
          <w:color w:val="auto"/>
          <w:kern w:val="0"/>
          <w:sz w:val="21"/>
          <w:szCs w:val="21"/>
          <w:highlight w:val="none"/>
        </w:rPr>
        <w:t>实时网页查询页</w:t>
      </w:r>
      <w:r>
        <w:rPr>
          <w:rFonts w:hint="eastAsia" w:ascii="宋体" w:hAnsi="宋体" w:eastAsia="宋体" w:cs="宋体"/>
          <w:snapToGrid w:val="0"/>
          <w:color w:val="auto"/>
          <w:kern w:val="0"/>
          <w:sz w:val="21"/>
          <w:szCs w:val="21"/>
          <w:highlight w:val="none"/>
          <w:lang w:eastAsia="zh-CN"/>
        </w:rPr>
        <w:t>，可参考网址https://zlaq.mohurd.gov.cn/fwmh/bjxcjgl/fwmh/pages/construction_safety/qyaqscxkz/qyaqscxkz</w:t>
      </w:r>
      <w:r>
        <w:rPr>
          <w:rFonts w:hint="eastAsia" w:ascii="宋体" w:hAnsi="宋体" w:eastAsia="宋体" w:cs="宋体"/>
          <w:snapToGrid w:val="0"/>
          <w:color w:val="auto"/>
          <w:kern w:val="0"/>
          <w:sz w:val="21"/>
          <w:szCs w:val="21"/>
          <w:highlight w:val="none"/>
        </w:rPr>
        <w:t>）是否合法、有效、准确。</w:t>
      </w:r>
    </w:p>
    <w:p w14:paraId="3A98B964">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（4）《项目经理简历表》中拟派项目经理是否与《开标一览表》一致。</w:t>
      </w:r>
    </w:p>
    <w:p w14:paraId="006AAD6A">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10DAD23B">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07B0F228">
      <w:pPr>
        <w:keepNext w:val="0"/>
        <w:keepLines w:val="0"/>
        <w:pageBreakBefore w:val="0"/>
        <w:kinsoku/>
        <w:wordWrap w:val="0"/>
        <w:overflowPunct/>
        <w:topLinePunct w:val="0"/>
        <w:bidi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（7）投标人为外省建筑企业的，是否按规定在“进粤企业和人员诚信信息登记平台”录入企业及其拟派人员有关信息并通过数据规范检查。</w:t>
      </w:r>
    </w:p>
    <w:p w14:paraId="1F7CA169">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15.4.2</w:t>
      </w:r>
      <w:r>
        <w:rPr>
          <w:rFonts w:hint="eastAsia" w:ascii="宋体" w:hAnsi="宋体" w:eastAsia="宋体" w:cs="宋体"/>
          <w:snapToGrid w:val="0"/>
          <w:color w:val="auto"/>
          <w:kern w:val="0"/>
          <w:sz w:val="21"/>
          <w:szCs w:val="21"/>
          <w:highlight w:val="none"/>
        </w:rPr>
        <w:t xml:space="preserve"> 形式评审环节</w:t>
      </w:r>
    </w:p>
    <w:p w14:paraId="7C0DE825">
      <w:pPr>
        <w:keepNext w:val="0"/>
        <w:keepLines w:val="0"/>
        <w:pageBreakBefore w:val="0"/>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形式评审事项包括：</w:t>
      </w:r>
    </w:p>
    <w:p w14:paraId="4EE5CC1E">
      <w:pPr>
        <w:keepNext w:val="0"/>
        <w:keepLines w:val="0"/>
        <w:pageBreakBefore w:val="0"/>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（1）各分册是否按招标文件规定加盖电子印章。</w:t>
      </w:r>
    </w:p>
    <w:p w14:paraId="776DD589">
      <w:pPr>
        <w:keepNext w:val="0"/>
        <w:keepLines w:val="0"/>
        <w:pageBreakBefore w:val="0"/>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（2）本节第10.2.2目、第10.3.2目、第10.4.3目中规定的“所有投标人均应提供”的组成内容（包括该组成内容的所附资料）是否完整、齐全。</w:t>
      </w:r>
    </w:p>
    <w:p w14:paraId="6176DF78">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15.4.3</w:t>
      </w:r>
      <w:r>
        <w:rPr>
          <w:rFonts w:hint="eastAsia" w:ascii="宋体" w:hAnsi="宋体" w:eastAsia="宋体" w:cs="宋体"/>
          <w:snapToGrid w:val="0"/>
          <w:color w:val="auto"/>
          <w:kern w:val="0"/>
          <w:sz w:val="21"/>
          <w:szCs w:val="21"/>
          <w:highlight w:val="none"/>
        </w:rPr>
        <w:t xml:space="preserve"> 响应性评审环节</w:t>
      </w:r>
    </w:p>
    <w:p w14:paraId="066F286F">
      <w:pPr>
        <w:keepNext w:val="0"/>
        <w:keepLines w:val="0"/>
        <w:pageBreakBefore w:val="0"/>
        <w:kinsoku/>
        <w:wordWrap w:val="0"/>
        <w:overflowPunct/>
        <w:topLinePunct w:val="0"/>
        <w:autoSpaceDE/>
        <w:autoSpaceDN/>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响应性评审事项包括：</w:t>
      </w:r>
    </w:p>
    <w:p w14:paraId="2BFB70D5">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（1）投标有效期、质量标准、工期等是否响应招标文件实质性要求；是否擅自修改、遗漏《投标函》《各项承诺一览表》的实质性内容。</w:t>
      </w:r>
    </w:p>
    <w:p w14:paraId="2450885B">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（2）编制《投标总价》的造价工程师，其注册证书是否合法、有效。</w:t>
      </w:r>
    </w:p>
    <w:p w14:paraId="0708A75F">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（3）投标人委托造价咨询单位编制《投标总价》的，是否在《投标总价扉页》（即扉—3）“投标人”栏目加盖造价咨询人公章；是否提供造价咨询人的营业执照照彩色扫描件；</w:t>
      </w:r>
    </w:p>
    <w:p w14:paraId="5C49B15A">
      <w:pPr>
        <w:keepNext w:val="0"/>
        <w:keepLines w:val="0"/>
        <w:pageBreakBefore w:val="0"/>
        <w:kinsoku/>
        <w:wordWrap w:val="0"/>
        <w:overflowPunct/>
        <w:topLinePunct w:val="0"/>
        <w:bidi w:val="0"/>
        <w:adjustRightInd w:val="0"/>
        <w:snapToGrid w:val="0"/>
        <w:spacing w:line="400" w:lineRule="atLeas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（4）投标总价是否唯一；投标总价是否超出招标控制价；绿色施工安全防护措施费是否达到最低要求；暂列金额、暂估价是否按照招标工程量清单统一报价；投标人是否以低于成本的价格竞标。</w:t>
      </w:r>
    </w:p>
    <w:p w14:paraId="082CD011">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注：如果某投标人的投标总价下浮率超过 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招标控制价）×100% 。</w:t>
      </w:r>
    </w:p>
    <w:p w14:paraId="41A0B17B">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（5）施工组织设计的质量、进度保障措施是否符合国家和省市现行有关规范、规定、标准，是否能实现工程质量、进度管理目标。  </w:t>
      </w:r>
    </w:p>
    <w:p w14:paraId="51D093FF">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15.4.4</w:t>
      </w:r>
      <w:r>
        <w:rPr>
          <w:rFonts w:hint="eastAsia" w:ascii="宋体" w:hAnsi="宋体" w:eastAsia="宋体" w:cs="宋体"/>
          <w:snapToGrid w:val="0"/>
          <w:color w:val="auto"/>
          <w:kern w:val="0"/>
          <w:sz w:val="21"/>
          <w:szCs w:val="21"/>
          <w:highlight w:val="none"/>
        </w:rPr>
        <w:t xml:space="preserve"> 否决投标说明</w:t>
      </w:r>
    </w:p>
    <w:p w14:paraId="7DC8B014">
      <w:pPr>
        <w:keepNext w:val="0"/>
        <w:keepLines w:val="0"/>
        <w:pageBreakBefore w:val="0"/>
        <w:widowControl/>
        <w:suppressLineNumbers w:val="0"/>
        <w:kinsoku/>
        <w:overflowPunct/>
        <w:topLinePunct w:val="0"/>
        <w:bidi w:val="0"/>
        <w:spacing w:line="400" w:lineRule="atLeast"/>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kern w:val="0"/>
          <w:sz w:val="21"/>
          <w:szCs w:val="21"/>
          <w:highlight w:val="none"/>
          <w:lang w:val="en-US" w:eastAsia="zh-CN" w:bidi="ar"/>
        </w:rPr>
        <w:t>评标委员会经评审，认为所有投标都不符合招标文件要求的，可否决所有投标，项目的所有投标被否决的，招标人应依法重新组织招标。</w:t>
      </w:r>
    </w:p>
    <w:p w14:paraId="4D981EEF">
      <w:pPr>
        <w:keepNext w:val="0"/>
        <w:keepLines w:val="0"/>
        <w:pageBreakBefore w:val="0"/>
        <w:kinsoku/>
        <w:wordWrap w:val="0"/>
        <w:overflowPunct/>
        <w:topLinePunct w:val="0"/>
        <w:bidi w:val="0"/>
        <w:adjustRightInd w:val="0"/>
        <w:snapToGrid w:val="0"/>
        <w:spacing w:line="400" w:lineRule="atLeast"/>
        <w:ind w:firstLine="56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15.5</w:t>
      </w:r>
      <w:r>
        <w:rPr>
          <w:rFonts w:hint="eastAsia" w:ascii="宋体" w:hAnsi="宋体" w:eastAsia="宋体" w:cs="宋体"/>
          <w:snapToGrid w:val="0"/>
          <w:color w:val="auto"/>
          <w:kern w:val="0"/>
          <w:sz w:val="21"/>
          <w:szCs w:val="21"/>
          <w:highlight w:val="none"/>
        </w:rPr>
        <w:t xml:space="preserve"> 详细评审</w:t>
      </w:r>
      <w:bookmarkStart w:id="98" w:name="_Hlt121629839"/>
      <w:r>
        <w:rPr>
          <w:rFonts w:hint="eastAsia" w:ascii="宋体" w:hAnsi="宋体" w:eastAsia="宋体" w:cs="宋体"/>
          <w:snapToGrid w:val="0"/>
          <w:color w:val="auto"/>
          <w:kern w:val="0"/>
          <w:sz w:val="21"/>
          <w:szCs w:val="21"/>
          <w:highlight w:val="none"/>
        </w:rPr>
        <w:t>阶段</w:t>
      </w:r>
    </w:p>
    <w:p w14:paraId="1A0573A0">
      <w:pPr>
        <w:keepNext w:val="0"/>
        <w:keepLines w:val="0"/>
        <w:pageBreakBefore w:val="0"/>
        <w:kinsoku/>
        <w:wordWrap w:val="0"/>
        <w:overflowPunct/>
        <w:topLinePunct w:val="0"/>
        <w:bidi w:val="0"/>
        <w:adjustRightInd w:val="0"/>
        <w:snapToGrid w:val="0"/>
        <w:spacing w:line="400" w:lineRule="atLeast"/>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    15.5.1</w:t>
      </w:r>
      <w:r>
        <w:rPr>
          <w:rFonts w:hint="eastAsia" w:ascii="宋体" w:hAnsi="宋体" w:eastAsia="宋体" w:cs="宋体"/>
          <w:bCs/>
          <w:snapToGrid w:val="0"/>
          <w:color w:val="auto"/>
          <w:kern w:val="0"/>
          <w:sz w:val="21"/>
          <w:szCs w:val="21"/>
          <w:highlight w:val="none"/>
        </w:rPr>
        <w:t xml:space="preserve"> “综合评估法”评审程序</w:t>
      </w:r>
    </w:p>
    <w:p w14:paraId="6E74D719">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评审内容分为商务技术和投标报价两大部分。其中，商务技术合计满分</w:t>
      </w:r>
      <w:r>
        <w:rPr>
          <w:rFonts w:hint="eastAsia" w:ascii="宋体" w:hAnsi="宋体" w:eastAsia="宋体" w:cs="宋体"/>
          <w:snapToGrid w:val="0"/>
          <w:color w:val="auto"/>
          <w:kern w:val="0"/>
          <w:sz w:val="21"/>
          <w:szCs w:val="21"/>
          <w:highlight w:val="none"/>
          <w:u w:val="single"/>
        </w:rPr>
        <w:t xml:space="preserve"> 100</w:t>
      </w:r>
      <w:r>
        <w:rPr>
          <w:rFonts w:hint="eastAsia" w:ascii="宋体" w:hAnsi="宋体" w:eastAsia="宋体" w:cs="宋体"/>
          <w:snapToGrid w:val="0"/>
          <w:color w:val="auto"/>
          <w:kern w:val="0"/>
          <w:sz w:val="21"/>
          <w:szCs w:val="21"/>
          <w:highlight w:val="none"/>
        </w:rPr>
        <w:t>分，权重为</w:t>
      </w:r>
      <w:r>
        <w:rPr>
          <w:rFonts w:hint="eastAsia" w:ascii="宋体" w:hAnsi="宋体" w:eastAsia="宋体" w:cs="宋体"/>
          <w:snapToGrid w:val="0"/>
          <w:color w:val="auto"/>
          <w:kern w:val="0"/>
          <w:sz w:val="21"/>
          <w:szCs w:val="21"/>
          <w:highlight w:val="none"/>
          <w:u w:val="single"/>
        </w:rPr>
        <w:t xml:space="preserve"> 40 </w:t>
      </w:r>
      <w:r>
        <w:rPr>
          <w:rFonts w:hint="eastAsia" w:ascii="宋体" w:hAnsi="宋体" w:eastAsia="宋体" w:cs="宋体"/>
          <w:snapToGrid w:val="0"/>
          <w:color w:val="auto"/>
          <w:kern w:val="0"/>
          <w:sz w:val="21"/>
          <w:szCs w:val="21"/>
          <w:highlight w:val="none"/>
        </w:rPr>
        <w:t>%；投标报价满分100分，权重为</w:t>
      </w:r>
      <w:r>
        <w:rPr>
          <w:rFonts w:hint="eastAsia" w:ascii="宋体" w:hAnsi="宋体" w:eastAsia="宋体" w:cs="宋体"/>
          <w:snapToGrid w:val="0"/>
          <w:color w:val="auto"/>
          <w:kern w:val="0"/>
          <w:sz w:val="21"/>
          <w:szCs w:val="21"/>
          <w:highlight w:val="none"/>
          <w:u w:val="single"/>
        </w:rPr>
        <w:t xml:space="preserve"> 60 </w:t>
      </w:r>
      <w:r>
        <w:rPr>
          <w:rFonts w:hint="eastAsia" w:ascii="宋体" w:hAnsi="宋体" w:eastAsia="宋体" w:cs="宋体"/>
          <w:snapToGrid w:val="0"/>
          <w:color w:val="auto"/>
          <w:kern w:val="0"/>
          <w:sz w:val="21"/>
          <w:szCs w:val="21"/>
          <w:highlight w:val="none"/>
        </w:rPr>
        <w:t>%。两大部分权重之和应为100%。</w:t>
      </w:r>
    </w:p>
    <w:p w14:paraId="2FE49A7A">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除特别注明外，综合得分以及商务技术得分、投标报价得分的中间过程计算值和最终值，均按“四舍五入”原则精确到两位小数。</w:t>
      </w:r>
    </w:p>
    <w:p w14:paraId="5353674D">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（1）商务技术得分M</w:t>
      </w:r>
    </w:p>
    <w:p w14:paraId="39C76C6C">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w:t>
      </w:r>
    </w:p>
    <w:p w14:paraId="28B24FF1">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评标委员会各成员独立按照《综合评分表》技术部分（施工组织设计）指定的评分标准对各评分因素进行打分，累加后得出技术评分。将评标委员会所有成员的技术评分去掉一个最高评分和一个最低评分后，取算术平均值，即为某投标人的技术得分M</w:t>
      </w:r>
      <w:r>
        <w:rPr>
          <w:rFonts w:hint="eastAsia" w:ascii="宋体" w:hAnsi="宋体" w:eastAsia="宋体" w:cs="宋体"/>
          <w:snapToGrid w:val="0"/>
          <w:color w:val="auto"/>
          <w:kern w:val="0"/>
          <w:sz w:val="21"/>
          <w:szCs w:val="21"/>
          <w:highlight w:val="none"/>
          <w:vertAlign w:val="subscript"/>
        </w:rPr>
        <w:t>2</w:t>
      </w:r>
      <w:r>
        <w:rPr>
          <w:rFonts w:hint="eastAsia" w:ascii="宋体" w:hAnsi="宋体" w:eastAsia="宋体" w:cs="宋体"/>
          <w:snapToGrid w:val="0"/>
          <w:color w:val="auto"/>
          <w:kern w:val="0"/>
          <w:sz w:val="21"/>
          <w:szCs w:val="21"/>
          <w:highlight w:val="none"/>
        </w:rPr>
        <w:t>。</w:t>
      </w:r>
    </w:p>
    <w:p w14:paraId="04D4D8BF">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．M＝M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＋M</w:t>
      </w:r>
      <w:r>
        <w:rPr>
          <w:rFonts w:hint="eastAsia" w:ascii="宋体" w:hAnsi="宋体" w:eastAsia="宋体" w:cs="宋体"/>
          <w:snapToGrid w:val="0"/>
          <w:color w:val="auto"/>
          <w:kern w:val="0"/>
          <w:sz w:val="21"/>
          <w:szCs w:val="21"/>
          <w:highlight w:val="none"/>
          <w:vertAlign w:val="subscript"/>
        </w:rPr>
        <w:t>2</w:t>
      </w:r>
    </w:p>
    <w:p w14:paraId="14EDB0E5">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式中：M</w:t>
      </w:r>
      <w:r>
        <w:rPr>
          <w:rFonts w:hint="eastAsia" w:ascii="宋体" w:hAnsi="宋体" w:eastAsia="宋体" w:cs="宋体"/>
          <w:snapToGrid w:val="0"/>
          <w:color w:val="auto"/>
          <w:kern w:val="0"/>
          <w:sz w:val="21"/>
          <w:szCs w:val="21"/>
          <w:highlight w:val="none"/>
          <w:vertAlign w:val="subscript"/>
        </w:rPr>
        <w:t>1</w:t>
      </w:r>
      <w:r>
        <w:rPr>
          <w:rFonts w:hint="eastAsia" w:ascii="宋体" w:hAnsi="宋体" w:eastAsia="宋体" w:cs="宋体"/>
          <w:snapToGrid w:val="0"/>
          <w:color w:val="auto"/>
          <w:kern w:val="0"/>
          <w:sz w:val="21"/>
          <w:szCs w:val="21"/>
          <w:highlight w:val="none"/>
        </w:rPr>
        <w:t>为某投标人的商务得分，M</w:t>
      </w:r>
      <w:r>
        <w:rPr>
          <w:rFonts w:hint="eastAsia" w:ascii="宋体" w:hAnsi="宋体" w:eastAsia="宋体" w:cs="宋体"/>
          <w:snapToGrid w:val="0"/>
          <w:color w:val="auto"/>
          <w:kern w:val="0"/>
          <w:sz w:val="21"/>
          <w:szCs w:val="21"/>
          <w:highlight w:val="none"/>
          <w:vertAlign w:val="subscript"/>
        </w:rPr>
        <w:t>2</w:t>
      </w:r>
      <w:r>
        <w:rPr>
          <w:rFonts w:hint="eastAsia" w:ascii="宋体" w:hAnsi="宋体" w:eastAsia="宋体" w:cs="宋体"/>
          <w:snapToGrid w:val="0"/>
          <w:color w:val="auto"/>
          <w:kern w:val="0"/>
          <w:sz w:val="21"/>
          <w:szCs w:val="21"/>
          <w:highlight w:val="none"/>
        </w:rPr>
        <w:t>为某投标人的技术得分。</w:t>
      </w:r>
    </w:p>
    <w:p w14:paraId="3370A731">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（2）投标报价得分N</w:t>
      </w:r>
    </w:p>
    <w:p w14:paraId="7C7B4FE9">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．评标委员会按照《综合评分表》投标报价部分指定的方法计算评标基准价D。</w:t>
      </w:r>
    </w:p>
    <w:p w14:paraId="30EADB5D">
      <w:pPr>
        <w:keepNext w:val="0"/>
        <w:keepLines w:val="0"/>
        <w:pageBreakBefore w:val="0"/>
        <w:kinsoku/>
        <w:wordWrap w:val="0"/>
        <w:overflowPunct/>
        <w:topLinePunct w:val="0"/>
        <w:bidi w:val="0"/>
        <w:adjustRightInd w:val="0"/>
        <w:snapToGrid w:val="0"/>
        <w:spacing w:line="400" w:lineRule="atLeas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．采用内插法计算某投标人的投标报价得分N，即当投标人的投标总价等于评标基准价时得100分，每高于评标基准价一个百分点扣1分, 每低于评标基准价一个百分点扣0.5分，扣完为止。公式如下：</w:t>
      </w:r>
    </w:p>
    <w:p w14:paraId="54F9380E">
      <w:pPr>
        <w:keepNext w:val="0"/>
        <w:keepLines w:val="0"/>
        <w:pageBreakBefore w:val="0"/>
        <w:kinsoku/>
        <w:wordWrap w:val="0"/>
        <w:overflowPunct/>
        <w:topLinePunct w:val="0"/>
        <w:bidi w:val="0"/>
        <w:adjustRightInd w:val="0"/>
        <w:snapToGrid w:val="0"/>
        <w:spacing w:line="400" w:lineRule="atLeas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14:paraId="6131B450">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式中：D为评标基准价；Di为某投标人的投标总价；E为扣分因子，当Di＞D时，E＝1；当Di＜D时，E＝0.5。</w:t>
      </w:r>
    </w:p>
    <w:p w14:paraId="7F444F54">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（3）综合得分</w:t>
      </w:r>
    </w:p>
    <w:p w14:paraId="5D9CD6D5">
      <w:pPr>
        <w:keepNext w:val="0"/>
        <w:keepLines w:val="0"/>
        <w:pageBreakBefore w:val="0"/>
        <w:kinsoku/>
        <w:wordWrap w:val="0"/>
        <w:overflowPunct/>
        <w:topLinePunct w:val="0"/>
        <w:bidi w:val="0"/>
        <w:adjustRightInd w:val="0"/>
        <w:snapToGrid w:val="0"/>
        <w:spacing w:line="400" w:lineRule="atLeas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综合得分换算为百分制，满分100分，公式如下：</w:t>
      </w:r>
    </w:p>
    <w:p w14:paraId="0BDA7667">
      <w:pPr>
        <w:keepNext w:val="0"/>
        <w:keepLines w:val="0"/>
        <w:pageBreakBefore w:val="0"/>
        <w:kinsoku/>
        <w:wordWrap w:val="0"/>
        <w:overflowPunct/>
        <w:topLinePunct w:val="0"/>
        <w:bidi w:val="0"/>
        <w:adjustRightInd w:val="0"/>
        <w:snapToGrid w:val="0"/>
        <w:spacing w:line="400" w:lineRule="atLeas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综合得分＝M×商务技术权重＋N×投标报价权重</w:t>
      </w:r>
    </w:p>
    <w:p w14:paraId="07A277A5">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式中：M为商务技术得分，N为投标报价得分。</w:t>
      </w:r>
    </w:p>
    <w:p w14:paraId="64133CFB">
      <w:pPr>
        <w:keepNext w:val="0"/>
        <w:keepLines w:val="0"/>
        <w:pageBreakBefore w:val="0"/>
        <w:numPr>
          <w:ilvl w:val="0"/>
          <w:numId w:val="2"/>
        </w:numPr>
        <w:kinsoku/>
        <w:wordWrap w:val="0"/>
        <w:overflowPunct/>
        <w:topLinePunct w:val="0"/>
        <w:bidi w:val="0"/>
        <w:adjustRightInd w:val="0"/>
        <w:snapToGrid w:val="0"/>
        <w:spacing w:line="400" w:lineRule="atLeast"/>
        <w:ind w:left="0" w:leftChars="0" w:firstLine="630" w:firstLineChars="3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1082370B">
      <w:pPr>
        <w:keepNext w:val="0"/>
        <w:keepLines w:val="0"/>
        <w:pageBreakBefore w:val="0"/>
        <w:numPr>
          <w:ilvl w:val="0"/>
          <w:numId w:val="0"/>
        </w:numPr>
        <w:kinsoku/>
        <w:wordWrap w:val="0"/>
        <w:overflowPunct/>
        <w:topLinePunct w:val="0"/>
        <w:bidi w:val="0"/>
        <w:adjustRightInd w:val="0"/>
        <w:snapToGrid w:val="0"/>
        <w:spacing w:line="400" w:lineRule="atLeas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br w:type="page"/>
      </w:r>
      <w:r>
        <w:rPr>
          <w:rFonts w:hint="eastAsia" w:ascii="宋体" w:hAnsi="宋体" w:eastAsia="宋体" w:cs="宋体"/>
          <w:b/>
          <w:color w:val="auto"/>
          <w:kern w:val="2"/>
          <w:sz w:val="28"/>
          <w:szCs w:val="28"/>
          <w:highlight w:val="none"/>
          <w:lang w:val="en-US" w:eastAsia="zh-CN" w:bidi="ar-SA"/>
        </w:rPr>
        <w:t>综合评分表</w:t>
      </w:r>
    </w:p>
    <w:tbl>
      <w:tblPr>
        <w:tblStyle w:val="32"/>
        <w:tblW w:w="0" w:type="auto"/>
        <w:jc w:val="center"/>
        <w:tblLayout w:type="fixed"/>
        <w:tblCellMar>
          <w:top w:w="0" w:type="dxa"/>
          <w:left w:w="108" w:type="dxa"/>
          <w:bottom w:w="0" w:type="dxa"/>
          <w:right w:w="108" w:type="dxa"/>
        </w:tblCellMar>
      </w:tblPr>
      <w:tblGrid>
        <w:gridCol w:w="1194"/>
        <w:gridCol w:w="3518"/>
        <w:gridCol w:w="4936"/>
      </w:tblGrid>
      <w:tr w14:paraId="174B0497">
        <w:tblPrEx>
          <w:tblCellMar>
            <w:top w:w="0" w:type="dxa"/>
            <w:left w:w="108" w:type="dxa"/>
            <w:bottom w:w="0" w:type="dxa"/>
            <w:right w:w="108" w:type="dxa"/>
          </w:tblCellMar>
        </w:tblPrEx>
        <w:trPr>
          <w:trHeight w:val="624" w:hRule="exact"/>
          <w:jc w:val="center"/>
        </w:trPr>
        <w:tc>
          <w:tcPr>
            <w:tcW w:w="9648"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758AFE76">
            <w:pPr>
              <w:pStyle w:val="12"/>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Cs w:val="21"/>
                <w:highlight w:val="none"/>
              </w:rPr>
            </w:pPr>
            <w:r>
              <w:rPr>
                <w:rFonts w:hint="eastAsia" w:ascii="宋体" w:hAnsi="宋体" w:eastAsia="宋体" w:cs="宋体"/>
                <w:b/>
                <w:bCs/>
                <w:snapToGrid w:val="0"/>
                <w:color w:val="auto"/>
                <w:kern w:val="0"/>
                <w:szCs w:val="21"/>
                <w:highlight w:val="none"/>
              </w:rPr>
              <w:t>商务部分，满分：</w:t>
            </w:r>
            <w:r>
              <w:rPr>
                <w:rFonts w:hint="eastAsia" w:ascii="宋体" w:hAnsi="宋体" w:eastAsia="宋体" w:cs="宋体"/>
                <w:b/>
                <w:bCs/>
                <w:snapToGrid w:val="0"/>
                <w:color w:val="auto"/>
                <w:kern w:val="0"/>
                <w:szCs w:val="21"/>
                <w:highlight w:val="none"/>
                <w:u w:val="single"/>
              </w:rPr>
              <w:t xml:space="preserve"> 80 </w:t>
            </w:r>
            <w:r>
              <w:rPr>
                <w:rFonts w:hint="eastAsia" w:ascii="宋体" w:hAnsi="宋体" w:eastAsia="宋体" w:cs="宋体"/>
                <w:b/>
                <w:bCs/>
                <w:snapToGrid w:val="0"/>
                <w:color w:val="auto"/>
                <w:kern w:val="0"/>
                <w:szCs w:val="21"/>
                <w:highlight w:val="none"/>
              </w:rPr>
              <w:t>分。</w:t>
            </w:r>
          </w:p>
        </w:tc>
      </w:tr>
      <w:tr w14:paraId="03F48D98">
        <w:tblPrEx>
          <w:tblCellMar>
            <w:top w:w="0" w:type="dxa"/>
            <w:left w:w="108" w:type="dxa"/>
            <w:bottom w:w="0" w:type="dxa"/>
            <w:right w:w="108" w:type="dxa"/>
          </w:tblCellMar>
        </w:tblPrEx>
        <w:trPr>
          <w:trHeight w:val="624" w:hRule="exac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30039744">
            <w:pPr>
              <w:pStyle w:val="12"/>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b/>
                <w:bCs/>
                <w:snapToGrid w:val="0"/>
                <w:color w:val="auto"/>
                <w:kern w:val="0"/>
                <w:szCs w:val="21"/>
                <w:highlight w:val="none"/>
              </w:rPr>
            </w:pPr>
            <w:r>
              <w:rPr>
                <w:rFonts w:hint="eastAsia" w:ascii="宋体" w:hAnsi="宋体" w:eastAsia="宋体" w:cs="宋体"/>
                <w:b/>
                <w:bCs/>
                <w:snapToGrid w:val="0"/>
                <w:color w:val="auto"/>
                <w:kern w:val="0"/>
                <w:szCs w:val="21"/>
                <w:highlight w:val="none"/>
              </w:rPr>
              <w:t>评分因素</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1E3D8E4D">
            <w:pPr>
              <w:pStyle w:val="12"/>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b/>
                <w:bCs/>
                <w:snapToGrid w:val="0"/>
                <w:color w:val="auto"/>
                <w:kern w:val="0"/>
                <w:szCs w:val="21"/>
                <w:highlight w:val="none"/>
              </w:rPr>
            </w:pPr>
            <w:r>
              <w:rPr>
                <w:rFonts w:hint="eastAsia" w:ascii="宋体" w:hAnsi="宋体" w:eastAsia="宋体" w:cs="宋体"/>
                <w:b/>
                <w:bCs/>
                <w:snapToGrid w:val="0"/>
                <w:color w:val="auto"/>
                <w:kern w:val="0"/>
                <w:szCs w:val="21"/>
                <w:highlight w:val="none"/>
              </w:rPr>
              <w:t>评分标准</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67823ED8">
            <w:pPr>
              <w:pStyle w:val="12"/>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b/>
                <w:bCs/>
                <w:snapToGrid w:val="0"/>
                <w:color w:val="auto"/>
                <w:kern w:val="0"/>
                <w:szCs w:val="21"/>
                <w:highlight w:val="none"/>
              </w:rPr>
            </w:pPr>
            <w:r>
              <w:rPr>
                <w:rFonts w:hint="eastAsia" w:ascii="宋体" w:hAnsi="宋体" w:eastAsia="宋体" w:cs="宋体"/>
                <w:b/>
                <w:bCs/>
                <w:snapToGrid w:val="0"/>
                <w:color w:val="auto"/>
                <w:kern w:val="0"/>
                <w:szCs w:val="21"/>
                <w:highlight w:val="none"/>
              </w:rPr>
              <w:t>备注</w:t>
            </w:r>
          </w:p>
        </w:tc>
      </w:tr>
      <w:tr w14:paraId="246238DE">
        <w:tblPrEx>
          <w:tblCellMar>
            <w:top w:w="0" w:type="dxa"/>
            <w:left w:w="108" w:type="dxa"/>
            <w:bottom w:w="0" w:type="dxa"/>
            <w:right w:w="108" w:type="dxa"/>
          </w:tblCellMar>
        </w:tblPrEx>
        <w:trPr>
          <w:trHeight w:val="415"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707D9DB7">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企业奖项</w:t>
            </w:r>
          </w:p>
          <w:p w14:paraId="53A9D8E7">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67CA8B0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企业近</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年来（</w:t>
            </w:r>
            <w:r>
              <w:rPr>
                <w:rFonts w:hint="eastAsia" w:ascii="宋体" w:hAnsi="宋体" w:eastAsia="宋体" w:cs="宋体"/>
                <w:snapToGrid w:val="0"/>
                <w:color w:val="auto"/>
                <w:kern w:val="0"/>
                <w:sz w:val="21"/>
                <w:szCs w:val="21"/>
                <w:highlight w:val="none"/>
                <w:lang w:val="en-US" w:eastAsia="zh-CN"/>
              </w:rPr>
              <w:t>2020年1月1日至今</w:t>
            </w:r>
            <w:r>
              <w:rPr>
                <w:rFonts w:hint="eastAsia" w:ascii="宋体" w:hAnsi="宋体" w:eastAsia="宋体" w:cs="宋体"/>
                <w:snapToGrid w:val="0"/>
                <w:color w:val="auto"/>
                <w:kern w:val="0"/>
                <w:sz w:val="21"/>
                <w:szCs w:val="21"/>
                <w:highlight w:val="none"/>
              </w:rPr>
              <w:t>）获得同类工程奖项</w:t>
            </w:r>
            <w:r>
              <w:rPr>
                <w:rFonts w:hint="eastAsia" w:ascii="宋体" w:hAnsi="宋体" w:eastAsia="宋体" w:cs="宋体"/>
                <w:snapToGrid w:val="0"/>
                <w:color w:val="auto"/>
                <w:kern w:val="0"/>
                <w:sz w:val="21"/>
                <w:szCs w:val="21"/>
                <w:highlight w:val="none"/>
                <w:lang w:eastAsia="zh-CN"/>
              </w:rPr>
              <w:t>情况</w:t>
            </w:r>
            <w:r>
              <w:rPr>
                <w:rFonts w:hint="eastAsia" w:ascii="宋体" w:hAnsi="宋体" w:eastAsia="宋体" w:cs="宋体"/>
                <w:snapToGrid w:val="0"/>
                <w:color w:val="auto"/>
                <w:kern w:val="0"/>
                <w:sz w:val="21"/>
                <w:szCs w:val="21"/>
                <w:highlight w:val="none"/>
              </w:rPr>
              <w:t>：</w:t>
            </w:r>
          </w:p>
          <w:p w14:paraId="3F52B88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．获得省级或以上等级奖项的</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每个</w:t>
            </w:r>
            <w:r>
              <w:rPr>
                <w:rFonts w:hint="eastAsia" w:ascii="宋体" w:hAnsi="宋体" w:eastAsia="宋体" w:cs="宋体"/>
                <w:snapToGrid w:val="0"/>
                <w:color w:val="auto"/>
                <w:kern w:val="0"/>
                <w:sz w:val="21"/>
                <w:szCs w:val="21"/>
                <w:highlight w:val="none"/>
              </w:rPr>
              <w:t>得</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p w14:paraId="5DFEB4B4">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．获得地市级奖项的</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每个</w:t>
            </w:r>
            <w:r>
              <w:rPr>
                <w:rFonts w:hint="eastAsia" w:ascii="宋体" w:hAnsi="宋体" w:eastAsia="宋体" w:cs="宋体"/>
                <w:snapToGrid w:val="0"/>
                <w:color w:val="auto"/>
                <w:kern w:val="0"/>
                <w:sz w:val="21"/>
                <w:szCs w:val="21"/>
                <w:highlight w:val="none"/>
              </w:rPr>
              <w:t>得</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r>
              <w:rPr>
                <w:rFonts w:hint="eastAsia" w:ascii="宋体" w:hAnsi="宋体" w:eastAsia="宋体" w:cs="宋体"/>
                <w:snapToGrid w:val="0"/>
                <w:color w:val="auto"/>
                <w:kern w:val="0"/>
                <w:sz w:val="21"/>
                <w:szCs w:val="21"/>
                <w:highlight w:val="none"/>
                <w:lang w:eastAsia="zh-CN"/>
              </w:rPr>
              <w:t>；</w:t>
            </w:r>
          </w:p>
          <w:p w14:paraId="7DFD2A2D">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．以上奖项均未获得的，不予计分</w:t>
            </w:r>
            <w:r>
              <w:rPr>
                <w:rFonts w:hint="eastAsia" w:ascii="宋体" w:hAnsi="宋体" w:eastAsia="宋体" w:cs="宋体"/>
                <w:snapToGrid w:val="0"/>
                <w:color w:val="auto"/>
                <w:kern w:val="0"/>
                <w:sz w:val="21"/>
                <w:szCs w:val="21"/>
                <w:highlight w:val="none"/>
                <w:lang w:eastAsia="zh-CN"/>
              </w:rPr>
              <w:t>；</w:t>
            </w:r>
          </w:p>
          <w:p w14:paraId="345E27E3">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本项最高得</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p w14:paraId="6F1F01EB">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p>
        </w:tc>
        <w:tc>
          <w:tcPr>
            <w:tcW w:w="4936" w:type="dxa"/>
            <w:tcBorders>
              <w:top w:val="single" w:color="auto" w:sz="4" w:space="0"/>
              <w:left w:val="single" w:color="auto" w:sz="4" w:space="0"/>
              <w:bottom w:val="single" w:color="auto" w:sz="4" w:space="0"/>
              <w:right w:val="single" w:color="auto" w:sz="4" w:space="0"/>
            </w:tcBorders>
            <w:noWrap w:val="0"/>
            <w:vAlign w:val="center"/>
          </w:tcPr>
          <w:p w14:paraId="3A90284F">
            <w:pPr>
              <w:pStyle w:val="28"/>
              <w:keepNext w:val="0"/>
              <w:keepLines w:val="0"/>
              <w:suppressLineNumbers w:val="0"/>
              <w:spacing w:before="0" w:beforeAutospacing="0" w:after="0" w:afterAutospacing="0"/>
              <w:ind w:left="0" w:right="0"/>
              <w:rPr>
                <w:rFonts w:hint="default" w:hAnsi="Times New Roman" w:cs="Times New Roman"/>
                <w:color w:val="auto"/>
                <w:szCs w:val="20"/>
                <w:highlight w:val="none"/>
                <w:lang w:val="en-US" w:eastAsia="zh-CN"/>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允许投标人提交多个业绩，但同一业绩只按最高级别奖项计分一次。</w:t>
            </w:r>
          </w:p>
          <w:p w14:paraId="21F5D404">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同类项目</w:t>
            </w:r>
            <w:r>
              <w:rPr>
                <w:rFonts w:hint="eastAsia" w:ascii="宋体" w:hAnsi="宋体" w:eastAsia="宋体" w:cs="宋体"/>
                <w:snapToGrid w:val="0"/>
                <w:color w:val="auto"/>
                <w:kern w:val="0"/>
                <w:sz w:val="21"/>
                <w:szCs w:val="21"/>
                <w:highlight w:val="none"/>
                <w:lang w:val="en-US" w:eastAsia="zh-CN"/>
              </w:rPr>
              <w:t xml:space="preserve">指： </w:t>
            </w:r>
            <w:r>
              <w:rPr>
                <w:rFonts w:hint="eastAsia" w:ascii="宋体" w:hAnsi="宋体" w:eastAsia="宋体" w:cs="宋体"/>
                <w:snapToGrid w:val="0"/>
                <w:color w:val="auto"/>
                <w:kern w:val="0"/>
                <w:sz w:val="21"/>
                <w:szCs w:val="21"/>
                <w:highlight w:val="none"/>
                <w:u w:val="single"/>
                <w:lang w:val="en-US" w:eastAsia="zh-CN"/>
              </w:rPr>
              <w:t>10kV或以上电压等级的电力</w:t>
            </w:r>
            <w:r>
              <w:rPr>
                <w:rFonts w:hint="eastAsia" w:ascii="宋体" w:hAnsi="宋体" w:eastAsia="宋体" w:cs="宋体"/>
                <w:snapToGrid w:val="0"/>
                <w:color w:val="auto"/>
                <w:kern w:val="0"/>
                <w:sz w:val="21"/>
                <w:szCs w:val="21"/>
                <w:highlight w:val="none"/>
                <w:u w:val="single"/>
              </w:rPr>
              <w:t>工程</w:t>
            </w:r>
            <w:r>
              <w:rPr>
                <w:rFonts w:hint="eastAsia" w:ascii="宋体" w:hAnsi="宋体" w:eastAsia="宋体" w:cs="宋体"/>
                <w:snapToGrid w:val="0"/>
                <w:color w:val="auto"/>
                <w:kern w:val="0"/>
                <w:sz w:val="21"/>
                <w:szCs w:val="21"/>
                <w:highlight w:val="none"/>
                <w:u w:val="single"/>
                <w:lang w:eastAsia="zh-CN"/>
              </w:rPr>
              <w:t>施工</w:t>
            </w:r>
            <w:r>
              <w:rPr>
                <w:rFonts w:hint="eastAsia" w:ascii="宋体" w:hAnsi="宋体" w:eastAsia="宋体" w:cs="宋体"/>
                <w:snapToGrid w:val="0"/>
                <w:color w:val="auto"/>
                <w:kern w:val="0"/>
                <w:sz w:val="21"/>
                <w:szCs w:val="21"/>
                <w:highlight w:val="none"/>
                <w:lang w:val="en-US" w:eastAsia="zh-CN"/>
              </w:rPr>
              <w:t>。</w:t>
            </w:r>
          </w:p>
          <w:p w14:paraId="7BF819C4">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3.颁发机构限定以下范围：</w:t>
            </w:r>
            <w:r>
              <w:rPr>
                <w:rFonts w:hint="eastAsia" w:ascii="宋体" w:hAnsi="宋体" w:eastAsia="宋体" w:cs="宋体"/>
                <w:snapToGrid w:val="0"/>
                <w:color w:val="auto"/>
                <w:kern w:val="0"/>
                <w:sz w:val="21"/>
                <w:szCs w:val="21"/>
                <w:highlight w:val="none"/>
                <w:u w:val="single"/>
                <w:lang w:val="en-US" w:eastAsia="zh-CN"/>
              </w:rPr>
              <w:t>供电部门颁发</w:t>
            </w:r>
            <w:r>
              <w:rPr>
                <w:rFonts w:hint="eastAsia" w:ascii="宋体" w:hAnsi="宋体" w:eastAsia="宋体" w:cs="宋体"/>
                <w:snapToGrid w:val="0"/>
                <w:color w:val="auto"/>
                <w:kern w:val="0"/>
                <w:sz w:val="21"/>
                <w:szCs w:val="21"/>
                <w:highlight w:val="none"/>
                <w:lang w:val="en-US" w:eastAsia="zh-CN"/>
              </w:rPr>
              <w:t>。</w:t>
            </w:r>
          </w:p>
          <w:p w14:paraId="6C4284F3">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4．须提供获奖发文材料扫描件</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获奖时间以</w:t>
            </w:r>
            <w:r>
              <w:rPr>
                <w:rFonts w:hint="eastAsia" w:ascii="宋体" w:hAnsi="宋体" w:eastAsia="宋体" w:cs="宋体"/>
                <w:snapToGrid w:val="0"/>
                <w:color w:val="auto"/>
                <w:kern w:val="0"/>
                <w:sz w:val="21"/>
                <w:szCs w:val="21"/>
                <w:highlight w:val="none"/>
              </w:rPr>
              <w:t>获奖发文</w:t>
            </w:r>
            <w:r>
              <w:rPr>
                <w:rFonts w:hint="eastAsia" w:ascii="宋体" w:hAnsi="宋体" w:eastAsia="宋体" w:cs="宋体"/>
                <w:snapToGrid w:val="0"/>
                <w:color w:val="auto"/>
                <w:kern w:val="0"/>
                <w:sz w:val="21"/>
                <w:szCs w:val="21"/>
                <w:highlight w:val="none"/>
                <w:lang w:val="en-US" w:eastAsia="zh-CN"/>
              </w:rPr>
              <w:t>落款日期为准。</w:t>
            </w:r>
          </w:p>
        </w:tc>
      </w:tr>
      <w:tr w14:paraId="1A848F78">
        <w:tblPrEx>
          <w:tblCellMar>
            <w:top w:w="0" w:type="dxa"/>
            <w:left w:w="108" w:type="dxa"/>
            <w:bottom w:w="0" w:type="dxa"/>
            <w:right w:w="108" w:type="dxa"/>
          </w:tblCellMar>
        </w:tblPrEx>
        <w:trPr>
          <w:trHeight w:val="415"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2EEF08A5">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企业业绩</w:t>
            </w:r>
          </w:p>
          <w:p w14:paraId="1BF8971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13D252AC">
            <w:pPr>
              <w:pStyle w:val="12"/>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企业近5年来（2020年1月1日至今）业绩情况：</w:t>
            </w:r>
          </w:p>
          <w:p w14:paraId="583C3341">
            <w:pPr>
              <w:pStyle w:val="12"/>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u w:val="single"/>
                <w:lang w:val="en-US" w:eastAsia="zh-CN"/>
              </w:rPr>
              <w:t xml:space="preserve"> 完成 </w:t>
            </w:r>
            <w:r>
              <w:rPr>
                <w:rFonts w:hint="eastAsia" w:ascii="宋体" w:hAnsi="宋体" w:eastAsia="宋体" w:cs="宋体"/>
                <w:snapToGrid w:val="0"/>
                <w:color w:val="auto"/>
                <w:kern w:val="0"/>
                <w:sz w:val="21"/>
                <w:szCs w:val="21"/>
                <w:highlight w:val="none"/>
                <w:lang w:val="en-US" w:eastAsia="zh-CN"/>
              </w:rPr>
              <w:t>过类似工程的，每个得3分；</w:t>
            </w:r>
          </w:p>
          <w:p w14:paraId="25DF2420">
            <w:pPr>
              <w:pStyle w:val="12"/>
              <w:keepNext w:val="0"/>
              <w:keepLines w:val="0"/>
              <w:suppressLineNumbers w:val="0"/>
              <w:wordWrap w:val="0"/>
              <w:adjustRightInd w:val="0"/>
              <w:snapToGrid w:val="0"/>
              <w:spacing w:before="0" w:beforeAutospacing="0" w:after="0" w:afterAutospacing="0" w:line="400" w:lineRule="exact"/>
              <w:ind w:left="0" w:right="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u w:val="single"/>
                <w:lang w:val="en-US" w:eastAsia="zh-CN"/>
              </w:rPr>
              <w:t xml:space="preserve"> 未完成 </w:t>
            </w:r>
            <w:r>
              <w:rPr>
                <w:rFonts w:hint="eastAsia" w:ascii="宋体" w:hAnsi="宋体" w:eastAsia="宋体" w:cs="宋体"/>
                <w:snapToGrid w:val="0"/>
                <w:color w:val="auto"/>
                <w:kern w:val="0"/>
                <w:sz w:val="21"/>
                <w:szCs w:val="21"/>
                <w:highlight w:val="none"/>
                <w:lang w:val="en-US" w:eastAsia="zh-CN"/>
              </w:rPr>
              <w:t>过类似工程的，不予计分；</w:t>
            </w:r>
          </w:p>
          <w:p w14:paraId="12AFB736">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 xml:space="preserve">3.本项最高得9分。 </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552D56EC">
            <w:pPr>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1．类似工程指：</w:t>
            </w:r>
            <w:r>
              <w:rPr>
                <w:rFonts w:hint="eastAsia" w:ascii="宋体" w:hAnsi="宋体" w:eastAsia="宋体" w:cs="宋体"/>
                <w:snapToGrid w:val="0"/>
                <w:color w:val="auto"/>
                <w:kern w:val="0"/>
                <w:sz w:val="21"/>
                <w:szCs w:val="21"/>
                <w:highlight w:val="none"/>
                <w:u w:val="single"/>
                <w:lang w:eastAsia="zh-CN"/>
              </w:rPr>
              <w:t>单项</w:t>
            </w:r>
            <w:r>
              <w:rPr>
                <w:rFonts w:hint="eastAsia" w:ascii="宋体" w:hAnsi="宋体" w:eastAsia="宋体" w:cs="宋体"/>
                <w:snapToGrid w:val="0"/>
                <w:color w:val="auto"/>
                <w:kern w:val="0"/>
                <w:sz w:val="21"/>
                <w:szCs w:val="21"/>
                <w:highlight w:val="none"/>
                <w:u w:val="single"/>
                <w:lang w:val="en-US" w:eastAsia="zh-CN"/>
              </w:rPr>
              <w:t>合同总价</w:t>
            </w:r>
            <w:r>
              <w:rPr>
                <w:rFonts w:hint="eastAsia" w:ascii="宋体" w:hAnsi="宋体" w:eastAsia="宋体" w:cs="宋体"/>
                <w:snapToGrid w:val="0"/>
                <w:color w:val="auto"/>
                <w:kern w:val="0"/>
                <w:sz w:val="21"/>
                <w:szCs w:val="21"/>
                <w:highlight w:val="none"/>
                <w:u w:val="single"/>
              </w:rPr>
              <w:t>≥</w:t>
            </w:r>
            <w:r>
              <w:rPr>
                <w:rFonts w:hint="eastAsia" w:hAnsi="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u w:val="single"/>
                <w:lang w:val="en-US" w:eastAsia="zh-CN"/>
              </w:rPr>
              <w:t>00万元、且10kV或以上电压等级的电力</w:t>
            </w:r>
            <w:r>
              <w:rPr>
                <w:rFonts w:hint="eastAsia" w:ascii="宋体" w:hAnsi="宋体" w:eastAsia="宋体" w:cs="宋体"/>
                <w:snapToGrid w:val="0"/>
                <w:color w:val="auto"/>
                <w:kern w:val="0"/>
                <w:sz w:val="21"/>
                <w:szCs w:val="21"/>
                <w:highlight w:val="none"/>
                <w:u w:val="single"/>
              </w:rPr>
              <w:t>工程</w:t>
            </w:r>
            <w:r>
              <w:rPr>
                <w:rFonts w:hint="eastAsia" w:ascii="宋体" w:hAnsi="宋体" w:eastAsia="宋体" w:cs="宋体"/>
                <w:snapToGrid w:val="0"/>
                <w:color w:val="auto"/>
                <w:kern w:val="0"/>
                <w:sz w:val="21"/>
                <w:szCs w:val="21"/>
                <w:highlight w:val="none"/>
                <w:u w:val="single"/>
                <w:lang w:eastAsia="zh-CN"/>
              </w:rPr>
              <w:t>施工</w:t>
            </w:r>
            <w:r>
              <w:rPr>
                <w:rFonts w:hint="eastAsia" w:ascii="宋体" w:hAnsi="宋体" w:eastAsia="宋体" w:cs="宋体"/>
                <w:snapToGrid w:val="0"/>
                <w:color w:val="auto"/>
                <w:kern w:val="0"/>
                <w:sz w:val="21"/>
                <w:szCs w:val="21"/>
                <w:highlight w:val="none"/>
              </w:rPr>
              <w:t>。</w:t>
            </w:r>
          </w:p>
          <w:p w14:paraId="1999190E">
            <w:pPr>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trike/>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2．需附有关业绩（仅限于施工</w:t>
            </w:r>
            <w:r>
              <w:rPr>
                <w:rFonts w:hint="eastAsia" w:ascii="宋体" w:hAnsi="宋体" w:eastAsia="宋体" w:cs="宋体"/>
                <w:snapToGrid w:val="0"/>
                <w:color w:val="auto"/>
                <w:kern w:val="0"/>
                <w:sz w:val="21"/>
                <w:szCs w:val="21"/>
                <w:highlight w:val="none"/>
                <w:u w:val="single"/>
              </w:rPr>
              <w:t xml:space="preserve"> 总承包单位 </w:t>
            </w:r>
            <w:r>
              <w:rPr>
                <w:rFonts w:hint="eastAsia" w:ascii="宋体" w:hAnsi="宋体" w:eastAsia="宋体" w:cs="宋体"/>
                <w:snapToGrid w:val="0"/>
                <w:color w:val="auto"/>
                <w:kern w:val="0"/>
                <w:sz w:val="21"/>
                <w:szCs w:val="21"/>
                <w:highlight w:val="none"/>
              </w:rPr>
              <w:t>身份参建的项目）合同协议书</w:t>
            </w:r>
            <w:r>
              <w:rPr>
                <w:rFonts w:hint="eastAsia" w:ascii="宋体" w:hAnsi="宋体" w:eastAsia="宋体" w:cs="宋体"/>
                <w:snapToGrid w:val="0"/>
                <w:color w:val="auto"/>
                <w:kern w:val="0"/>
                <w:sz w:val="21"/>
                <w:szCs w:val="21"/>
                <w:highlight w:val="none"/>
                <w:lang w:val="en-US" w:eastAsia="zh-CN"/>
              </w:rPr>
              <w:t>和竣工验收报告扫描件</w:t>
            </w:r>
            <w:r>
              <w:rPr>
                <w:rFonts w:hint="eastAsia" w:ascii="宋体" w:hAnsi="宋体" w:eastAsia="宋体" w:cs="宋体"/>
                <w:snapToGrid w:val="0"/>
                <w:color w:val="auto"/>
                <w:kern w:val="0"/>
                <w:sz w:val="21"/>
                <w:szCs w:val="21"/>
                <w:highlight w:val="none"/>
              </w:rPr>
              <w:t>（或打印件）。</w:t>
            </w:r>
          </w:p>
          <w:p w14:paraId="338F0928">
            <w:pPr>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3．业绩</w:t>
            </w:r>
            <w:r>
              <w:rPr>
                <w:rFonts w:hint="eastAsia" w:ascii="宋体" w:hAnsi="宋体" w:eastAsia="宋体" w:cs="宋体"/>
                <w:color w:val="auto"/>
                <w:sz w:val="21"/>
                <w:szCs w:val="21"/>
                <w:highlight w:val="none"/>
                <w:lang w:val="en-US" w:eastAsia="zh-CN" w:bidi="ar"/>
              </w:rPr>
              <w:t>时间以签订合同日期或竣工报告日期为准。</w:t>
            </w:r>
          </w:p>
          <w:p w14:paraId="487D029B">
            <w:pPr>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4．任一业绩有以下情形之一的，该业绩视为无效，不予计分：</w:t>
            </w:r>
          </w:p>
          <w:p w14:paraId="2AA768D4">
            <w:pPr>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①未提供业绩证明材料扫描件的；</w:t>
            </w:r>
          </w:p>
          <w:p w14:paraId="20F4E808">
            <w:pPr>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②业绩不属于类似工程的；</w:t>
            </w:r>
          </w:p>
          <w:p w14:paraId="319F2E0B">
            <w:pPr>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③不是以指定身份参建的；</w:t>
            </w:r>
          </w:p>
          <w:p w14:paraId="60F0404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④业绩时间不符合要求的</w:t>
            </w:r>
            <w:r>
              <w:rPr>
                <w:rFonts w:hint="eastAsia" w:ascii="宋体" w:hAnsi="宋体" w:eastAsia="宋体" w:cs="宋体"/>
                <w:snapToGrid w:val="0"/>
                <w:color w:val="auto"/>
                <w:kern w:val="0"/>
                <w:sz w:val="21"/>
                <w:szCs w:val="21"/>
                <w:highlight w:val="none"/>
                <w:lang w:eastAsia="zh-CN"/>
              </w:rPr>
              <w:t>。</w:t>
            </w:r>
          </w:p>
        </w:tc>
      </w:tr>
      <w:tr w14:paraId="2109453E">
        <w:tblPrEx>
          <w:tblCellMar>
            <w:top w:w="0" w:type="dxa"/>
            <w:left w:w="108" w:type="dxa"/>
            <w:bottom w:w="0" w:type="dxa"/>
            <w:right w:w="108" w:type="dxa"/>
          </w:tblCellMar>
        </w:tblPrEx>
        <w:trPr>
          <w:trHeight w:val="517"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5B9BCC71">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0C01D4DD">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综</w:t>
            </w:r>
            <w:r>
              <w:rPr>
                <w:rFonts w:hint="eastAsia" w:hAnsi="宋体" w:cs="宋体"/>
                <w:snapToGrid w:val="0"/>
                <w:color w:val="auto"/>
                <w:kern w:val="0"/>
                <w:sz w:val="21"/>
                <w:szCs w:val="21"/>
                <w:highlight w:val="none"/>
                <w:lang w:val="en-US" w:eastAsia="zh-CN"/>
              </w:rPr>
              <w:t>合</w:t>
            </w:r>
            <w:r>
              <w:rPr>
                <w:rFonts w:hint="eastAsia" w:ascii="宋体" w:hAnsi="宋体" w:eastAsia="宋体" w:cs="宋体"/>
                <w:snapToGrid w:val="0"/>
                <w:color w:val="auto"/>
                <w:kern w:val="0"/>
                <w:sz w:val="21"/>
                <w:szCs w:val="21"/>
                <w:highlight w:val="none"/>
                <w:lang w:val="en-US" w:eastAsia="zh-CN"/>
              </w:rPr>
              <w:t>业绩</w:t>
            </w:r>
          </w:p>
          <w:p w14:paraId="7C59D848">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64ED1FBA">
            <w:pPr>
              <w:pStyle w:val="1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Lines="0" w:line="400" w:lineRule="exact"/>
              <w:ind w:left="0" w:leftChars="0" w:right="0" w:rightChars="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近</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年来（</w:t>
            </w:r>
            <w:r>
              <w:rPr>
                <w:rFonts w:hint="eastAsia" w:ascii="宋体" w:hAnsi="宋体" w:eastAsia="宋体" w:cs="宋体"/>
                <w:snapToGrid w:val="0"/>
                <w:color w:val="auto"/>
                <w:kern w:val="0"/>
                <w:sz w:val="21"/>
                <w:szCs w:val="21"/>
                <w:highlight w:val="none"/>
                <w:lang w:val="en-US" w:eastAsia="zh-CN"/>
              </w:rPr>
              <w:t>2020年1月1日至今</w:t>
            </w:r>
            <w:r>
              <w:rPr>
                <w:rFonts w:hint="eastAsia" w:ascii="宋体" w:hAnsi="宋体" w:eastAsia="宋体" w:cs="宋体"/>
                <w:snapToGrid w:val="0"/>
                <w:color w:val="auto"/>
                <w:kern w:val="0"/>
                <w:sz w:val="21"/>
                <w:szCs w:val="21"/>
                <w:highlight w:val="none"/>
              </w:rPr>
              <w:t>）项目经理</w:t>
            </w:r>
            <w:r>
              <w:rPr>
                <w:rFonts w:hint="eastAsia" w:ascii="宋体" w:hAnsi="宋体" w:eastAsia="宋体" w:cs="宋体"/>
                <w:snapToGrid w:val="0"/>
                <w:color w:val="auto"/>
                <w:kern w:val="0"/>
                <w:sz w:val="21"/>
                <w:szCs w:val="21"/>
                <w:highlight w:val="none"/>
                <w:lang w:eastAsia="zh-CN"/>
              </w:rPr>
              <w:t>业绩情况</w:t>
            </w:r>
            <w:r>
              <w:rPr>
                <w:rFonts w:hint="eastAsia" w:ascii="宋体" w:hAnsi="宋体" w:eastAsia="宋体" w:cs="宋体"/>
                <w:snapToGrid w:val="0"/>
                <w:color w:val="auto"/>
                <w:kern w:val="0"/>
                <w:sz w:val="21"/>
                <w:szCs w:val="21"/>
                <w:highlight w:val="none"/>
              </w:rPr>
              <w:t>：</w:t>
            </w:r>
          </w:p>
          <w:p w14:paraId="54CA4F1F">
            <w:pPr>
              <w:pStyle w:val="1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Lines="0" w:line="400" w:lineRule="exact"/>
              <w:ind w:left="0" w:leftChars="0" w:right="0" w:rightChars="0" w:firstLine="0" w:firstLineChars="0"/>
              <w:rPr>
                <w:rFonts w:hint="eastAsia" w:ascii="宋体" w:hAnsi="宋体" w:eastAsia="宋体" w:cs="宋体"/>
                <w:snapToGrid w:val="0"/>
                <w:color w:val="auto"/>
                <w:kern w:val="0"/>
                <w:sz w:val="21"/>
                <w:szCs w:val="21"/>
                <w:highlight w:val="none"/>
                <w:lang w:val="en-US" w:eastAsia="zh-CN"/>
              </w:rPr>
            </w:pPr>
            <w:r>
              <w:rPr>
                <w:rFonts w:hint="eastAsia" w:hAnsi="宋体" w:cs="宋体"/>
                <w:snapToGrid w:val="0"/>
                <w:color w:val="auto"/>
                <w:kern w:val="0"/>
                <w:sz w:val="21"/>
                <w:szCs w:val="21"/>
                <w:highlight w:val="none"/>
                <w:lang w:val="en-US" w:eastAsia="zh-CN" w:bidi="ar-SA"/>
              </w:rPr>
              <w:t>1</w:t>
            </w:r>
            <w:r>
              <w:rPr>
                <w:rFonts w:hint="eastAsia" w:ascii="宋体" w:hAnsi="宋体" w:eastAsia="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lang w:val="en-US" w:eastAsia="zh-CN"/>
              </w:rPr>
              <w:t>担任过电力工程类项目经理</w:t>
            </w:r>
            <w:r>
              <w:rPr>
                <w:rFonts w:hint="eastAsia" w:ascii="宋体" w:hAnsi="宋体" w:eastAsia="宋体" w:cs="宋体"/>
                <w:snapToGrid w:val="0"/>
                <w:color w:val="auto"/>
                <w:kern w:val="0"/>
                <w:sz w:val="21"/>
                <w:szCs w:val="21"/>
                <w:highlight w:val="none"/>
              </w:rPr>
              <w:t>（项目负责人）</w:t>
            </w:r>
            <w:r>
              <w:rPr>
                <w:rFonts w:hint="eastAsia" w:ascii="宋体" w:hAnsi="宋体" w:eastAsia="宋体" w:cs="宋体"/>
                <w:snapToGrid w:val="0"/>
                <w:color w:val="auto"/>
                <w:kern w:val="0"/>
                <w:sz w:val="21"/>
                <w:szCs w:val="21"/>
                <w:highlight w:val="none"/>
                <w:lang w:val="en-US" w:eastAsia="zh-CN"/>
              </w:rPr>
              <w:t xml:space="preserve">的，每提供一个得2分，最高得10分； </w:t>
            </w:r>
          </w:p>
          <w:p w14:paraId="005FA130">
            <w:pPr>
              <w:pStyle w:val="1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Lines="0" w:line="400" w:lineRule="exact"/>
              <w:ind w:left="0" w:leftChars="0" w:right="0" w:rightChars="0" w:firstLine="0" w:firstLineChars="0"/>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bidi="ar-SA"/>
              </w:rPr>
              <w:t>2</w:t>
            </w:r>
            <w:r>
              <w:rPr>
                <w:rFonts w:hint="eastAsia" w:ascii="宋体" w:hAnsi="宋体" w:eastAsia="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lang w:val="en-US" w:eastAsia="zh-CN"/>
              </w:rPr>
              <w:t>本项最高得10分。</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568C1698">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须提供以项目经理（项目负责人）身份参与且已竣工验收的项目）合同协议书和竣工验收报告的扫描件</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时间以签订合同日期或竣工报告日期为准。</w:t>
            </w:r>
          </w:p>
        </w:tc>
      </w:tr>
      <w:tr w14:paraId="0257211B">
        <w:tblPrEx>
          <w:tblCellMar>
            <w:top w:w="0" w:type="dxa"/>
            <w:left w:w="108" w:type="dxa"/>
            <w:bottom w:w="0" w:type="dxa"/>
            <w:right w:w="108" w:type="dxa"/>
          </w:tblCellMar>
        </w:tblPrEx>
        <w:trPr>
          <w:trHeight w:val="516"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6CCBCBE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企业银行</w:t>
            </w:r>
          </w:p>
          <w:p w14:paraId="4AABDCB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资信评级</w:t>
            </w:r>
          </w:p>
          <w:p w14:paraId="69EA61E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081D044C">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1．银行资信评级AA（含AA＋、AA－）</w:t>
            </w:r>
            <w:r>
              <w:rPr>
                <w:rFonts w:hint="eastAsia" w:ascii="宋体" w:hAnsi="宋体" w:eastAsia="宋体" w:cs="宋体"/>
                <w:snapToGrid w:val="0"/>
                <w:color w:val="auto"/>
                <w:kern w:val="0"/>
                <w:sz w:val="21"/>
                <w:szCs w:val="21"/>
                <w:highlight w:val="none"/>
                <w:lang w:eastAsia="zh-CN"/>
              </w:rPr>
              <w:t>或以上</w:t>
            </w:r>
            <w:r>
              <w:rPr>
                <w:rFonts w:hint="eastAsia" w:ascii="宋体" w:hAnsi="宋体" w:eastAsia="宋体" w:cs="宋体"/>
                <w:snapToGrid w:val="0"/>
                <w:color w:val="auto"/>
                <w:kern w:val="0"/>
                <w:sz w:val="21"/>
                <w:szCs w:val="21"/>
                <w:highlight w:val="none"/>
              </w:rPr>
              <w:t>的，得</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分。</w:t>
            </w:r>
          </w:p>
          <w:p w14:paraId="276B286C">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2．银行资信评级A（含A＋、A－）的，得</w:t>
            </w: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分。</w:t>
            </w:r>
          </w:p>
          <w:p w14:paraId="5DCD78E4">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3．未获得过以上评级的，或评级证书无效的，不予计分</w:t>
            </w:r>
            <w:r>
              <w:rPr>
                <w:rFonts w:hint="eastAsia" w:ascii="宋体" w:hAnsi="宋体" w:eastAsia="宋体" w:cs="宋体"/>
                <w:snapToGrid w:val="0"/>
                <w:color w:val="auto"/>
                <w:kern w:val="0"/>
                <w:sz w:val="21"/>
                <w:szCs w:val="21"/>
                <w:highlight w:val="none"/>
                <w:lang w:eastAsia="zh-CN"/>
              </w:rPr>
              <w:t>；</w:t>
            </w:r>
          </w:p>
          <w:p w14:paraId="021A336E">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本项最高得</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分。</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25495AE2">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1．需附在有效期内的资信评级证书或证明</w:t>
            </w:r>
            <w:r>
              <w:rPr>
                <w:rFonts w:hint="eastAsia" w:ascii="宋体" w:hAnsi="宋体" w:eastAsia="宋体" w:cs="宋体"/>
                <w:snapToGrid w:val="0"/>
                <w:color w:val="auto"/>
                <w:kern w:val="0"/>
                <w:sz w:val="21"/>
                <w:szCs w:val="21"/>
                <w:highlight w:val="none"/>
                <w:lang w:eastAsia="zh-CN"/>
              </w:rPr>
              <w:t>扫描件</w:t>
            </w:r>
            <w:r>
              <w:rPr>
                <w:rFonts w:hint="eastAsia" w:ascii="宋体" w:hAnsi="宋体" w:eastAsia="宋体" w:cs="宋体"/>
                <w:snapToGrid w:val="0"/>
                <w:color w:val="auto"/>
                <w:kern w:val="0"/>
                <w:sz w:val="21"/>
                <w:szCs w:val="21"/>
                <w:highlight w:val="none"/>
              </w:rPr>
              <w:t>（或打印件）。</w:t>
            </w:r>
          </w:p>
          <w:p w14:paraId="7A04B5C0">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2．评级证书须由</w:t>
            </w:r>
            <w:r>
              <w:rPr>
                <w:rFonts w:hint="eastAsia" w:ascii="宋体" w:hAnsi="宋体" w:eastAsia="宋体" w:cs="宋体"/>
                <w:snapToGrid w:val="0"/>
                <w:color w:val="auto"/>
                <w:kern w:val="0"/>
                <w:sz w:val="21"/>
                <w:szCs w:val="21"/>
                <w:highlight w:val="none"/>
                <w:u w:val="single"/>
              </w:rPr>
              <w:t xml:space="preserve"> 市级或以上金融机构或企业基本账户开户行 </w:t>
            </w:r>
            <w:r>
              <w:rPr>
                <w:rFonts w:hint="eastAsia" w:ascii="宋体" w:hAnsi="宋体" w:eastAsia="宋体" w:cs="宋体"/>
                <w:snapToGrid w:val="0"/>
                <w:color w:val="auto"/>
                <w:kern w:val="0"/>
                <w:sz w:val="21"/>
                <w:szCs w:val="21"/>
                <w:highlight w:val="none"/>
              </w:rPr>
              <w:t>出具。</w:t>
            </w:r>
          </w:p>
          <w:p w14:paraId="6DFAD700">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3．评级证书有以下情形之一的，视为无效：</w:t>
            </w:r>
          </w:p>
          <w:p w14:paraId="4C7B0298">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①未提供评级证书扫描件的；</w:t>
            </w:r>
          </w:p>
          <w:p w14:paraId="75FC9B7D">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②评级证书不在有效期内的；</w:t>
            </w:r>
          </w:p>
          <w:p w14:paraId="74AB1FD2">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③出具机构不符合要求的。</w:t>
            </w:r>
          </w:p>
        </w:tc>
      </w:tr>
      <w:tr w14:paraId="2B785424">
        <w:tblPrEx>
          <w:tblCellMar>
            <w:top w:w="0" w:type="dxa"/>
            <w:left w:w="108" w:type="dxa"/>
            <w:bottom w:w="0" w:type="dxa"/>
            <w:right w:w="108" w:type="dxa"/>
          </w:tblCellMar>
        </w:tblPrEx>
        <w:trPr>
          <w:trHeight w:val="2537"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317E335B">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企业管理体系认证（</w:t>
            </w:r>
            <w:r>
              <w:rPr>
                <w:rFonts w:hint="eastAsia" w:ascii="宋体" w:hAnsi="宋体" w:eastAsia="宋体" w:cs="宋体"/>
                <w:snapToGrid w:val="0"/>
                <w:color w:val="auto"/>
                <w:kern w:val="0"/>
                <w:sz w:val="21"/>
                <w:szCs w:val="21"/>
                <w:highlight w:val="none"/>
                <w:lang w:val="en-US" w:eastAsia="zh-CN"/>
              </w:rPr>
              <w:t>8</w:t>
            </w:r>
            <w:r>
              <w:rPr>
                <w:rFonts w:hint="eastAsia" w:ascii="宋体" w:hAnsi="宋体" w:eastAsia="宋体" w:cs="宋体"/>
                <w:snapToGrid w:val="0"/>
                <w:color w:val="auto"/>
                <w:kern w:val="0"/>
                <w:sz w:val="21"/>
                <w:szCs w:val="21"/>
                <w:highlight w:val="none"/>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3DFE7C4E">
            <w:pPr>
              <w:pStyle w:val="2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1．同时具有质量管理体系认证、职业健康安全管理体系认证、环境管理体系认证中、诚信管理体系认证证书、企业信用评价认证证书的，全部满足得</w:t>
            </w:r>
            <w:r>
              <w:rPr>
                <w:rFonts w:hint="eastAsia" w:ascii="宋体" w:hAnsi="宋体" w:eastAsia="宋体" w:cs="宋体"/>
                <w:snapToGrid w:val="0"/>
                <w:color w:val="auto"/>
                <w:kern w:val="0"/>
                <w:sz w:val="21"/>
                <w:szCs w:val="21"/>
                <w:highlight w:val="none"/>
                <w:lang w:val="en-US" w:eastAsia="zh-CN"/>
              </w:rPr>
              <w:t>8</w:t>
            </w:r>
            <w:r>
              <w:rPr>
                <w:rFonts w:hint="eastAsia" w:ascii="宋体" w:hAnsi="宋体" w:eastAsia="宋体" w:cs="宋体"/>
                <w:snapToGrid w:val="0"/>
                <w:color w:val="auto"/>
                <w:kern w:val="0"/>
                <w:sz w:val="21"/>
                <w:szCs w:val="21"/>
                <w:highlight w:val="none"/>
              </w:rPr>
              <w:t>分，每缺少一项扣2分，扣完为止；</w:t>
            </w:r>
          </w:p>
          <w:p w14:paraId="510EEB47">
            <w:pPr>
              <w:pStyle w:val="2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2．未获得以上认证的，不予计分；</w:t>
            </w:r>
          </w:p>
          <w:p w14:paraId="2B1848DA">
            <w:pPr>
              <w:pStyle w:val="2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3．本项最高得</w:t>
            </w:r>
            <w:r>
              <w:rPr>
                <w:rFonts w:hint="eastAsia" w:ascii="宋体" w:hAnsi="宋体" w:eastAsia="宋体" w:cs="宋体"/>
                <w:snapToGrid w:val="0"/>
                <w:color w:val="auto"/>
                <w:kern w:val="0"/>
                <w:sz w:val="21"/>
                <w:szCs w:val="21"/>
                <w:highlight w:val="none"/>
                <w:lang w:val="en-US" w:eastAsia="zh-CN"/>
              </w:rPr>
              <w:t>8</w:t>
            </w:r>
            <w:r>
              <w:rPr>
                <w:rFonts w:hint="eastAsia" w:ascii="宋体" w:hAnsi="宋体" w:eastAsia="宋体" w:cs="宋体"/>
                <w:snapToGrid w:val="0"/>
                <w:color w:val="auto"/>
                <w:kern w:val="0"/>
                <w:sz w:val="21"/>
                <w:szCs w:val="21"/>
                <w:highlight w:val="none"/>
              </w:rPr>
              <w:t>分。</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6F428F8D">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1．需附在有效期内的认证证书</w:t>
            </w:r>
            <w:r>
              <w:rPr>
                <w:rFonts w:hint="eastAsia" w:ascii="宋体" w:hAnsi="宋体" w:eastAsia="宋体" w:cs="宋体"/>
                <w:snapToGrid w:val="0"/>
                <w:color w:val="auto"/>
                <w:kern w:val="0"/>
                <w:sz w:val="21"/>
                <w:szCs w:val="21"/>
                <w:highlight w:val="none"/>
                <w:lang w:eastAsia="zh-CN"/>
              </w:rPr>
              <w:t>扫描件</w:t>
            </w:r>
            <w:r>
              <w:rPr>
                <w:rFonts w:hint="eastAsia" w:ascii="宋体" w:hAnsi="宋体" w:eastAsia="宋体" w:cs="宋体"/>
                <w:snapToGrid w:val="0"/>
                <w:color w:val="auto"/>
                <w:kern w:val="0"/>
                <w:sz w:val="21"/>
                <w:szCs w:val="21"/>
                <w:highlight w:val="none"/>
              </w:rPr>
              <w:t>（或打印件）</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并提供《全国认证认可信息公共服务平台》查询结果一致的截图，否则不得分。</w:t>
            </w:r>
          </w:p>
          <w:p w14:paraId="2AA99AAA">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2．任一认证证书有以下情形之一的，该认证证书视为无效，不予计分：</w:t>
            </w:r>
          </w:p>
          <w:p w14:paraId="100806B1">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①未提供认证证书扫描件的；</w:t>
            </w:r>
          </w:p>
          <w:p w14:paraId="682A7A1D">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②认证证书不在有效期内的。</w:t>
            </w:r>
          </w:p>
        </w:tc>
      </w:tr>
      <w:tr w14:paraId="04049505">
        <w:tblPrEx>
          <w:tblCellMar>
            <w:top w:w="0" w:type="dxa"/>
            <w:left w:w="108" w:type="dxa"/>
            <w:bottom w:w="0" w:type="dxa"/>
            <w:right w:w="108" w:type="dxa"/>
          </w:tblCellMar>
        </w:tblPrEx>
        <w:trPr>
          <w:trHeight w:val="845"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7AE82B91">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lang w:bidi="ar"/>
              </w:rPr>
            </w:pPr>
            <w:r>
              <w:rPr>
                <w:rFonts w:hint="eastAsia" w:ascii="宋体" w:hAnsi="宋体" w:eastAsia="宋体" w:cs="宋体"/>
                <w:snapToGrid w:val="0"/>
                <w:color w:val="auto"/>
                <w:kern w:val="0"/>
                <w:sz w:val="21"/>
                <w:szCs w:val="21"/>
                <w:highlight w:val="none"/>
                <w:lang w:bidi="ar"/>
              </w:rPr>
              <w:t>项目管理团队综合素质（</w:t>
            </w:r>
            <w:r>
              <w:rPr>
                <w:rFonts w:hint="eastAsia" w:ascii="宋体" w:hAnsi="宋体" w:eastAsia="宋体" w:cs="宋体"/>
                <w:snapToGrid w:val="0"/>
                <w:color w:val="auto"/>
                <w:kern w:val="0"/>
                <w:sz w:val="21"/>
                <w:szCs w:val="21"/>
                <w:highlight w:val="none"/>
                <w:lang w:val="en-US" w:eastAsia="zh-CN" w:bidi="ar"/>
              </w:rPr>
              <w:t>25</w:t>
            </w:r>
            <w:r>
              <w:rPr>
                <w:rFonts w:hint="eastAsia" w:ascii="宋体" w:hAnsi="宋体" w:eastAsia="宋体" w:cs="宋体"/>
                <w:snapToGrid w:val="0"/>
                <w:color w:val="auto"/>
                <w:kern w:val="0"/>
                <w:sz w:val="21"/>
                <w:szCs w:val="21"/>
                <w:highlight w:val="none"/>
                <w:lang w:bidi="ar"/>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25305A22">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 xml:space="preserve">项目管理团队其他人员（除项目经理、技术负责人、专职安全员外）配备情况： </w:t>
            </w:r>
          </w:p>
          <w:p w14:paraId="1BD03CD2">
            <w:pPr>
              <w:keepNext w:val="0"/>
              <w:keepLines w:val="0"/>
              <w:numPr>
                <w:ilvl w:val="0"/>
                <w:numId w:val="0"/>
              </w:numPr>
              <w:suppressLineNumbers w:val="0"/>
              <w:spacing w:before="0" w:beforeAutospacing="0" w:after="0" w:afterAutospacing="0"/>
              <w:ind w:left="0" w:right="0"/>
              <w:jc w:val="left"/>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①设备安装施工员1人、土建施工员1人、设备安装质量员1人、土建质量员1人、材料员1人、资料员1人、机械设备管理员1人、档案员1人，符合以上配置得15分（低于上述配置不予计分）；</w:t>
            </w:r>
          </w:p>
          <w:p w14:paraId="752DEF11">
            <w:pPr>
              <w:keepNext w:val="0"/>
              <w:keepLines w:val="0"/>
              <w:numPr>
                <w:ilvl w:val="0"/>
                <w:numId w:val="0"/>
              </w:numPr>
              <w:suppressLineNumbers w:val="0"/>
              <w:spacing w:before="0" w:beforeAutospacing="0" w:after="0" w:afterAutospacing="0"/>
              <w:ind w:left="0" w:leftChars="0" w:right="0" w:firstLine="0" w:firstLineChars="0"/>
              <w:jc w:val="left"/>
              <w:rPr>
                <w:rFonts w:hint="eastAsia" w:ascii="宋体" w:hAnsi="宋体" w:eastAsia="宋体" w:cs="宋体"/>
                <w:snapToGrid w:val="0"/>
                <w:color w:val="auto"/>
                <w:kern w:val="0"/>
                <w:szCs w:val="21"/>
                <w:highlight w:val="none"/>
              </w:rPr>
            </w:pPr>
            <w:r>
              <w:rPr>
                <w:rFonts w:hint="eastAsia" w:ascii="宋体" w:hAnsi="宋体" w:eastAsia="宋体" w:cs="宋体"/>
                <w:color w:val="auto"/>
                <w:sz w:val="21"/>
                <w:szCs w:val="21"/>
                <w:highlight w:val="none"/>
                <w:lang w:val="en-US" w:eastAsia="zh-CN" w:bidi="ar"/>
              </w:rPr>
              <w:t>②具有“高压电工作业证”、“低压电工作业证”、“高处作业证”、“试验证”四个特种作业证书中任意两个证书的人员，每提供一个得2分（相同证书或同一人只计一次分），最高得10分。</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3E092BBB">
            <w:pPr>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上述</w:t>
            </w:r>
            <w:r>
              <w:rPr>
                <w:rFonts w:hint="eastAsia" w:ascii="宋体" w:hAnsi="宋体" w:eastAsia="宋体" w:cs="宋体"/>
                <w:snapToGrid w:val="0"/>
                <w:color w:val="auto"/>
                <w:kern w:val="0"/>
                <w:sz w:val="21"/>
                <w:szCs w:val="21"/>
                <w:highlight w:val="none"/>
              </w:rPr>
              <w:t>人员需提供在本单位投标截止前连续</w:t>
            </w: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个月的社保证明</w:t>
            </w:r>
            <w:r>
              <w:rPr>
                <w:rFonts w:hint="eastAsia" w:ascii="宋体" w:hAnsi="宋体" w:eastAsia="宋体" w:cs="宋体"/>
                <w:snapToGrid w:val="0"/>
                <w:color w:val="auto"/>
                <w:kern w:val="0"/>
                <w:sz w:val="21"/>
                <w:szCs w:val="21"/>
                <w:highlight w:val="none"/>
                <w:lang w:val="en-US" w:eastAsia="zh-CN"/>
              </w:rPr>
              <w:t>材料</w:t>
            </w:r>
            <w:r>
              <w:rPr>
                <w:rFonts w:hint="eastAsia" w:ascii="宋体" w:hAnsi="宋体" w:eastAsia="宋体" w:cs="宋体"/>
                <w:snapToGrid w:val="0"/>
                <w:color w:val="auto"/>
                <w:kern w:val="0"/>
                <w:sz w:val="21"/>
                <w:szCs w:val="21"/>
                <w:highlight w:val="none"/>
              </w:rPr>
              <w:t>，无提供社保证明不得分</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（如有涉及分公司人员的需提供分公司人员社保及分公司驻点机构注册资料或现场驻点房产证明、租赁证明等）</w:t>
            </w:r>
          </w:p>
        </w:tc>
      </w:tr>
      <w:tr w14:paraId="47A6F7D4">
        <w:tblPrEx>
          <w:tblCellMar>
            <w:top w:w="0" w:type="dxa"/>
            <w:left w:w="108" w:type="dxa"/>
            <w:bottom w:w="0" w:type="dxa"/>
            <w:right w:w="108" w:type="dxa"/>
          </w:tblCellMar>
        </w:tblPrEx>
        <w:trPr>
          <w:trHeight w:val="845"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640068A9">
            <w:pPr>
              <w:pStyle w:val="12"/>
              <w:keepNext w:val="0"/>
              <w:keepLines w:val="0"/>
              <w:suppressLineNumbers w:val="0"/>
              <w:wordWrap w:val="0"/>
              <w:adjustRightInd w:val="0"/>
              <w:snapToGrid w:val="0"/>
              <w:spacing w:before="0" w:beforeAutospacing="0" w:after="0" w:line="400" w:lineRule="exact"/>
              <w:ind w:left="0" w:right="0"/>
              <w:rPr>
                <w:rFonts w:hint="eastAsia" w:ascii="宋体" w:hAnsi="宋体" w:eastAsia="宋体" w:cs="宋体"/>
                <w:snapToGrid w:val="0"/>
                <w:color w:val="auto"/>
                <w:kern w:val="0"/>
                <w:sz w:val="21"/>
                <w:szCs w:val="21"/>
                <w:highlight w:val="none"/>
                <w:lang w:bidi="ar"/>
              </w:rPr>
            </w:pPr>
          </w:p>
          <w:p w14:paraId="54456775">
            <w:pPr>
              <w:pStyle w:val="12"/>
              <w:keepNext w:val="0"/>
              <w:keepLines w:val="0"/>
              <w:suppressLineNumbers w:val="0"/>
              <w:wordWrap w:val="0"/>
              <w:adjustRightInd w:val="0"/>
              <w:snapToGrid w:val="0"/>
              <w:spacing w:before="0" w:beforeAutospacing="0" w:after="0" w:line="400" w:lineRule="exact"/>
              <w:ind w:left="0" w:right="0"/>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保障服务</w:t>
            </w:r>
          </w:p>
          <w:p w14:paraId="2D7FF957">
            <w:pPr>
              <w:pStyle w:val="12"/>
              <w:keepNext w:val="0"/>
              <w:keepLines w:val="0"/>
              <w:suppressLineNumbers w:val="0"/>
              <w:wordWrap w:val="0"/>
              <w:adjustRightInd w:val="0"/>
              <w:snapToGrid w:val="0"/>
              <w:spacing w:before="0" w:beforeAutospacing="0" w:after="0" w:line="400" w:lineRule="exact"/>
              <w:ind w:left="0" w:right="0"/>
              <w:jc w:val="center"/>
              <w:rPr>
                <w:rFonts w:hint="eastAsia" w:ascii="宋体" w:hAnsi="宋体" w:eastAsia="宋体" w:cs="宋体"/>
                <w:snapToGrid w:val="0"/>
                <w:color w:val="auto"/>
                <w:kern w:val="0"/>
                <w:sz w:val="21"/>
                <w:szCs w:val="21"/>
                <w:highlight w:val="none"/>
                <w:lang w:bidi="ar"/>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15</w:t>
            </w:r>
            <w:r>
              <w:rPr>
                <w:rFonts w:hint="eastAsia" w:ascii="宋体" w:hAnsi="宋体" w:eastAsia="宋体" w:cs="宋体"/>
                <w:snapToGrid w:val="0"/>
                <w:color w:val="auto"/>
                <w:kern w:val="0"/>
                <w:sz w:val="21"/>
                <w:szCs w:val="21"/>
                <w:highlight w:val="none"/>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53D21843">
            <w:pPr>
              <w:pStyle w:val="12"/>
              <w:keepNext w:val="0"/>
              <w:keepLines w:val="0"/>
              <w:suppressLineNumbers w:val="0"/>
              <w:wordWrap w:val="0"/>
              <w:adjustRightInd w:val="0"/>
              <w:snapToGrid w:val="0"/>
              <w:spacing w:before="0" w:beforeAutospacing="0" w:after="0" w:line="400" w:lineRule="exact"/>
              <w:ind w:left="0" w:right="0"/>
              <w:jc w:val="both"/>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在</w:t>
            </w:r>
            <w:r>
              <w:rPr>
                <w:rFonts w:hint="eastAsia" w:ascii="宋体" w:hAnsi="宋体" w:eastAsia="宋体" w:cs="宋体"/>
                <w:snapToGrid w:val="0"/>
                <w:color w:val="auto"/>
                <w:kern w:val="0"/>
                <w:sz w:val="21"/>
                <w:szCs w:val="21"/>
                <w:highlight w:val="none"/>
                <w:lang w:eastAsia="zh-CN"/>
              </w:rPr>
              <w:t>施工过程中，为保障附近工厂及周边居民正常用电，在停电过程中，需提供保供电车支援，</w:t>
            </w:r>
            <w:r>
              <w:rPr>
                <w:rFonts w:hint="eastAsia" w:ascii="宋体" w:hAnsi="宋体" w:eastAsia="宋体" w:cs="宋体"/>
                <w:snapToGrid w:val="0"/>
                <w:color w:val="auto"/>
                <w:kern w:val="0"/>
                <w:sz w:val="21"/>
                <w:szCs w:val="21"/>
                <w:highlight w:val="none"/>
              </w:rPr>
              <w:t>本电力项目的关键保供电过程中能提供</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 xml:space="preserve">保供电车3台或以上的得 </w:t>
            </w:r>
            <w:r>
              <w:rPr>
                <w:rFonts w:hint="eastAsia" w:ascii="宋体" w:hAnsi="宋体" w:eastAsia="宋体" w:cs="宋体"/>
                <w:snapToGrid w:val="0"/>
                <w:color w:val="auto"/>
                <w:kern w:val="0"/>
                <w:sz w:val="21"/>
                <w:szCs w:val="21"/>
                <w:highlight w:val="none"/>
                <w:lang w:val="en-US" w:eastAsia="zh-CN"/>
              </w:rPr>
              <w:t>15</w:t>
            </w:r>
            <w:r>
              <w:rPr>
                <w:rFonts w:hint="eastAsia" w:ascii="宋体" w:hAnsi="宋体" w:eastAsia="宋体" w:cs="宋体"/>
                <w:snapToGrid w:val="0"/>
                <w:color w:val="auto"/>
                <w:kern w:val="0"/>
                <w:sz w:val="21"/>
                <w:szCs w:val="21"/>
                <w:highlight w:val="none"/>
              </w:rPr>
              <w:t>分，提供1-2台的得</w:t>
            </w:r>
            <w:r>
              <w:rPr>
                <w:rFonts w:hint="eastAsia" w:ascii="宋体" w:hAnsi="宋体" w:eastAsia="宋体" w:cs="宋体"/>
                <w:snapToGrid w:val="0"/>
                <w:color w:val="auto"/>
                <w:kern w:val="0"/>
                <w:sz w:val="21"/>
                <w:szCs w:val="21"/>
                <w:highlight w:val="none"/>
                <w:lang w:val="en-US" w:eastAsia="zh-CN"/>
              </w:rPr>
              <w:t>8</w:t>
            </w:r>
            <w:r>
              <w:rPr>
                <w:rFonts w:hint="eastAsia" w:ascii="宋体" w:hAnsi="宋体" w:eastAsia="宋体" w:cs="宋体"/>
                <w:snapToGrid w:val="0"/>
                <w:color w:val="auto"/>
                <w:kern w:val="0"/>
                <w:sz w:val="21"/>
                <w:szCs w:val="21"/>
                <w:highlight w:val="none"/>
              </w:rPr>
              <w:t>分，</w:t>
            </w:r>
            <w:r>
              <w:rPr>
                <w:rFonts w:hint="eastAsia" w:ascii="宋体" w:hAnsi="宋体" w:eastAsia="宋体" w:cs="宋体"/>
                <w:snapToGrid w:val="0"/>
                <w:color w:val="auto"/>
                <w:kern w:val="0"/>
                <w:sz w:val="21"/>
                <w:szCs w:val="21"/>
                <w:highlight w:val="none"/>
                <w:lang w:eastAsia="zh-CN"/>
              </w:rPr>
              <w:t>无则</w:t>
            </w:r>
            <w:r>
              <w:rPr>
                <w:rFonts w:hint="eastAsia" w:ascii="宋体" w:hAnsi="宋体" w:eastAsia="宋体" w:cs="宋体"/>
                <w:snapToGrid w:val="0"/>
                <w:color w:val="auto"/>
                <w:kern w:val="0"/>
                <w:sz w:val="21"/>
                <w:szCs w:val="21"/>
                <w:highlight w:val="none"/>
              </w:rPr>
              <w:t>不得分。</w:t>
            </w:r>
          </w:p>
          <w:p w14:paraId="08139404">
            <w:pPr>
              <w:pStyle w:val="12"/>
              <w:keepNext w:val="0"/>
              <w:keepLines w:val="0"/>
              <w:suppressLineNumbers w:val="0"/>
              <w:wordWrap w:val="0"/>
              <w:adjustRightInd w:val="0"/>
              <w:snapToGrid w:val="0"/>
              <w:spacing w:before="0" w:beforeAutospacing="0" w:after="0" w:line="400" w:lineRule="exact"/>
              <w:ind w:left="0" w:right="0"/>
              <w:jc w:val="both"/>
              <w:rPr>
                <w:rFonts w:hint="eastAsia" w:ascii="宋体" w:hAnsi="宋体" w:eastAsia="宋体" w:cs="宋体"/>
                <w:color w:val="auto"/>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本项最高得</w:t>
            </w:r>
            <w:r>
              <w:rPr>
                <w:rFonts w:hint="eastAsia" w:ascii="宋体" w:hAnsi="宋体" w:eastAsia="宋体" w:cs="宋体"/>
                <w:snapToGrid w:val="0"/>
                <w:color w:val="auto"/>
                <w:kern w:val="0"/>
                <w:sz w:val="21"/>
                <w:szCs w:val="21"/>
                <w:highlight w:val="none"/>
                <w:lang w:val="en-US" w:eastAsia="zh-CN"/>
              </w:rPr>
              <w:t>1</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719C8544">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自身拥有保电车辆的需提供行驶证</w:t>
            </w:r>
            <w:r>
              <w:rPr>
                <w:rFonts w:hint="eastAsia" w:ascii="宋体" w:hAnsi="宋体" w:eastAsia="宋体" w:cs="宋体"/>
                <w:snapToGrid w:val="0"/>
                <w:color w:val="auto"/>
                <w:kern w:val="0"/>
                <w:sz w:val="21"/>
                <w:szCs w:val="21"/>
                <w:highlight w:val="none"/>
              </w:rPr>
              <w:t>扫描件</w:t>
            </w:r>
            <w:r>
              <w:rPr>
                <w:rFonts w:hint="eastAsia" w:ascii="宋体" w:hAnsi="宋体" w:eastAsia="宋体" w:cs="宋体"/>
                <w:color w:val="auto"/>
                <w:sz w:val="21"/>
                <w:szCs w:val="21"/>
                <w:highlight w:val="none"/>
              </w:rPr>
              <w:t>；使用租赁保供电车辆的需提供行驶证</w:t>
            </w:r>
            <w:r>
              <w:rPr>
                <w:rFonts w:hint="eastAsia" w:ascii="宋体" w:hAnsi="宋体" w:eastAsia="宋体" w:cs="宋体"/>
                <w:snapToGrid w:val="0"/>
                <w:color w:val="auto"/>
                <w:kern w:val="0"/>
                <w:sz w:val="21"/>
                <w:szCs w:val="21"/>
                <w:highlight w:val="none"/>
              </w:rPr>
              <w:t>扫描件</w:t>
            </w:r>
            <w:r>
              <w:rPr>
                <w:rFonts w:hint="eastAsia" w:ascii="宋体" w:hAnsi="宋体" w:eastAsia="宋体" w:cs="宋体"/>
                <w:color w:val="auto"/>
                <w:sz w:val="21"/>
                <w:szCs w:val="21"/>
                <w:highlight w:val="none"/>
              </w:rPr>
              <w:t>及租赁合同</w:t>
            </w:r>
            <w:r>
              <w:rPr>
                <w:rFonts w:hint="eastAsia" w:ascii="宋体" w:hAnsi="宋体" w:eastAsia="宋体" w:cs="宋体"/>
                <w:snapToGrid w:val="0"/>
                <w:color w:val="auto"/>
                <w:kern w:val="0"/>
                <w:sz w:val="21"/>
                <w:szCs w:val="21"/>
                <w:highlight w:val="none"/>
              </w:rPr>
              <w:t>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相关证件应在有效期内</w:t>
            </w:r>
            <w:r>
              <w:rPr>
                <w:rFonts w:hint="eastAsia" w:ascii="宋体" w:hAnsi="宋体" w:eastAsia="宋体" w:cs="宋体"/>
                <w:color w:val="auto"/>
                <w:sz w:val="21"/>
                <w:szCs w:val="21"/>
                <w:highlight w:val="none"/>
                <w:lang w:eastAsia="zh-CN"/>
              </w:rPr>
              <w:t>。</w:t>
            </w:r>
          </w:p>
          <w:p w14:paraId="1A2B0E35">
            <w:pPr>
              <w:keepNext w:val="0"/>
              <w:keepLines w:val="0"/>
              <w:suppressLineNumbers w:val="0"/>
              <w:spacing w:before="0" w:beforeAutospacing="0" w:after="0" w:afterAutospacing="0"/>
              <w:ind w:left="0" w:right="0"/>
              <w:jc w:val="both"/>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施工工程中需要保供电车到现场保电，如提供不了</w:t>
            </w:r>
            <w:r>
              <w:rPr>
                <w:rFonts w:hint="eastAsia" w:ascii="宋体" w:hAnsi="宋体" w:eastAsia="宋体" w:cs="宋体"/>
                <w:color w:val="auto"/>
                <w:sz w:val="21"/>
                <w:szCs w:val="21"/>
                <w:highlight w:val="none"/>
                <w:lang w:eastAsia="zh-CN"/>
              </w:rPr>
              <w:t>由中标人</w:t>
            </w:r>
            <w:r>
              <w:rPr>
                <w:rFonts w:hint="eastAsia" w:ascii="宋体" w:hAnsi="宋体" w:eastAsia="宋体" w:cs="宋体"/>
                <w:color w:val="auto"/>
                <w:sz w:val="21"/>
                <w:szCs w:val="21"/>
                <w:highlight w:val="none"/>
              </w:rPr>
              <w:t>负责所有损失费用。</w:t>
            </w:r>
          </w:p>
        </w:tc>
      </w:tr>
      <w:tr w14:paraId="5DDE1C5F">
        <w:tblPrEx>
          <w:tblCellMar>
            <w:top w:w="0" w:type="dxa"/>
            <w:left w:w="108" w:type="dxa"/>
            <w:bottom w:w="0" w:type="dxa"/>
            <w:right w:w="108" w:type="dxa"/>
          </w:tblCellMar>
        </w:tblPrEx>
        <w:trPr>
          <w:trHeight w:val="624" w:hRule="exact"/>
          <w:jc w:val="center"/>
        </w:trPr>
        <w:tc>
          <w:tcPr>
            <w:tcW w:w="9648"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1B9D444E">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技术部分（施工组织设计），</w:t>
            </w:r>
            <w:r>
              <w:rPr>
                <w:rFonts w:hint="eastAsia" w:ascii="宋体" w:hAnsi="宋体" w:eastAsia="宋体" w:cs="宋体"/>
                <w:b/>
                <w:bCs/>
                <w:snapToGrid w:val="0"/>
                <w:color w:val="auto"/>
                <w:kern w:val="0"/>
                <w:szCs w:val="21"/>
                <w:highlight w:val="none"/>
              </w:rPr>
              <w:t>满分：</w:t>
            </w:r>
            <w:r>
              <w:rPr>
                <w:rFonts w:hint="eastAsia" w:ascii="宋体" w:hAnsi="宋体" w:eastAsia="宋体" w:cs="宋体"/>
                <w:b/>
                <w:bCs/>
                <w:snapToGrid w:val="0"/>
                <w:color w:val="auto"/>
                <w:kern w:val="0"/>
                <w:szCs w:val="21"/>
                <w:highlight w:val="none"/>
                <w:u w:val="single"/>
              </w:rPr>
              <w:t xml:space="preserve">  20  </w:t>
            </w:r>
            <w:r>
              <w:rPr>
                <w:rFonts w:hint="eastAsia" w:ascii="宋体" w:hAnsi="宋体" w:eastAsia="宋体" w:cs="宋体"/>
                <w:b/>
                <w:bCs/>
                <w:snapToGrid w:val="0"/>
                <w:color w:val="auto"/>
                <w:kern w:val="0"/>
                <w:szCs w:val="21"/>
                <w:highlight w:val="none"/>
              </w:rPr>
              <w:t>分。</w:t>
            </w:r>
          </w:p>
        </w:tc>
      </w:tr>
      <w:tr w14:paraId="2FC5AF58">
        <w:tblPrEx>
          <w:tblCellMar>
            <w:top w:w="0" w:type="dxa"/>
            <w:left w:w="108" w:type="dxa"/>
            <w:bottom w:w="0" w:type="dxa"/>
            <w:right w:w="108" w:type="dxa"/>
          </w:tblCellMar>
        </w:tblPrEx>
        <w:trPr>
          <w:trHeight w:val="624" w:hRule="exac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22ED10E2">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评分因素</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0A53A2C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评分标准</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43BEEA14">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备注</w:t>
            </w:r>
          </w:p>
        </w:tc>
      </w:tr>
      <w:tr w14:paraId="0DA19F29">
        <w:tblPrEx>
          <w:tblCellMar>
            <w:top w:w="0" w:type="dxa"/>
            <w:left w:w="108" w:type="dxa"/>
            <w:bottom w:w="0" w:type="dxa"/>
            <w:right w:w="108" w:type="dxa"/>
          </w:tblCellMar>
        </w:tblPrEx>
        <w:trPr>
          <w:trHeight w:val="4722"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1C9B9522">
            <w:pPr>
              <w:pStyle w:val="136"/>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总体概述</w:t>
            </w:r>
          </w:p>
          <w:p w14:paraId="21C90C0B">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20857A68">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bookmarkStart w:id="99" w:name="OLE_LINK12"/>
            <w:r>
              <w:rPr>
                <w:rFonts w:hint="eastAsia" w:ascii="宋体" w:hAnsi="宋体" w:eastAsia="宋体" w:cs="宋体"/>
                <w:snapToGrid w:val="0"/>
                <w:color w:val="auto"/>
                <w:kern w:val="0"/>
                <w:sz w:val="21"/>
                <w:szCs w:val="21"/>
                <w:highlight w:val="none"/>
                <w:lang w:val="en-US" w:eastAsia="zh-CN"/>
              </w:rPr>
              <w:t>【优】得该项评分因素分值的90%～100%（含90%）。</w:t>
            </w:r>
          </w:p>
          <w:p w14:paraId="42BFAD96">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【良】得该项评分因素分值的80%～90%（含80%）。</w:t>
            </w:r>
          </w:p>
          <w:p w14:paraId="268CE257">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【中】得该项评分因素分值的70%～80%（含70%）。</w:t>
            </w:r>
          </w:p>
          <w:p w14:paraId="58789E55">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【差】得该项评分因素分值的60～70%（含60%）。</w:t>
            </w:r>
            <w:bookmarkEnd w:id="99"/>
          </w:p>
        </w:tc>
        <w:tc>
          <w:tcPr>
            <w:tcW w:w="4936" w:type="dxa"/>
            <w:tcBorders>
              <w:top w:val="single" w:color="auto" w:sz="4" w:space="0"/>
              <w:left w:val="single" w:color="auto" w:sz="4" w:space="0"/>
              <w:bottom w:val="single" w:color="auto" w:sz="4" w:space="0"/>
              <w:right w:val="single" w:color="auto" w:sz="4" w:space="0"/>
            </w:tcBorders>
            <w:noWrap w:val="0"/>
            <w:vAlign w:val="center"/>
          </w:tcPr>
          <w:p w14:paraId="0F29DCAC">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2D720AF1">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【良】对项目总体有一定认识，表述清晰、完整，措施具体有效；施工段划分呼应总体表述，划分清晰，符合规范要求。</w:t>
            </w:r>
          </w:p>
          <w:p w14:paraId="07A208DE">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【中】对项目总体有认识，有一定的措施但部分不具体；施工段划分较合理，符合规范要求。</w:t>
            </w:r>
          </w:p>
          <w:p w14:paraId="67CA1E0D">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【差】对项目认识不足，表述不清晰，措施不具体；施工段划分不合理。</w:t>
            </w:r>
          </w:p>
        </w:tc>
      </w:tr>
      <w:tr w14:paraId="50C45B0C">
        <w:tblPrEx>
          <w:tblCellMar>
            <w:top w:w="0" w:type="dxa"/>
            <w:left w:w="108" w:type="dxa"/>
            <w:bottom w:w="0" w:type="dxa"/>
            <w:right w:w="108" w:type="dxa"/>
          </w:tblCellMar>
        </w:tblPrEx>
        <w:trPr>
          <w:trHeight w:val="7326"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0B4F6142">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施工总进</w:t>
            </w:r>
          </w:p>
          <w:p w14:paraId="23601BDD">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度计划及</w:t>
            </w:r>
          </w:p>
          <w:p w14:paraId="26B857BF">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保证措施</w:t>
            </w:r>
          </w:p>
          <w:p w14:paraId="5CF7F297">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w:t>
            </w:r>
            <w:r>
              <w:rPr>
                <w:rFonts w:hint="eastAsia" w:ascii="宋体" w:hAnsi="宋体" w:eastAsia="宋体" w:cs="宋体"/>
                <w:snapToGrid w:val="0"/>
                <w:color w:val="auto"/>
                <w:kern w:val="0"/>
                <w:szCs w:val="21"/>
                <w:highlight w:val="none"/>
                <w:u w:val="single"/>
              </w:rPr>
              <w:t xml:space="preserve">3 </w:t>
            </w:r>
            <w:r>
              <w:rPr>
                <w:rFonts w:hint="eastAsia" w:ascii="宋体" w:hAnsi="宋体" w:eastAsia="宋体" w:cs="宋体"/>
                <w:snapToGrid w:val="0"/>
                <w:color w:val="auto"/>
                <w:kern w:val="0"/>
                <w:szCs w:val="21"/>
                <w:highlight w:val="none"/>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552F2A1B">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【优】得该项评分因素分值的90%～100%（含90%）。</w:t>
            </w:r>
          </w:p>
          <w:p w14:paraId="193002AB">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【良】得该项评分因素分值的80%～90%（含80%）。</w:t>
            </w:r>
          </w:p>
          <w:p w14:paraId="0440A9D6">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【中】得该项评分因素分值的70%～80%（含70%）。</w:t>
            </w:r>
          </w:p>
          <w:p w14:paraId="1CFE356B">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1"/>
                <w:szCs w:val="21"/>
                <w:highlight w:val="none"/>
                <w:lang w:val="en-US" w:eastAsia="zh-CN"/>
              </w:rPr>
              <w:t>【差】得该项评分因素分值的60～70%（含60%）。</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03735BBA">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b/>
                <w:bCs/>
                <w:snapToGrid w:val="0"/>
                <w:color w:val="auto"/>
                <w:kern w:val="0"/>
                <w:szCs w:val="21"/>
                <w:highlight w:val="none"/>
              </w:rPr>
            </w:pPr>
            <w:r>
              <w:rPr>
                <w:rFonts w:hint="eastAsia" w:ascii="宋体" w:hAnsi="宋体" w:eastAsia="宋体" w:cs="宋体"/>
                <w:snapToGrid w:val="0"/>
                <w:color w:val="auto"/>
                <w:kern w:val="0"/>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auto"/>
                <w:kern w:val="0"/>
                <w:szCs w:val="21"/>
                <w:highlight w:val="none"/>
              </w:rPr>
              <w:t>经济赔偿合理。</w:t>
            </w:r>
          </w:p>
          <w:p w14:paraId="39E293B0">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b/>
                <w:bCs/>
                <w:snapToGrid w:val="0"/>
                <w:color w:val="auto"/>
                <w:kern w:val="0"/>
                <w:szCs w:val="21"/>
                <w:highlight w:val="none"/>
              </w:rPr>
            </w:pPr>
            <w:r>
              <w:rPr>
                <w:rFonts w:hint="eastAsia" w:ascii="宋体" w:hAnsi="宋体" w:eastAsia="宋体" w:cs="宋体"/>
                <w:snapToGrid w:val="0"/>
                <w:color w:val="auto"/>
                <w:kern w:val="0"/>
                <w:szCs w:val="21"/>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Cs w:val="21"/>
                <w:highlight w:val="none"/>
              </w:rPr>
              <w:t>经济赔偿较合理。</w:t>
            </w:r>
          </w:p>
          <w:p w14:paraId="2D3ECC61">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488B180D">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【差】关键线路不准确，计划编制不合理。关键节点的控制不可行。人、材、机需求和进场计划与进度计划不相呼应，不能满足施工需要。没有违约责任承诺。</w:t>
            </w:r>
          </w:p>
        </w:tc>
      </w:tr>
      <w:tr w14:paraId="7C2E8F54">
        <w:tblPrEx>
          <w:tblCellMar>
            <w:top w:w="0" w:type="dxa"/>
            <w:left w:w="108" w:type="dxa"/>
            <w:bottom w:w="0" w:type="dxa"/>
            <w:right w:w="108" w:type="dxa"/>
          </w:tblCellMar>
        </w:tblPrEx>
        <w:trPr>
          <w:trHeight w:val="3299"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5EB6F4CB">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质量</w:t>
            </w:r>
          </w:p>
          <w:p w14:paraId="257BFFFE">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保证措施</w:t>
            </w:r>
          </w:p>
          <w:p w14:paraId="03B4409E">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（4</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6376EDD1">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【优】得该项评分因素分值的90%～100%（含90%）。</w:t>
            </w:r>
          </w:p>
          <w:p w14:paraId="6FD712E2">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【良】得该项评分因素分值的80%～90%（含80%）。</w:t>
            </w:r>
          </w:p>
          <w:p w14:paraId="0C3C56BA">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【中】得该项评分因素分值的70%～80%（含70%）。</w:t>
            </w:r>
          </w:p>
          <w:p w14:paraId="32AF5716">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1"/>
                <w:szCs w:val="21"/>
                <w:highlight w:val="none"/>
                <w:lang w:val="en-US" w:eastAsia="zh-CN"/>
              </w:rPr>
              <w:t>【差】得该项评分因素分值的60～70%（含60%）。</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502F5EB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【优】应用新技术、新工艺、新材料、新设备，针对项目实际提出先进、可行、具体的保证措施。超过招标文件的质量要求。</w:t>
            </w:r>
          </w:p>
          <w:p w14:paraId="2BBF7CB5">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【良】针对项目实际提出先进、可行、具体的保证措施。满足招标文件的质量要求。</w:t>
            </w:r>
          </w:p>
          <w:p w14:paraId="19228F7C">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【中】具体措施可行。满足招标文件的质量要求。</w:t>
            </w:r>
          </w:p>
          <w:p w14:paraId="58E74908">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【差】措施不可行，没有质量违约责任承诺。</w:t>
            </w:r>
          </w:p>
        </w:tc>
      </w:tr>
      <w:tr w14:paraId="015F6DE1">
        <w:tblPrEx>
          <w:tblCellMar>
            <w:top w:w="0" w:type="dxa"/>
            <w:left w:w="108" w:type="dxa"/>
            <w:bottom w:w="0" w:type="dxa"/>
            <w:right w:w="108" w:type="dxa"/>
          </w:tblCellMar>
        </w:tblPrEx>
        <w:trPr>
          <w:trHeight w:val="8235"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002263FF">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施工</w:t>
            </w:r>
          </w:p>
          <w:p w14:paraId="5312EACD">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技术措施</w:t>
            </w:r>
          </w:p>
          <w:p w14:paraId="3913E454">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w:t>
            </w:r>
            <w:r>
              <w:rPr>
                <w:rFonts w:hint="eastAsia" w:ascii="宋体" w:hAnsi="宋体" w:eastAsia="宋体" w:cs="宋体"/>
                <w:snapToGrid w:val="0"/>
                <w:color w:val="auto"/>
                <w:kern w:val="0"/>
                <w:szCs w:val="21"/>
                <w:highlight w:val="none"/>
                <w:u w:val="single"/>
              </w:rPr>
              <w:t xml:space="preserve"> 2 </w:t>
            </w:r>
            <w:r>
              <w:rPr>
                <w:rFonts w:hint="eastAsia" w:ascii="宋体" w:hAnsi="宋体" w:eastAsia="宋体" w:cs="宋体"/>
                <w:snapToGrid w:val="0"/>
                <w:color w:val="auto"/>
                <w:kern w:val="0"/>
                <w:szCs w:val="21"/>
                <w:highlight w:val="none"/>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3C6BA903">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【优】得该项评分因素分值的90%～100%（含90%）。</w:t>
            </w:r>
          </w:p>
          <w:p w14:paraId="0826ABD9">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【良】得该项评分因素分值的80%～90%（含80%）。</w:t>
            </w:r>
          </w:p>
          <w:p w14:paraId="2B0C2792">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【中】得该项评分因素分值的70%～80%（含70%）。</w:t>
            </w:r>
          </w:p>
          <w:p w14:paraId="005A1798">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1"/>
                <w:szCs w:val="21"/>
                <w:highlight w:val="none"/>
                <w:lang w:val="en-US" w:eastAsia="zh-CN"/>
              </w:rPr>
              <w:t>【差】得该项评分因素分值的60～70%（含60%）。</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24F0F27A">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Cs w:val="21"/>
                <w:highlight w:val="none"/>
              </w:rPr>
              <w:t>经济赔偿合理。</w:t>
            </w:r>
          </w:p>
          <w:p w14:paraId="6F08BBAB">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b/>
                <w:bCs/>
                <w:snapToGrid w:val="0"/>
                <w:color w:val="auto"/>
                <w:kern w:val="0"/>
                <w:szCs w:val="21"/>
                <w:highlight w:val="none"/>
              </w:rPr>
            </w:pPr>
            <w:r>
              <w:rPr>
                <w:rFonts w:hint="eastAsia" w:ascii="宋体" w:hAnsi="宋体" w:eastAsia="宋体" w:cs="宋体"/>
                <w:snapToGrid w:val="0"/>
                <w:color w:val="auto"/>
                <w:kern w:val="0"/>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Cs w:val="21"/>
                <w:highlight w:val="none"/>
              </w:rPr>
              <w:t>经济赔偿较合理。</w:t>
            </w:r>
          </w:p>
          <w:p w14:paraId="45F9807F">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5F8CDBF0">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【差】对项目关键技术有表述，对重点、难点有建议，解决方案不可行。采用的新技术针对性不强或验证材料不可靠，对节约投资、工期没有具体收益。无违约责任承诺。</w:t>
            </w:r>
          </w:p>
        </w:tc>
      </w:tr>
      <w:tr w14:paraId="11FEC0D0">
        <w:tblPrEx>
          <w:tblCellMar>
            <w:top w:w="0" w:type="dxa"/>
            <w:left w:w="108" w:type="dxa"/>
            <w:bottom w:w="0" w:type="dxa"/>
            <w:right w:w="108" w:type="dxa"/>
          </w:tblCellMar>
        </w:tblPrEx>
        <w:trPr>
          <w:trHeight w:val="457"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66A6F75F">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绿色施工、</w:t>
            </w:r>
          </w:p>
          <w:p w14:paraId="3537CC07">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安全防护、</w:t>
            </w:r>
          </w:p>
          <w:p w14:paraId="46E793EC">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文明施工</w:t>
            </w:r>
          </w:p>
          <w:p w14:paraId="16058832">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措施计划</w:t>
            </w:r>
          </w:p>
          <w:p w14:paraId="50472FC7">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w:t>
            </w:r>
            <w:r>
              <w:rPr>
                <w:rFonts w:hint="eastAsia" w:ascii="宋体" w:hAnsi="宋体" w:eastAsia="宋体" w:cs="宋体"/>
                <w:snapToGrid w:val="0"/>
                <w:color w:val="auto"/>
                <w:kern w:val="0"/>
                <w:szCs w:val="21"/>
                <w:highlight w:val="none"/>
                <w:u w:val="single"/>
              </w:rPr>
              <w:t xml:space="preserve"> 3 </w:t>
            </w:r>
            <w:r>
              <w:rPr>
                <w:rFonts w:hint="eastAsia" w:ascii="宋体" w:hAnsi="宋体" w:eastAsia="宋体" w:cs="宋体"/>
                <w:snapToGrid w:val="0"/>
                <w:color w:val="auto"/>
                <w:kern w:val="0"/>
                <w:szCs w:val="21"/>
                <w:highlight w:val="none"/>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31E6BEE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【优】得该项评分因素分值的90%～100%（含90%）。</w:t>
            </w:r>
          </w:p>
          <w:p w14:paraId="0E3A5F15">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【良】得该项评分因素分值的80%～90%（含80%）。</w:t>
            </w:r>
          </w:p>
          <w:p w14:paraId="639E823D">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【中】得该项评分因素分值的70%～80%（含70%）。</w:t>
            </w:r>
          </w:p>
          <w:p w14:paraId="7574E43A">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1"/>
                <w:szCs w:val="21"/>
                <w:highlight w:val="none"/>
                <w:lang w:val="en-US" w:eastAsia="zh-CN"/>
              </w:rPr>
              <w:t>【差】得该项评分因素分值的60～70%（含60%）。</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41D60FD0">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【优】针对项目实际情况，有先进、具体、完整、可行的措施，采用规范准确、清晰。</w:t>
            </w:r>
          </w:p>
          <w:p w14:paraId="70AD628D">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【良】针对项目实际情况，有合理的措施且具体、完整，采用规范准确。</w:t>
            </w:r>
          </w:p>
          <w:p w14:paraId="34F51D6C">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【中】有基本合理的措施，采用规范准确。</w:t>
            </w:r>
          </w:p>
          <w:p w14:paraId="4753890A">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【差】措施不力，采用规范不正确。</w:t>
            </w:r>
          </w:p>
        </w:tc>
      </w:tr>
      <w:tr w14:paraId="2908134E">
        <w:tblPrEx>
          <w:tblCellMar>
            <w:top w:w="0" w:type="dxa"/>
            <w:left w:w="108" w:type="dxa"/>
            <w:bottom w:w="0" w:type="dxa"/>
            <w:right w:w="108" w:type="dxa"/>
          </w:tblCellMar>
        </w:tblPrEx>
        <w:trPr>
          <w:trHeight w:val="457"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771825DC">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施工平面</w:t>
            </w:r>
          </w:p>
          <w:p w14:paraId="380757CB">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布置和临时设施布置</w:t>
            </w:r>
          </w:p>
          <w:p w14:paraId="1E1ED4D5">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w:t>
            </w:r>
            <w:r>
              <w:rPr>
                <w:rFonts w:hint="eastAsia" w:ascii="宋体" w:hAnsi="宋体" w:eastAsia="宋体" w:cs="宋体"/>
                <w:snapToGrid w:val="0"/>
                <w:color w:val="auto"/>
                <w:kern w:val="0"/>
                <w:szCs w:val="21"/>
                <w:highlight w:val="none"/>
                <w:u w:val="single"/>
              </w:rPr>
              <w:t xml:space="preserve"> 2 </w:t>
            </w:r>
            <w:r>
              <w:rPr>
                <w:rFonts w:hint="eastAsia" w:ascii="宋体" w:hAnsi="宋体" w:eastAsia="宋体" w:cs="宋体"/>
                <w:snapToGrid w:val="0"/>
                <w:color w:val="auto"/>
                <w:kern w:val="0"/>
                <w:szCs w:val="21"/>
                <w:highlight w:val="none"/>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3C887B6E">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【优】得该项评分因素分值的90%～100%（含90%）。</w:t>
            </w:r>
          </w:p>
          <w:p w14:paraId="3626B21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【良】得该项评分因素分值的80%～90%（含80%）。</w:t>
            </w:r>
          </w:p>
          <w:p w14:paraId="3706444F">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【中】得该项评分因素分值的70%～80%（含70%）。</w:t>
            </w:r>
          </w:p>
          <w:p w14:paraId="52DDD3BE">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1"/>
                <w:szCs w:val="21"/>
                <w:highlight w:val="none"/>
                <w:lang w:val="en-US" w:eastAsia="zh-CN"/>
              </w:rPr>
              <w:t>【差】得该项评分因素分值的60～70%（含60%）。</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0863A613">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【优】总体布置有针对性、合理，较好满足施工需要，符合绿色施工、安全防护、文明施工要求。</w:t>
            </w:r>
          </w:p>
          <w:p w14:paraId="1EB06AAB">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【良】总体布置合理，能满足施工需要，基本符合绿色施工、安全防护、文明施工要求。</w:t>
            </w:r>
          </w:p>
          <w:p w14:paraId="0A8CFD6E">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【中】总体布置基本合理，基本满足施工需要。</w:t>
            </w:r>
          </w:p>
          <w:p w14:paraId="7F912C8B">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【差】总体布置不合理，不符合绿色施工、安全防护、文明施工要求。</w:t>
            </w:r>
          </w:p>
        </w:tc>
      </w:tr>
      <w:tr w14:paraId="0A38FFA7">
        <w:tblPrEx>
          <w:tblCellMar>
            <w:top w:w="0" w:type="dxa"/>
            <w:left w:w="108" w:type="dxa"/>
            <w:bottom w:w="0" w:type="dxa"/>
            <w:right w:w="108" w:type="dxa"/>
          </w:tblCellMar>
        </w:tblPrEx>
        <w:trPr>
          <w:trHeight w:val="7651"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419BC8E0">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项目</w:t>
            </w:r>
          </w:p>
          <w:p w14:paraId="2C4791E3">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管理机构</w:t>
            </w:r>
          </w:p>
          <w:p w14:paraId="59CB1647">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w:t>
            </w:r>
            <w:r>
              <w:rPr>
                <w:rFonts w:hint="eastAsia" w:ascii="宋体" w:hAnsi="宋体" w:eastAsia="宋体" w:cs="宋体"/>
                <w:snapToGrid w:val="0"/>
                <w:color w:val="auto"/>
                <w:kern w:val="0"/>
                <w:szCs w:val="21"/>
                <w:highlight w:val="none"/>
                <w:u w:val="single"/>
              </w:rPr>
              <w:t xml:space="preserve"> 3 </w:t>
            </w:r>
            <w:r>
              <w:rPr>
                <w:rFonts w:hint="eastAsia" w:ascii="宋体" w:hAnsi="宋体" w:eastAsia="宋体" w:cs="宋体"/>
                <w:snapToGrid w:val="0"/>
                <w:color w:val="auto"/>
                <w:kern w:val="0"/>
                <w:szCs w:val="21"/>
                <w:highlight w:val="none"/>
              </w:rPr>
              <w:t>分）</w:t>
            </w:r>
          </w:p>
        </w:tc>
        <w:tc>
          <w:tcPr>
            <w:tcW w:w="3518" w:type="dxa"/>
            <w:tcBorders>
              <w:top w:val="single" w:color="auto" w:sz="4" w:space="0"/>
              <w:left w:val="single" w:color="auto" w:sz="4" w:space="0"/>
              <w:bottom w:val="single" w:color="auto" w:sz="4" w:space="0"/>
              <w:right w:val="single" w:color="auto" w:sz="4" w:space="0"/>
            </w:tcBorders>
            <w:noWrap w:val="0"/>
            <w:vAlign w:val="center"/>
          </w:tcPr>
          <w:p w14:paraId="0B6C29FA">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【优】得该项评分因素分值的90%～100%（含90%）。</w:t>
            </w:r>
          </w:p>
          <w:p w14:paraId="4CE4688A">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【良】得该项评分因素分值的80%～90%（含80%）。</w:t>
            </w:r>
          </w:p>
          <w:p w14:paraId="49F90B0C">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【中】得该项评分因素分值的70%～80%（含70%）。</w:t>
            </w:r>
          </w:p>
          <w:p w14:paraId="101EE202">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1"/>
                <w:szCs w:val="21"/>
                <w:highlight w:val="none"/>
                <w:lang w:val="en-US" w:eastAsia="zh-CN"/>
              </w:rPr>
              <w:t>【差】得该项评分因素分值的60～70%（含60%）。</w:t>
            </w:r>
          </w:p>
        </w:tc>
        <w:tc>
          <w:tcPr>
            <w:tcW w:w="4936" w:type="dxa"/>
            <w:tcBorders>
              <w:top w:val="single" w:color="auto" w:sz="4" w:space="0"/>
              <w:left w:val="single" w:color="auto" w:sz="4" w:space="0"/>
              <w:bottom w:val="single" w:color="auto" w:sz="4" w:space="0"/>
              <w:right w:val="single" w:color="auto" w:sz="4" w:space="0"/>
            </w:tcBorders>
            <w:noWrap w:val="0"/>
            <w:vAlign w:val="center"/>
          </w:tcPr>
          <w:p w14:paraId="2862D3ED">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【优】组织机构形式合理，有完善的指挥系统，生产及质量、绿色施工、安全、文明施工、创优达标监控系统、联络协调系统，项目管理人员内高级职称人员20%（含20%）以上、中级职称人员</w:t>
            </w:r>
            <w:r>
              <w:rPr>
                <w:rFonts w:hint="eastAsia" w:ascii="宋体" w:hAnsi="宋体" w:eastAsia="宋体" w:cs="宋体"/>
                <w:b/>
                <w:bCs/>
                <w:snapToGrid w:val="0"/>
                <w:color w:val="auto"/>
                <w:kern w:val="0"/>
                <w:szCs w:val="21"/>
                <w:highlight w:val="none"/>
              </w:rPr>
              <w:t>及以上职称</w:t>
            </w:r>
            <w:r>
              <w:rPr>
                <w:rFonts w:hint="eastAsia" w:ascii="宋体" w:hAnsi="宋体" w:eastAsia="宋体" w:cs="宋体"/>
                <w:snapToGrid w:val="0"/>
                <w:color w:val="auto"/>
                <w:kern w:val="0"/>
                <w:szCs w:val="21"/>
                <w:highlight w:val="none"/>
              </w:rPr>
              <w:t>60%（含60%）以上。</w:t>
            </w:r>
          </w:p>
          <w:p w14:paraId="28F1AEE3">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【良】组织机构形式合理，指挥系统，生产及质量、绿色施工、安全、文明施工、创优达标监控系统、联络协调系统齐全，项目管理人员内高级职称人员15%～20%（含15%）、中级职称</w:t>
            </w:r>
            <w:r>
              <w:rPr>
                <w:rFonts w:hint="eastAsia" w:ascii="宋体" w:hAnsi="宋体" w:eastAsia="宋体" w:cs="宋体"/>
                <w:b/>
                <w:bCs/>
                <w:snapToGrid w:val="0"/>
                <w:color w:val="auto"/>
                <w:kern w:val="0"/>
                <w:szCs w:val="21"/>
                <w:highlight w:val="none"/>
              </w:rPr>
              <w:t>及以上职称</w:t>
            </w:r>
            <w:r>
              <w:rPr>
                <w:rFonts w:hint="eastAsia" w:ascii="宋体" w:hAnsi="宋体" w:eastAsia="宋体" w:cs="宋体"/>
                <w:snapToGrid w:val="0"/>
                <w:color w:val="auto"/>
                <w:kern w:val="0"/>
                <w:szCs w:val="21"/>
                <w:highlight w:val="none"/>
              </w:rPr>
              <w:t>人员50%～60%（含50%）。</w:t>
            </w:r>
          </w:p>
          <w:p w14:paraId="5E9D50AA">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【中】组织机构形式基本合理，有指挥系统，生产及质量、绿色施工、安全、文明施工、创优达标监控系统、联络协调系统，项目管理人员内高级职称人员10%～15%（含10%）、中级职称人员</w:t>
            </w:r>
            <w:r>
              <w:rPr>
                <w:rFonts w:hint="eastAsia" w:ascii="宋体" w:hAnsi="宋体" w:eastAsia="宋体" w:cs="宋体"/>
                <w:b/>
                <w:bCs/>
                <w:snapToGrid w:val="0"/>
                <w:color w:val="auto"/>
                <w:kern w:val="0"/>
                <w:szCs w:val="21"/>
                <w:highlight w:val="none"/>
              </w:rPr>
              <w:t>及以上职称</w:t>
            </w:r>
            <w:r>
              <w:rPr>
                <w:rFonts w:hint="eastAsia" w:ascii="宋体" w:hAnsi="宋体" w:eastAsia="宋体" w:cs="宋体"/>
                <w:snapToGrid w:val="0"/>
                <w:color w:val="auto"/>
                <w:kern w:val="0"/>
                <w:szCs w:val="21"/>
                <w:highlight w:val="none"/>
              </w:rPr>
              <w:t>40%～50%（含40%）。</w:t>
            </w:r>
          </w:p>
          <w:p w14:paraId="5E46D9D2">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snapToGrid w:val="0"/>
                <w:color w:val="auto"/>
                <w:kern w:val="0"/>
                <w:szCs w:val="21"/>
                <w:highlight w:val="none"/>
              </w:rPr>
              <w:t>及以上职称</w:t>
            </w:r>
            <w:r>
              <w:rPr>
                <w:rFonts w:hint="eastAsia" w:ascii="宋体" w:hAnsi="宋体" w:eastAsia="宋体" w:cs="宋体"/>
                <w:snapToGrid w:val="0"/>
                <w:color w:val="auto"/>
                <w:kern w:val="0"/>
                <w:szCs w:val="21"/>
                <w:highlight w:val="none"/>
              </w:rPr>
              <w:t>40%以下。</w:t>
            </w:r>
          </w:p>
        </w:tc>
      </w:tr>
      <w:tr w14:paraId="1D55A3EA">
        <w:tblPrEx>
          <w:tblCellMar>
            <w:top w:w="0" w:type="dxa"/>
            <w:left w:w="108" w:type="dxa"/>
            <w:bottom w:w="0" w:type="dxa"/>
            <w:right w:w="108" w:type="dxa"/>
          </w:tblCellMar>
        </w:tblPrEx>
        <w:trPr>
          <w:trHeight w:val="624" w:hRule="exact"/>
          <w:jc w:val="center"/>
        </w:trPr>
        <w:tc>
          <w:tcPr>
            <w:tcW w:w="9648"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4F948782">
            <w:pPr>
              <w:pStyle w:val="12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rPr>
                <w:rFonts w:hint="eastAsia" w:ascii="宋体" w:hAnsi="宋体" w:eastAsia="宋体" w:cs="宋体"/>
                <w:snapToGrid w:val="0"/>
                <w:color w:val="auto"/>
                <w:kern w:val="0"/>
                <w:szCs w:val="21"/>
                <w:highlight w:val="none"/>
              </w:rPr>
            </w:pPr>
            <w:r>
              <w:rPr>
                <w:rFonts w:hint="eastAsia" w:ascii="宋体" w:hAnsi="宋体" w:eastAsia="宋体" w:cs="宋体"/>
                <w:b/>
                <w:bCs/>
                <w:snapToGrid w:val="0"/>
                <w:color w:val="auto"/>
                <w:kern w:val="0"/>
                <w:sz w:val="24"/>
                <w:szCs w:val="24"/>
                <w:highlight w:val="none"/>
              </w:rPr>
              <w:t>投标报价部分，</w:t>
            </w:r>
            <w:r>
              <w:rPr>
                <w:rFonts w:hint="eastAsia" w:ascii="宋体" w:hAnsi="宋体" w:eastAsia="宋体" w:cs="宋体"/>
                <w:b/>
                <w:bCs/>
                <w:snapToGrid w:val="0"/>
                <w:color w:val="auto"/>
                <w:kern w:val="0"/>
                <w:sz w:val="24"/>
                <w:szCs w:val="21"/>
                <w:highlight w:val="none"/>
              </w:rPr>
              <w:t>满分：100分。</w:t>
            </w:r>
          </w:p>
        </w:tc>
      </w:tr>
      <w:tr w14:paraId="504ECAD9">
        <w:tblPrEx>
          <w:tblCellMar>
            <w:top w:w="0" w:type="dxa"/>
            <w:left w:w="108" w:type="dxa"/>
            <w:bottom w:w="0" w:type="dxa"/>
            <w:right w:w="108" w:type="dxa"/>
          </w:tblCellMar>
        </w:tblPrEx>
        <w:trPr>
          <w:trHeight w:val="624" w:hRule="exac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09CF941E">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评分事项</w:t>
            </w:r>
          </w:p>
        </w:tc>
        <w:tc>
          <w:tcPr>
            <w:tcW w:w="8454" w:type="dxa"/>
            <w:gridSpan w:val="2"/>
            <w:tcBorders>
              <w:top w:val="single" w:color="auto" w:sz="4" w:space="0"/>
              <w:left w:val="single" w:color="auto" w:sz="4" w:space="0"/>
              <w:bottom w:val="single" w:color="auto" w:sz="4" w:space="0"/>
              <w:right w:val="single" w:color="auto" w:sz="4" w:space="0"/>
            </w:tcBorders>
            <w:noWrap w:val="0"/>
            <w:vAlign w:val="center"/>
          </w:tcPr>
          <w:p w14:paraId="112140D7">
            <w:pPr>
              <w:pStyle w:val="12"/>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Lines="0" w:line="400" w:lineRule="exact"/>
              <w:ind w:left="0" w:right="0" w:firstLine="0" w:firstLineChars="0"/>
              <w:jc w:val="center"/>
              <w:rPr>
                <w:rFonts w:hint="eastAsia" w:ascii="宋体" w:hAnsi="宋体" w:eastAsia="宋体" w:cs="宋体"/>
                <w:b/>
                <w:bCs/>
                <w:snapToGrid w:val="0"/>
                <w:color w:val="auto"/>
                <w:kern w:val="0"/>
                <w:szCs w:val="24"/>
                <w:highlight w:val="none"/>
              </w:rPr>
            </w:pPr>
            <w:r>
              <w:rPr>
                <w:rFonts w:hint="eastAsia" w:ascii="宋体" w:hAnsi="宋体" w:eastAsia="宋体" w:cs="宋体"/>
                <w:b/>
                <w:bCs/>
                <w:snapToGrid w:val="0"/>
                <w:color w:val="auto"/>
                <w:kern w:val="0"/>
                <w:szCs w:val="24"/>
                <w:highlight w:val="none"/>
              </w:rPr>
              <w:t>评分方法</w:t>
            </w:r>
          </w:p>
        </w:tc>
      </w:tr>
      <w:tr w14:paraId="54192374">
        <w:tblPrEx>
          <w:tblCellMar>
            <w:top w:w="0" w:type="dxa"/>
            <w:left w:w="108" w:type="dxa"/>
            <w:bottom w:w="0" w:type="dxa"/>
            <w:right w:w="108" w:type="dxa"/>
          </w:tblCellMar>
        </w:tblPrEx>
        <w:trPr>
          <w:trHeight w:val="632"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35649F4D">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评标基准价D</w:t>
            </w:r>
          </w:p>
        </w:tc>
        <w:tc>
          <w:tcPr>
            <w:tcW w:w="8454" w:type="dxa"/>
            <w:gridSpan w:val="2"/>
            <w:tcBorders>
              <w:top w:val="single" w:color="auto" w:sz="4" w:space="0"/>
              <w:left w:val="single" w:color="auto" w:sz="4" w:space="0"/>
              <w:bottom w:val="single" w:color="auto" w:sz="4" w:space="0"/>
              <w:right w:val="single" w:color="auto" w:sz="4" w:space="0"/>
            </w:tcBorders>
            <w:noWrap w:val="0"/>
            <w:vAlign w:val="center"/>
          </w:tcPr>
          <w:p w14:paraId="62FAB04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（1）确定招标控制价下浮系数n：用1～21号球分别代表一个下浮系数，由评委代表从这21个号码中随机抽取</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次，每次抽取1个号码，抽出的号球不参与下次抽取。所抽取的</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个号码对应下浮系数的算术平均值作为招标控制价下浮系数n。具体号码对应的下浮系数可参考下表。</w:t>
            </w:r>
          </w:p>
          <w:tbl>
            <w:tblPr>
              <w:tblStyle w:val="32"/>
              <w:tblW w:w="0" w:type="auto"/>
              <w:tblInd w:w="113" w:type="dxa"/>
              <w:tblLayout w:type="fixed"/>
              <w:tblCellMar>
                <w:top w:w="0" w:type="dxa"/>
                <w:left w:w="108" w:type="dxa"/>
                <w:bottom w:w="0" w:type="dxa"/>
                <w:right w:w="108" w:type="dxa"/>
              </w:tblCellMar>
            </w:tblPr>
            <w:tblGrid>
              <w:gridCol w:w="1554"/>
              <w:gridCol w:w="842"/>
              <w:gridCol w:w="880"/>
              <w:gridCol w:w="916"/>
              <w:gridCol w:w="899"/>
              <w:gridCol w:w="936"/>
              <w:gridCol w:w="879"/>
              <w:gridCol w:w="869"/>
            </w:tblGrid>
            <w:tr w14:paraId="7F2A13FC">
              <w:tblPrEx>
                <w:tblCellMar>
                  <w:top w:w="0" w:type="dxa"/>
                  <w:left w:w="108" w:type="dxa"/>
                  <w:bottom w:w="0" w:type="dxa"/>
                  <w:right w:w="108" w:type="dxa"/>
                </w:tblCellMar>
              </w:tblPrEx>
              <w:trPr>
                <w:trHeight w:val="248"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5BBD46B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b/>
                      <w:snapToGrid w:val="0"/>
                      <w:color w:val="auto"/>
                      <w:kern w:val="0"/>
                      <w:sz w:val="21"/>
                      <w:szCs w:val="20"/>
                      <w:highlight w:val="none"/>
                    </w:rPr>
                  </w:pPr>
                  <w:r>
                    <w:rPr>
                      <w:rFonts w:hint="eastAsia" w:ascii="宋体" w:hAnsi="宋体" w:eastAsia="宋体" w:cs="宋体"/>
                      <w:bCs/>
                      <w:snapToGrid w:val="0"/>
                      <w:color w:val="auto"/>
                      <w:kern w:val="0"/>
                      <w:sz w:val="21"/>
                      <w:szCs w:val="20"/>
                      <w:highlight w:val="none"/>
                    </w:rPr>
                    <w:t>号球</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788DAFF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4208CA2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775A7E0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3</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72FB1E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4</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B85230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5</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2F7E7D9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6</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6215DDA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7</w:t>
                  </w:r>
                </w:p>
              </w:tc>
            </w:tr>
            <w:tr w14:paraId="48193862">
              <w:tblPrEx>
                <w:tblCellMar>
                  <w:top w:w="0" w:type="dxa"/>
                  <w:left w:w="108" w:type="dxa"/>
                  <w:bottom w:w="0" w:type="dxa"/>
                  <w:right w:w="108" w:type="dxa"/>
                </w:tblCellMar>
              </w:tblPrEx>
              <w:trPr>
                <w:trHeight w:val="575"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52B103D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下浮系数（%）</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0E2EC77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1.0</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7684AB1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1.1</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6E2FD68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1.2</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797FDB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1.3</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3C481E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1.4</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633F495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1.5</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2CA3396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1.6</w:t>
                  </w:r>
                </w:p>
              </w:tc>
            </w:tr>
            <w:tr w14:paraId="46925F32">
              <w:tblPrEx>
                <w:tblCellMar>
                  <w:top w:w="0" w:type="dxa"/>
                  <w:left w:w="108" w:type="dxa"/>
                  <w:bottom w:w="0" w:type="dxa"/>
                  <w:right w:w="108" w:type="dxa"/>
                </w:tblCellMar>
              </w:tblPrEx>
              <w:trPr>
                <w:trHeight w:val="515"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1BDDCD5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b/>
                      <w:snapToGrid w:val="0"/>
                      <w:color w:val="auto"/>
                      <w:kern w:val="0"/>
                      <w:sz w:val="21"/>
                      <w:szCs w:val="20"/>
                      <w:highlight w:val="none"/>
                    </w:rPr>
                  </w:pPr>
                  <w:r>
                    <w:rPr>
                      <w:rFonts w:hint="eastAsia" w:ascii="宋体" w:hAnsi="宋体" w:eastAsia="宋体" w:cs="宋体"/>
                      <w:bCs/>
                      <w:snapToGrid w:val="0"/>
                      <w:color w:val="auto"/>
                      <w:kern w:val="0"/>
                      <w:sz w:val="21"/>
                      <w:szCs w:val="20"/>
                      <w:highlight w:val="none"/>
                    </w:rPr>
                    <w:t>号球</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5390806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8</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4FCC8CC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9</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4F9E131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B62100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11</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B9687E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12</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7759F09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13</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3202DA6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14</w:t>
                  </w:r>
                </w:p>
              </w:tc>
            </w:tr>
            <w:tr w14:paraId="4E2B8BEA">
              <w:tblPrEx>
                <w:tblCellMar>
                  <w:top w:w="0" w:type="dxa"/>
                  <w:left w:w="108" w:type="dxa"/>
                  <w:bottom w:w="0" w:type="dxa"/>
                  <w:right w:w="108" w:type="dxa"/>
                </w:tblCellMar>
              </w:tblPrEx>
              <w:trPr>
                <w:trHeight w:val="515"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7F9D15A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下浮系数（%）</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14D79C9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1.7</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317E9D3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1.8</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5002FCD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1.9</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7E2B46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2.0</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4F72892">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2.1</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778AB31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2.2</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3236916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2.3</w:t>
                  </w:r>
                </w:p>
              </w:tc>
            </w:tr>
            <w:tr w14:paraId="67E81DB0">
              <w:tblPrEx>
                <w:tblCellMar>
                  <w:top w:w="0" w:type="dxa"/>
                  <w:left w:w="108" w:type="dxa"/>
                  <w:bottom w:w="0" w:type="dxa"/>
                  <w:right w:w="108" w:type="dxa"/>
                </w:tblCellMar>
              </w:tblPrEx>
              <w:trPr>
                <w:trHeight w:val="470"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113502D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b/>
                      <w:snapToGrid w:val="0"/>
                      <w:color w:val="auto"/>
                      <w:kern w:val="0"/>
                      <w:sz w:val="21"/>
                      <w:szCs w:val="20"/>
                      <w:highlight w:val="none"/>
                    </w:rPr>
                  </w:pPr>
                  <w:r>
                    <w:rPr>
                      <w:rFonts w:hint="eastAsia" w:ascii="宋体" w:hAnsi="宋体" w:eastAsia="宋体" w:cs="宋体"/>
                      <w:bCs/>
                      <w:snapToGrid w:val="0"/>
                      <w:color w:val="auto"/>
                      <w:kern w:val="0"/>
                      <w:sz w:val="21"/>
                      <w:szCs w:val="20"/>
                      <w:highlight w:val="none"/>
                    </w:rPr>
                    <w:t>号球</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320E0A1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15</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525EE8B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16</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0289051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17</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6979CEB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18</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AC5738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19</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27AFCA1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20</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71701F7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21</w:t>
                  </w:r>
                </w:p>
              </w:tc>
            </w:tr>
            <w:tr w14:paraId="432C28CE">
              <w:tblPrEx>
                <w:tblCellMar>
                  <w:top w:w="0" w:type="dxa"/>
                  <w:left w:w="108" w:type="dxa"/>
                  <w:bottom w:w="0" w:type="dxa"/>
                  <w:right w:w="108" w:type="dxa"/>
                </w:tblCellMar>
              </w:tblPrEx>
              <w:trPr>
                <w:trHeight w:val="600" w:hRule="atLeast"/>
              </w:trPr>
              <w:tc>
                <w:tcPr>
                  <w:tcW w:w="1554" w:type="dxa"/>
                  <w:tcBorders>
                    <w:top w:val="single" w:color="000000" w:sz="4" w:space="0"/>
                    <w:left w:val="single" w:color="000000" w:sz="4" w:space="0"/>
                    <w:bottom w:val="single" w:color="000000" w:sz="4" w:space="0"/>
                    <w:right w:val="single" w:color="000000" w:sz="4" w:space="0"/>
                  </w:tcBorders>
                  <w:noWrap w:val="0"/>
                  <w:vAlign w:val="center"/>
                </w:tcPr>
                <w:p w14:paraId="1E37E27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下浮系数（%）</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1E9B56E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2.4</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3D96993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2.5</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14:paraId="36D41BA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2.6</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2CA94DBE">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2.7</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8B9851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2.8</w:t>
                  </w:r>
                </w:p>
              </w:tc>
              <w:tc>
                <w:tcPr>
                  <w:tcW w:w="879" w:type="dxa"/>
                  <w:tcBorders>
                    <w:top w:val="single" w:color="000000" w:sz="4" w:space="0"/>
                    <w:left w:val="single" w:color="000000" w:sz="4" w:space="0"/>
                    <w:bottom w:val="single" w:color="000000" w:sz="4" w:space="0"/>
                    <w:right w:val="single" w:color="000000" w:sz="4" w:space="0"/>
                  </w:tcBorders>
                  <w:noWrap w:val="0"/>
                  <w:vAlign w:val="center"/>
                </w:tcPr>
                <w:p w14:paraId="5B6A65A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2.9</w:t>
                  </w:r>
                </w:p>
              </w:tc>
              <w:tc>
                <w:tcPr>
                  <w:tcW w:w="869" w:type="dxa"/>
                  <w:tcBorders>
                    <w:top w:val="single" w:color="000000" w:sz="4" w:space="0"/>
                    <w:left w:val="single" w:color="000000" w:sz="4" w:space="0"/>
                    <w:bottom w:val="single" w:color="000000" w:sz="4" w:space="0"/>
                    <w:right w:val="single" w:color="000000" w:sz="4" w:space="0"/>
                  </w:tcBorders>
                  <w:noWrap w:val="0"/>
                  <w:vAlign w:val="center"/>
                </w:tcPr>
                <w:p w14:paraId="3DCCB62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center"/>
                    <w:rPr>
                      <w:rFonts w:hint="eastAsia" w:ascii="宋体" w:hAnsi="宋体" w:eastAsia="宋体" w:cs="宋体"/>
                      <w:snapToGrid w:val="0"/>
                      <w:color w:val="auto"/>
                      <w:kern w:val="0"/>
                      <w:sz w:val="21"/>
                      <w:szCs w:val="20"/>
                      <w:highlight w:val="none"/>
                    </w:rPr>
                  </w:pPr>
                  <w:r>
                    <w:rPr>
                      <w:rFonts w:hint="eastAsia" w:ascii="宋体" w:hAnsi="宋体" w:eastAsia="宋体" w:cs="宋体"/>
                      <w:snapToGrid w:val="0"/>
                      <w:color w:val="auto"/>
                      <w:kern w:val="0"/>
                      <w:sz w:val="21"/>
                      <w:szCs w:val="20"/>
                      <w:highlight w:val="none"/>
                    </w:rPr>
                    <w:t>3.0</w:t>
                  </w:r>
                </w:p>
              </w:tc>
            </w:tr>
          </w:tbl>
          <w:p w14:paraId="27CC8EA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（2）评标基准价D＝招标控制价×（1－n）</w:t>
            </w:r>
          </w:p>
        </w:tc>
      </w:tr>
      <w:tr w14:paraId="2661DDB6">
        <w:tblPrEx>
          <w:tblCellMar>
            <w:top w:w="0" w:type="dxa"/>
            <w:left w:w="108" w:type="dxa"/>
            <w:bottom w:w="0" w:type="dxa"/>
            <w:right w:w="108" w:type="dxa"/>
          </w:tblCellMar>
        </w:tblPrEx>
        <w:trPr>
          <w:trHeight w:val="2839"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5168AD87">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投标报价</w:t>
            </w:r>
          </w:p>
          <w:p w14:paraId="284A6A5D">
            <w:pPr>
              <w:pStyle w:val="103"/>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得分N</w:t>
            </w:r>
          </w:p>
        </w:tc>
        <w:tc>
          <w:tcPr>
            <w:tcW w:w="8454" w:type="dxa"/>
            <w:gridSpan w:val="2"/>
            <w:tcBorders>
              <w:top w:val="single" w:color="auto" w:sz="4" w:space="0"/>
              <w:left w:val="single" w:color="auto" w:sz="4" w:space="0"/>
              <w:bottom w:val="single" w:color="auto" w:sz="4" w:space="0"/>
              <w:right w:val="single" w:color="auto" w:sz="4" w:space="0"/>
            </w:tcBorders>
            <w:noWrap w:val="0"/>
            <w:vAlign w:val="center"/>
          </w:tcPr>
          <w:p w14:paraId="02ACEA19">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采用内插法计算某投标人的投标报价得分N，即当投标人的投标总价等于评标基准价时得100分，每高于评标基准价一个百分点扣1 分, 每低于评标基准价一个百分点扣0.5分，扣完为止。公式如下：</w:t>
            </w:r>
          </w:p>
          <w:p w14:paraId="622021C0">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14:paraId="0DD858F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式中：D为评标基准价；Di为某投标人的投标总价；E为扣分因子，当Di＞D时，E＝1 ；当Di＜D时，E＝0.5。</w:t>
            </w:r>
          </w:p>
        </w:tc>
      </w:tr>
    </w:tbl>
    <w:p w14:paraId="37D045B0">
      <w:pPr>
        <w:keepNext w:val="0"/>
        <w:keepLines w:val="0"/>
        <w:pageBreakBefore w:val="0"/>
        <w:widowControl w:val="0"/>
        <w:numPr>
          <w:ilvl w:val="0"/>
          <w:numId w:val="0"/>
        </w:numPr>
        <w:kinsoku/>
        <w:wordWrap w:val="0"/>
        <w:overflowPunct/>
        <w:topLinePunct w:val="0"/>
        <w:bidi w:val="0"/>
        <w:adjustRightInd w:val="0"/>
        <w:snapToGrid w:val="0"/>
        <w:spacing w:line="400" w:lineRule="atLeast"/>
        <w:jc w:val="both"/>
        <w:rPr>
          <w:rFonts w:hint="eastAsia" w:ascii="宋体" w:hAnsi="宋体" w:eastAsia="宋体" w:cs="宋体"/>
          <w:snapToGrid w:val="0"/>
          <w:color w:val="auto"/>
          <w:kern w:val="0"/>
          <w:sz w:val="21"/>
          <w:szCs w:val="21"/>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4750811E">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15.5.2 否决投标说明</w:t>
      </w:r>
    </w:p>
    <w:p w14:paraId="338E378F">
      <w:pPr>
        <w:keepNext w:val="0"/>
        <w:keepLines w:val="0"/>
        <w:pageBreakBefore w:val="0"/>
        <w:widowControl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详细评审阶段否决投标的全部条件，在本章第四节“否决投标条件”第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6AF5CE70">
      <w:pPr>
        <w:pStyle w:val="4"/>
        <w:keepNext w:val="0"/>
        <w:keepLines w:val="0"/>
        <w:pageBreakBefore w:val="0"/>
        <w:widowControl w:val="0"/>
        <w:kinsoku/>
        <w:wordWrap w:val="0"/>
        <w:overflowPunct/>
        <w:topLinePunct w:val="0"/>
        <w:autoSpaceDE/>
        <w:autoSpaceDN/>
        <w:bidi w:val="0"/>
        <w:adjustRightInd w:val="0"/>
        <w:snapToGrid w:val="0"/>
        <w:spacing w:line="440" w:lineRule="exact"/>
        <w:ind w:firstLine="480"/>
        <w:jc w:val="both"/>
        <w:textAlignment w:val="auto"/>
        <w:rPr>
          <w:rFonts w:hint="eastAsia" w:ascii="宋体" w:hAnsi="宋体" w:eastAsia="宋体" w:cs="宋体"/>
          <w:b/>
          <w:snapToGrid w:val="0"/>
          <w:color w:val="auto"/>
          <w:sz w:val="21"/>
          <w:szCs w:val="21"/>
          <w:highlight w:val="none"/>
        </w:rPr>
      </w:pPr>
      <w:r>
        <w:rPr>
          <w:rFonts w:hint="eastAsia" w:ascii="宋体" w:hAnsi="宋体" w:eastAsia="宋体" w:cs="宋体"/>
          <w:color w:val="auto"/>
          <w:spacing w:val="-1"/>
          <w:sz w:val="21"/>
          <w:szCs w:val="21"/>
          <w:highlight w:val="none"/>
        </w:rPr>
        <w:t>注：投标人在详细评审阶段根据评分方法提供的佐证材料，其合法性、有效性和准确性不符合要求的，有关量化因素（或评分标准）的折算、调整（或评分）按相应量化标准（或评分标准）处理，但不否决投标。</w:t>
      </w:r>
      <w:bookmarkStart w:id="100" w:name="_Toc8153"/>
      <w:r>
        <w:rPr>
          <w:rFonts w:hint="eastAsia" w:ascii="宋体" w:hAnsi="宋体" w:eastAsia="宋体" w:cs="宋体"/>
          <w:b/>
          <w:snapToGrid w:val="0"/>
          <w:color w:val="auto"/>
          <w:sz w:val="21"/>
          <w:szCs w:val="21"/>
          <w:highlight w:val="none"/>
        </w:rPr>
        <w:t>16．中标候选人公示</w:t>
      </w:r>
      <w:bookmarkEnd w:id="100"/>
    </w:p>
    <w:p w14:paraId="14A50159">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16.1</w:t>
      </w:r>
      <w:r>
        <w:rPr>
          <w:rFonts w:hint="eastAsia" w:ascii="宋体" w:hAnsi="宋体" w:eastAsia="宋体" w:cs="宋体"/>
          <w:snapToGrid w:val="0"/>
          <w:color w:val="auto"/>
          <w:kern w:val="0"/>
          <w:sz w:val="21"/>
          <w:szCs w:val="21"/>
          <w:highlight w:val="none"/>
        </w:rPr>
        <w:t xml:space="preserve"> 招标人自收到评标委员会提交的书面评标报告和中标候选人名单之日起3日内，将评标结果（即中标候选人名单）、中标候选人投标文件（指商务标书分册）、评标过程（评标专家姓名用代码标记）一并在广东省招标投标监管网（</w:t>
      </w:r>
      <w:r>
        <w:rPr>
          <w:rFonts w:hint="eastAsia" w:ascii="宋体" w:hAnsi="宋体" w:eastAsia="宋体" w:cs="宋体"/>
          <w:snapToGrid w:val="0"/>
          <w:color w:val="auto"/>
          <w:kern w:val="0"/>
          <w:sz w:val="21"/>
          <w:szCs w:val="21"/>
          <w:highlight w:val="none"/>
          <w:lang w:eastAsia="zh-CN"/>
        </w:rPr>
        <w:t>http://zbtb.gd.gov.cn</w:t>
      </w:r>
      <w:r>
        <w:rPr>
          <w:rFonts w:hint="eastAsia" w:ascii="宋体" w:hAnsi="宋体" w:eastAsia="宋体" w:cs="宋体"/>
          <w:snapToGrid w:val="0"/>
          <w:color w:val="auto"/>
          <w:kern w:val="0"/>
          <w:sz w:val="21"/>
          <w:szCs w:val="21"/>
          <w:highlight w:val="none"/>
        </w:rPr>
        <w:t>）、全国公共资源交易平台（广东省·韶关市）（https://ygp.gdzwfw.gov.cn/ggzy-portal/#/440200/index）</w:t>
      </w:r>
      <w:r>
        <w:rPr>
          <w:rFonts w:hint="eastAsia" w:ascii="宋体" w:hAnsi="宋体" w:eastAsia="宋体" w:cs="宋体"/>
          <w:snapToGrid w:val="0"/>
          <w:color w:val="auto"/>
          <w:kern w:val="0"/>
          <w:sz w:val="21"/>
          <w:szCs w:val="21"/>
          <w:highlight w:val="none"/>
          <w:lang w:val="en-US" w:eastAsia="zh-CN"/>
        </w:rPr>
        <w:t>公示</w:t>
      </w:r>
      <w:r>
        <w:rPr>
          <w:rFonts w:hint="eastAsia" w:ascii="宋体" w:hAnsi="宋体" w:eastAsia="宋体" w:cs="宋体"/>
          <w:snapToGrid w:val="0"/>
          <w:color w:val="auto"/>
          <w:kern w:val="0"/>
          <w:sz w:val="21"/>
          <w:szCs w:val="21"/>
          <w:highlight w:val="none"/>
        </w:rPr>
        <w:t>，公示期不得少于3天。</w:t>
      </w:r>
    </w:p>
    <w:p w14:paraId="610C24AD">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16.2</w:t>
      </w:r>
      <w:r>
        <w:rPr>
          <w:rFonts w:hint="eastAsia" w:ascii="宋体" w:hAnsi="宋体" w:eastAsia="宋体" w:cs="宋体"/>
          <w:snapToGrid w:val="0"/>
          <w:color w:val="auto"/>
          <w:kern w:val="0"/>
          <w:sz w:val="21"/>
          <w:szCs w:val="21"/>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如通过“全国公共资源交易平台（广东省·韶关市）新建设工程交易系统”提出异议，投标人必须上传提交异议书扫描件（作为附件），异议书格式内容按照《韶关市工程建设项目招标投标活动异议和投诉处理办法》（韶发改〔2021〕44号）执行，否则招标人不予受理。投标人提出异议后，投标人须及时向招标人提交书面异议。项目如收到异议、投诉等情形，可以根据需要从交易中心处调取纸质档案。</w:t>
      </w:r>
    </w:p>
    <w:p w14:paraId="41ABA220">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16.3</w:t>
      </w:r>
      <w:r>
        <w:rPr>
          <w:rFonts w:hint="eastAsia" w:ascii="宋体" w:hAnsi="宋体" w:eastAsia="宋体" w:cs="宋体"/>
          <w:snapToGrid w:val="0"/>
          <w:color w:val="auto"/>
          <w:kern w:val="0"/>
          <w:sz w:val="21"/>
          <w:szCs w:val="21"/>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49F099BC">
      <w:pPr>
        <w:wordWrap w:val="0"/>
        <w:adjustRightInd w:val="0"/>
        <w:snapToGrid w:val="0"/>
        <w:spacing w:line="440" w:lineRule="exact"/>
        <w:ind w:firstLine="480" w:firstLineChars="200"/>
        <w:rPr>
          <w:rFonts w:hint="eastAsia" w:ascii="宋体" w:hAnsi="宋体" w:eastAsia="宋体" w:cs="宋体"/>
          <w:snapToGrid w:val="0"/>
          <w:color w:val="auto"/>
          <w:kern w:val="0"/>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1653BBB5">
      <w:pPr>
        <w:pStyle w:val="4"/>
        <w:wordWrap w:val="0"/>
        <w:autoSpaceDE/>
        <w:autoSpaceDN/>
        <w:snapToGrid w:val="0"/>
        <w:spacing w:after="260" w:line="440" w:lineRule="exact"/>
        <w:jc w:val="both"/>
        <w:rPr>
          <w:rFonts w:hint="eastAsia" w:ascii="宋体" w:hAnsi="宋体" w:eastAsia="宋体" w:cs="宋体"/>
          <w:b/>
          <w:snapToGrid w:val="0"/>
          <w:color w:val="auto"/>
          <w:highlight w:val="none"/>
        </w:rPr>
      </w:pPr>
      <w:bookmarkStart w:id="101" w:name="_Toc7077"/>
      <w:r>
        <w:rPr>
          <w:rFonts w:hint="eastAsia" w:ascii="宋体" w:hAnsi="宋体" w:eastAsia="宋体" w:cs="宋体"/>
          <w:b/>
          <w:snapToGrid w:val="0"/>
          <w:color w:val="auto"/>
          <w:highlight w:val="none"/>
        </w:rPr>
        <w:t>第四节 否决投标条件</w:t>
      </w:r>
      <w:bookmarkEnd w:id="101"/>
    </w:p>
    <w:p w14:paraId="39655614">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highlight w:val="none"/>
        </w:rPr>
        <w:t>　</w:t>
      </w:r>
      <w:r>
        <w:rPr>
          <w:rFonts w:hint="eastAsia" w:ascii="宋体" w:hAnsi="宋体" w:eastAsia="宋体" w:cs="宋体"/>
          <w:snapToGrid w:val="0"/>
          <w:color w:val="auto"/>
          <w:kern w:val="0"/>
          <w:sz w:val="21"/>
          <w:szCs w:val="21"/>
          <w:highlight w:val="none"/>
        </w:rPr>
        <w:t>　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1"/>
          <w:szCs w:val="21"/>
          <w:highlight w:val="none"/>
        </w:rPr>
        <w:t>投标人未有列入本节情形的，评标时一律不得否决其投标。</w:t>
      </w:r>
      <w:r>
        <w:rPr>
          <w:rFonts w:hint="eastAsia" w:ascii="宋体" w:hAnsi="宋体" w:eastAsia="宋体" w:cs="宋体"/>
          <w:snapToGrid w:val="0"/>
          <w:color w:val="auto"/>
          <w:kern w:val="0"/>
          <w:sz w:val="21"/>
          <w:szCs w:val="21"/>
          <w:highlight w:val="none"/>
        </w:rPr>
        <w:t>本节所称“规定”均指招标文件的规定。</w:t>
      </w:r>
    </w:p>
    <w:bookmarkEnd w:id="98"/>
    <w:p w14:paraId="028A92A3">
      <w:pPr>
        <w:keepNext w:val="0"/>
        <w:keepLines w:val="0"/>
        <w:pageBreakBefore w:val="0"/>
        <w:kinsoku/>
        <w:wordWrap w:val="0"/>
        <w:overflowPunct/>
        <w:topLinePunct w:val="0"/>
        <w:autoSpaceDE/>
        <w:autoSpaceDN/>
        <w:bidi w:val="0"/>
        <w:adjustRightInd w:val="0"/>
        <w:snapToGrid w:val="0"/>
        <w:spacing w:line="440" w:lineRule="exact"/>
        <w:ind w:firstLine="480"/>
        <w:textAlignment w:val="auto"/>
        <w:outlineLvl w:val="2"/>
        <w:rPr>
          <w:rFonts w:hint="eastAsia" w:ascii="宋体" w:hAnsi="宋体" w:eastAsia="宋体" w:cs="宋体"/>
          <w:snapToGrid w:val="0"/>
          <w:color w:val="auto"/>
          <w:kern w:val="0"/>
          <w:sz w:val="21"/>
          <w:szCs w:val="21"/>
          <w:highlight w:val="none"/>
        </w:rPr>
      </w:pPr>
      <w:bookmarkStart w:id="102" w:name="_Toc4922"/>
      <w:r>
        <w:rPr>
          <w:rFonts w:hint="eastAsia" w:ascii="宋体" w:hAnsi="宋体" w:eastAsia="宋体" w:cs="宋体"/>
          <w:b/>
          <w:bCs/>
          <w:snapToGrid w:val="0"/>
          <w:color w:val="auto"/>
          <w:kern w:val="0"/>
          <w:sz w:val="21"/>
          <w:szCs w:val="21"/>
          <w:highlight w:val="none"/>
        </w:rPr>
        <w:t>1．资格评审环节</w:t>
      </w:r>
      <w:bookmarkEnd w:id="102"/>
    </w:p>
    <w:p w14:paraId="5092E9F6">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投标人有下列情形之一的，评标委员会应否决其投标。被否决的投标人，不进入形式评审环节。</w:t>
      </w:r>
    </w:p>
    <w:p w14:paraId="13F30808">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（1）有本章第三节第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p w14:paraId="3B8BFE9D">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（2）投标人资质不符合规定的；</w:t>
      </w:r>
    </w:p>
    <w:p w14:paraId="038B3143">
      <w:pPr>
        <w:keepNext w:val="0"/>
        <w:keepLines w:val="0"/>
        <w:pageBreakBefore w:val="0"/>
        <w:widowControl/>
        <w:suppressLineNumbers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（3）投标人名称与营业执照、资质证书、安全生产许可证上的企业名称相互不一致的；其资质证书、安全生产许可证不是由住房城乡建设主管部门颁发的；营业执照、资质证书、安全生产许可证</w:t>
      </w:r>
      <w:r>
        <w:rPr>
          <w:rFonts w:hint="eastAsia" w:ascii="宋体" w:hAnsi="宋体" w:eastAsia="宋体" w:cs="宋体"/>
          <w:color w:val="auto"/>
          <w:kern w:val="0"/>
          <w:sz w:val="21"/>
          <w:szCs w:val="21"/>
          <w:highlight w:val="none"/>
          <w:lang w:val="en-US" w:eastAsia="zh-CN" w:bidi="ar"/>
        </w:rPr>
        <w:t xml:space="preserve">证（含实时网页查询页，可参考网址 https://zlaq.mohurd.gov.cn </w:t>
      </w:r>
    </w:p>
    <w:p w14:paraId="766E3347">
      <w:pPr>
        <w:keepNext w:val="0"/>
        <w:keepLines w:val="0"/>
        <w:pageBreakBefore w:val="0"/>
        <w:widowControl/>
        <w:suppressLineNumbers w:val="0"/>
        <w:kinsoku/>
        <w:overflowPunct/>
        <w:topLinePunct w:val="0"/>
        <w:autoSpaceDE/>
        <w:autoSpaceDN/>
        <w:bidi w:val="0"/>
        <w:spacing w:line="44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/fwmh/bjxcjgl/fwmh/pages/construction_safety/qyaqscxkz/qyaqscxk）被</w:t>
      </w:r>
      <w:r>
        <w:rPr>
          <w:rFonts w:hint="eastAsia" w:ascii="宋体" w:hAnsi="宋体" w:eastAsia="宋体" w:cs="宋体"/>
          <w:snapToGrid w:val="0"/>
          <w:color w:val="auto"/>
          <w:kern w:val="0"/>
          <w:sz w:val="21"/>
          <w:szCs w:val="21"/>
          <w:highlight w:val="none"/>
        </w:rPr>
        <w:t>被吊销、暂扣或不在有效期内的；</w:t>
      </w:r>
    </w:p>
    <w:p w14:paraId="073A7BF7">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7CF4C619">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（4）拟派项目经理、项目技术负责人、专职安全员的条件不符合规定的；拟派专职安全员数量不符合规定的；技术负责人未在投标文件《项目技术负责人简历表》中签字确认；</w:t>
      </w:r>
    </w:p>
    <w:p w14:paraId="6849745A">
      <w:pPr>
        <w:pStyle w:val="2"/>
        <w:keepNext w:val="0"/>
        <w:keepLines w:val="0"/>
        <w:pageBreakBefore w:val="0"/>
        <w:kinsoku/>
        <w:overflowPunct/>
        <w:topLinePunct w:val="0"/>
        <w:autoSpaceDE/>
        <w:autoSpaceDN/>
        <w:bidi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温馨提示：建造师打印电子证书后，应在个人签名处手写本人签名，未手写签名或与签名图像笔迹不一致的，该电子证书无效。</w:t>
      </w:r>
    </w:p>
    <w:p w14:paraId="0B60AAB1">
      <w:pPr>
        <w:keepNext w:val="0"/>
        <w:keepLines w:val="0"/>
        <w:pageBreakBefore w:val="0"/>
        <w:widowControl/>
        <w:suppressLineNumbers w:val="0"/>
        <w:kinsoku/>
        <w:overflowPunct/>
        <w:topLinePunct w:val="0"/>
        <w:autoSpaceDE/>
        <w:autoSpaceDN/>
        <w:bidi w:val="0"/>
        <w:spacing w:line="440" w:lineRule="exact"/>
        <w:jc w:val="lef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r>
        <w:rPr>
          <w:rFonts w:hint="eastAsia" w:ascii="宋体" w:hAnsi="宋体" w:eastAsia="宋体" w:cs="宋体"/>
          <w:color w:val="auto"/>
          <w:sz w:val="21"/>
          <w:szCs w:val="21"/>
          <w:highlight w:val="none"/>
        </w:rPr>
        <w:t>《项目经理简历表》中拟派项目经理与《开标一览表》不一致的；</w:t>
      </w:r>
      <w:r>
        <w:rPr>
          <w:rFonts w:hint="eastAsia" w:ascii="宋体" w:hAnsi="宋体" w:eastAsia="宋体" w:cs="宋体"/>
          <w:color w:val="auto"/>
          <w:kern w:val="0"/>
          <w:sz w:val="21"/>
          <w:szCs w:val="21"/>
          <w:highlight w:val="none"/>
          <w:lang w:val="en-US" w:eastAsia="zh-CN" w:bidi="ar"/>
        </w:rPr>
        <w:t>拟派的项目经理未在投标文件《项目经理简历表》中签字确认；</w:t>
      </w:r>
      <w:r>
        <w:rPr>
          <w:rFonts w:hint="eastAsia" w:ascii="宋体" w:hAnsi="宋体" w:eastAsia="宋体" w:cs="宋体"/>
          <w:color w:val="auto"/>
          <w:sz w:val="21"/>
          <w:szCs w:val="21"/>
          <w:highlight w:val="none"/>
        </w:rPr>
        <w:t>一级建造师的注册证书不是国家住建部颁发的；</w:t>
      </w:r>
      <w:r>
        <w:rPr>
          <w:rFonts w:hint="eastAsia" w:ascii="宋体" w:hAnsi="宋体" w:eastAsia="宋体" w:cs="宋体"/>
          <w:b w:val="0"/>
          <w:bCs w:val="0"/>
          <w:caps w:val="0"/>
          <w:smallCaps w:val="0"/>
          <w:snapToGrid w:val="0"/>
          <w:color w:val="auto"/>
          <w:spacing w:val="0"/>
          <w:kern w:val="0"/>
          <w:sz w:val="21"/>
          <w:szCs w:val="21"/>
          <w:highlight w:val="none"/>
          <w:lang w:val="en-US" w:eastAsia="zh-CN"/>
        </w:rPr>
        <w:t>二级建造师的电子注册证书不是</w:t>
      </w:r>
      <w:r>
        <w:rPr>
          <w:rFonts w:hint="eastAsia" w:ascii="宋体" w:hAnsi="宋体" w:eastAsia="宋体" w:cs="宋体"/>
          <w:color w:val="auto"/>
          <w:sz w:val="21"/>
          <w:szCs w:val="21"/>
          <w:highlight w:val="none"/>
        </w:rPr>
        <w:t>考试取得执业资格的省、自治区、直辖市住建部门核准</w:t>
      </w:r>
      <w:r>
        <w:rPr>
          <w:rFonts w:hint="eastAsia" w:ascii="宋体" w:hAnsi="宋体" w:eastAsia="宋体" w:cs="宋体"/>
          <w:b w:val="0"/>
          <w:bCs w:val="0"/>
          <w:caps w:val="0"/>
          <w:smallCaps w:val="0"/>
          <w:snapToGrid w:val="0"/>
          <w:color w:val="auto"/>
          <w:spacing w:val="0"/>
          <w:kern w:val="0"/>
          <w:sz w:val="21"/>
          <w:szCs w:val="21"/>
          <w:highlight w:val="none"/>
          <w:lang w:val="en-US" w:eastAsia="zh-CN"/>
        </w:rPr>
        <w:t>的；建造师的注册单位与投标人不一致的；项目管理班子组成人员的各类证书、证件、证明不在有效期内的（建造师注册证书不在使用有效期内的）；擅自修改、遗漏《项目经理任职声明》实质性内容的；</w:t>
      </w:r>
    </w:p>
    <w:p w14:paraId="28D79B3B">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注：投标人已经工商变更，但其员工执业资格注册证书的注册单位名称未完成变更的，不得否决其投标。</w:t>
      </w:r>
    </w:p>
    <w:p w14:paraId="7E9E0665">
      <w:pPr>
        <w:keepNext w:val="0"/>
        <w:keepLines w:val="0"/>
        <w:pageBreakBefore w:val="0"/>
        <w:widowControl/>
        <w:suppressLineNumbers w:val="0"/>
        <w:kinsoku/>
        <w:overflowPunct/>
        <w:topLinePunct w:val="0"/>
        <w:autoSpaceDE/>
        <w:autoSpaceDN/>
        <w:bidi w:val="0"/>
        <w:spacing w:line="44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鉴于目前继续教育开展的实际情况，建筑和市政工程施工现场专业人员（例如：施工员、质量员、材料员、资料员）的岗位证书或培训证书不审查其证书的有效期。</w:t>
      </w:r>
    </w:p>
    <w:p w14:paraId="49053EC9">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（6）招标文件规定不接受联合体投标，但以联合体投标的；</w:t>
      </w:r>
    </w:p>
    <w:p w14:paraId="5FF32FBC">
      <w:pPr>
        <w:keepNext w:val="0"/>
        <w:keepLines w:val="0"/>
        <w:pageBreakBefore w:val="0"/>
        <w:kinsoku/>
        <w:wordWrap w:val="0"/>
        <w:overflowPunct/>
        <w:topLinePunct w:val="0"/>
        <w:autoSpaceDE/>
        <w:autoSpaceDN/>
        <w:bidi w:val="0"/>
        <w:spacing w:line="440" w:lineRule="exact"/>
        <w:ind w:firstLine="480"/>
        <w:textAlignment w:val="auto"/>
        <w:rPr>
          <w:rFonts w:hint="eastAsia" w:ascii="宋体" w:hAnsi="宋体" w:eastAsia="宋体" w:cs="宋体"/>
          <w:snapToGrid w:val="0"/>
          <w:color w:val="auto"/>
          <w:kern w:val="0"/>
          <w:sz w:val="21"/>
          <w:szCs w:val="21"/>
          <w:highlight w:val="none"/>
        </w:rPr>
      </w:pPr>
      <w:bookmarkStart w:id="103" w:name="_Toc15304"/>
      <w:r>
        <w:rPr>
          <w:rFonts w:hint="eastAsia" w:ascii="宋体" w:hAnsi="宋体" w:eastAsia="宋体" w:cs="宋体"/>
          <w:snapToGrid w:val="0"/>
          <w:color w:val="auto"/>
          <w:kern w:val="0"/>
          <w:sz w:val="21"/>
          <w:szCs w:val="21"/>
          <w:highlight w:val="none"/>
        </w:rPr>
        <w:t>（7）联合体投标，未提交《联合体协议书》的；擅自修改、遗漏《联合体协议书》实质性内容的；联合体成员的数量、资质不符合规定的；联合体成员同时以自己名义单独投标或者参加其他联合体投标的；</w:t>
      </w:r>
    </w:p>
    <w:p w14:paraId="5B1F803F">
      <w:pPr>
        <w:keepNext w:val="0"/>
        <w:keepLines w:val="0"/>
        <w:pageBreakBefore w:val="0"/>
        <w:kinsoku/>
        <w:wordWrap w:val="0"/>
        <w:overflowPunct/>
        <w:topLinePunct w:val="0"/>
        <w:autoSpaceDE/>
        <w:autoSpaceDN/>
        <w:bidi w:val="0"/>
        <w:adjustRightInd w:val="0"/>
        <w:snapToGrid w:val="0"/>
        <w:spacing w:line="440" w:lineRule="exact"/>
        <w:ind w:firstLine="480"/>
        <w:textAlignment w:val="auto"/>
        <w:outlineLvl w:val="2"/>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（8）投标人为外省建筑企业，但未提供“进粤企业和人员诚信信息登记平台”企业和拟派人员信息情况打印页或网页截图的。</w:t>
      </w:r>
    </w:p>
    <w:p w14:paraId="4A49383E">
      <w:pPr>
        <w:keepNext w:val="0"/>
        <w:keepLines w:val="0"/>
        <w:pageBreakBefore w:val="0"/>
        <w:kinsoku/>
        <w:wordWrap w:val="0"/>
        <w:overflowPunct/>
        <w:topLinePunct w:val="0"/>
        <w:autoSpaceDE/>
        <w:autoSpaceDN/>
        <w:bidi w:val="0"/>
        <w:adjustRightInd w:val="0"/>
        <w:snapToGrid w:val="0"/>
        <w:spacing w:line="440" w:lineRule="exact"/>
        <w:ind w:firstLine="480"/>
        <w:textAlignment w:val="auto"/>
        <w:outlineLvl w:val="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2．形式评审环节</w:t>
      </w:r>
      <w:bookmarkEnd w:id="103"/>
    </w:p>
    <w:p w14:paraId="07FF68A0">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投标人有下列情形之一的，评标委员会应否决其投标。被否决的投标人，不进入响应性评审环节。</w:t>
      </w:r>
    </w:p>
    <w:p w14:paraId="0837F8A1">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（1）各分册没按招标文件规定加盖电子印章；</w:t>
      </w:r>
    </w:p>
    <w:p w14:paraId="6AD5692B">
      <w:pPr>
        <w:keepNext w:val="0"/>
        <w:keepLines w:val="0"/>
        <w:pageBreakBefore w:val="0"/>
        <w:kinsoku/>
        <w:wordWrap w:val="0"/>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（2）本章第三节第</w:t>
      </w:r>
      <w:r>
        <w:rPr>
          <w:rFonts w:hint="eastAsia" w:ascii="宋体" w:hAnsi="宋体" w:eastAsia="宋体" w:cs="宋体"/>
          <w:b/>
          <w:bCs/>
          <w:color w:val="auto"/>
          <w:sz w:val="21"/>
          <w:szCs w:val="21"/>
          <w:highlight w:val="none"/>
        </w:rPr>
        <w:t>10.2.2</w:t>
      </w:r>
      <w:r>
        <w:rPr>
          <w:rFonts w:hint="eastAsia" w:ascii="宋体" w:hAnsi="宋体" w:eastAsia="宋体" w:cs="宋体"/>
          <w:color w:val="auto"/>
          <w:sz w:val="21"/>
          <w:szCs w:val="21"/>
          <w:highlight w:val="none"/>
        </w:rPr>
        <w:t>目、第</w:t>
      </w:r>
      <w:r>
        <w:rPr>
          <w:rFonts w:hint="eastAsia" w:ascii="宋体" w:hAnsi="宋体" w:eastAsia="宋体" w:cs="宋体"/>
          <w:b/>
          <w:bCs/>
          <w:color w:val="auto"/>
          <w:sz w:val="21"/>
          <w:szCs w:val="21"/>
          <w:highlight w:val="none"/>
        </w:rPr>
        <w:t>10.3.2</w:t>
      </w:r>
      <w:r>
        <w:rPr>
          <w:rFonts w:hint="eastAsia" w:ascii="宋体" w:hAnsi="宋体" w:eastAsia="宋体" w:cs="宋体"/>
          <w:color w:val="auto"/>
          <w:sz w:val="21"/>
          <w:szCs w:val="21"/>
          <w:highlight w:val="none"/>
        </w:rPr>
        <w:t>目、第</w:t>
      </w:r>
      <w:r>
        <w:rPr>
          <w:rFonts w:hint="eastAsia" w:ascii="宋体" w:hAnsi="宋体" w:eastAsia="宋体" w:cs="宋体"/>
          <w:b/>
          <w:bCs/>
          <w:color w:val="auto"/>
          <w:sz w:val="21"/>
          <w:szCs w:val="21"/>
          <w:highlight w:val="none"/>
        </w:rPr>
        <w:t>10.4.3</w:t>
      </w:r>
      <w:r>
        <w:rPr>
          <w:rFonts w:hint="eastAsia" w:ascii="宋体" w:hAnsi="宋体" w:eastAsia="宋体" w:cs="宋体"/>
          <w:color w:val="auto"/>
          <w:sz w:val="21"/>
          <w:szCs w:val="21"/>
          <w:highlight w:val="none"/>
        </w:rPr>
        <w:t>目中规定的“所有投标人均应提供”的组成内容（包括该组成内容的所附资料）中，任何一项有缺漏的；</w:t>
      </w:r>
    </w:p>
    <w:p w14:paraId="1A0EA254">
      <w:pPr>
        <w:keepNext w:val="0"/>
        <w:keepLines w:val="0"/>
        <w:pageBreakBefore w:val="0"/>
        <w:kinsoku/>
        <w:overflowPunct/>
        <w:topLinePunct w:val="0"/>
        <w:autoSpaceDE/>
        <w:autoSpaceDN/>
        <w:bidi w:val="0"/>
        <w:spacing w:line="440" w:lineRule="exact"/>
        <w:ind w:firstLine="369" w:firstLineChars="176"/>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color w:val="auto"/>
          <w:sz w:val="21"/>
          <w:szCs w:val="21"/>
          <w:highlight w:val="none"/>
        </w:rPr>
        <w:t>关键字迹模糊、无法辨认，且该种过错将导致评标委员会无法判断投标文件是否响应招标文件实质性要求的；有涂改、行间插字或删除，但未加盖单位章或由投标人的法定代表人或其委托代理人签字确认的；</w:t>
      </w:r>
    </w:p>
    <w:p w14:paraId="20C99840">
      <w:pPr>
        <w:keepNext w:val="0"/>
        <w:keepLines w:val="0"/>
        <w:pageBreakBefore w:val="0"/>
        <w:kinsoku/>
        <w:overflowPunct/>
        <w:topLinePunct w:val="0"/>
        <w:autoSpaceDE/>
        <w:autoSpaceDN/>
        <w:bidi w:val="0"/>
        <w:spacing w:line="440" w:lineRule="exact"/>
        <w:ind w:firstLine="369" w:firstLineChars="176"/>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（4）投标文件未按规定签字、盖章的。</w:t>
      </w:r>
    </w:p>
    <w:p w14:paraId="51DF7184">
      <w:pPr>
        <w:keepNext w:val="0"/>
        <w:keepLines w:val="0"/>
        <w:pageBreakBefore w:val="0"/>
        <w:kinsoku/>
        <w:wordWrap w:val="0"/>
        <w:overflowPunct/>
        <w:topLinePunct w:val="0"/>
        <w:autoSpaceDE/>
        <w:autoSpaceDN/>
        <w:bidi w:val="0"/>
        <w:adjustRightInd w:val="0"/>
        <w:snapToGrid w:val="0"/>
        <w:spacing w:line="440" w:lineRule="exact"/>
        <w:ind w:firstLine="480"/>
        <w:textAlignment w:val="auto"/>
        <w:outlineLvl w:val="2"/>
        <w:rPr>
          <w:rFonts w:hint="eastAsia" w:ascii="宋体" w:hAnsi="宋体" w:eastAsia="宋体" w:cs="宋体"/>
          <w:b/>
          <w:bCs/>
          <w:snapToGrid w:val="0"/>
          <w:color w:val="auto"/>
          <w:kern w:val="0"/>
          <w:sz w:val="21"/>
          <w:szCs w:val="21"/>
          <w:highlight w:val="none"/>
        </w:rPr>
      </w:pPr>
      <w:bookmarkStart w:id="104" w:name="_Toc23324"/>
      <w:r>
        <w:rPr>
          <w:rFonts w:hint="eastAsia" w:ascii="宋体" w:hAnsi="宋体" w:eastAsia="宋体" w:cs="宋体"/>
          <w:b/>
          <w:bCs/>
          <w:snapToGrid w:val="0"/>
          <w:color w:val="auto"/>
          <w:kern w:val="0"/>
          <w:sz w:val="21"/>
          <w:szCs w:val="21"/>
          <w:highlight w:val="none"/>
        </w:rPr>
        <w:t>3．响应性评审环节</w:t>
      </w:r>
      <w:bookmarkEnd w:id="104"/>
    </w:p>
    <w:p w14:paraId="2CD9321A">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投标人有下列情形之一的，评标委员会应否决其投标。被否决的投标人，不进入详细评审阶段。</w:t>
      </w:r>
    </w:p>
    <w:p w14:paraId="5E24742C">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（1）承诺的投标有效期短于规定的；质量标准低于规定的；工期超出规定的；擅自修改、遗漏《投标函》《各项承诺一览表》实质性内容的；</w:t>
      </w:r>
    </w:p>
    <w:p w14:paraId="2FC3C91E">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（2）编制《投标总价》的造价工程师，其注册证书不是</w:t>
      </w:r>
      <w:r>
        <w:rPr>
          <w:rFonts w:hint="eastAsia" w:ascii="宋体" w:hAnsi="宋体" w:eastAsia="宋体" w:cs="宋体"/>
          <w:b/>
          <w:bCs/>
          <w:snapToGrid w:val="0"/>
          <w:color w:val="auto"/>
          <w:kern w:val="0"/>
          <w:sz w:val="21"/>
          <w:szCs w:val="21"/>
          <w:highlight w:val="none"/>
        </w:rPr>
        <w:t>住建部门</w:t>
      </w:r>
      <w:r>
        <w:rPr>
          <w:rFonts w:hint="eastAsia" w:ascii="宋体" w:hAnsi="宋体" w:eastAsia="宋体" w:cs="宋体"/>
          <w:snapToGrid w:val="0"/>
          <w:color w:val="auto"/>
          <w:kern w:val="0"/>
          <w:sz w:val="21"/>
          <w:szCs w:val="21"/>
          <w:highlight w:val="none"/>
        </w:rPr>
        <w:t>颁发的；其注册单位与投标人（或造价咨询人）不一致的；其注册证书不在有效期内的。</w:t>
      </w:r>
    </w:p>
    <w:p w14:paraId="672CB7C1">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注：投标人（或造价咨询人）已经工商变更，但其员工的执业资格注册证书的注册单位名称未完成变更的，不得否决其投标。</w:t>
      </w:r>
    </w:p>
    <w:p w14:paraId="6C542FD5">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（3）投标人委托造价咨询单位编制《投标总价》，但未在《投标总价扉页》（即扉—3）“投标人”栏目加盖造价咨询人公章的；未提供造价咨询人的营业执照彩色扫描件的；</w:t>
      </w:r>
    </w:p>
    <w:p w14:paraId="55E9EF1E">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出现两个或两个以上投标总价的（同一个投标总价大、小写不一致的除外）；投标总价超出招标控制价的；绿色施工安全防护措施费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190BCF8E">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（5）在施工组织设计评审中，评标委员会认定质量、进度保障措施与国家和省市现行有关规范、规定、标准有重大偏差，</w:t>
      </w:r>
      <w:r>
        <w:rPr>
          <w:rFonts w:hint="eastAsia" w:ascii="宋体" w:hAnsi="宋体" w:eastAsia="宋体" w:cs="宋体"/>
          <w:b/>
          <w:bCs/>
          <w:snapToGrid w:val="0"/>
          <w:color w:val="auto"/>
          <w:kern w:val="0"/>
          <w:sz w:val="21"/>
          <w:szCs w:val="21"/>
          <w:highlight w:val="none"/>
        </w:rPr>
        <w:t>且该种过错将导致工程质量、进度管理目标无法实现的</w:t>
      </w:r>
      <w:r>
        <w:rPr>
          <w:rFonts w:hint="eastAsia" w:ascii="宋体" w:hAnsi="宋体" w:eastAsia="宋体" w:cs="宋体"/>
          <w:snapToGrid w:val="0"/>
          <w:color w:val="auto"/>
          <w:kern w:val="0"/>
          <w:sz w:val="21"/>
          <w:szCs w:val="21"/>
          <w:highlight w:val="none"/>
        </w:rPr>
        <w:t>。</w:t>
      </w:r>
    </w:p>
    <w:p w14:paraId="7939AFAD">
      <w:pPr>
        <w:keepNext w:val="0"/>
        <w:keepLines w:val="0"/>
        <w:pageBreakBefore w:val="0"/>
        <w:kinsoku/>
        <w:wordWrap w:val="0"/>
        <w:overflowPunct/>
        <w:topLinePunct w:val="0"/>
        <w:autoSpaceDE/>
        <w:autoSpaceDN/>
        <w:bidi w:val="0"/>
        <w:adjustRightInd w:val="0"/>
        <w:snapToGrid w:val="0"/>
        <w:spacing w:line="440" w:lineRule="exact"/>
        <w:ind w:firstLine="480"/>
        <w:textAlignment w:val="auto"/>
        <w:outlineLvl w:val="2"/>
        <w:rPr>
          <w:rFonts w:hint="eastAsia" w:ascii="宋体" w:hAnsi="宋体" w:eastAsia="宋体" w:cs="宋体"/>
          <w:b/>
          <w:bCs/>
          <w:snapToGrid w:val="0"/>
          <w:color w:val="auto"/>
          <w:kern w:val="0"/>
          <w:sz w:val="21"/>
          <w:szCs w:val="21"/>
          <w:highlight w:val="none"/>
        </w:rPr>
      </w:pPr>
      <w:bookmarkStart w:id="105" w:name="_Toc7445"/>
      <w:r>
        <w:rPr>
          <w:rFonts w:hint="eastAsia" w:ascii="宋体" w:hAnsi="宋体" w:eastAsia="宋体" w:cs="宋体"/>
          <w:b/>
          <w:bCs/>
          <w:snapToGrid w:val="0"/>
          <w:color w:val="auto"/>
          <w:kern w:val="0"/>
          <w:sz w:val="21"/>
          <w:szCs w:val="21"/>
          <w:highlight w:val="none"/>
        </w:rPr>
        <w:t>4．其他</w:t>
      </w:r>
      <w:bookmarkEnd w:id="105"/>
    </w:p>
    <w:p w14:paraId="42B82E2F">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在任何评标环节（或阶段），投标人有下列情形之一的，评标委员会应否决其投标。被否决的投标人，不进入下一环节（或阶段）。</w:t>
      </w:r>
    </w:p>
    <w:p w14:paraId="13B643EB">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（1）不按评标委员会要求澄清、说明或补正的；</w:t>
      </w:r>
    </w:p>
    <w:p w14:paraId="4C808B20">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（2）有下列情形之一，被评标委员会认定属于串通投标的：</w:t>
      </w:r>
    </w:p>
    <w:p w14:paraId="5E6D807E">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①不同投标人的投标文件两处以上（含两处）错、漏一致；</w:t>
      </w:r>
    </w:p>
    <w:p w14:paraId="73F5B26B">
      <w:pPr>
        <w:keepNext w:val="0"/>
        <w:keepLines w:val="0"/>
        <w:pageBreakBefore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②不同投标人的投标总价相近且各分项报价、综合单价分析表内容混乱不能相互对应、乱调乱压或乱抬的，而在询标时没有合理的解释或者不能提供计算依据和报价依据；</w:t>
      </w:r>
    </w:p>
    <w:p w14:paraId="0E0484F1">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③不同投标人的投标各项报价存在异常一致或者呈规律性变化；</w:t>
      </w:r>
    </w:p>
    <w:p w14:paraId="329C701C">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④不同投标人的投标文件由同一单位或者同一个人编制；</w:t>
      </w:r>
    </w:p>
    <w:p w14:paraId="2E391925">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⑤不同投标人的投标文件中投标资料（包括电子资料）相互混装或项目班子成员出现同一人；</w:t>
      </w:r>
    </w:p>
    <w:p w14:paraId="536CADC6">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⑥不同投标人的投标文件由同一电脑编制或同一台附属设备打印，或投标报价用同一个预算编制软件密码锁制作或出自同一电子文档；</w:t>
      </w:r>
    </w:p>
    <w:p w14:paraId="7CACC3A7">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⑦不同投标人的投标保证由同一企业或同一账户资金缴纳；</w:t>
      </w:r>
    </w:p>
    <w:p w14:paraId="586A9A57">
      <w:pPr>
        <w:keepNext w:val="0"/>
        <w:keepLines w:val="0"/>
        <w:pageBreakBefore w:val="0"/>
        <w:kinsoku/>
        <w:overflowPunct/>
        <w:topLinePunct w:val="0"/>
        <w:autoSpaceDE/>
        <w:autoSpaceDN/>
        <w:bidi w:val="0"/>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⑧不同投标人委托同一个人或注册在同一家企业的注册人员或同一家企业为其投标提供投标咨询、商务报价、技术咨询（招标项目本身要求采用专有技术的除外）等服务。</w:t>
      </w:r>
    </w:p>
    <w:p w14:paraId="0450522A">
      <w:pPr>
        <w:keepNext w:val="0"/>
        <w:keepLines w:val="0"/>
        <w:pageBreakBefore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475990B8">
      <w:pPr>
        <w:pStyle w:val="3"/>
        <w:wordWrap w:val="0"/>
        <w:autoSpaceDE/>
        <w:autoSpaceDN/>
        <w:snapToGrid w:val="0"/>
        <w:spacing w:line="440" w:lineRule="exact"/>
        <w:jc w:val="center"/>
        <w:rPr>
          <w:rFonts w:hint="eastAsia" w:ascii="宋体" w:hAnsi="宋体" w:eastAsia="宋体" w:cs="宋体"/>
          <w:b/>
          <w:snapToGrid w:val="0"/>
          <w:color w:val="auto"/>
          <w:kern w:val="0"/>
          <w:highlight w:val="none"/>
        </w:rPr>
      </w:pPr>
      <w:bookmarkStart w:id="106" w:name="_Hlt69669771"/>
      <w:bookmarkEnd w:id="106"/>
      <w:bookmarkStart w:id="107" w:name="_Hlt70150994"/>
      <w:bookmarkEnd w:id="107"/>
      <w:bookmarkStart w:id="108" w:name="_Hlt87952408"/>
      <w:bookmarkEnd w:id="108"/>
      <w:bookmarkStart w:id="109" w:name="_Hlt112206772"/>
      <w:bookmarkEnd w:id="109"/>
      <w:bookmarkStart w:id="110" w:name="_Hlt69698769"/>
      <w:bookmarkStart w:id="111" w:name="_Toc694"/>
      <w:bookmarkStart w:id="112" w:name="_Hlt69698722"/>
      <w:bookmarkStart w:id="113" w:name="_Hlt69698741"/>
      <w:r>
        <w:rPr>
          <w:rFonts w:hint="eastAsia" w:ascii="宋体" w:hAnsi="宋体" w:eastAsia="宋体" w:cs="宋体"/>
          <w:b/>
          <w:snapToGrid w:val="0"/>
          <w:color w:val="auto"/>
          <w:sz w:val="24"/>
          <w:highlight w:val="none"/>
        </w:rPr>
        <w:t>第</w:t>
      </w:r>
      <w:bookmarkStart w:id="114" w:name="_Hlt69669171"/>
      <w:bookmarkEnd w:id="114"/>
      <w:r>
        <w:rPr>
          <w:rFonts w:hint="eastAsia" w:ascii="宋体" w:hAnsi="宋体" w:eastAsia="宋体" w:cs="宋体"/>
          <w:b/>
          <w:snapToGrid w:val="0"/>
          <w:color w:val="auto"/>
          <w:sz w:val="24"/>
          <w:highlight w:val="none"/>
        </w:rPr>
        <w:t>二章</w:t>
      </w:r>
      <w:bookmarkStart w:id="115" w:name="_Hlt87793839"/>
      <w:bookmarkEnd w:id="115"/>
      <w:r>
        <w:rPr>
          <w:rFonts w:hint="eastAsia" w:ascii="宋体" w:hAnsi="宋体" w:eastAsia="宋体" w:cs="宋体"/>
          <w:b/>
          <w:snapToGrid w:val="0"/>
          <w:color w:val="auto"/>
          <w:sz w:val="24"/>
          <w:highlight w:val="none"/>
        </w:rPr>
        <w:t xml:space="preserve"> 中标人须知</w:t>
      </w:r>
      <w:bookmarkEnd w:id="110"/>
      <w:bookmarkEnd w:id="111"/>
      <w:bookmarkEnd w:id="112"/>
      <w:bookmarkEnd w:id="113"/>
    </w:p>
    <w:p w14:paraId="0302C097">
      <w:pPr>
        <w:pStyle w:val="4"/>
        <w:keepNext w:val="0"/>
        <w:keepLines w:val="0"/>
        <w:pageBreakBefore w:val="0"/>
        <w:widowControl w:val="0"/>
        <w:kinsoku/>
        <w:wordWrap w:val="0"/>
        <w:overflowPunct/>
        <w:topLinePunct w:val="0"/>
        <w:autoSpaceDE/>
        <w:autoSpaceDN/>
        <w:bidi w:val="0"/>
        <w:adjustRightInd w:val="0"/>
        <w:snapToGrid w:val="0"/>
        <w:spacing w:line="440" w:lineRule="exact"/>
        <w:ind w:firstLine="480"/>
        <w:jc w:val="both"/>
        <w:textAlignment w:val="auto"/>
        <w:rPr>
          <w:rFonts w:hint="eastAsia" w:ascii="宋体" w:hAnsi="宋体" w:eastAsia="宋体" w:cs="宋体"/>
          <w:b/>
          <w:snapToGrid w:val="0"/>
          <w:color w:val="auto"/>
          <w:sz w:val="21"/>
          <w:szCs w:val="21"/>
          <w:highlight w:val="none"/>
        </w:rPr>
      </w:pPr>
      <w:bookmarkStart w:id="116" w:name="_Toc18327"/>
      <w:r>
        <w:rPr>
          <w:rFonts w:hint="eastAsia" w:ascii="宋体" w:hAnsi="宋体" w:eastAsia="宋体" w:cs="宋体"/>
          <w:b/>
          <w:snapToGrid w:val="0"/>
          <w:color w:val="auto"/>
          <w:sz w:val="21"/>
          <w:szCs w:val="21"/>
          <w:highlight w:val="none"/>
        </w:rPr>
        <w:t>1．中标通知书</w:t>
      </w:r>
      <w:bookmarkEnd w:id="116"/>
    </w:p>
    <w:p w14:paraId="5474D6AC">
      <w:pPr>
        <w:keepNext w:val="0"/>
        <w:keepLines w:val="0"/>
        <w:pageBreakBefore w:val="0"/>
        <w:widowControl w:val="0"/>
        <w:kinsoku/>
        <w:wordWrap w:val="0"/>
        <w:overflowPunct/>
        <w:topLinePunct w:val="0"/>
        <w:autoSpaceDE/>
        <w:autoSpaceDN/>
        <w:bidi w:val="0"/>
        <w:adjustRightInd w:val="0"/>
        <w:snapToGrid w:val="0"/>
        <w:spacing w:line="440" w:lineRule="exact"/>
        <w:ind w:firstLine="562"/>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319DBF07">
      <w:pPr>
        <w:pStyle w:val="4"/>
        <w:keepNext w:val="0"/>
        <w:keepLines w:val="0"/>
        <w:pageBreakBefore w:val="0"/>
        <w:widowControl w:val="0"/>
        <w:kinsoku/>
        <w:wordWrap w:val="0"/>
        <w:overflowPunct/>
        <w:topLinePunct w:val="0"/>
        <w:autoSpaceDE/>
        <w:autoSpaceDN/>
        <w:bidi w:val="0"/>
        <w:adjustRightInd w:val="0"/>
        <w:snapToGrid w:val="0"/>
        <w:spacing w:line="440" w:lineRule="exact"/>
        <w:ind w:firstLine="480"/>
        <w:jc w:val="both"/>
        <w:textAlignment w:val="auto"/>
        <w:rPr>
          <w:rFonts w:hint="eastAsia" w:ascii="宋体" w:hAnsi="宋体" w:eastAsia="宋体" w:cs="宋体"/>
          <w:b/>
          <w:snapToGrid w:val="0"/>
          <w:color w:val="auto"/>
          <w:sz w:val="21"/>
          <w:szCs w:val="21"/>
          <w:highlight w:val="none"/>
        </w:rPr>
      </w:pPr>
      <w:bookmarkStart w:id="117" w:name="_Toc11876"/>
      <w:r>
        <w:rPr>
          <w:rFonts w:hint="eastAsia" w:ascii="宋体" w:hAnsi="宋体" w:eastAsia="宋体" w:cs="宋体"/>
          <w:b/>
          <w:snapToGrid w:val="0"/>
          <w:color w:val="auto"/>
          <w:sz w:val="21"/>
          <w:szCs w:val="21"/>
          <w:highlight w:val="none"/>
        </w:rPr>
        <w:t>2．中标结果公示</w:t>
      </w:r>
      <w:bookmarkEnd w:id="117"/>
    </w:p>
    <w:p w14:paraId="4E3B5590">
      <w:pPr>
        <w:keepNext w:val="0"/>
        <w:keepLines w:val="0"/>
        <w:pageBreakBefore w:val="0"/>
        <w:widowControl w:val="0"/>
        <w:kinsoku/>
        <w:wordWrap w:val="0"/>
        <w:overflowPunct/>
        <w:topLinePunct w:val="0"/>
        <w:autoSpaceDE/>
        <w:autoSpaceDN/>
        <w:bidi w:val="0"/>
        <w:adjustRightInd w:val="0"/>
        <w:snapToGrid w:val="0"/>
        <w:spacing w:line="440" w:lineRule="exact"/>
        <w:ind w:firstLine="562"/>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中标通知书发出后15日内，招标人应将中标结果在广东省招标投标监管网（</w:t>
      </w:r>
      <w:r>
        <w:rPr>
          <w:rFonts w:hint="eastAsia" w:ascii="宋体" w:hAnsi="宋体" w:eastAsia="宋体" w:cs="宋体"/>
          <w:snapToGrid w:val="0"/>
          <w:color w:val="auto"/>
          <w:kern w:val="0"/>
          <w:sz w:val="21"/>
          <w:szCs w:val="21"/>
          <w:highlight w:val="none"/>
          <w:lang w:eastAsia="zh-CN"/>
        </w:rPr>
        <w:t>http://zbtb.gd.gov.cn</w:t>
      </w:r>
      <w:r>
        <w:rPr>
          <w:rFonts w:hint="eastAsia" w:ascii="宋体" w:hAnsi="宋体" w:eastAsia="宋体" w:cs="宋体"/>
          <w:snapToGrid w:val="0"/>
          <w:color w:val="auto"/>
          <w:kern w:val="0"/>
          <w:sz w:val="21"/>
          <w:szCs w:val="21"/>
          <w:highlight w:val="none"/>
        </w:rPr>
        <w:t>）及全国公共资源交易平台（广东省·韶关市）（https://ygp.gdzwfw.gov.cn/ggzy-portal/#/440200/index）进行公示。</w:t>
      </w:r>
    </w:p>
    <w:p w14:paraId="27FA32E2">
      <w:pPr>
        <w:pStyle w:val="4"/>
        <w:keepNext w:val="0"/>
        <w:keepLines w:val="0"/>
        <w:pageBreakBefore w:val="0"/>
        <w:widowControl w:val="0"/>
        <w:kinsoku/>
        <w:wordWrap w:val="0"/>
        <w:overflowPunct/>
        <w:topLinePunct w:val="0"/>
        <w:autoSpaceDE/>
        <w:autoSpaceDN/>
        <w:bidi w:val="0"/>
        <w:adjustRightInd w:val="0"/>
        <w:snapToGrid w:val="0"/>
        <w:spacing w:line="440" w:lineRule="exact"/>
        <w:ind w:firstLine="480"/>
        <w:jc w:val="both"/>
        <w:textAlignment w:val="auto"/>
        <w:rPr>
          <w:rFonts w:hint="eastAsia" w:ascii="宋体" w:hAnsi="宋体" w:eastAsia="宋体" w:cs="宋体"/>
          <w:b/>
          <w:snapToGrid w:val="0"/>
          <w:color w:val="auto"/>
          <w:sz w:val="21"/>
          <w:szCs w:val="21"/>
          <w:highlight w:val="none"/>
        </w:rPr>
      </w:pPr>
      <w:bookmarkStart w:id="118" w:name="_Toc11933"/>
      <w:r>
        <w:rPr>
          <w:rFonts w:hint="eastAsia" w:ascii="宋体" w:hAnsi="宋体" w:eastAsia="宋体" w:cs="宋体"/>
          <w:b/>
          <w:snapToGrid w:val="0"/>
          <w:color w:val="auto"/>
          <w:sz w:val="21"/>
          <w:szCs w:val="21"/>
          <w:highlight w:val="none"/>
        </w:rPr>
        <w:t>3．履约保证</w:t>
      </w:r>
      <w:bookmarkEnd w:id="118"/>
    </w:p>
    <w:p w14:paraId="2661F09E">
      <w:pPr>
        <w:keepNext w:val="0"/>
        <w:keepLines w:val="0"/>
        <w:pageBreakBefore w:val="0"/>
        <w:widowControl w:val="0"/>
        <w:kinsoku/>
        <w:wordWrap w:val="0"/>
        <w:overflowPunct/>
        <w:topLinePunct w:val="0"/>
        <w:autoSpaceDE/>
        <w:autoSpaceDN/>
        <w:bidi w:val="0"/>
        <w:adjustRightInd w:val="0"/>
        <w:snapToGrid w:val="0"/>
        <w:spacing w:line="440" w:lineRule="exact"/>
        <w:ind w:firstLine="562"/>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snapToGrid w:val="0"/>
          <w:color w:val="auto"/>
          <w:kern w:val="0"/>
          <w:sz w:val="21"/>
          <w:szCs w:val="21"/>
          <w:highlight w:val="none"/>
        </w:rPr>
        <w:t xml:space="preserve"> 中标人须在领取中标通知书之日起</w:t>
      </w:r>
      <w:r>
        <w:rPr>
          <w:rFonts w:hint="eastAsia" w:ascii="宋体" w:hAnsi="宋体" w:eastAsia="宋体" w:cs="宋体"/>
          <w:snapToGrid w:val="0"/>
          <w:color w:val="auto"/>
          <w:kern w:val="0"/>
          <w:sz w:val="21"/>
          <w:szCs w:val="21"/>
          <w:highlight w:val="none"/>
          <w:u w:val="single"/>
          <w:lang w:val="en-US" w:eastAsia="zh-CN"/>
        </w:rPr>
        <w:t xml:space="preserve"> 5</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个工作日内、签订合同前向招标人提交金额为中标价</w:t>
      </w:r>
      <w:r>
        <w:rPr>
          <w:rFonts w:hint="eastAsia" w:ascii="宋体" w:hAnsi="宋体" w:eastAsia="宋体" w:cs="宋体"/>
          <w:snapToGrid w:val="0"/>
          <w:color w:val="auto"/>
          <w:kern w:val="0"/>
          <w:sz w:val="21"/>
          <w:szCs w:val="21"/>
          <w:highlight w:val="none"/>
          <w:u w:val="single"/>
          <w:lang w:val="en-US" w:eastAsia="zh-CN"/>
        </w:rPr>
        <w:t xml:space="preserve"> 5 </w:t>
      </w:r>
      <w:r>
        <w:rPr>
          <w:rFonts w:hint="eastAsia" w:ascii="宋体" w:hAnsi="宋体" w:eastAsia="宋体" w:cs="宋体"/>
          <w:snapToGrid w:val="0"/>
          <w:color w:val="auto"/>
          <w:kern w:val="0"/>
          <w:sz w:val="21"/>
          <w:szCs w:val="21"/>
          <w:highlight w:val="none"/>
        </w:rPr>
        <w:t>% 的履约保证。</w:t>
      </w:r>
    </w:p>
    <w:p w14:paraId="6E1552C7">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snapToGrid w:val="0"/>
          <w:color w:val="auto"/>
          <w:kern w:val="0"/>
          <w:sz w:val="21"/>
          <w:szCs w:val="21"/>
          <w:highlight w:val="none"/>
        </w:rPr>
        <w:t xml:space="preserve"> 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snapToGrid w:val="0"/>
          <w:color w:val="auto"/>
          <w:kern w:val="0"/>
          <w:sz w:val="21"/>
          <w:szCs w:val="21"/>
          <w:highlight w:val="none"/>
          <w:lang w:val="en-US" w:eastAsia="zh-CN"/>
        </w:rPr>
        <w:t>商业保函、银行保函或保险合同（或保险单）的有效期应当自合同生效之日起至项目通过竣工验收之日后 28 天止。</w:t>
      </w:r>
      <w:r>
        <w:rPr>
          <w:rFonts w:hint="eastAsia" w:ascii="宋体" w:hAnsi="宋体" w:eastAsia="宋体" w:cs="宋体"/>
          <w:snapToGrid w:val="0"/>
          <w:color w:val="auto"/>
          <w:kern w:val="0"/>
          <w:sz w:val="21"/>
          <w:szCs w:val="21"/>
          <w:highlight w:val="none"/>
        </w:rPr>
        <w:t>项目竣工后，由招标人发起退保。</w:t>
      </w:r>
    </w:p>
    <w:p w14:paraId="7A128512">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r>
        <w:rPr>
          <w:rFonts w:hint="eastAsia" w:ascii="宋体" w:hAnsi="宋体" w:eastAsia="宋体" w:cs="宋体"/>
          <w:snapToGrid w:val="0"/>
          <w:color w:val="auto"/>
          <w:kern w:val="0"/>
          <w:sz w:val="21"/>
          <w:szCs w:val="21"/>
          <w:highlight w:val="none"/>
        </w:rPr>
        <w:t>并由招标人通报建设行政管理部门。如采用</w:t>
      </w:r>
      <w:r>
        <w:rPr>
          <w:rFonts w:hint="eastAsia" w:ascii="宋体" w:hAnsi="宋体" w:eastAsia="宋体" w:cs="宋体"/>
          <w:snapToGrid w:val="0"/>
          <w:color w:val="auto"/>
          <w:kern w:val="0"/>
          <w:sz w:val="21"/>
          <w:szCs w:val="21"/>
          <w:highlight w:val="none"/>
          <w:lang w:eastAsia="zh-CN"/>
        </w:rPr>
        <w:t>商业保函、银行保函或保险合同</w:t>
      </w:r>
      <w:r>
        <w:rPr>
          <w:rFonts w:hint="eastAsia" w:ascii="宋体" w:hAnsi="宋体" w:eastAsia="宋体" w:cs="宋体"/>
          <w:snapToGrid w:val="0"/>
          <w:color w:val="auto"/>
          <w:kern w:val="0"/>
          <w:sz w:val="21"/>
          <w:szCs w:val="21"/>
          <w:highlight w:val="none"/>
        </w:rPr>
        <w:t>方式缴纳履约保证金，在保函或保险合同到期前一个月，中标人须主动办理续期手续或提交新的</w:t>
      </w:r>
      <w:r>
        <w:rPr>
          <w:rFonts w:hint="eastAsia" w:ascii="宋体" w:hAnsi="宋体" w:eastAsia="宋体" w:cs="宋体"/>
          <w:snapToGrid w:val="0"/>
          <w:color w:val="auto"/>
          <w:kern w:val="0"/>
          <w:sz w:val="21"/>
          <w:szCs w:val="21"/>
          <w:highlight w:val="none"/>
          <w:lang w:eastAsia="zh-CN"/>
        </w:rPr>
        <w:t>商业保函、银行保函或保险合同。</w:t>
      </w:r>
    </w:p>
    <w:p w14:paraId="1F0C826B">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3.4</w:t>
      </w:r>
      <w:r>
        <w:rPr>
          <w:rFonts w:hint="eastAsia" w:ascii="宋体" w:hAnsi="宋体" w:eastAsia="宋体" w:cs="宋体"/>
          <w:snapToGrid w:val="0"/>
          <w:color w:val="auto"/>
          <w:kern w:val="0"/>
          <w:sz w:val="21"/>
          <w:szCs w:val="21"/>
          <w:highlight w:val="none"/>
        </w:rPr>
        <w:t xml:space="preserve"> 在工程实施过程中，如果承包人（即招标阶段的中标人，下同）由于自身的资金、技术、质量、非不可抗力等原因给发包人（即招标阶段的招标人，下同）造成经济损失，发包人有权扣划相应金额的履约保证。</w:t>
      </w:r>
    </w:p>
    <w:p w14:paraId="589791D5">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3.5</w:t>
      </w:r>
      <w:r>
        <w:rPr>
          <w:rFonts w:hint="eastAsia" w:ascii="宋体" w:hAnsi="宋体" w:eastAsia="宋体" w:cs="宋体"/>
          <w:snapToGrid w:val="0"/>
          <w:color w:val="auto"/>
          <w:kern w:val="0"/>
          <w:sz w:val="21"/>
          <w:szCs w:val="21"/>
          <w:highlight w:val="none"/>
        </w:rPr>
        <w:t xml:space="preserve"> 项目通过竣工验收之日后28天内，发包人将履约保证退还给承包人。</w:t>
      </w:r>
    </w:p>
    <w:p w14:paraId="145B3D04">
      <w:pPr>
        <w:pStyle w:val="4"/>
        <w:keepNext w:val="0"/>
        <w:keepLines w:val="0"/>
        <w:pageBreakBefore w:val="0"/>
        <w:widowControl w:val="0"/>
        <w:kinsoku/>
        <w:wordWrap w:val="0"/>
        <w:overflowPunct/>
        <w:topLinePunct w:val="0"/>
        <w:autoSpaceDE/>
        <w:autoSpaceDN/>
        <w:bidi w:val="0"/>
        <w:adjustRightInd w:val="0"/>
        <w:snapToGrid w:val="0"/>
        <w:spacing w:line="440" w:lineRule="exact"/>
        <w:ind w:firstLine="480"/>
        <w:jc w:val="both"/>
        <w:textAlignment w:val="auto"/>
        <w:rPr>
          <w:rFonts w:hint="eastAsia" w:ascii="宋体" w:hAnsi="宋体" w:eastAsia="宋体" w:cs="宋体"/>
          <w:b/>
          <w:snapToGrid w:val="0"/>
          <w:color w:val="auto"/>
          <w:sz w:val="21"/>
          <w:szCs w:val="21"/>
          <w:highlight w:val="none"/>
        </w:rPr>
      </w:pPr>
      <w:bookmarkStart w:id="119" w:name="_Toc20807"/>
      <w:r>
        <w:rPr>
          <w:rFonts w:hint="eastAsia" w:ascii="宋体" w:hAnsi="宋体" w:eastAsia="宋体" w:cs="宋体"/>
          <w:b/>
          <w:snapToGrid w:val="0"/>
          <w:color w:val="auto"/>
          <w:sz w:val="21"/>
          <w:szCs w:val="21"/>
          <w:highlight w:val="none"/>
        </w:rPr>
        <w:t>4．合同订立</w:t>
      </w:r>
      <w:bookmarkEnd w:id="119"/>
    </w:p>
    <w:p w14:paraId="4F56DFAE">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4.1</w:t>
      </w:r>
      <w:r>
        <w:rPr>
          <w:rFonts w:hint="eastAsia" w:ascii="宋体" w:hAnsi="宋体" w:eastAsia="宋体" w:cs="宋体"/>
          <w:snapToGrid w:val="0"/>
          <w:color w:val="auto"/>
          <w:kern w:val="0"/>
          <w:sz w:val="21"/>
          <w:szCs w:val="21"/>
          <w:highlight w:val="none"/>
        </w:rPr>
        <w:t xml:space="preserve"> 招标人应当自中标通知书发出之日起</w:t>
      </w:r>
      <w:r>
        <w:rPr>
          <w:rFonts w:hint="eastAsia" w:ascii="宋体" w:hAnsi="宋体" w:eastAsia="宋体" w:cs="宋体"/>
          <w:snapToGrid w:val="0"/>
          <w:color w:val="auto"/>
          <w:kern w:val="0"/>
          <w:sz w:val="21"/>
          <w:szCs w:val="21"/>
          <w:highlight w:val="none"/>
          <w:u w:val="single"/>
        </w:rPr>
        <w:t xml:space="preserve"> 三十</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日内，按照招标文件、中标人的投标文件与中标人订立书面合同。</w:t>
      </w:r>
    </w:p>
    <w:p w14:paraId="0B9664F1">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w:t>
      </w:r>
      <w:r>
        <w:rPr>
          <w:rFonts w:hint="eastAsia" w:ascii="宋体" w:hAnsi="宋体" w:eastAsia="宋体" w:cs="宋体"/>
          <w:snapToGrid w:val="0"/>
          <w:color w:val="auto"/>
          <w:kern w:val="0"/>
          <w:sz w:val="21"/>
          <w:szCs w:val="21"/>
          <w:highlight w:val="none"/>
        </w:rPr>
        <w:t xml:space="preserve"> 不正常报价的梳理和确认</w:t>
      </w:r>
    </w:p>
    <w:p w14:paraId="69959F1E">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4.2.1</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snapToGrid w:val="0"/>
          <w:color w:val="auto"/>
          <w:kern w:val="0"/>
          <w:sz w:val="21"/>
          <w:szCs w:val="21"/>
          <w:highlight w:val="none"/>
        </w:rPr>
        <w:t>招标人不具备以上能力的，可授权编制本项目招标控制价的造价咨询单位实施。</w:t>
      </w:r>
    </w:p>
    <w:p w14:paraId="44305FC3">
      <w:pPr>
        <w:keepNext w:val="0"/>
        <w:keepLines w:val="0"/>
        <w:pageBreakBefore w:val="0"/>
        <w:widowControl w:val="0"/>
        <w:kinsoku/>
        <w:wordWrap w:val="0"/>
        <w:overflowPunct/>
        <w:topLinePunct w:val="0"/>
        <w:autoSpaceDE/>
        <w:autoSpaceDN/>
        <w:bidi w:val="0"/>
        <w:adjustRightInd w:val="0"/>
        <w:snapToGrid w:val="0"/>
        <w:spacing w:line="440" w:lineRule="exac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4.2.2</w:t>
      </w:r>
      <w:r>
        <w:rPr>
          <w:rFonts w:hint="eastAsia" w:ascii="宋体" w:hAnsi="宋体" w:eastAsia="宋体" w:cs="宋体"/>
          <w:snapToGrid w:val="0"/>
          <w:color w:val="auto"/>
          <w:kern w:val="0"/>
          <w:sz w:val="21"/>
          <w:szCs w:val="21"/>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2286AFD1">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4.2.3</w:t>
      </w:r>
      <w:r>
        <w:rPr>
          <w:rFonts w:hint="eastAsia" w:ascii="宋体" w:hAnsi="宋体" w:eastAsia="宋体" w:cs="宋体"/>
          <w:snapToGrid w:val="0"/>
          <w:color w:val="auto"/>
          <w:kern w:val="0"/>
          <w:sz w:val="21"/>
          <w:szCs w:val="21"/>
          <w:highlight w:val="none"/>
        </w:rPr>
        <w:t xml:space="preserve"> 错漏项的认定。中标人已标价工程量清单中，任一清单项目未填报价格或价格为零的，视为错漏项。</w:t>
      </w:r>
    </w:p>
    <w:p w14:paraId="322D54CC">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rPr>
        <w:t>4.2.4</w:t>
      </w:r>
      <w:r>
        <w:rPr>
          <w:rFonts w:hint="eastAsia" w:ascii="宋体" w:hAnsi="宋体" w:eastAsia="宋体" w:cs="宋体"/>
          <w:snapToGrid w:val="0"/>
          <w:color w:val="auto"/>
          <w:kern w:val="0"/>
          <w:sz w:val="21"/>
          <w:szCs w:val="21"/>
          <w:highlight w:val="none"/>
        </w:rPr>
        <w:t xml:space="preserve"> 不平衡报价的认定。经修正算术性错误后的中标人已标价工程量清单中，</w:t>
      </w:r>
      <w:r>
        <w:rPr>
          <w:rFonts w:hint="eastAsia" w:ascii="宋体" w:hAnsi="宋体" w:eastAsia="宋体" w:cs="宋体"/>
          <w:snapToGrid w:val="0"/>
          <w:color w:val="auto"/>
          <w:kern w:val="0"/>
          <w:sz w:val="21"/>
          <w:szCs w:val="21"/>
          <w:highlight w:val="none"/>
          <w:u w:val="single"/>
        </w:rPr>
        <w:t>对于投标报价中综合单价相对招标控制价《分部分项工程和单价措施项目清单与计价表》中对应综合单价的偏差大于±15%的</w:t>
      </w:r>
      <w:r>
        <w:rPr>
          <w:rFonts w:hint="eastAsia" w:ascii="宋体" w:hAnsi="宋体" w:eastAsia="宋体" w:cs="宋体"/>
          <w:snapToGrid w:val="0"/>
          <w:color w:val="auto"/>
          <w:kern w:val="0"/>
          <w:sz w:val="21"/>
          <w:szCs w:val="21"/>
          <w:highlight w:val="none"/>
        </w:rPr>
        <w:t>清单项目，视为不平衡报价项目。</w:t>
      </w:r>
    </w:p>
    <w:p w14:paraId="38431584">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4.2.5</w:t>
      </w:r>
      <w:r>
        <w:rPr>
          <w:rFonts w:hint="eastAsia" w:ascii="宋体" w:hAnsi="宋体" w:eastAsia="宋体" w:cs="宋体"/>
          <w:snapToGrid w:val="0"/>
          <w:color w:val="auto"/>
          <w:kern w:val="0"/>
          <w:sz w:val="21"/>
          <w:szCs w:val="21"/>
          <w:highlight w:val="none"/>
        </w:rPr>
        <w:t xml:space="preserve"> 施工合同签订前，招标人或其授权的造价咨询单位应就发现的以上所有不平衡报价进行修正，形成《不平衡报价修正报告》，并由招标人和中标人共同签章确认，构成施工合同的组成部分。</w:t>
      </w:r>
    </w:p>
    <w:p w14:paraId="1326C740">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4.2.6</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rPr>
        <w:t>合同履行过程中，被认定为错漏项的清单项目，结算时按照第三章“拟签订合同的主要条款”规定处理。</w:t>
      </w:r>
    </w:p>
    <w:p w14:paraId="089EBE61">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有关规定调整合同价款。</w:t>
      </w:r>
    </w:p>
    <w:p w14:paraId="014859EB">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4.3 </w:t>
      </w:r>
      <w:r>
        <w:rPr>
          <w:rFonts w:hint="eastAsia" w:ascii="宋体" w:hAnsi="宋体" w:eastAsia="宋体" w:cs="宋体"/>
          <w:snapToGrid w:val="0"/>
          <w:color w:val="auto"/>
          <w:kern w:val="0"/>
          <w:sz w:val="21"/>
          <w:szCs w:val="21"/>
          <w:highlight w:val="none"/>
        </w:rPr>
        <w:t>本招标项目合同计价方式为：</w:t>
      </w:r>
      <w:r>
        <w:rPr>
          <w:rFonts w:hint="eastAsia" w:ascii="宋体" w:hAnsi="宋体" w:eastAsia="宋体" w:cs="宋体"/>
          <w:snapToGrid w:val="0"/>
          <w:color w:val="auto"/>
          <w:kern w:val="0"/>
          <w:sz w:val="21"/>
          <w:szCs w:val="21"/>
          <w:highlight w:val="none"/>
          <w:u w:val="single"/>
        </w:rPr>
        <w:t xml:space="preserve"> 单价 </w:t>
      </w:r>
      <w:r>
        <w:rPr>
          <w:rFonts w:hint="eastAsia" w:ascii="宋体" w:hAnsi="宋体" w:eastAsia="宋体" w:cs="宋体"/>
          <w:snapToGrid w:val="0"/>
          <w:color w:val="auto"/>
          <w:kern w:val="0"/>
          <w:sz w:val="21"/>
          <w:szCs w:val="21"/>
          <w:highlight w:val="none"/>
        </w:rPr>
        <w:t>合同。</w:t>
      </w:r>
    </w:p>
    <w:p w14:paraId="080ABCFD">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trike/>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4.4</w:t>
      </w:r>
      <w:r>
        <w:rPr>
          <w:rFonts w:hint="eastAsia" w:ascii="宋体" w:hAnsi="宋体" w:eastAsia="宋体" w:cs="宋体"/>
          <w:snapToGrid w:val="0"/>
          <w:color w:val="auto"/>
          <w:kern w:val="0"/>
          <w:sz w:val="21"/>
          <w:szCs w:val="21"/>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069E7DFD">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4.5</w:t>
      </w:r>
      <w:r>
        <w:rPr>
          <w:rFonts w:hint="eastAsia" w:ascii="宋体" w:hAnsi="宋体" w:eastAsia="宋体" w:cs="宋体"/>
          <w:snapToGrid w:val="0"/>
          <w:color w:val="auto"/>
          <w:kern w:val="0"/>
          <w:sz w:val="21"/>
          <w:szCs w:val="21"/>
          <w:highlight w:val="none"/>
        </w:rPr>
        <w:t xml:space="preserve">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0F13641E">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4.6</w:t>
      </w:r>
      <w:r>
        <w:rPr>
          <w:rFonts w:hint="eastAsia" w:ascii="宋体" w:hAnsi="宋体" w:eastAsia="宋体" w:cs="宋体"/>
          <w:snapToGrid w:val="0"/>
          <w:color w:val="auto"/>
          <w:kern w:val="0"/>
          <w:sz w:val="21"/>
          <w:szCs w:val="21"/>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3A443276">
      <w:pPr>
        <w:pStyle w:val="4"/>
        <w:keepNext w:val="0"/>
        <w:keepLines w:val="0"/>
        <w:pageBreakBefore w:val="0"/>
        <w:widowControl w:val="0"/>
        <w:kinsoku/>
        <w:wordWrap w:val="0"/>
        <w:overflowPunct/>
        <w:topLinePunct w:val="0"/>
        <w:autoSpaceDE/>
        <w:autoSpaceDN/>
        <w:bidi w:val="0"/>
        <w:adjustRightInd w:val="0"/>
        <w:snapToGrid w:val="0"/>
        <w:spacing w:line="440" w:lineRule="exact"/>
        <w:ind w:firstLine="480"/>
        <w:jc w:val="both"/>
        <w:textAlignment w:val="auto"/>
        <w:rPr>
          <w:rFonts w:hint="eastAsia" w:ascii="宋体" w:hAnsi="宋体" w:eastAsia="宋体" w:cs="宋体"/>
          <w:b/>
          <w:snapToGrid w:val="0"/>
          <w:color w:val="auto"/>
          <w:sz w:val="21"/>
          <w:szCs w:val="21"/>
          <w:highlight w:val="none"/>
        </w:rPr>
      </w:pPr>
      <w:bookmarkStart w:id="120" w:name="_Toc31675"/>
      <w:r>
        <w:rPr>
          <w:rFonts w:hint="eastAsia" w:ascii="宋体" w:hAnsi="宋体" w:eastAsia="宋体" w:cs="宋体"/>
          <w:b/>
          <w:snapToGrid w:val="0"/>
          <w:color w:val="auto"/>
          <w:sz w:val="21"/>
          <w:szCs w:val="21"/>
          <w:highlight w:val="none"/>
        </w:rPr>
        <w:t>5．放弃中标的处理</w:t>
      </w:r>
      <w:bookmarkEnd w:id="120"/>
    </w:p>
    <w:p w14:paraId="6D82EF4A">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5.1</w:t>
      </w:r>
      <w:r>
        <w:rPr>
          <w:rFonts w:hint="eastAsia" w:ascii="宋体" w:hAnsi="宋体" w:eastAsia="宋体" w:cs="宋体"/>
          <w:snapToGrid w:val="0"/>
          <w:color w:val="auto"/>
          <w:kern w:val="0"/>
          <w:sz w:val="21"/>
          <w:szCs w:val="21"/>
          <w:highlight w:val="none"/>
        </w:rPr>
        <w:t xml:space="preserve"> 中标人</w:t>
      </w:r>
      <w:r>
        <w:rPr>
          <w:rFonts w:hint="eastAsia" w:ascii="宋体" w:hAnsi="宋体" w:eastAsia="宋体" w:cs="宋体"/>
          <w:snapToGrid w:val="0"/>
          <w:color w:val="auto"/>
          <w:sz w:val="21"/>
          <w:szCs w:val="21"/>
          <w:highlight w:val="none"/>
        </w:rPr>
        <w:t>无正当理由放弃中标的，</w:t>
      </w:r>
      <w:r>
        <w:rPr>
          <w:rFonts w:hint="eastAsia" w:ascii="宋体" w:hAnsi="宋体" w:eastAsia="宋体" w:cs="宋体"/>
          <w:snapToGrid w:val="0"/>
          <w:color w:val="auto"/>
          <w:kern w:val="0"/>
          <w:sz w:val="21"/>
          <w:szCs w:val="21"/>
          <w:highlight w:val="none"/>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sz w:val="21"/>
          <w:szCs w:val="21"/>
          <w:highlight w:val="none"/>
        </w:rPr>
        <w:t>因此种情况造成招标人重新招标的</w:t>
      </w:r>
      <w:r>
        <w:rPr>
          <w:rFonts w:hint="eastAsia" w:ascii="宋体" w:hAnsi="宋体" w:eastAsia="宋体" w:cs="宋体"/>
          <w:snapToGrid w:val="0"/>
          <w:color w:val="auto"/>
          <w:kern w:val="0"/>
          <w:sz w:val="21"/>
          <w:szCs w:val="21"/>
          <w:highlight w:val="none"/>
        </w:rPr>
        <w:t>，招标人可不接受该弃标人再次投标。同时，招标人应将该弃标人的失信行为向行政监督部门报告。</w:t>
      </w:r>
    </w:p>
    <w:p w14:paraId="235D6D8A">
      <w:pPr>
        <w:keepNext w:val="0"/>
        <w:keepLines w:val="0"/>
        <w:pageBreakBefore w:val="0"/>
        <w:widowControl w:val="0"/>
        <w:kinsoku/>
        <w:wordWrap w:val="0"/>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5.2</w:t>
      </w:r>
      <w:r>
        <w:rPr>
          <w:rFonts w:hint="eastAsia" w:ascii="宋体" w:hAnsi="宋体" w:eastAsia="宋体" w:cs="宋体"/>
          <w:snapToGrid w:val="0"/>
          <w:color w:val="auto"/>
          <w:kern w:val="0"/>
          <w:sz w:val="21"/>
          <w:szCs w:val="21"/>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79BF201B">
      <w:pPr>
        <w:pStyle w:val="3"/>
        <w:tabs>
          <w:tab w:val="left" w:pos="0"/>
        </w:tabs>
        <w:wordWrap w:val="0"/>
        <w:autoSpaceDE/>
        <w:autoSpaceDN/>
        <w:snapToGrid w:val="0"/>
        <w:spacing w:line="440" w:lineRule="exact"/>
        <w:jc w:val="center"/>
        <w:rPr>
          <w:rFonts w:hint="eastAsia" w:ascii="宋体" w:hAnsi="宋体" w:eastAsia="宋体" w:cs="宋体"/>
          <w:color w:val="auto"/>
          <w:highlight w:val="none"/>
        </w:rPr>
      </w:pPr>
      <w:bookmarkStart w:id="121" w:name="_Hlt69698765"/>
      <w:bookmarkStart w:id="122" w:name="_Hlt69698713"/>
      <w:bookmarkStart w:id="123" w:name="_Hlt69698776"/>
      <w:r>
        <w:rPr>
          <w:rFonts w:hint="eastAsia" w:ascii="宋体" w:hAnsi="宋体" w:eastAsia="宋体" w:cs="宋体"/>
          <w:b/>
          <w:snapToGrid w:val="0"/>
          <w:color w:val="auto"/>
          <w:sz w:val="24"/>
          <w:highlight w:val="none"/>
        </w:rPr>
        <w:br w:type="page"/>
      </w:r>
      <w:bookmarkStart w:id="124" w:name="_Toc4022"/>
      <w:r>
        <w:rPr>
          <w:rFonts w:hint="eastAsia" w:ascii="宋体" w:hAnsi="宋体" w:eastAsia="宋体" w:cs="宋体"/>
          <w:b/>
          <w:snapToGrid w:val="0"/>
          <w:color w:val="auto"/>
          <w:sz w:val="24"/>
          <w:highlight w:val="none"/>
        </w:rPr>
        <w:t>第三章</w:t>
      </w:r>
      <w:bookmarkStart w:id="125" w:name="_Hlt87793831"/>
      <w:bookmarkEnd w:id="125"/>
      <w:r>
        <w:rPr>
          <w:rFonts w:hint="eastAsia" w:ascii="宋体" w:hAnsi="宋体" w:eastAsia="宋体" w:cs="宋体"/>
          <w:b/>
          <w:snapToGrid w:val="0"/>
          <w:color w:val="auto"/>
          <w:sz w:val="24"/>
          <w:highlight w:val="none"/>
        </w:rPr>
        <w:t xml:space="preserve"> 拟签订合同的主要条款</w:t>
      </w:r>
      <w:bookmarkEnd w:id="121"/>
      <w:bookmarkEnd w:id="122"/>
      <w:bookmarkEnd w:id="124"/>
      <w:bookmarkStart w:id="126" w:name="_Toc322793288"/>
      <w:bookmarkStart w:id="127" w:name="_Toc326916629"/>
    </w:p>
    <w:p w14:paraId="650057DE">
      <w:pPr>
        <w:pStyle w:val="4"/>
        <w:keepNext w:val="0"/>
        <w:keepLines w:val="0"/>
        <w:pageBreakBefore w:val="0"/>
        <w:kinsoku/>
        <w:wordWrap w:val="0"/>
        <w:overflowPunct/>
        <w:topLinePunct w:val="0"/>
        <w:autoSpaceDE/>
        <w:autoSpaceDN/>
        <w:bidi w:val="0"/>
        <w:snapToGrid w:val="0"/>
        <w:spacing w:line="440" w:lineRule="exact"/>
        <w:ind w:firstLine="422" w:firstLineChars="200"/>
        <w:jc w:val="both"/>
        <w:rPr>
          <w:rFonts w:hint="eastAsia" w:ascii="宋体" w:hAnsi="宋体" w:eastAsia="宋体" w:cs="宋体"/>
          <w:b/>
          <w:snapToGrid w:val="0"/>
          <w:color w:val="auto"/>
          <w:sz w:val="21"/>
          <w:szCs w:val="21"/>
          <w:highlight w:val="none"/>
        </w:rPr>
      </w:pPr>
      <w:bookmarkStart w:id="128" w:name="_Toc31151"/>
      <w:r>
        <w:rPr>
          <w:rFonts w:hint="eastAsia" w:ascii="宋体" w:hAnsi="宋体" w:eastAsia="宋体" w:cs="宋体"/>
          <w:b/>
          <w:snapToGrid w:val="0"/>
          <w:color w:val="auto"/>
          <w:sz w:val="21"/>
          <w:szCs w:val="21"/>
          <w:highlight w:val="none"/>
        </w:rPr>
        <w:t>1．工程承包方式</w:t>
      </w:r>
      <w:bookmarkEnd w:id="126"/>
      <w:bookmarkEnd w:id="127"/>
      <w:bookmarkEnd w:id="128"/>
    </w:p>
    <w:p w14:paraId="2BA7B662">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w:t>
      </w:r>
      <w:r>
        <w:rPr>
          <w:rFonts w:hint="eastAsia" w:ascii="宋体" w:hAnsi="宋体" w:eastAsia="宋体" w:cs="宋体"/>
          <w:snapToGrid w:val="0"/>
          <w:color w:val="auto"/>
          <w:kern w:val="0"/>
          <w:sz w:val="21"/>
          <w:szCs w:val="21"/>
          <w:highlight w:val="none"/>
        </w:rPr>
        <w:t xml:space="preserve"> 承包人以中标价按包工</w:t>
      </w:r>
      <w:bookmarkStart w:id="129" w:name="_Hlt87948212"/>
      <w:bookmarkEnd w:id="129"/>
      <w:r>
        <w:rPr>
          <w:rFonts w:hint="eastAsia" w:ascii="宋体" w:hAnsi="宋体" w:eastAsia="宋体" w:cs="宋体"/>
          <w:snapToGrid w:val="0"/>
          <w:color w:val="auto"/>
          <w:kern w:val="0"/>
          <w:sz w:val="21"/>
          <w:szCs w:val="21"/>
          <w:highlight w:val="none"/>
        </w:rPr>
        <w:t>包料、包质量、包安全包文明施工、包工期方式总承包施工，不允许转包和违法分包，如果确需分包须与发包人协商，在得到发包人和监理单位同意后报建设行政主管部门备案。</w:t>
      </w:r>
    </w:p>
    <w:p w14:paraId="5D9BFB5C">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1.1.1</w:t>
      </w:r>
      <w:r>
        <w:rPr>
          <w:rFonts w:hint="eastAsia" w:ascii="宋体" w:hAnsi="宋体" w:eastAsia="宋体" w:cs="宋体"/>
          <w:snapToGrid w:val="0"/>
          <w:color w:val="auto"/>
          <w:kern w:val="0"/>
          <w:sz w:val="21"/>
          <w:szCs w:val="21"/>
          <w:highlight w:val="none"/>
        </w:rPr>
        <w:t xml:space="preserve"> 包工包料：材料符合招标文件要求并报验使用；办理用工保险。</w:t>
      </w:r>
    </w:p>
    <w:p w14:paraId="2967DEDB">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1.1.2</w:t>
      </w:r>
      <w:r>
        <w:rPr>
          <w:rFonts w:hint="eastAsia" w:ascii="宋体" w:hAnsi="宋体" w:eastAsia="宋体" w:cs="宋体"/>
          <w:snapToGrid w:val="0"/>
          <w:color w:val="auto"/>
          <w:kern w:val="0"/>
          <w:sz w:val="21"/>
          <w:szCs w:val="21"/>
          <w:highlight w:val="none"/>
        </w:rPr>
        <w:t xml:space="preserve"> 包质量：符合招标文件要求。</w:t>
      </w:r>
    </w:p>
    <w:p w14:paraId="745E944D">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1.1.3</w:t>
      </w:r>
      <w:r>
        <w:rPr>
          <w:rFonts w:hint="eastAsia" w:ascii="宋体" w:hAnsi="宋体" w:eastAsia="宋体" w:cs="宋体"/>
          <w:snapToGrid w:val="0"/>
          <w:color w:val="auto"/>
          <w:kern w:val="0"/>
          <w:sz w:val="21"/>
          <w:szCs w:val="21"/>
          <w:highlight w:val="none"/>
        </w:rPr>
        <w:t xml:space="preserve"> 包安全包文明施工：符合招标文件要求。</w:t>
      </w:r>
    </w:p>
    <w:p w14:paraId="4006EECE">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1.1.4 </w:t>
      </w:r>
      <w:r>
        <w:rPr>
          <w:rFonts w:hint="eastAsia" w:ascii="宋体" w:hAnsi="宋体" w:eastAsia="宋体" w:cs="宋体"/>
          <w:snapToGrid w:val="0"/>
          <w:color w:val="auto"/>
          <w:kern w:val="0"/>
          <w:sz w:val="21"/>
          <w:szCs w:val="21"/>
          <w:highlight w:val="none"/>
        </w:rPr>
        <w:t>包工期：本招标项目施工必须在招标工期内完成。</w:t>
      </w:r>
    </w:p>
    <w:p w14:paraId="0E3AE801">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napToGrid w:val="0"/>
          <w:color w:val="auto"/>
          <w:sz w:val="21"/>
          <w:szCs w:val="21"/>
          <w:highlight w:val="none"/>
        </w:rPr>
      </w:pPr>
      <w:bookmarkStart w:id="130" w:name="_2、工程结算原则"/>
      <w:bookmarkEnd w:id="130"/>
      <w:bookmarkStart w:id="131" w:name="_Toc27189"/>
      <w:bookmarkStart w:id="132" w:name="_Toc326916630"/>
      <w:bookmarkStart w:id="133" w:name="_Toc322793289"/>
      <w:bookmarkStart w:id="134" w:name="_Hlt87948447"/>
      <w:bookmarkStart w:id="135" w:name="_Hlt87948449"/>
      <w:r>
        <w:rPr>
          <w:rFonts w:hint="eastAsia" w:ascii="宋体" w:hAnsi="宋体" w:eastAsia="宋体" w:cs="宋体"/>
          <w:b/>
          <w:snapToGrid w:val="0"/>
          <w:color w:val="auto"/>
          <w:sz w:val="21"/>
          <w:szCs w:val="21"/>
          <w:highlight w:val="none"/>
        </w:rPr>
        <w:t>2．工程结算原则</w:t>
      </w:r>
      <w:bookmarkEnd w:id="131"/>
      <w:bookmarkEnd w:id="132"/>
      <w:bookmarkEnd w:id="133"/>
    </w:p>
    <w:bookmarkEnd w:id="134"/>
    <w:bookmarkEnd w:id="135"/>
    <w:p w14:paraId="07E08CF3">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bookmarkStart w:id="136" w:name="_Hlt88974053"/>
      <w:bookmarkEnd w:id="136"/>
      <w:bookmarkStart w:id="137" w:name="_Toc322793290"/>
      <w:bookmarkStart w:id="138" w:name="_Hlt87951777"/>
      <w:bookmarkStart w:id="139" w:name="_Toc326916631"/>
      <w:r>
        <w:rPr>
          <w:rFonts w:hint="eastAsia" w:ascii="宋体" w:hAnsi="宋体" w:eastAsia="宋体" w:cs="宋体"/>
          <w:b/>
          <w:bCs/>
          <w:snapToGrid w:val="0"/>
          <w:color w:val="auto"/>
          <w:kern w:val="0"/>
          <w:sz w:val="21"/>
          <w:szCs w:val="21"/>
          <w:highlight w:val="none"/>
        </w:rPr>
        <w:t>2.1</w:t>
      </w:r>
      <w:r>
        <w:rPr>
          <w:rFonts w:hint="eastAsia" w:ascii="宋体" w:hAnsi="宋体" w:eastAsia="宋体" w:cs="宋体"/>
          <w:snapToGrid w:val="0"/>
          <w:color w:val="auto"/>
          <w:kern w:val="0"/>
          <w:sz w:val="21"/>
          <w:szCs w:val="21"/>
          <w:highlight w:val="none"/>
        </w:rPr>
        <w:t xml:space="preserve"> 承包人的投标总价为中标价，即为签约合同价。</w:t>
      </w:r>
    </w:p>
    <w:p w14:paraId="58C4D637">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snapToGrid w:val="0"/>
          <w:color w:val="auto"/>
          <w:kern w:val="0"/>
          <w:sz w:val="21"/>
          <w:szCs w:val="21"/>
          <w:highlight w:val="none"/>
        </w:rPr>
        <w:t xml:space="preserve"> 招标工程量清单标明的工程量是投标人投标报价的共同基础，竣工结算的工程量按《建设工程工程量清单计价规范》（GB50500—2013）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6873562E">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w:t>
      </w:r>
      <w:r>
        <w:rPr>
          <w:rFonts w:hint="eastAsia" w:ascii="宋体" w:hAnsi="宋体" w:eastAsia="宋体" w:cs="宋体"/>
          <w:snapToGrid w:val="0"/>
          <w:color w:val="auto"/>
          <w:kern w:val="0"/>
          <w:sz w:val="21"/>
          <w:szCs w:val="21"/>
          <w:highlight w:val="none"/>
        </w:rPr>
        <w:t xml:space="preserve"> 施工合同履行期间，若出现下列情形的，发、承包双方应当按照以下规定调整合同价款：</w:t>
      </w:r>
    </w:p>
    <w:p w14:paraId="6B59A86B">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w:t>
      </w:r>
      <w:r>
        <w:rPr>
          <w:rFonts w:hint="eastAsia" w:ascii="宋体" w:hAnsi="宋体" w:eastAsia="宋体" w:cs="宋体"/>
          <w:snapToGrid w:val="0"/>
          <w:color w:val="auto"/>
          <w:kern w:val="0"/>
          <w:sz w:val="21"/>
          <w:szCs w:val="21"/>
          <w:highlight w:val="none"/>
        </w:rPr>
        <w:t xml:space="preserve"> 法律法规变化</w:t>
      </w:r>
    </w:p>
    <w:p w14:paraId="240BD333">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5A4D3C6B">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注：本招标文件所称“基准日”，均指投标文件递交截止时间（见第一章第二节“重要事项时间地点一览表”）前28天。</w:t>
      </w:r>
    </w:p>
    <w:p w14:paraId="21C6277D">
      <w:pPr>
        <w:keepNext w:val="0"/>
        <w:keepLines w:val="0"/>
        <w:pageBreakBefore w:val="0"/>
        <w:kinsoku/>
        <w:wordWrap w:val="0"/>
        <w:overflowPunct/>
        <w:topLinePunct w:val="0"/>
        <w:bidi w:val="0"/>
        <w:adjustRightInd w:val="0"/>
        <w:snapToGrid w:val="0"/>
        <w:spacing w:line="440" w:lineRule="exact"/>
        <w:ind w:firstLine="482"/>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2.3.1.2</w:t>
      </w:r>
      <w:r>
        <w:rPr>
          <w:rFonts w:hint="eastAsia" w:ascii="宋体" w:hAnsi="宋体" w:eastAsia="宋体" w:cs="宋体"/>
          <w:snapToGrid w:val="0"/>
          <w:color w:val="auto"/>
          <w:kern w:val="0"/>
          <w:sz w:val="21"/>
          <w:szCs w:val="21"/>
          <w:highlight w:val="none"/>
        </w:rPr>
        <w:t xml:space="preserve"> 因承包人原因导致工程延误，本章第</w:t>
      </w:r>
      <w:r>
        <w:rPr>
          <w:rFonts w:hint="eastAsia" w:ascii="宋体" w:hAnsi="宋体" w:eastAsia="宋体" w:cs="宋体"/>
          <w:b/>
          <w:bCs/>
          <w:snapToGrid w:val="0"/>
          <w:color w:val="auto"/>
          <w:kern w:val="0"/>
          <w:sz w:val="21"/>
          <w:szCs w:val="21"/>
          <w:highlight w:val="none"/>
        </w:rPr>
        <w:t>2.3.1.1</w:t>
      </w:r>
      <w:r>
        <w:rPr>
          <w:rFonts w:hint="eastAsia" w:ascii="宋体" w:hAnsi="宋体" w:eastAsia="宋体" w:cs="宋体"/>
          <w:snapToGrid w:val="0"/>
          <w:color w:val="auto"/>
          <w:kern w:val="0"/>
          <w:sz w:val="21"/>
          <w:szCs w:val="21"/>
          <w:highlight w:val="none"/>
        </w:rPr>
        <w:t>子目中的法定机构根据国家法律法规变化发布新规的时间在合同工程原定竣工时间之后的，合同价款调增的不予调整，合同价款调减的予以调整。</w:t>
      </w:r>
    </w:p>
    <w:p w14:paraId="39AC6C0C">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w:t>
      </w:r>
      <w:r>
        <w:rPr>
          <w:rFonts w:hint="eastAsia" w:ascii="宋体" w:hAnsi="宋体" w:eastAsia="宋体" w:cs="宋体"/>
          <w:snapToGrid w:val="0"/>
          <w:color w:val="auto"/>
          <w:kern w:val="0"/>
          <w:sz w:val="21"/>
          <w:szCs w:val="21"/>
          <w:highlight w:val="none"/>
        </w:rPr>
        <w:t xml:space="preserve"> 工程量偏差或变化</w:t>
      </w:r>
    </w:p>
    <w:p w14:paraId="594E92A7">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0FCC4D90">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snapToGrid w:val="0"/>
          <w:color w:val="auto"/>
          <w:kern w:val="0"/>
          <w:sz w:val="21"/>
          <w:szCs w:val="21"/>
          <w:highlight w:val="none"/>
          <w:lang w:eastAsia="zh-CN"/>
        </w:rPr>
        <w:t>。</w:t>
      </w:r>
    </w:p>
    <w:p w14:paraId="4E70DA5F">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对于按照第二章“中标人须知”第4.2条被认定为不平衡报价的清单项目，其综合单价按照以下方法调整：</w:t>
      </w:r>
    </w:p>
    <w:p w14:paraId="5DBB2C5C">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
          <w:bCs/>
          <w:snapToGrid w:val="0"/>
          <w:color w:val="auto"/>
          <w:kern w:val="0"/>
          <w:sz w:val="21"/>
          <w:szCs w:val="21"/>
          <w:highlight w:val="none"/>
          <w:u w:val="single"/>
        </w:rPr>
      </w:pPr>
      <w:r>
        <w:rPr>
          <w:rFonts w:hint="eastAsia" w:ascii="宋体" w:hAnsi="宋体" w:eastAsia="宋体" w:cs="宋体"/>
          <w:b/>
          <w:bCs/>
          <w:snapToGrid w:val="0"/>
          <w:color w:val="auto"/>
          <w:kern w:val="0"/>
          <w:sz w:val="21"/>
          <w:szCs w:val="21"/>
          <w:highlight w:val="none"/>
          <w:u w:val="single"/>
        </w:rPr>
        <w:t>以招标控制价中的《分部分项工程和单价措施项目清单与计价表》子目相对应综合单价×（1-中标下浮率）。</w:t>
      </w:r>
    </w:p>
    <w:p w14:paraId="47E86E72">
      <w:pPr>
        <w:keepNext w:val="0"/>
        <w:keepLines w:val="0"/>
        <w:pageBreakBefore w:val="0"/>
        <w:widowControl w:val="0"/>
        <w:kinsoku/>
        <w:overflowPunct/>
        <w:topLinePunct w:val="0"/>
        <w:autoSpaceDE/>
        <w:autoSpaceDN/>
        <w:bidi w:val="0"/>
        <w:spacing w:line="440" w:lineRule="exact"/>
        <w:ind w:left="13" w:right="179" w:firstLine="477"/>
        <w:textAlignment w:val="auto"/>
        <w:rPr>
          <w:rFonts w:hint="eastAsia" w:ascii="宋体" w:hAnsi="宋体" w:eastAsia="宋体" w:cs="宋体"/>
          <w:b/>
          <w:bCs/>
          <w:color w:val="auto"/>
          <w:spacing w:val="-4"/>
          <w:sz w:val="21"/>
          <w:szCs w:val="21"/>
          <w:highlight w:val="none"/>
          <w:u w:val="single"/>
        </w:rPr>
      </w:pPr>
      <w:r>
        <w:rPr>
          <w:rFonts w:hint="eastAsia" w:ascii="宋体" w:hAnsi="宋体" w:eastAsia="宋体" w:cs="宋体"/>
          <w:b/>
          <w:bCs/>
          <w:color w:val="auto"/>
          <w:spacing w:val="-4"/>
          <w:sz w:val="21"/>
          <w:szCs w:val="21"/>
          <w:highlight w:val="none"/>
          <w:u w:val="single"/>
        </w:rPr>
        <w:t>中标下浮率=[1-（中标价-中标绿色施工安全防护措施费-暂列金额-暂估价）/  （招标控制价-控制价绿色施工安全防护措施费-暂列金额-暂估价）] ×100%</w:t>
      </w:r>
    </w:p>
    <w:p w14:paraId="4AE14E05">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7F907281">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2.3.2.2</w:t>
      </w:r>
      <w:r>
        <w:rPr>
          <w:rFonts w:hint="eastAsia" w:ascii="宋体" w:hAnsi="宋体" w:eastAsia="宋体" w:cs="宋体"/>
          <w:snapToGrid w:val="0"/>
          <w:color w:val="auto"/>
          <w:kern w:val="0"/>
          <w:sz w:val="21"/>
          <w:szCs w:val="21"/>
          <w:highlight w:val="none"/>
        </w:rPr>
        <w:t xml:space="preserve"> 如果工程量出现本章第</w:t>
      </w:r>
      <w:r>
        <w:rPr>
          <w:rFonts w:hint="eastAsia" w:ascii="宋体" w:hAnsi="宋体" w:eastAsia="宋体" w:cs="宋体"/>
          <w:b/>
          <w:bCs/>
          <w:snapToGrid w:val="0"/>
          <w:color w:val="auto"/>
          <w:kern w:val="0"/>
          <w:sz w:val="21"/>
          <w:szCs w:val="21"/>
          <w:highlight w:val="none"/>
        </w:rPr>
        <w:t>2.3.2.1</w:t>
      </w:r>
      <w:r>
        <w:rPr>
          <w:rFonts w:hint="eastAsia" w:ascii="宋体" w:hAnsi="宋体" w:eastAsia="宋体" w:cs="宋体"/>
          <w:snapToGrid w:val="0"/>
          <w:color w:val="auto"/>
          <w:kern w:val="0"/>
          <w:sz w:val="21"/>
          <w:szCs w:val="21"/>
          <w:highlight w:val="none"/>
        </w:rPr>
        <w:t>子目的变化，且该变化引起相关措施项目相应发生变化时，按系数或单一总价方式计价的，工程量增加的措施项目费调增，工程量减少的措施项目费调减。</w:t>
      </w:r>
    </w:p>
    <w:p w14:paraId="5B8BB37E">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 xml:space="preserve"> 工程变更</w:t>
      </w:r>
    </w:p>
    <w:p w14:paraId="530E1130">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 xml:space="preserve"> 合同履行期间，因工程变更引起已标价工程量清单项目发生变化时，按照以下规定调整：</w:t>
      </w:r>
    </w:p>
    <w:p w14:paraId="72D48C52">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（1）已标价工程量清单中有适用于变更工程项目的，采用该项目的单价。</w:t>
      </w:r>
      <w:r>
        <w:rPr>
          <w:rFonts w:hint="eastAsia" w:ascii="宋体" w:hAnsi="宋体" w:eastAsia="宋体" w:cs="宋体"/>
          <w:b/>
          <w:bCs/>
          <w:snapToGrid w:val="0"/>
          <w:color w:val="auto"/>
          <w:kern w:val="0"/>
          <w:sz w:val="21"/>
          <w:szCs w:val="21"/>
          <w:highlight w:val="none"/>
        </w:rPr>
        <w:t>但如果被采用的项目属于按照第二章“中标人须知”第4.2条被认定为不平衡报价的清单项目，</w:t>
      </w:r>
      <w:r>
        <w:rPr>
          <w:rFonts w:hint="eastAsia" w:ascii="宋体" w:hAnsi="宋体" w:eastAsia="宋体" w:cs="宋体"/>
          <w:b/>
          <w:bCs/>
          <w:color w:val="auto"/>
          <w:kern w:val="0"/>
          <w:sz w:val="21"/>
          <w:szCs w:val="21"/>
          <w:highlight w:val="none"/>
          <w:lang w:val="en-US" w:eastAsia="zh-CN" w:bidi="ar"/>
        </w:rPr>
        <w:t>变更工程项目的单价按照本章 2.3.2.1 的方法调整。</w:t>
      </w:r>
    </w:p>
    <w:p w14:paraId="342084D5">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（2）已标价工程量清单中没有适用但有类似于变更工程项目的，可在合理范围内参照类似项目的单价。</w:t>
      </w:r>
      <w:r>
        <w:rPr>
          <w:rFonts w:hint="eastAsia" w:ascii="宋体" w:hAnsi="宋体" w:eastAsia="宋体" w:cs="宋体"/>
          <w:b/>
          <w:bCs/>
          <w:snapToGrid w:val="0"/>
          <w:color w:val="auto"/>
          <w:kern w:val="0"/>
          <w:sz w:val="21"/>
          <w:szCs w:val="21"/>
          <w:highlight w:val="none"/>
        </w:rPr>
        <w:t>但如果被参考的类似项目属于按照第二章“中标人须知”第4.2条被认定为不平衡报价的清单项目，</w:t>
      </w:r>
      <w:r>
        <w:rPr>
          <w:rFonts w:hint="eastAsia" w:ascii="宋体" w:hAnsi="宋体" w:eastAsia="宋体" w:cs="宋体"/>
          <w:b/>
          <w:bCs/>
          <w:color w:val="auto"/>
          <w:kern w:val="0"/>
          <w:sz w:val="21"/>
          <w:szCs w:val="21"/>
          <w:highlight w:val="none"/>
          <w:lang w:val="en-US" w:eastAsia="zh-CN" w:bidi="ar"/>
        </w:rPr>
        <w:t>变更工程项目的单价按照本章 2.3.2.1 的方法调整。</w:t>
      </w:r>
    </w:p>
    <w:p w14:paraId="5EB3F1A8">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4EECE448">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中标下浮率=[1-（中标价-中标绿色施工安全防护措施费-暂列金额-暂估价）/（招标 控制价-控制价绿色施工安全防护措施费-暂列金额-暂估价）]×100%</w:t>
      </w:r>
    </w:p>
    <w:p w14:paraId="193BF125">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34D292FA">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4361CE0D">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（1）绿色施工安全防护措施费应按照实际发生变化的措施项目计算。</w:t>
      </w:r>
    </w:p>
    <w:p w14:paraId="6797AF78">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（2）采用单价计算的措施项目费，应按照实际发生变化的措施项目，按本章第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w:t>
      </w:r>
    </w:p>
    <w:p w14:paraId="5E89570D">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（3）按总价或系数计算的措施项目费，应按照实际发生变化的措施项目费调整并考虑中标下浮率因素，即调整金额＝按照实际变化调整后的金额×（1-中标下浮率）。</w:t>
      </w:r>
    </w:p>
    <w:p w14:paraId="5F650087">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如果承包人未事先将拟实施的方案提交发包人确认，视为工程变更不引起措施项目费的调整或承包人放弃调整措施项目费的权利。</w:t>
      </w:r>
    </w:p>
    <w:p w14:paraId="62398922">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2.3.3.3</w:t>
      </w:r>
      <w:r>
        <w:rPr>
          <w:rFonts w:hint="eastAsia" w:ascii="宋体" w:hAnsi="宋体" w:eastAsia="宋体" w:cs="宋体"/>
          <w:snapToGrid w:val="0"/>
          <w:color w:val="auto"/>
          <w:kern w:val="0"/>
          <w:sz w:val="21"/>
          <w:szCs w:val="21"/>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2131B6FB">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2.3.4</w:t>
      </w:r>
      <w:r>
        <w:rPr>
          <w:rFonts w:hint="eastAsia" w:ascii="宋体" w:hAnsi="宋体" w:eastAsia="宋体" w:cs="宋体"/>
          <w:snapToGrid w:val="0"/>
          <w:color w:val="auto"/>
          <w:kern w:val="0"/>
          <w:sz w:val="21"/>
          <w:szCs w:val="21"/>
          <w:highlight w:val="none"/>
        </w:rPr>
        <w:t xml:space="preserve"> 项目特征不符</w:t>
      </w:r>
    </w:p>
    <w:p w14:paraId="33246C16">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auto"/>
          <w:kern w:val="0"/>
          <w:sz w:val="21"/>
          <w:szCs w:val="21"/>
          <w:highlight w:val="none"/>
        </w:rPr>
        <w:t>2.3.3</w:t>
      </w:r>
      <w:r>
        <w:rPr>
          <w:rFonts w:hint="eastAsia" w:ascii="宋体" w:hAnsi="宋体" w:eastAsia="宋体" w:cs="宋体"/>
          <w:snapToGrid w:val="0"/>
          <w:color w:val="auto"/>
          <w:kern w:val="0"/>
          <w:sz w:val="21"/>
          <w:szCs w:val="21"/>
          <w:highlight w:val="none"/>
        </w:rPr>
        <w:t>目相关条款的规定重新确定相应工程量清单项目的综合单价，并调整合同价款。</w:t>
      </w:r>
    </w:p>
    <w:p w14:paraId="4E0F187B">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w:t>
      </w:r>
      <w:r>
        <w:rPr>
          <w:rFonts w:hint="eastAsia" w:ascii="宋体" w:hAnsi="宋体" w:eastAsia="宋体" w:cs="宋体"/>
          <w:snapToGrid w:val="0"/>
          <w:color w:val="auto"/>
          <w:kern w:val="0"/>
          <w:sz w:val="21"/>
          <w:szCs w:val="21"/>
          <w:highlight w:val="none"/>
        </w:rPr>
        <w:t xml:space="preserve"> 招标工程量清单缺项</w:t>
      </w:r>
    </w:p>
    <w:p w14:paraId="007C6E63">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2.3.5.1</w:t>
      </w:r>
      <w:r>
        <w:rPr>
          <w:rFonts w:hint="eastAsia" w:ascii="宋体" w:hAnsi="宋体" w:eastAsia="宋体" w:cs="宋体"/>
          <w:snapToGrid w:val="0"/>
          <w:color w:val="auto"/>
          <w:kern w:val="0"/>
          <w:sz w:val="21"/>
          <w:szCs w:val="21"/>
          <w:highlight w:val="none"/>
        </w:rPr>
        <w:t xml:space="preserve"> 合同履行期间，由于招标工程量清单中缺项，新增分部分项工程清单项目，应按照本章第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子目的规定确定单价，并调整合同价款。</w:t>
      </w:r>
    </w:p>
    <w:p w14:paraId="6D8093DA">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2.3.5.2</w:t>
      </w:r>
      <w:r>
        <w:rPr>
          <w:rFonts w:hint="eastAsia" w:ascii="宋体" w:hAnsi="宋体" w:eastAsia="宋体" w:cs="宋体"/>
          <w:snapToGrid w:val="0"/>
          <w:color w:val="auto"/>
          <w:kern w:val="0"/>
          <w:sz w:val="21"/>
          <w:szCs w:val="21"/>
          <w:highlight w:val="none"/>
        </w:rPr>
        <w:t xml:space="preserve"> 新增分部分项工程清单项目后，引起措施项目发生变化的，应按照本章第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子目的规定，在承包人提交的实施方案被发包人批准后调整合同价款。</w:t>
      </w:r>
    </w:p>
    <w:p w14:paraId="65E32E07">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2.3.5.3</w:t>
      </w:r>
      <w:r>
        <w:rPr>
          <w:rFonts w:hint="eastAsia" w:ascii="宋体" w:hAnsi="宋体" w:eastAsia="宋体" w:cs="宋体"/>
          <w:snapToGrid w:val="0"/>
          <w:color w:val="auto"/>
          <w:kern w:val="0"/>
          <w:sz w:val="21"/>
          <w:szCs w:val="21"/>
          <w:highlight w:val="none"/>
        </w:rPr>
        <w:t xml:space="preserve"> 由于招标工程量清单中措施项目缺项，承包人应将新增措施项目实施方案提交发包人批准后，按照本章第</w:t>
      </w:r>
      <w:r>
        <w:rPr>
          <w:rFonts w:hint="eastAsia" w:ascii="宋体" w:hAnsi="宋体" w:eastAsia="宋体" w:cs="宋体"/>
          <w:b/>
          <w:bCs/>
          <w:snapToGrid w:val="0"/>
          <w:color w:val="auto"/>
          <w:kern w:val="0"/>
          <w:sz w:val="21"/>
          <w:szCs w:val="21"/>
          <w:highlight w:val="none"/>
        </w:rPr>
        <w:t>2.3.3.1</w:t>
      </w:r>
      <w:r>
        <w:rPr>
          <w:rFonts w:hint="eastAsia" w:ascii="宋体" w:hAnsi="宋体" w:eastAsia="宋体" w:cs="宋体"/>
          <w:snapToGrid w:val="0"/>
          <w:color w:val="auto"/>
          <w:kern w:val="0"/>
          <w:sz w:val="21"/>
          <w:szCs w:val="21"/>
          <w:highlight w:val="none"/>
        </w:rPr>
        <w:t>子目、第</w:t>
      </w:r>
      <w:r>
        <w:rPr>
          <w:rFonts w:hint="eastAsia" w:ascii="宋体" w:hAnsi="宋体" w:eastAsia="宋体" w:cs="宋体"/>
          <w:b/>
          <w:bCs/>
          <w:snapToGrid w:val="0"/>
          <w:color w:val="auto"/>
          <w:kern w:val="0"/>
          <w:sz w:val="21"/>
          <w:szCs w:val="21"/>
          <w:highlight w:val="none"/>
        </w:rPr>
        <w:t>2.3.3.2</w:t>
      </w:r>
      <w:r>
        <w:rPr>
          <w:rFonts w:hint="eastAsia" w:ascii="宋体" w:hAnsi="宋体" w:eastAsia="宋体" w:cs="宋体"/>
          <w:snapToGrid w:val="0"/>
          <w:color w:val="auto"/>
          <w:kern w:val="0"/>
          <w:sz w:val="21"/>
          <w:szCs w:val="21"/>
          <w:highlight w:val="none"/>
        </w:rPr>
        <w:t>子目的规定调整合同价款。</w:t>
      </w:r>
    </w:p>
    <w:p w14:paraId="3D3244A3">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w:t>
      </w:r>
      <w:r>
        <w:rPr>
          <w:rFonts w:hint="eastAsia" w:ascii="宋体" w:hAnsi="宋体" w:eastAsia="宋体" w:cs="宋体"/>
          <w:bCs/>
          <w:snapToGrid w:val="0"/>
          <w:color w:val="auto"/>
          <w:kern w:val="0"/>
          <w:sz w:val="21"/>
          <w:szCs w:val="21"/>
          <w:highlight w:val="none"/>
        </w:rPr>
        <w:t xml:space="preserve"> 物价变化</w:t>
      </w:r>
    </w:p>
    <w:p w14:paraId="6A334F40">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2.3.6.1</w:t>
      </w:r>
      <w:r>
        <w:rPr>
          <w:rFonts w:hint="eastAsia" w:ascii="宋体" w:hAnsi="宋体" w:eastAsia="宋体" w:cs="宋体"/>
          <w:bCs/>
          <w:snapToGrid w:val="0"/>
          <w:color w:val="auto"/>
          <w:kern w:val="0"/>
          <w:sz w:val="21"/>
          <w:szCs w:val="21"/>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 w:val="21"/>
          <w:szCs w:val="21"/>
          <w:highlight w:val="none"/>
        </w:rPr>
        <w:t>以下简称“中标人工费”</w:t>
      </w:r>
      <w:r>
        <w:rPr>
          <w:rFonts w:hint="eastAsia" w:ascii="宋体" w:hAnsi="宋体" w:eastAsia="宋体" w:cs="宋体"/>
          <w:bCs/>
          <w:snapToGrid w:val="0"/>
          <w:color w:val="auto"/>
          <w:kern w:val="0"/>
          <w:sz w:val="21"/>
          <w:szCs w:val="21"/>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3F3C6BB5">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结算人工费＝中标人工费×F</w:t>
      </w:r>
      <w:r>
        <w:rPr>
          <w:rFonts w:hint="eastAsia" w:ascii="宋体" w:hAnsi="宋体" w:eastAsia="宋体" w:cs="宋体"/>
          <w:bCs/>
          <w:snapToGrid w:val="0"/>
          <w:color w:val="auto"/>
          <w:kern w:val="0"/>
          <w:sz w:val="21"/>
          <w:szCs w:val="21"/>
          <w:highlight w:val="none"/>
          <w:vertAlign w:val="subscript"/>
        </w:rPr>
        <w:t>1</w:t>
      </w:r>
    </w:p>
    <w:p w14:paraId="47F9333A">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式中，F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为施工当月项目所在地工程造价管理机构发布的动态人工调整系数。</w:t>
      </w:r>
    </w:p>
    <w:p w14:paraId="1D49ECCC">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2.3.6.2</w:t>
      </w:r>
      <w:r>
        <w:rPr>
          <w:rFonts w:hint="eastAsia" w:ascii="宋体" w:hAnsi="宋体" w:eastAsia="宋体" w:cs="宋体"/>
          <w:snapToGrid w:val="0"/>
          <w:color w:val="auto"/>
          <w:kern w:val="0"/>
          <w:sz w:val="21"/>
          <w:szCs w:val="21"/>
          <w:highlight w:val="none"/>
        </w:rPr>
        <w:t xml:space="preserve"> 本招标项目约定，材料、工程设备单价涨跌风险幅度值A为</w:t>
      </w:r>
      <w:r>
        <w:rPr>
          <w:rFonts w:hint="eastAsia" w:ascii="宋体" w:hAnsi="宋体" w:eastAsia="宋体" w:cs="宋体"/>
          <w:snapToGrid w:val="0"/>
          <w:color w:val="auto"/>
          <w:kern w:val="0"/>
          <w:sz w:val="21"/>
          <w:szCs w:val="21"/>
          <w:highlight w:val="none"/>
          <w:u w:val="single"/>
        </w:rPr>
        <w:t xml:space="preserve"> 5% </w:t>
      </w:r>
      <w:r>
        <w:rPr>
          <w:rFonts w:hint="eastAsia" w:ascii="宋体" w:hAnsi="宋体" w:eastAsia="宋体" w:cs="宋体"/>
          <w:snapToGrid w:val="0"/>
          <w:color w:val="auto"/>
          <w:kern w:val="0"/>
          <w:sz w:val="21"/>
          <w:szCs w:val="21"/>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4612AA41">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38162F54">
      <w:pPr>
        <w:keepNext w:val="0"/>
        <w:keepLines w:val="0"/>
        <w:pageBreakBefore w:val="0"/>
        <w:kinsoku/>
        <w:wordWrap w:val="0"/>
        <w:overflowPunct/>
        <w:topLinePunct w:val="0"/>
        <w:bidi w:val="0"/>
        <w:adjustRightInd w:val="0"/>
        <w:snapToGrid w:val="0"/>
        <w:spacing w:before="360" w:beforeLines="150" w:after="240" w:afterLines="100"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5" o:spt="75" type="#_x0000_t75" style="height:33.95pt;width:200.95pt;" o:ole="t" filled="f" stroked="f" coordsize="21600,21600">
            <v:path/>
            <v:fill on="f" focussize="0,0"/>
            <v:stroke on="f"/>
            <v:imagedata r:id="rId16" o:title=""/>
            <o:lock v:ext="edit" grouping="f" rotation="f" text="f" aspectratio="t"/>
            <w10:wrap type="none"/>
            <w10:anchorlock/>
          </v:shape>
          <o:OLEObject Type="Embed" ProgID="Equation.KSEE3" ShapeID="_x0000_i1025" DrawAspect="Content" ObjectID="_1468075725" r:id="rId15">
            <o:LockedField>false</o:LockedField>
          </o:OLEObject>
        </w:object>
      </w:r>
    </w:p>
    <w:p w14:paraId="6589F16D">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26" o:spt="75" type="#_x0000_t75" style="height:33.95pt;width:198.95pt;" o:ole="t" filled="f" stroked="f" coordsize="21600,21600">
            <v:path/>
            <v:fill on="f" focussize="0,0"/>
            <v:stroke on="f"/>
            <v:imagedata r:id="rId18" o:title=""/>
            <o:lock v:ext="edit" grouping="f" rotation="f" text="f" aspectratio="t"/>
            <w10:wrap type="none"/>
            <w10:anchorlock/>
          </v:shape>
          <o:OLEObject Type="Embed" ProgID="Equation.KSEE3" ShapeID="_x0000_i1026" DrawAspect="Content" ObjectID="_1468075726" r:id="rId17">
            <o:LockedField>false</o:LockedField>
          </o:OLEObject>
        </w:object>
      </w:r>
    </w:p>
    <w:p w14:paraId="1A145770">
      <w:pPr>
        <w:keepNext w:val="0"/>
        <w:keepLines w:val="0"/>
        <w:pageBreakBefore w:val="0"/>
        <w:kinsoku/>
        <w:wordWrap w:val="0"/>
        <w:overflowPunct/>
        <w:topLinePunct w:val="0"/>
        <w:bidi w:val="0"/>
        <w:adjustRightInd w:val="0"/>
        <w:snapToGrid w:val="0"/>
        <w:spacing w:before="360" w:beforeLines="150" w:after="240" w:afterLines="100"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7" o:spt="75" type="#_x0000_t75" style="height:33.95pt;width:198.95pt;" o:ole="t" filled="f" stroked="f" coordsize="21600,21600">
            <v:path/>
            <v:fill on="f" focussize="0,0"/>
            <v:stroke on="f"/>
            <v:imagedata r:id="rId20" o:title=""/>
            <o:lock v:ext="edit" grouping="f" rotation="f" text="f" aspectratio="t"/>
            <w10:wrap type="none"/>
            <w10:anchorlock/>
          </v:shape>
          <o:OLEObject Type="Embed" ProgID="Equation.KSEE3" ShapeID="_x0000_i1027" DrawAspect="Content" ObjectID="_1468075727" r:id="rId19">
            <o:LockedField>false</o:LockedField>
          </o:OLEObject>
        </w:object>
      </w:r>
    </w:p>
    <w:p w14:paraId="6BB5D358">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28" o:spt="75" type="#_x0000_t75" style="height:33.95pt;width:200.95pt;" o:ole="t" filled="f" stroked="f" coordsize="21600,21600">
            <v:path/>
            <v:fill on="f" focussize="0,0"/>
            <v:stroke on="f"/>
            <v:imagedata r:id="rId22" o:title=""/>
            <o:lock v:ext="edit" grouping="f" rotation="f" text="f" aspectratio="t"/>
            <w10:wrap type="none"/>
            <w10:anchorlock/>
          </v:shape>
          <o:OLEObject Type="Embed" ProgID="Equation.KSEE3" ShapeID="_x0000_i1028" DrawAspect="Content" ObjectID="_1468075728" r:id="rId21">
            <o:LockedField>false</o:LockedField>
          </o:OLEObject>
        </w:object>
      </w:r>
    </w:p>
    <w:p w14:paraId="246A7D67">
      <w:pPr>
        <w:keepNext w:val="0"/>
        <w:keepLines w:val="0"/>
        <w:pageBreakBefore w:val="0"/>
        <w:kinsoku/>
        <w:wordWrap w:val="0"/>
        <w:overflowPunct/>
        <w:topLinePunct w:val="0"/>
        <w:bidi w:val="0"/>
        <w:adjustRightInd w:val="0"/>
        <w:snapToGrid w:val="0"/>
        <w:spacing w:before="360" w:beforeLines="150" w:after="240" w:afterLines="100"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29" o:spt="75" type="#_x0000_t75" style="height:33.95pt;width:200.95pt;" o:ole="t" filled="f" stroked="f" coordsize="21600,21600">
            <v:path/>
            <v:fill on="f" focussize="0,0"/>
            <v:stroke on="f"/>
            <v:imagedata r:id="rId24" o:title=""/>
            <o:lock v:ext="edit" grouping="f" rotation="f" text="f" aspectratio="t"/>
            <w10:wrap type="none"/>
            <w10:anchorlock/>
          </v:shape>
          <o:OLEObject Type="Embed" ProgID="Equation.KSEE3" ShapeID="_x0000_i1029" DrawAspect="Content" ObjectID="_1468075729" r:id="rId23">
            <o:LockedField>false</o:LockedField>
          </o:OLEObject>
        </w:object>
      </w:r>
    </w:p>
    <w:p w14:paraId="3F1E97CF">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0" o:spt="75" type="#_x0000_t75" style="height:33.95pt;width:200.95pt;" o:ole="t" filled="f" o:preferrelative="t" stroked="f" coordsize="21600,21600">
            <v:path/>
            <v:fill on="f" focussize="0,0"/>
            <v:stroke on="f"/>
            <v:imagedata r:id="rId26" o:title=""/>
            <o:lock v:ext="edit" grouping="f" rotation="f" text="f" aspectratio="t"/>
            <w10:wrap type="none"/>
            <w10:anchorlock/>
          </v:shape>
          <o:OLEObject Type="Embed" ProgID="Equation.KSEE3" ShapeID="_x0000_i1030" DrawAspect="Content" ObjectID="_1468075730" r:id="rId25">
            <o:LockedField>false</o:LockedField>
          </o:OLEObject>
        </w:object>
      </w:r>
    </w:p>
    <w:p w14:paraId="4D213F3F">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以上公式中，</w:t>
      </w:r>
      <w:r>
        <w:rPr>
          <w:rFonts w:hint="eastAsia" w:ascii="宋体" w:hAnsi="宋体" w:eastAsia="宋体" w:cs="宋体"/>
          <w:bCs/>
          <w:snapToGrid w:val="0"/>
          <w:color w:val="auto"/>
          <w:kern w:val="0"/>
          <w:sz w:val="21"/>
          <w:szCs w:val="21"/>
          <w:highlight w:val="none"/>
        </w:rPr>
        <w:t>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为中标单价；F</w:t>
      </w:r>
      <w:r>
        <w:rPr>
          <w:rFonts w:hint="eastAsia" w:ascii="宋体" w:hAnsi="宋体" w:eastAsia="宋体" w:cs="宋体"/>
          <w:bCs/>
          <w:snapToGrid w:val="0"/>
          <w:color w:val="auto"/>
          <w:kern w:val="0"/>
          <w:sz w:val="21"/>
          <w:szCs w:val="21"/>
          <w:highlight w:val="none"/>
          <w:vertAlign w:val="subscript"/>
        </w:rPr>
        <w:t>0</w:t>
      </w:r>
      <w:r>
        <w:rPr>
          <w:rFonts w:hint="eastAsia" w:ascii="宋体" w:hAnsi="宋体" w:eastAsia="宋体" w:cs="宋体"/>
          <w:bCs/>
          <w:snapToGrid w:val="0"/>
          <w:color w:val="auto"/>
          <w:kern w:val="0"/>
          <w:sz w:val="21"/>
          <w:szCs w:val="21"/>
          <w:highlight w:val="none"/>
        </w:rPr>
        <w:t>为基准单价</w:t>
      </w: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bCs/>
          <w:snapToGrid w:val="0"/>
          <w:color w:val="auto"/>
          <w:kern w:val="0"/>
          <w:sz w:val="21"/>
          <w:szCs w:val="21"/>
          <w:highlight w:val="none"/>
        </w:rPr>
        <w:t>F2为施工当月项目所在地工程造价管理机构发布的材料、工程设备单价；A 为合同约定的材料、工程设备单价涨跌风险幅度值。</w:t>
      </w:r>
    </w:p>
    <w:p w14:paraId="654B0D86">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2.3.6.3</w:t>
      </w:r>
      <w:r>
        <w:rPr>
          <w:rFonts w:hint="eastAsia" w:ascii="宋体" w:hAnsi="宋体" w:eastAsia="宋体" w:cs="宋体"/>
          <w:snapToGrid w:val="0"/>
          <w:color w:val="auto"/>
          <w:kern w:val="0"/>
          <w:sz w:val="21"/>
          <w:szCs w:val="21"/>
          <w:highlight w:val="none"/>
        </w:rPr>
        <w:t xml:space="preserve"> 合同履行期间，当《发包人提供材料和工程设备一览表》（详见招标工程量清单）中的材料、工程设备单价发生变化时，由发包人按照实际变化调整，并列入合同价款。</w:t>
      </w:r>
    </w:p>
    <w:p w14:paraId="2F118BC1">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2.3.6.4</w:t>
      </w:r>
      <w:r>
        <w:rPr>
          <w:rFonts w:hint="eastAsia" w:ascii="宋体" w:hAnsi="宋体" w:eastAsia="宋体" w:cs="宋体"/>
          <w:snapToGrid w:val="0"/>
          <w:color w:val="auto"/>
          <w:kern w:val="0"/>
          <w:sz w:val="21"/>
          <w:szCs w:val="21"/>
          <w:highlight w:val="none"/>
        </w:rPr>
        <w:t xml:space="preserve"> 本招标项目约定，施工机具台班单价涨跌风险幅度值B为</w:t>
      </w:r>
      <w:r>
        <w:rPr>
          <w:rFonts w:hint="eastAsia" w:ascii="宋体" w:hAnsi="宋体" w:eastAsia="宋体" w:cs="宋体"/>
          <w:snapToGrid w:val="0"/>
          <w:color w:val="auto"/>
          <w:kern w:val="0"/>
          <w:sz w:val="21"/>
          <w:szCs w:val="21"/>
          <w:highlight w:val="none"/>
          <w:u w:val="single"/>
        </w:rPr>
        <w:t xml:space="preserve"> 10% </w:t>
      </w:r>
      <w:r>
        <w:rPr>
          <w:rFonts w:hint="eastAsia" w:ascii="宋体" w:hAnsi="宋体" w:eastAsia="宋体" w:cs="宋体"/>
          <w:snapToGrid w:val="0"/>
          <w:color w:val="auto"/>
          <w:kern w:val="0"/>
          <w:sz w:val="21"/>
          <w:szCs w:val="21"/>
          <w:highlight w:val="none"/>
        </w:rPr>
        <w:t>。合同履行期间，当施工机具台班单价涨跌幅度等于或低于B值时，该施工机具台班单价不予调整；超过B值时，其超过部分可以调整。相关费用按有关规定进行相应调整。</w:t>
      </w:r>
    </w:p>
    <w:p w14:paraId="0D374959">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a</w:t>
      </w:r>
      <w:r>
        <w:rPr>
          <w:rFonts w:hint="eastAsia" w:ascii="宋体" w:hAnsi="宋体" w:eastAsia="宋体" w:cs="宋体"/>
          <w:snapToGrid w:val="0"/>
          <w:color w:val="auto"/>
          <w:kern w:val="0"/>
          <w:sz w:val="21"/>
          <w:szCs w:val="21"/>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161E1AAD">
      <w:pPr>
        <w:keepNext w:val="0"/>
        <w:keepLines w:val="0"/>
        <w:pageBreakBefore w:val="0"/>
        <w:kinsoku/>
        <w:wordWrap w:val="0"/>
        <w:overflowPunct/>
        <w:topLinePunct w:val="0"/>
        <w:bidi w:val="0"/>
        <w:adjustRightInd w:val="0"/>
        <w:snapToGri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1" o:spt="75" type="#_x0000_t75" style="height:33.95pt;width:200.95pt;" o:ole="t" filled="f" o:preferrelative="t" stroked="f" coordsize="21600,21600">
            <v:path/>
            <v:fill on="f" focussize="0,0"/>
            <v:stroke on="f"/>
            <v:imagedata r:id="rId28" o:title=""/>
            <o:lock v:ext="edit" grouping="f" rotation="f" text="f" aspectratio="t"/>
            <w10:wrap type="none"/>
            <w10:anchorlock/>
          </v:shape>
          <o:OLEObject Type="Embed" ProgID="Equation.KSEE3" ShapeID="_x0000_i1031" DrawAspect="Content" ObjectID="_1468075731" r:id="rId27">
            <o:LockedField>false</o:LockedField>
          </o:OLEObject>
        </w:object>
      </w:r>
    </w:p>
    <w:p w14:paraId="1E72CB27">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2" o:spt="75" type="#_x0000_t75" style="height:33.95pt;width:198pt;" o:ole="t" filled="f" o:preferrelative="t" stroked="f" coordsize="21600,21600">
            <v:path/>
            <v:fill on="f" focussize="0,0"/>
            <v:stroke on="f"/>
            <v:imagedata r:id="rId30" o:title=""/>
            <o:lock v:ext="edit" grouping="f" rotation="f" text="f" aspectratio="t"/>
            <w10:wrap type="none"/>
            <w10:anchorlock/>
          </v:shape>
          <o:OLEObject Type="Embed" ProgID="Equation.KSEE3" ShapeID="_x0000_i1032" DrawAspect="Content" ObjectID="_1468075732" r:id="rId29">
            <o:LockedField>false</o:LockedField>
          </o:OLEObject>
        </w:object>
      </w:r>
    </w:p>
    <w:p w14:paraId="5E329539">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b</w:t>
      </w:r>
      <w:r>
        <w:rPr>
          <w:rFonts w:hint="eastAsia" w:ascii="宋体" w:hAnsi="宋体" w:eastAsia="宋体" w:cs="宋体"/>
          <w:snapToGrid w:val="0"/>
          <w:color w:val="auto"/>
          <w:kern w:val="0"/>
          <w:sz w:val="21"/>
          <w:szCs w:val="21"/>
          <w:highlight w:val="none"/>
        </w:rPr>
        <w:t>．如果中标单价高于基准单价，该施工机具台班的结算单价调整公式为：</w:t>
      </w:r>
    </w:p>
    <w:p w14:paraId="3D13B13D">
      <w:pPr>
        <w:keepNext w:val="0"/>
        <w:keepLines w:val="0"/>
        <w:pageBreakBefore w:val="0"/>
        <w:kinsoku/>
        <w:wordWrap w:val="0"/>
        <w:overflowPunct/>
        <w:topLinePunct w:val="0"/>
        <w:bidi w:val="0"/>
        <w:adjustRightInd w:val="0"/>
        <w:snapToGri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3" o:spt="75" type="#_x0000_t75" style="height:33.95pt;width:198pt;" o:ole="t" filled="f" o:preferrelative="t" stroked="f" coordsize="21600,21600">
            <v:path/>
            <v:fill on="f" focussize="0,0"/>
            <v:stroke on="f"/>
            <v:imagedata r:id="rId32" o:title=""/>
            <o:lock v:ext="edit" grouping="f" rotation="f" text="f" aspectratio="t"/>
            <w10:wrap type="none"/>
            <w10:anchorlock/>
          </v:shape>
          <o:OLEObject Type="Embed" ProgID="Equation.KSEE3" ShapeID="_x0000_i1033" DrawAspect="Content" ObjectID="_1468075733" r:id="rId31">
            <o:LockedField>false</o:LockedField>
          </o:OLEObject>
        </w:object>
      </w:r>
    </w:p>
    <w:p w14:paraId="68EC9AC2">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4" o:spt="75" type="#_x0000_t75" style="height:33.95pt;width:200.95pt;" o:ole="t" filled="f" o:preferrelative="t" stroked="f" coordsize="21600,21600">
            <v:path/>
            <v:fill on="f" focussize="0,0"/>
            <v:stroke on="f"/>
            <v:imagedata r:id="rId34" o:title=""/>
            <o:lock v:ext="edit" grouping="f" rotation="f" text="f" aspectratio="t"/>
            <w10:wrap type="none"/>
            <w10:anchorlock/>
          </v:shape>
          <o:OLEObject Type="Embed" ProgID="Equation.KSEE3" ShapeID="_x0000_i1034" DrawAspect="Content" ObjectID="_1468075734" r:id="rId33">
            <o:LockedField>false</o:LockedField>
          </o:OLEObject>
        </w:object>
      </w:r>
    </w:p>
    <w:p w14:paraId="09D0843E">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c</w:t>
      </w:r>
      <w:r>
        <w:rPr>
          <w:rFonts w:hint="eastAsia" w:ascii="宋体" w:hAnsi="宋体" w:eastAsia="宋体" w:cs="宋体"/>
          <w:snapToGrid w:val="0"/>
          <w:color w:val="auto"/>
          <w:kern w:val="0"/>
          <w:sz w:val="21"/>
          <w:szCs w:val="21"/>
          <w:highlight w:val="none"/>
        </w:rPr>
        <w:t>．如果中标单价等于基准单价，该施工机具台班的结算单价调整公式为：</w:t>
      </w:r>
    </w:p>
    <w:p w14:paraId="10CE90D3">
      <w:pPr>
        <w:keepNext w:val="0"/>
        <w:keepLines w:val="0"/>
        <w:pageBreakBefore w:val="0"/>
        <w:kinsoku/>
        <w:wordWrap w:val="0"/>
        <w:overflowPunct/>
        <w:topLinePunct w:val="0"/>
        <w:bidi w:val="0"/>
        <w:adjustRightInd w:val="0"/>
        <w:snapToGri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涨价时，</w:t>
      </w:r>
      <w:r>
        <w:rPr>
          <w:rFonts w:hint="eastAsia" w:ascii="宋体" w:hAnsi="宋体" w:eastAsia="宋体" w:cs="宋体"/>
          <w:snapToGrid w:val="0"/>
          <w:color w:val="auto"/>
          <w:kern w:val="0"/>
          <w:position w:val="-30"/>
          <w:sz w:val="21"/>
          <w:szCs w:val="21"/>
          <w:highlight w:val="none"/>
        </w:rPr>
        <w:object>
          <v:shape id="_x0000_i1035" o:spt="75" type="#_x0000_t75" style="height:33.95pt;width:200.95pt;" o:ole="t" filled="f" o:preferrelative="t" stroked="f" coordsize="21600,21600">
            <v:path/>
            <v:fill on="f" focussize="0,0"/>
            <v:stroke on="f"/>
            <v:imagedata r:id="rId36" o:title=""/>
            <o:lock v:ext="edit" grouping="f" rotation="f" text="f" aspectratio="t"/>
            <w10:wrap type="none"/>
            <w10:anchorlock/>
          </v:shape>
          <o:OLEObject Type="Embed" ProgID="Equation.KSEE3" ShapeID="_x0000_i1035" DrawAspect="Content" ObjectID="_1468075735" r:id="rId35">
            <o:LockedField>false</o:LockedField>
          </o:OLEObject>
        </w:object>
      </w:r>
    </w:p>
    <w:p w14:paraId="700BB15B">
      <w:pPr>
        <w:keepNext w:val="0"/>
        <w:keepLines w:val="0"/>
        <w:pageBreakBefore w:val="0"/>
        <w:kinsoku/>
        <w:wordWrap w:val="0"/>
        <w:overflowPunct/>
        <w:topLinePunct w:val="0"/>
        <w:bidi w:val="0"/>
        <w:adjustRightInd w:val="0"/>
        <w:spacing w:before="360" w:beforeLines="150" w:after="240" w:afterLines="100" w:line="44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跌价时，</w:t>
      </w:r>
      <w:r>
        <w:rPr>
          <w:rFonts w:hint="eastAsia" w:ascii="宋体" w:hAnsi="宋体" w:eastAsia="宋体" w:cs="宋体"/>
          <w:snapToGrid w:val="0"/>
          <w:color w:val="auto"/>
          <w:kern w:val="0"/>
          <w:position w:val="-30"/>
          <w:sz w:val="21"/>
          <w:szCs w:val="21"/>
          <w:highlight w:val="none"/>
        </w:rPr>
        <w:object>
          <v:shape id="_x0000_i1036" o:spt="75" type="#_x0000_t75" style="height:33.95pt;width:200.95pt;" o:ole="t" filled="f" o:preferrelative="t" stroked="f" coordsize="21600,21600">
            <v:path/>
            <v:fill on="f" focussize="0,0"/>
            <v:stroke on="f"/>
            <v:imagedata r:id="rId38" o:title=""/>
            <o:lock v:ext="edit" grouping="f" rotation="f" text="f" aspectratio="t"/>
            <w10:wrap type="none"/>
            <w10:anchorlock/>
          </v:shape>
          <o:OLEObject Type="Embed" ProgID="Equation.KSEE3" ShapeID="_x0000_i1036" DrawAspect="Content" ObjectID="_1468075736" r:id="rId37">
            <o:LockedField>false</o:LockedField>
          </o:OLEObject>
        </w:object>
      </w:r>
    </w:p>
    <w:p w14:paraId="4113392E">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以上公式中，</w:t>
      </w:r>
      <w:r>
        <w:rPr>
          <w:rFonts w:hint="eastAsia" w:ascii="宋体" w:hAnsi="宋体" w:eastAsia="宋体" w:cs="宋体"/>
          <w:bCs/>
          <w:snapToGrid w:val="0"/>
          <w:color w:val="auto"/>
          <w:kern w:val="0"/>
          <w:sz w:val="21"/>
          <w:szCs w:val="21"/>
          <w:highlight w:val="none"/>
        </w:rPr>
        <w:t>F</w:t>
      </w:r>
      <w:r>
        <w:rPr>
          <w:rFonts w:hint="eastAsia" w:ascii="宋体" w:hAnsi="宋体" w:eastAsia="宋体" w:cs="宋体"/>
          <w:bCs/>
          <w:snapToGrid w:val="0"/>
          <w:color w:val="auto"/>
          <w:kern w:val="0"/>
          <w:sz w:val="21"/>
          <w:szCs w:val="21"/>
          <w:highlight w:val="none"/>
          <w:vertAlign w:val="subscript"/>
        </w:rPr>
        <w:t>1</w:t>
      </w:r>
      <w:r>
        <w:rPr>
          <w:rFonts w:hint="eastAsia" w:ascii="宋体" w:hAnsi="宋体" w:eastAsia="宋体" w:cs="宋体"/>
          <w:bCs/>
          <w:snapToGrid w:val="0"/>
          <w:color w:val="auto"/>
          <w:kern w:val="0"/>
          <w:sz w:val="21"/>
          <w:szCs w:val="21"/>
          <w:highlight w:val="none"/>
        </w:rPr>
        <w:t>为中标单价；F</w:t>
      </w:r>
      <w:r>
        <w:rPr>
          <w:rFonts w:hint="eastAsia" w:ascii="宋体" w:hAnsi="宋体" w:eastAsia="宋体" w:cs="宋体"/>
          <w:bCs/>
          <w:snapToGrid w:val="0"/>
          <w:color w:val="auto"/>
          <w:kern w:val="0"/>
          <w:sz w:val="21"/>
          <w:szCs w:val="21"/>
          <w:highlight w:val="none"/>
          <w:vertAlign w:val="subscript"/>
        </w:rPr>
        <w:t>0</w:t>
      </w:r>
      <w:r>
        <w:rPr>
          <w:rFonts w:hint="eastAsia" w:ascii="宋体" w:hAnsi="宋体" w:eastAsia="宋体" w:cs="宋体"/>
          <w:bCs/>
          <w:snapToGrid w:val="0"/>
          <w:color w:val="auto"/>
          <w:kern w:val="0"/>
          <w:sz w:val="21"/>
          <w:szCs w:val="21"/>
          <w:highlight w:val="none"/>
        </w:rPr>
        <w:t>为基准单价</w:t>
      </w:r>
      <w:r>
        <w:rPr>
          <w:rFonts w:hint="eastAsia" w:ascii="宋体" w:hAnsi="宋体" w:eastAsia="宋体" w:cs="宋体"/>
          <w:bCs/>
          <w:snapToGrid w:val="0"/>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bidi="ar"/>
        </w:rPr>
        <w:t>F2为施工当月项目所在地工程造价管理机构发布的施工机具台班单价；B 为合同约定的施工机具台班单价涨跌风险幅度值。</w:t>
      </w:r>
    </w:p>
    <w:p w14:paraId="7F9299AA">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w:t>
      </w:r>
      <w:r>
        <w:rPr>
          <w:rFonts w:hint="eastAsia" w:ascii="宋体" w:hAnsi="宋体" w:eastAsia="宋体" w:cs="宋体"/>
          <w:bCs/>
          <w:snapToGrid w:val="0"/>
          <w:color w:val="auto"/>
          <w:kern w:val="0"/>
          <w:sz w:val="21"/>
          <w:szCs w:val="21"/>
          <w:highlight w:val="none"/>
        </w:rPr>
        <w:t xml:space="preserve"> 暂估价和暂列金额</w:t>
      </w:r>
    </w:p>
    <w:p w14:paraId="3E7A709E">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2.3.7.1</w:t>
      </w:r>
      <w:r>
        <w:rPr>
          <w:rFonts w:hint="eastAsia" w:ascii="宋体" w:hAnsi="宋体" w:eastAsia="宋体" w:cs="宋体"/>
          <w:bCs/>
          <w:snapToGrid w:val="0"/>
          <w:color w:val="auto"/>
          <w:kern w:val="0"/>
          <w:sz w:val="21"/>
          <w:szCs w:val="21"/>
          <w:highlight w:val="none"/>
        </w:rPr>
        <w:t xml:space="preserve"> 暂估价项目按第一章第三节“投标人须知正文”第</w:t>
      </w:r>
      <w:r>
        <w:rPr>
          <w:rFonts w:hint="eastAsia" w:ascii="宋体" w:hAnsi="宋体" w:eastAsia="宋体" w:cs="宋体"/>
          <w:b/>
          <w:bCs/>
          <w:snapToGrid w:val="0"/>
          <w:color w:val="auto"/>
          <w:kern w:val="0"/>
          <w:sz w:val="21"/>
          <w:szCs w:val="21"/>
          <w:highlight w:val="none"/>
        </w:rPr>
        <w:t>8.5</w:t>
      </w:r>
      <w:r>
        <w:rPr>
          <w:rFonts w:hint="eastAsia" w:ascii="宋体" w:hAnsi="宋体" w:eastAsia="宋体" w:cs="宋体"/>
          <w:bCs/>
          <w:snapToGrid w:val="0"/>
          <w:color w:val="auto"/>
          <w:kern w:val="0"/>
          <w:sz w:val="21"/>
          <w:szCs w:val="21"/>
          <w:highlight w:val="none"/>
        </w:rPr>
        <w:t>条的规定确定专业工程承包人（或材料供应商、工程设备供应商）后，将专业工程合同价款（或材料单价、工程设备单价）取代相应暂估价，并调整合同价款。</w:t>
      </w:r>
    </w:p>
    <w:p w14:paraId="5D3D1E01">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2.3.7.2</w:t>
      </w:r>
      <w:r>
        <w:rPr>
          <w:rFonts w:hint="eastAsia" w:ascii="宋体" w:hAnsi="宋体" w:eastAsia="宋体" w:cs="宋体"/>
          <w:bCs/>
          <w:snapToGrid w:val="0"/>
          <w:color w:val="auto"/>
          <w:kern w:val="0"/>
          <w:sz w:val="21"/>
          <w:szCs w:val="21"/>
          <w:highlight w:val="none"/>
        </w:rPr>
        <w:t xml:space="preserve"> 暂列金额由发包人掌握和使用。暂列金额项目若有发生，按第一章第三节“投标人须知正文”第</w:t>
      </w:r>
      <w:r>
        <w:rPr>
          <w:rFonts w:hint="eastAsia" w:ascii="宋体" w:hAnsi="宋体" w:eastAsia="宋体" w:cs="宋体"/>
          <w:b/>
          <w:snapToGrid w:val="0"/>
          <w:color w:val="auto"/>
          <w:kern w:val="0"/>
          <w:sz w:val="21"/>
          <w:szCs w:val="21"/>
          <w:highlight w:val="none"/>
        </w:rPr>
        <w:t>8.6</w:t>
      </w:r>
      <w:r>
        <w:rPr>
          <w:rFonts w:hint="eastAsia" w:ascii="宋体" w:hAnsi="宋体" w:eastAsia="宋体" w:cs="宋体"/>
          <w:bCs/>
          <w:snapToGrid w:val="0"/>
          <w:color w:val="auto"/>
          <w:kern w:val="0"/>
          <w:sz w:val="21"/>
          <w:szCs w:val="21"/>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02CCB4C9">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rPr>
        <w:t xml:space="preserve">2.3.8 </w:t>
      </w:r>
      <w:r>
        <w:rPr>
          <w:rFonts w:hint="eastAsia" w:ascii="宋体" w:hAnsi="宋体" w:eastAsia="宋体" w:cs="宋体"/>
          <w:b/>
          <w:snapToGrid w:val="0"/>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bidi="ar"/>
        </w:rPr>
        <w:t xml:space="preserve">预算包干费按照分部分项的人工费与施工机具费之和及投标费率计取。本招标项目 </w:t>
      </w:r>
    </w:p>
    <w:p w14:paraId="682F6186">
      <w:pPr>
        <w:keepNext w:val="0"/>
        <w:keepLines w:val="0"/>
        <w:pageBreakBefore w:val="0"/>
        <w:widowControl/>
        <w:suppressLineNumbers w:val="0"/>
        <w:kinsoku/>
        <w:overflowPunct/>
        <w:topLinePunct w:val="0"/>
        <w:bidi w:val="0"/>
        <w:spacing w:line="440" w:lineRule="exact"/>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04F260D7">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rPr>
        <w:t>2.3.9</w:t>
      </w:r>
      <w:r>
        <w:rPr>
          <w:rFonts w:hint="eastAsia" w:ascii="宋体" w:hAnsi="宋体" w:eastAsia="宋体" w:cs="宋体"/>
          <w:snapToGrid w:val="0"/>
          <w:color w:val="auto"/>
          <w:kern w:val="0"/>
          <w:sz w:val="21"/>
          <w:szCs w:val="21"/>
          <w:highlight w:val="none"/>
        </w:rPr>
        <w:t>其余事项（如不可抗力、索赔、现场签证等）的调整原则按照《建设工程工程量清单计价规范》（GB50500—2013）有关规定执行。</w:t>
      </w:r>
    </w:p>
    <w:p w14:paraId="2E8E4F62">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 xml:space="preserve"> </w:t>
      </w:r>
      <w:bookmarkStart w:id="140" w:name="_Hlt112206782"/>
      <w:bookmarkEnd w:id="140"/>
      <w:r>
        <w:rPr>
          <w:rFonts w:hint="eastAsia" w:ascii="宋体" w:hAnsi="宋体" w:eastAsia="宋体" w:cs="宋体"/>
          <w:snapToGrid w:val="0"/>
          <w:color w:val="auto"/>
          <w:kern w:val="0"/>
          <w:sz w:val="21"/>
          <w:szCs w:val="21"/>
          <w:highlight w:val="none"/>
        </w:rPr>
        <w:t>凡将引起合同价款调增的事项，承包人必须于拟实施14天前，将详细的报价书（含拟实施项目名称、变更部位、理由、预计造价等）报监理单位审核和发包人批准后方可实施。</w:t>
      </w:r>
    </w:p>
    <w:p w14:paraId="1B2D4CB3">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2.5</w:t>
      </w:r>
      <w:r>
        <w:rPr>
          <w:rFonts w:hint="eastAsia" w:ascii="宋体" w:hAnsi="宋体" w:eastAsia="宋体" w:cs="宋体"/>
          <w:snapToGrid w:val="0"/>
          <w:color w:val="auto"/>
          <w:kern w:val="0"/>
          <w:sz w:val="21"/>
          <w:szCs w:val="21"/>
          <w:highlight w:val="none"/>
        </w:rPr>
        <w:t xml:space="preserve"> 承包人不得以不完全了解现场情况为理由，提出额外付款或延长工期等要求。对此类要求，发包人不作任何考虑及答复。</w:t>
      </w:r>
    </w:p>
    <w:p w14:paraId="2FCF5424">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2.6</w:t>
      </w:r>
      <w:r>
        <w:rPr>
          <w:rFonts w:hint="eastAsia" w:ascii="宋体" w:hAnsi="宋体" w:eastAsia="宋体" w:cs="宋体"/>
          <w:snapToGrid w:val="0"/>
          <w:color w:val="auto"/>
          <w:kern w:val="0"/>
          <w:sz w:val="21"/>
          <w:szCs w:val="21"/>
          <w:highlight w:val="none"/>
        </w:rPr>
        <w:t xml:space="preserve"> 承包人已标价工程量清单中漏报、错报或少报的清单项目，其价格均视为已经包含在其它清单项目中，竣工结算时不得重新组价和调整。</w:t>
      </w:r>
    </w:p>
    <w:p w14:paraId="2758026A">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2.7</w:t>
      </w:r>
      <w:r>
        <w:rPr>
          <w:rFonts w:hint="eastAsia" w:ascii="宋体" w:hAnsi="宋体" w:eastAsia="宋体" w:cs="宋体"/>
          <w:snapToGrid w:val="0"/>
          <w:color w:val="auto"/>
          <w:kern w:val="0"/>
          <w:sz w:val="21"/>
          <w:szCs w:val="21"/>
          <w:highlight w:val="none"/>
        </w:rPr>
        <w:t xml:space="preserve"> 工程完工后，发、承包双方和受其委托具备相应资质的工程造价咨询单位必须按照《建设工程工程量清单计价规范》（GB50500—2013）和国家、省、市的有关规定办理竣工结算。</w:t>
      </w:r>
    </w:p>
    <w:p w14:paraId="17C09EED">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2.8</w:t>
      </w:r>
      <w:r>
        <w:rPr>
          <w:rFonts w:hint="eastAsia" w:ascii="宋体" w:hAnsi="宋体" w:eastAsia="宋体" w:cs="宋体"/>
          <w:snapToGrid w:val="0"/>
          <w:color w:val="auto"/>
          <w:kern w:val="0"/>
          <w:sz w:val="21"/>
          <w:szCs w:val="21"/>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218184F3">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2.9 </w:t>
      </w:r>
      <w:r>
        <w:rPr>
          <w:rFonts w:hint="eastAsia" w:ascii="宋体" w:hAnsi="宋体" w:eastAsia="宋体" w:cs="宋体"/>
          <w:color w:val="auto"/>
          <w:kern w:val="0"/>
          <w:sz w:val="21"/>
          <w:szCs w:val="21"/>
          <w:highlight w:val="none"/>
          <w:lang w:val="en-US" w:eastAsia="zh-CN" w:bidi="ar"/>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3A3E101B">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napToGrid w:val="0"/>
          <w:color w:val="auto"/>
          <w:sz w:val="21"/>
          <w:szCs w:val="21"/>
          <w:highlight w:val="none"/>
        </w:rPr>
      </w:pPr>
      <w:bookmarkStart w:id="141" w:name="_Toc27842"/>
      <w:r>
        <w:rPr>
          <w:rFonts w:hint="eastAsia" w:ascii="宋体" w:hAnsi="宋体" w:eastAsia="宋体" w:cs="宋体"/>
          <w:b/>
          <w:snapToGrid w:val="0"/>
          <w:color w:val="auto"/>
          <w:sz w:val="21"/>
          <w:szCs w:val="21"/>
          <w:highlight w:val="none"/>
        </w:rPr>
        <w:t>3．工程付款办法</w:t>
      </w:r>
      <w:bookmarkEnd w:id="137"/>
      <w:bookmarkEnd w:id="138"/>
      <w:bookmarkEnd w:id="139"/>
      <w:bookmarkEnd w:id="141"/>
      <w:bookmarkStart w:id="142" w:name="_Hlt66591689"/>
      <w:bookmarkEnd w:id="142"/>
      <w:bookmarkStart w:id="143" w:name="_Hlt70150985"/>
      <w:bookmarkEnd w:id="143"/>
      <w:bookmarkStart w:id="144" w:name="_Hlt69669774"/>
      <w:bookmarkEnd w:id="144"/>
      <w:bookmarkStart w:id="145" w:name="_Hlt69114106"/>
      <w:bookmarkEnd w:id="145"/>
      <w:bookmarkStart w:id="146" w:name="_Hlt66608388"/>
      <w:bookmarkEnd w:id="146"/>
      <w:bookmarkStart w:id="147" w:name="_Hlt66593437"/>
      <w:bookmarkEnd w:id="147"/>
      <w:bookmarkStart w:id="148" w:name="_Hlt69700007"/>
      <w:bookmarkEnd w:id="148"/>
      <w:bookmarkStart w:id="149" w:name="_Hlt88976467"/>
      <w:bookmarkEnd w:id="149"/>
    </w:p>
    <w:p w14:paraId="1D209228">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w:t>
      </w:r>
      <w:r>
        <w:rPr>
          <w:rFonts w:hint="eastAsia" w:ascii="宋体" w:hAnsi="宋体" w:eastAsia="宋体" w:cs="宋体"/>
          <w:snapToGrid w:val="0"/>
          <w:color w:val="auto"/>
          <w:kern w:val="0"/>
          <w:sz w:val="21"/>
          <w:szCs w:val="21"/>
          <w:highlight w:val="none"/>
        </w:rPr>
        <w:t xml:space="preserve"> 本招标项目</w:t>
      </w:r>
      <w:r>
        <w:rPr>
          <w:rFonts w:hint="eastAsia" w:ascii="宋体" w:hAnsi="宋体" w:eastAsia="宋体" w:cs="宋体"/>
          <w:snapToGrid w:val="0"/>
          <w:color w:val="auto"/>
          <w:kern w:val="0"/>
          <w:sz w:val="21"/>
          <w:szCs w:val="21"/>
          <w:highlight w:val="none"/>
          <w:u w:val="single"/>
        </w:rPr>
        <w:t xml:space="preserve"> 支付 </w:t>
      </w:r>
      <w:r>
        <w:rPr>
          <w:rFonts w:hint="eastAsia" w:ascii="宋体" w:hAnsi="宋体" w:eastAsia="宋体" w:cs="宋体"/>
          <w:snapToGrid w:val="0"/>
          <w:color w:val="auto"/>
          <w:kern w:val="0"/>
          <w:sz w:val="21"/>
          <w:szCs w:val="21"/>
          <w:highlight w:val="none"/>
        </w:rPr>
        <w:t>施工预付款。</w:t>
      </w:r>
    </w:p>
    <w:p w14:paraId="0B39F907">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w:t>
      </w:r>
      <w:r>
        <w:rPr>
          <w:rFonts w:hint="eastAsia" w:ascii="宋体" w:hAnsi="宋体" w:eastAsia="宋体" w:cs="宋体"/>
          <w:snapToGrid w:val="0"/>
          <w:color w:val="auto"/>
          <w:kern w:val="0"/>
          <w:sz w:val="21"/>
          <w:szCs w:val="21"/>
          <w:highlight w:val="none"/>
        </w:rPr>
        <w:t xml:space="preserve"> 施工预付款必须专用于合同工程，并按以下原则支付和抵扣：</w:t>
      </w:r>
    </w:p>
    <w:p w14:paraId="2939DB9E">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b/>
          <w:bCs/>
          <w:snapToGrid w:val="0"/>
          <w:color w:val="auto"/>
          <w:kern w:val="0"/>
          <w:sz w:val="21"/>
          <w:szCs w:val="21"/>
          <w:highlight w:val="none"/>
        </w:rPr>
        <w:t>3.2.1</w:t>
      </w:r>
      <w:r>
        <w:rPr>
          <w:rFonts w:hint="eastAsia" w:ascii="宋体" w:hAnsi="宋体" w:eastAsia="宋体" w:cs="宋体"/>
          <w:snapToGrid w:val="0"/>
          <w:color w:val="auto"/>
          <w:kern w:val="0"/>
          <w:sz w:val="21"/>
          <w:szCs w:val="21"/>
          <w:highlight w:val="none"/>
        </w:rPr>
        <w:t xml:space="preserve"> 施工预付款支付比例为：按施工合同价（暂列金额除外）的</w:t>
      </w:r>
      <w:r>
        <w:rPr>
          <w:rFonts w:hint="eastAsia" w:ascii="宋体" w:hAnsi="宋体" w:eastAsia="宋体" w:cs="宋体"/>
          <w:snapToGrid w:val="0"/>
          <w:color w:val="auto"/>
          <w:kern w:val="0"/>
          <w:sz w:val="21"/>
          <w:szCs w:val="21"/>
          <w:highlight w:val="none"/>
          <w:u w:val="single"/>
        </w:rPr>
        <w:t xml:space="preserve"> 30% </w:t>
      </w:r>
      <w:r>
        <w:rPr>
          <w:rFonts w:hint="eastAsia" w:ascii="宋体" w:hAnsi="宋体" w:eastAsia="宋体" w:cs="宋体"/>
          <w:snapToGrid w:val="0"/>
          <w:color w:val="auto"/>
          <w:kern w:val="0"/>
          <w:sz w:val="21"/>
          <w:szCs w:val="21"/>
          <w:highlight w:val="none"/>
        </w:rPr>
        <w:t>支付。</w:t>
      </w:r>
    </w:p>
    <w:p w14:paraId="0C360FB8">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b/>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 xml:space="preserve">3.2.2 </w:t>
      </w:r>
      <w:r>
        <w:rPr>
          <w:rFonts w:hint="eastAsia" w:ascii="宋体" w:hAnsi="宋体" w:eastAsia="宋体" w:cs="宋体"/>
          <w:snapToGrid w:val="0"/>
          <w:color w:val="auto"/>
          <w:kern w:val="0"/>
          <w:sz w:val="21"/>
          <w:szCs w:val="21"/>
          <w:highlight w:val="none"/>
        </w:rPr>
        <w:t>本招标项目</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b/>
          <w:bCs/>
          <w:snapToGrid w:val="0"/>
          <w:color w:val="auto"/>
          <w:kern w:val="0"/>
          <w:sz w:val="21"/>
          <w:szCs w:val="21"/>
          <w:highlight w:val="none"/>
          <w:u w:val="single"/>
        </w:rPr>
        <w:t>要求</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承包人提供与预付款等额的预付款保函。</w:t>
      </w:r>
    </w:p>
    <w:p w14:paraId="1121CEA4">
      <w:pPr>
        <w:pStyle w:val="29"/>
        <w:keepNext w:val="0"/>
        <w:keepLines w:val="0"/>
        <w:pageBreakBefore w:val="0"/>
        <w:kinsoku/>
        <w:overflowPunct/>
        <w:topLinePunct w:val="0"/>
        <w:bidi w:val="0"/>
        <w:adjustRightInd w:val="0"/>
        <w:snapToGrid w:val="0"/>
        <w:spacing w:before="0" w:beforeAutospacing="0" w:after="0" w:afterAutospacing="0" w:line="440" w:lineRule="exact"/>
        <w:ind w:firstLine="422" w:firstLineChars="200"/>
        <w:textAlignment w:val="baseline"/>
        <w:rPr>
          <w:rFonts w:hint="eastAsia" w:ascii="宋体" w:hAnsi="宋体" w:eastAsia="宋体" w:cs="宋体"/>
          <w:b/>
          <w:snapToGrid w:val="0"/>
          <w:color w:val="auto"/>
          <w:sz w:val="21"/>
          <w:szCs w:val="21"/>
          <w:highlight w:val="none"/>
        </w:rPr>
      </w:pPr>
      <w:r>
        <w:rPr>
          <w:rFonts w:hint="eastAsia" w:ascii="宋体" w:hAnsi="宋体" w:eastAsia="宋体" w:cs="宋体"/>
          <w:b/>
          <w:bCs/>
          <w:snapToGrid w:val="0"/>
          <w:color w:val="auto"/>
          <w:sz w:val="21"/>
          <w:szCs w:val="21"/>
          <w:highlight w:val="none"/>
        </w:rPr>
        <w:t>3.2.3</w:t>
      </w:r>
      <w:r>
        <w:rPr>
          <w:rFonts w:hint="eastAsia" w:ascii="宋体" w:hAnsi="宋体" w:eastAsia="宋体" w:cs="宋体"/>
          <w:snapToGrid w:val="0"/>
          <w:color w:val="auto"/>
          <w:kern w:val="0"/>
          <w:sz w:val="21"/>
          <w:szCs w:val="21"/>
          <w:highlight w:val="none"/>
        </w:rPr>
        <w:t>承包人应在签订合同后，</w:t>
      </w:r>
      <w:r>
        <w:rPr>
          <w:rFonts w:hint="eastAsia" w:ascii="宋体" w:hAnsi="宋体" w:eastAsia="宋体" w:cs="宋体"/>
          <w:b/>
          <w:bCs/>
          <w:snapToGrid w:val="0"/>
          <w:color w:val="auto"/>
          <w:kern w:val="0"/>
          <w:sz w:val="21"/>
          <w:szCs w:val="21"/>
          <w:highlight w:val="none"/>
        </w:rPr>
        <w:t>在提供符合要求的预付款保函或预付款保险及</w:t>
      </w:r>
      <w:r>
        <w:rPr>
          <w:rFonts w:hint="eastAsia" w:ascii="宋体" w:hAnsi="宋体" w:eastAsia="宋体" w:cs="宋体"/>
          <w:snapToGrid w:val="0"/>
          <w:color w:val="auto"/>
          <w:kern w:val="0"/>
          <w:sz w:val="21"/>
          <w:szCs w:val="21"/>
          <w:highlight w:val="none"/>
        </w:rPr>
        <w:t>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3DB02D8E">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3.2.4</w:t>
      </w:r>
      <w:r>
        <w:rPr>
          <w:rFonts w:hint="eastAsia" w:ascii="宋体" w:hAnsi="宋体" w:eastAsia="宋体" w:cs="宋体"/>
          <w:snapToGrid w:val="0"/>
          <w:color w:val="auto"/>
          <w:kern w:val="0"/>
          <w:sz w:val="21"/>
          <w:szCs w:val="21"/>
          <w:highlight w:val="none"/>
        </w:rPr>
        <w:t xml:space="preserve"> 发包人没有按时支付预付款的，承包人可催告发包人支付；发包人在付款期满后的7天内仍未支付的，承包人可在付款期满后的第8天起暂停施工。发包人应向承包人支付应付款的利息（从付款期满后之日起计算，利率按同期银行贷款利率计算），并承担违约责任。</w:t>
      </w:r>
    </w:p>
    <w:p w14:paraId="4EC73F91">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3.2.5</w:t>
      </w:r>
      <w:r>
        <w:rPr>
          <w:rFonts w:hint="eastAsia" w:ascii="宋体" w:hAnsi="宋体" w:eastAsia="宋体" w:cs="宋体"/>
          <w:snapToGrid w:val="0"/>
          <w:color w:val="auto"/>
          <w:kern w:val="0"/>
          <w:sz w:val="21"/>
          <w:szCs w:val="21"/>
          <w:highlight w:val="none"/>
        </w:rPr>
        <w:t xml:space="preserve"> 预付款应从每支付期应支付给承包人的工程进度款中扣回，直到扣回的金额达到合同约定的预付款金额为止。</w:t>
      </w:r>
    </w:p>
    <w:p w14:paraId="452A53CC">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3.3</w:t>
      </w:r>
      <w:r>
        <w:rPr>
          <w:rFonts w:hint="eastAsia" w:ascii="宋体" w:hAnsi="宋体" w:eastAsia="宋体" w:cs="宋体"/>
          <w:snapToGrid w:val="0"/>
          <w:color w:val="auto"/>
          <w:kern w:val="0"/>
          <w:sz w:val="21"/>
          <w:szCs w:val="21"/>
          <w:highlight w:val="none"/>
        </w:rPr>
        <w:t xml:space="preserve"> 施工过程中按月支付工程进度款：承包人每月按工程实际完成工程量（含变更及增加工程）申报，承包人必须将《已完成工程量报表》和《工程付款申请书》于当月26日前报监理单位核</w:t>
      </w:r>
      <w:bookmarkStart w:id="150" w:name="_Hlt127094354"/>
      <w:bookmarkEnd w:id="150"/>
      <w:r>
        <w:rPr>
          <w:rFonts w:hint="eastAsia" w:ascii="宋体" w:hAnsi="宋体" w:eastAsia="宋体" w:cs="宋体"/>
          <w:snapToGrid w:val="0"/>
          <w:color w:val="auto"/>
          <w:kern w:val="0"/>
          <w:sz w:val="21"/>
          <w:szCs w:val="21"/>
          <w:highlight w:val="none"/>
        </w:rPr>
        <w:t>实。经监理单位审核、发包人审定后的工程进度款（指已经按照合同约定，扣除该支付期内因承包人违约而应扣除的管理费），于申报次月支付。</w:t>
      </w:r>
    </w:p>
    <w:p w14:paraId="6B1E322D">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3.4</w:t>
      </w:r>
      <w:r>
        <w:rPr>
          <w:rFonts w:hint="eastAsia" w:ascii="宋体" w:hAnsi="宋体" w:eastAsia="宋体" w:cs="宋体"/>
          <w:snapToGrid w:val="0"/>
          <w:color w:val="auto"/>
          <w:kern w:val="0"/>
          <w:sz w:val="21"/>
          <w:szCs w:val="21"/>
          <w:highlight w:val="none"/>
        </w:rPr>
        <w:t xml:space="preserve"> 每月的工程进度款按工程实际完成工程量的</w:t>
      </w:r>
      <w:r>
        <w:rPr>
          <w:rFonts w:hint="eastAsia" w:ascii="宋体" w:hAnsi="宋体" w:eastAsia="宋体" w:cs="宋体"/>
          <w:snapToGrid w:val="0"/>
          <w:color w:val="auto"/>
          <w:kern w:val="0"/>
          <w:sz w:val="21"/>
          <w:szCs w:val="21"/>
          <w:highlight w:val="none"/>
          <w:u w:val="single"/>
        </w:rPr>
        <w:t xml:space="preserve"> 80% </w:t>
      </w:r>
      <w:r>
        <w:rPr>
          <w:rFonts w:hint="eastAsia" w:ascii="宋体" w:hAnsi="宋体" w:eastAsia="宋体" w:cs="宋体"/>
          <w:snapToGrid w:val="0"/>
          <w:color w:val="auto"/>
          <w:kern w:val="0"/>
          <w:sz w:val="21"/>
          <w:szCs w:val="21"/>
          <w:highlight w:val="none"/>
        </w:rPr>
        <w:t>申请支付，工程进度款中的作业工人工资款项由发包人单独足额拨付到承包人的工资专户。</w:t>
      </w:r>
    </w:p>
    <w:p w14:paraId="336E3F5E">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3.5</w:t>
      </w:r>
      <w:r>
        <w:rPr>
          <w:rFonts w:hint="eastAsia" w:ascii="宋体" w:hAnsi="宋体" w:eastAsia="宋体" w:cs="宋体"/>
          <w:snapToGrid w:val="0"/>
          <w:color w:val="auto"/>
          <w:kern w:val="0"/>
          <w:sz w:val="21"/>
          <w:szCs w:val="21"/>
          <w:highlight w:val="none"/>
        </w:rPr>
        <w:t xml:space="preserve"> 措施项目费中的“绿色施工安全防护措施费”拨付按照《广东省建设工程计价依据（2018）》执行，按照项目所在地的建设行政主管部门有关规定支付。发生一般事故及以上等级重大安全事故的，发包人可扣除承包人金额相当于所有“绿色施工安全防护措施费”的工程管理费。</w:t>
      </w:r>
    </w:p>
    <w:p w14:paraId="21C07E3C">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3.6</w:t>
      </w:r>
      <w:r>
        <w:rPr>
          <w:rFonts w:hint="eastAsia" w:ascii="宋体" w:hAnsi="宋体" w:eastAsia="宋体" w:cs="宋体"/>
          <w:snapToGrid w:val="0"/>
          <w:color w:val="auto"/>
          <w:kern w:val="0"/>
          <w:sz w:val="21"/>
          <w:szCs w:val="21"/>
          <w:highlight w:val="none"/>
        </w:rPr>
        <w:t xml:space="preserve"> 变更工程造价必须经监理单位核实，并经发包人核定后方可支付。</w:t>
      </w:r>
    </w:p>
    <w:p w14:paraId="5B3D2FA0">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3.7</w:t>
      </w:r>
      <w:r>
        <w:rPr>
          <w:rFonts w:hint="eastAsia" w:ascii="宋体" w:hAnsi="宋体" w:eastAsia="宋体" w:cs="宋体"/>
          <w:snapToGrid w:val="0"/>
          <w:color w:val="auto"/>
          <w:kern w:val="0"/>
          <w:sz w:val="21"/>
          <w:szCs w:val="21"/>
          <w:highlight w:val="none"/>
        </w:rPr>
        <w:t xml:space="preserve"> 结算审核完成后，于次月支付至合同价格的</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u w:val="single"/>
        </w:rPr>
        <w:t>97%</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，剩余</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u w:val="single"/>
        </w:rPr>
        <w:t>3%</w:t>
      </w:r>
      <w:r>
        <w:rPr>
          <w:rFonts w:hint="eastAsia" w:ascii="宋体" w:hAnsi="宋体" w:eastAsia="宋体" w:cs="宋体"/>
          <w:snapToGrid w:val="0"/>
          <w:color w:val="auto"/>
          <w:kern w:val="0"/>
          <w:sz w:val="21"/>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转为质量保证金；承包人提交了等额质量保证担保或质量保证保险的，于次月一次性结清合同价格。</w:t>
      </w:r>
    </w:p>
    <w:p w14:paraId="14CFE0D8">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3.8</w:t>
      </w:r>
      <w:r>
        <w:rPr>
          <w:rFonts w:hint="eastAsia" w:ascii="宋体" w:hAnsi="宋体" w:eastAsia="宋体" w:cs="宋体"/>
          <w:snapToGrid w:val="0"/>
          <w:color w:val="auto"/>
          <w:kern w:val="0"/>
          <w:sz w:val="21"/>
          <w:szCs w:val="21"/>
          <w:highlight w:val="none"/>
        </w:rPr>
        <w:t xml:space="preserve"> 本招标项目缺陷责任期为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u w:val="single"/>
          <w:lang w:val="en-US" w:eastAsia="zh-CN"/>
        </w:rPr>
        <w:t>2</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 xml:space="preserve">年（自通过竣工验收之日起计）。缺陷责任期到期后，承包人向发包人申请退还质量保证。发包人收到退还申请后，于14天内会同承包人进行核实。经双方核实且均无异议后，发包人在核实之日起 </w:t>
      </w:r>
      <w:r>
        <w:rPr>
          <w:rFonts w:hint="eastAsia" w:hAnsi="宋体" w:cs="宋体"/>
          <w:snapToGrid w:val="0"/>
          <w:color w:val="auto"/>
          <w:kern w:val="0"/>
          <w:sz w:val="21"/>
          <w:szCs w:val="21"/>
          <w:highlight w:val="none"/>
          <w:lang w:val="en-US" w:eastAsia="zh-CN"/>
        </w:rPr>
        <w:t>30</w:t>
      </w:r>
      <w:r>
        <w:rPr>
          <w:rFonts w:hint="eastAsia" w:ascii="宋体" w:hAnsi="宋体" w:eastAsia="宋体" w:cs="宋体"/>
          <w:snapToGrid w:val="0"/>
          <w:color w:val="auto"/>
          <w:kern w:val="0"/>
          <w:sz w:val="21"/>
          <w:szCs w:val="21"/>
          <w:highlight w:val="none"/>
        </w:rPr>
        <w:t xml:space="preserve"> 天内将应返保证金（或银行保函）退还承包人。</w:t>
      </w:r>
    </w:p>
    <w:p w14:paraId="42B03567">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3.9</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b/>
          <w:bCs/>
          <w:snapToGrid w:val="0"/>
          <w:color w:val="auto"/>
          <w:kern w:val="0"/>
          <w:sz w:val="21"/>
          <w:szCs w:val="21"/>
          <w:highlight w:val="none"/>
        </w:rPr>
        <w:t>发包人每次支付工程款前，承包人均应提供有效的增值税专用发票。如果承包人无法提供符合要求的发票，由此造成的相应损失由承包人承担。</w:t>
      </w:r>
    </w:p>
    <w:p w14:paraId="172B6A6F">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3.10</w:t>
      </w:r>
      <w:r>
        <w:rPr>
          <w:rFonts w:hint="eastAsia" w:ascii="宋体" w:hAnsi="宋体" w:eastAsia="宋体" w:cs="宋体"/>
          <w:snapToGrid w:val="0"/>
          <w:color w:val="auto"/>
          <w:kern w:val="0"/>
          <w:sz w:val="21"/>
          <w:szCs w:val="21"/>
          <w:highlight w:val="none"/>
        </w:rPr>
        <w:t xml:space="preserve"> 暂列金额支付方式：</w:t>
      </w:r>
      <w:r>
        <w:rPr>
          <w:rFonts w:hint="eastAsia" w:ascii="宋体" w:hAnsi="宋体" w:eastAsia="宋体" w:cs="宋体"/>
          <w:snapToGrid w:val="0"/>
          <w:color w:val="auto"/>
          <w:kern w:val="0"/>
          <w:sz w:val="21"/>
          <w:szCs w:val="21"/>
          <w:highlight w:val="none"/>
          <w:u w:val="single"/>
        </w:rPr>
        <w:t>按实际发生在结算审核完成后支付。</w:t>
      </w:r>
    </w:p>
    <w:p w14:paraId="5B7AD7EC">
      <w:pPr>
        <w:pStyle w:val="4"/>
        <w:keepNext w:val="0"/>
        <w:keepLines w:val="0"/>
        <w:pageBreakBefore w:val="0"/>
        <w:kinsoku/>
        <w:wordWrap w:val="0"/>
        <w:overflowPunct/>
        <w:topLinePunct w:val="0"/>
        <w:autoSpaceDE/>
        <w:autoSpaceDN/>
        <w:bidi w:val="0"/>
        <w:snapToGrid w:val="0"/>
        <w:spacing w:line="440" w:lineRule="exact"/>
        <w:ind w:firstLine="422" w:firstLineChars="200"/>
        <w:jc w:val="both"/>
        <w:rPr>
          <w:rFonts w:hint="eastAsia" w:ascii="宋体" w:hAnsi="宋体" w:eastAsia="宋体" w:cs="宋体"/>
          <w:snapToGrid w:val="0"/>
          <w:color w:val="auto"/>
          <w:kern w:val="0"/>
          <w:sz w:val="21"/>
          <w:szCs w:val="21"/>
          <w:highlight w:val="none"/>
          <w:u w:val="single"/>
        </w:rPr>
      </w:pPr>
      <w:bookmarkStart w:id="151" w:name="_Toc9925"/>
      <w:bookmarkStart w:id="152" w:name="_Toc2676"/>
      <w:r>
        <w:rPr>
          <w:rFonts w:hint="eastAsia" w:ascii="宋体" w:hAnsi="宋体" w:eastAsia="宋体" w:cs="宋体"/>
          <w:b/>
          <w:snapToGrid w:val="0"/>
          <w:color w:val="auto"/>
          <w:kern w:val="0"/>
          <w:sz w:val="21"/>
          <w:szCs w:val="21"/>
          <w:highlight w:val="none"/>
        </w:rPr>
        <w:t xml:space="preserve">3.11 </w:t>
      </w:r>
      <w:r>
        <w:rPr>
          <w:rFonts w:hint="eastAsia" w:ascii="宋体" w:hAnsi="宋体" w:eastAsia="宋体" w:cs="宋体"/>
          <w:snapToGrid w:val="0"/>
          <w:color w:val="auto"/>
          <w:kern w:val="0"/>
          <w:sz w:val="21"/>
          <w:szCs w:val="21"/>
          <w:highlight w:val="none"/>
        </w:rPr>
        <w:t>材料暂估价、专业工程暂估价支付方式：</w:t>
      </w:r>
      <w:bookmarkEnd w:id="151"/>
      <w:bookmarkEnd w:id="152"/>
      <w:r>
        <w:rPr>
          <w:rFonts w:hint="eastAsia" w:ascii="宋体" w:hAnsi="宋体" w:eastAsia="宋体" w:cs="宋体"/>
          <w:snapToGrid w:val="0"/>
          <w:color w:val="auto"/>
          <w:kern w:val="0"/>
          <w:sz w:val="21"/>
          <w:szCs w:val="21"/>
          <w:highlight w:val="none"/>
          <w:u w:val="single"/>
        </w:rPr>
        <w:t>按实际发生在结算审核完成后支付。</w:t>
      </w:r>
    </w:p>
    <w:p w14:paraId="48BDC625">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3.12</w:t>
      </w:r>
      <w:r>
        <w:rPr>
          <w:rFonts w:hint="eastAsia" w:hAnsi="宋体" w:cs="宋体"/>
          <w:b/>
          <w:bCs/>
          <w:snapToGrid w:val="0"/>
          <w:color w:val="auto"/>
          <w:kern w:val="0"/>
          <w:sz w:val="21"/>
          <w:szCs w:val="21"/>
          <w:highlight w:val="none"/>
          <w:lang w:val="en-US" w:eastAsia="zh-CN"/>
        </w:rPr>
        <w:t xml:space="preserve"> </w:t>
      </w:r>
      <w:r>
        <w:rPr>
          <w:rFonts w:hint="eastAsia" w:ascii="宋体" w:hAnsi="宋体" w:eastAsia="宋体" w:cs="宋体"/>
          <w:b/>
          <w:bCs/>
          <w:snapToGrid w:val="0"/>
          <w:color w:val="auto"/>
          <w:kern w:val="0"/>
          <w:sz w:val="21"/>
          <w:szCs w:val="21"/>
          <w:highlight w:val="none"/>
        </w:rPr>
        <w:t>工程款（包括预付款、进度款、最终结算款）来源于财政资金，招标人向财政支付部门提交工程款的请款资料后，财政支付部门的审批拨款期限不计入逾期付款期限。</w:t>
      </w:r>
    </w:p>
    <w:p w14:paraId="203E3E48">
      <w:pPr>
        <w:pStyle w:val="4"/>
        <w:keepNext w:val="0"/>
        <w:keepLines w:val="0"/>
        <w:pageBreakBefore w:val="0"/>
        <w:kinsoku/>
        <w:overflowPunct/>
        <w:topLinePunct w:val="0"/>
        <w:bidi w:val="0"/>
        <w:spacing w:line="440" w:lineRule="exact"/>
        <w:ind w:firstLine="422" w:firstLineChars="200"/>
        <w:rPr>
          <w:rFonts w:hint="eastAsia" w:ascii="宋体" w:hAnsi="宋体" w:eastAsia="宋体" w:cs="宋体"/>
          <w:b w:val="0"/>
          <w:bCs w:val="0"/>
          <w:color w:val="auto"/>
          <w:sz w:val="21"/>
          <w:szCs w:val="21"/>
          <w:highlight w:val="none"/>
        </w:rPr>
      </w:pPr>
      <w:bookmarkStart w:id="153" w:name="_Toc7231"/>
      <w:r>
        <w:rPr>
          <w:rFonts w:hint="eastAsia" w:ascii="宋体" w:hAnsi="宋体" w:eastAsia="宋体" w:cs="宋体"/>
          <w:b/>
          <w:bCs/>
          <w:color w:val="auto"/>
          <w:sz w:val="21"/>
          <w:szCs w:val="21"/>
          <w:highlight w:val="none"/>
          <w:lang w:val="en-US" w:eastAsia="zh-CN"/>
        </w:rPr>
        <w:t>4．其他专用合同条款：</w:t>
      </w:r>
      <w:r>
        <w:rPr>
          <w:rFonts w:hint="eastAsia" w:ascii="宋体" w:hAnsi="宋体" w:eastAsia="宋体" w:cs="宋体"/>
          <w:b w:val="0"/>
          <w:bCs w:val="0"/>
          <w:color w:val="auto"/>
          <w:sz w:val="21"/>
          <w:szCs w:val="21"/>
          <w:highlight w:val="none"/>
          <w:u w:val="single"/>
          <w:lang w:val="en-US" w:eastAsia="zh-CN"/>
        </w:rPr>
        <w:t>由招标人根据本工程实际情况和地方政策与中标人自行协商签定相关专用合同条款。</w:t>
      </w:r>
      <w:bookmarkEnd w:id="153"/>
    </w:p>
    <w:p w14:paraId="2B04C841">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trike w:val="0"/>
          <w:dstrike w:val="0"/>
          <w:snapToGrid w:val="0"/>
          <w:color w:val="auto"/>
          <w:sz w:val="21"/>
          <w:szCs w:val="21"/>
          <w:highlight w:val="none"/>
        </w:rPr>
      </w:pPr>
      <w:bookmarkStart w:id="154" w:name="_Toc21864"/>
      <w:r>
        <w:rPr>
          <w:rFonts w:hint="eastAsia" w:ascii="宋体" w:hAnsi="宋体" w:eastAsia="宋体" w:cs="宋体"/>
          <w:b/>
          <w:strike w:val="0"/>
          <w:dstrike w:val="0"/>
          <w:snapToGrid w:val="0"/>
          <w:color w:val="auto"/>
          <w:sz w:val="21"/>
          <w:szCs w:val="21"/>
          <w:highlight w:val="none"/>
          <w:lang w:val="en-US" w:eastAsia="zh-CN"/>
        </w:rPr>
        <w:t>4.1</w:t>
      </w:r>
      <w:r>
        <w:rPr>
          <w:rFonts w:hint="eastAsia" w:ascii="宋体" w:hAnsi="宋体" w:eastAsia="宋体" w:cs="宋体"/>
          <w:b/>
          <w:strike w:val="0"/>
          <w:dstrike w:val="0"/>
          <w:snapToGrid w:val="0"/>
          <w:color w:val="auto"/>
          <w:sz w:val="21"/>
          <w:szCs w:val="21"/>
          <w:highlight w:val="none"/>
        </w:rPr>
        <w:t>专业工程分包</w:t>
      </w:r>
      <w:bookmarkEnd w:id="154"/>
    </w:p>
    <w:p w14:paraId="68485FD9">
      <w:pPr>
        <w:keepNext w:val="0"/>
        <w:keepLines w:val="0"/>
        <w:pageBreakBefore w:val="0"/>
        <w:kinsoku/>
        <w:wordWrap w:val="0"/>
        <w:overflowPunct/>
        <w:topLinePunct w:val="0"/>
        <w:bidi w:val="0"/>
        <w:adjustRightInd w:val="0"/>
        <w:snapToGrid w:val="0"/>
        <w:spacing w:line="440" w:lineRule="exact"/>
        <w:ind w:firstLine="420" w:firstLineChars="2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74316645">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trike w:val="0"/>
          <w:dstrike w:val="0"/>
          <w:snapToGrid w:val="0"/>
          <w:color w:val="auto"/>
          <w:sz w:val="21"/>
          <w:szCs w:val="21"/>
          <w:highlight w:val="none"/>
        </w:rPr>
      </w:pPr>
      <w:bookmarkStart w:id="155" w:name="_Toc23958"/>
      <w:bookmarkStart w:id="156" w:name="_Toc4288"/>
      <w:r>
        <w:rPr>
          <w:rFonts w:hint="eastAsia" w:ascii="宋体" w:hAnsi="宋体" w:eastAsia="宋体" w:cs="宋体"/>
          <w:b/>
          <w:strike w:val="0"/>
          <w:dstrike w:val="0"/>
          <w:snapToGrid w:val="0"/>
          <w:color w:val="auto"/>
          <w:sz w:val="21"/>
          <w:szCs w:val="21"/>
          <w:highlight w:val="none"/>
          <w:lang w:val="en-US" w:eastAsia="zh-CN"/>
        </w:rPr>
        <w:t>4.2</w:t>
      </w:r>
      <w:r>
        <w:rPr>
          <w:rFonts w:hint="eastAsia" w:ascii="宋体" w:hAnsi="宋体" w:eastAsia="宋体" w:cs="宋体"/>
          <w:b/>
          <w:strike w:val="0"/>
          <w:dstrike w:val="0"/>
          <w:snapToGrid w:val="0"/>
          <w:color w:val="auto"/>
          <w:sz w:val="21"/>
          <w:szCs w:val="21"/>
          <w:highlight w:val="none"/>
        </w:rPr>
        <w:t>．工人工资支付专用账户</w:t>
      </w:r>
      <w:bookmarkEnd w:id="155"/>
      <w:bookmarkEnd w:id="156"/>
    </w:p>
    <w:p w14:paraId="28A33766">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4.2</w:t>
      </w:r>
      <w:r>
        <w:rPr>
          <w:rFonts w:hint="eastAsia" w:ascii="宋体" w:hAnsi="宋体" w:eastAsia="宋体" w:cs="宋体"/>
          <w:b/>
          <w:bCs/>
          <w:strike w:val="0"/>
          <w:dstrike w:val="0"/>
          <w:snapToGrid w:val="0"/>
          <w:color w:val="auto"/>
          <w:kern w:val="0"/>
          <w:sz w:val="21"/>
          <w:szCs w:val="21"/>
          <w:highlight w:val="none"/>
        </w:rPr>
        <w:t>.1</w:t>
      </w:r>
      <w:r>
        <w:rPr>
          <w:rFonts w:hint="eastAsia" w:ascii="宋体" w:hAnsi="宋体" w:eastAsia="宋体" w:cs="宋体"/>
          <w:strike w:val="0"/>
          <w:dstrike w:val="0"/>
          <w:snapToGrid w:val="0"/>
          <w:color w:val="auto"/>
          <w:kern w:val="0"/>
          <w:sz w:val="21"/>
          <w:szCs w:val="21"/>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5AFFD85B">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strike w:val="0"/>
          <w:dstrike w:val="0"/>
          <w:snapToGrid w:val="0"/>
          <w:color w:val="auto"/>
          <w:kern w:val="0"/>
          <w:sz w:val="21"/>
          <w:szCs w:val="21"/>
          <w:highlight w:val="none"/>
          <w:lang w:val="en-US" w:eastAsia="zh-CN"/>
        </w:rPr>
        <w:t>4.2</w:t>
      </w:r>
      <w:r>
        <w:rPr>
          <w:rFonts w:hint="eastAsia" w:ascii="宋体" w:hAnsi="宋体" w:eastAsia="宋体" w:cs="宋体"/>
          <w:b/>
          <w:bCs/>
          <w:strike w:val="0"/>
          <w:dstrike w:val="0"/>
          <w:snapToGrid w:val="0"/>
          <w:color w:val="auto"/>
          <w:kern w:val="0"/>
          <w:sz w:val="21"/>
          <w:szCs w:val="21"/>
          <w:highlight w:val="none"/>
        </w:rPr>
        <w:t>.2</w:t>
      </w:r>
      <w:r>
        <w:rPr>
          <w:rFonts w:hint="eastAsia" w:ascii="宋体" w:hAnsi="宋体" w:eastAsia="宋体" w:cs="宋体"/>
          <w:color w:val="auto"/>
          <w:kern w:val="0"/>
          <w:sz w:val="21"/>
          <w:szCs w:val="21"/>
          <w:highlight w:val="none"/>
          <w:lang w:val="en-US" w:eastAsia="zh-CN" w:bidi="ar"/>
        </w:rPr>
        <w:t>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5850475C">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号)及《韶关市工程建设领域农民工工资保证金管理实施细则》（韶法审〔2023〕19 号） 规定执行。承包人在签订工程施工承包合同后一个月内必须办妥该事项，并将办妥回执交发包人。</w:t>
      </w:r>
    </w:p>
    <w:p w14:paraId="67DCC67F">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w:t>
      </w:r>
    </w:p>
    <w:p w14:paraId="6E255D53">
      <w:pPr>
        <w:keepNext w:val="0"/>
        <w:keepLines w:val="0"/>
        <w:pageBreakBefore w:val="0"/>
        <w:widowControl/>
        <w:suppressLineNumbers w:val="0"/>
        <w:kinsoku/>
        <w:overflowPunct/>
        <w:topLinePunct w:val="0"/>
        <w:bidi w:val="0"/>
        <w:spacing w:line="440" w:lineRule="exact"/>
        <w:ind w:firstLine="211" w:firstLineChars="100"/>
        <w:jc w:val="left"/>
        <w:rPr>
          <w:rFonts w:hint="eastAsia" w:ascii="宋体" w:hAnsi="宋体" w:eastAsia="宋体" w:cs="宋体"/>
          <w:color w:val="auto"/>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4.2</w:t>
      </w:r>
      <w:r>
        <w:rPr>
          <w:rFonts w:hint="eastAsia" w:ascii="宋体" w:hAnsi="宋体" w:eastAsia="宋体" w:cs="宋体"/>
          <w:b/>
          <w:bCs/>
          <w:strike w:val="0"/>
          <w:dstrike w:val="0"/>
          <w:snapToGrid w:val="0"/>
          <w:color w:val="auto"/>
          <w:kern w:val="0"/>
          <w:sz w:val="21"/>
          <w:szCs w:val="21"/>
          <w:highlight w:val="none"/>
        </w:rPr>
        <w:t>.3</w:t>
      </w:r>
      <w:r>
        <w:rPr>
          <w:rFonts w:hint="eastAsia" w:ascii="宋体" w:hAnsi="宋体" w:eastAsia="宋体" w:cs="宋体"/>
          <w:strike w:val="0"/>
          <w:dstrike w:val="0"/>
          <w:snapToGrid w:val="0"/>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bidi="ar"/>
        </w:rPr>
        <w:t xml:space="preserve">承包人应在工资专户开立后 2 个工作日内，将开户银行及其账号、开户协议等资料提交给发包人。 </w:t>
      </w:r>
    </w:p>
    <w:p w14:paraId="30991A78">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（1）用人单位应当在建设项目动工前，在建设项目所在地银行设立工人工资支付专用账户。 </w:t>
      </w:r>
    </w:p>
    <w:p w14:paraId="5A42A1E4">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（2）用人单位应当在用工之日起 15 日内为每一位工人办理个人银行账户。 </w:t>
      </w:r>
    </w:p>
    <w:p w14:paraId="46187BF9">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（3）用人单位应当指定专人负责建设项目施工现场台账管理，真实、准确记录工人名册、劳务合同、劳动合同、工程进度、工时台账、劳务承包款和工人工资支付等信息，并保存两年以上备查。 </w:t>
      </w:r>
    </w:p>
    <w:p w14:paraId="0606AE12">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14:paraId="0DE973CC">
      <w:pPr>
        <w:keepNext w:val="0"/>
        <w:keepLines w:val="0"/>
        <w:pageBreakBefore w:val="0"/>
        <w:widowControl/>
        <w:suppressLineNumbers w:val="0"/>
        <w:kinsoku/>
        <w:overflowPunct/>
        <w:topLinePunct w:val="0"/>
        <w:bidi w:val="0"/>
        <w:spacing w:line="440" w:lineRule="exact"/>
        <w:ind w:firstLine="211" w:firstLineChars="1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4.2.4 </w:t>
      </w:r>
      <w:r>
        <w:rPr>
          <w:rFonts w:hint="eastAsia" w:ascii="宋体" w:hAnsi="宋体" w:eastAsia="宋体" w:cs="宋体"/>
          <w:color w:val="auto"/>
          <w:kern w:val="0"/>
          <w:sz w:val="21"/>
          <w:szCs w:val="21"/>
          <w:highlight w:val="none"/>
          <w:lang w:val="en-US" w:eastAsia="zh-CN" w:bidi="ar"/>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70A1EB61">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trike w:val="0"/>
          <w:dstrike w:val="0"/>
          <w:snapToGrid w:val="0"/>
          <w:color w:val="auto"/>
          <w:sz w:val="21"/>
          <w:szCs w:val="21"/>
          <w:highlight w:val="none"/>
        </w:rPr>
      </w:pPr>
      <w:bookmarkStart w:id="157" w:name="_Toc15476"/>
      <w:bookmarkStart w:id="158" w:name="_Toc21233"/>
      <w:r>
        <w:rPr>
          <w:rFonts w:hint="eastAsia" w:ascii="宋体" w:hAnsi="宋体" w:eastAsia="宋体" w:cs="宋体"/>
          <w:b/>
          <w:strike w:val="0"/>
          <w:dstrike w:val="0"/>
          <w:snapToGrid w:val="0"/>
          <w:color w:val="auto"/>
          <w:sz w:val="21"/>
          <w:szCs w:val="21"/>
          <w:highlight w:val="none"/>
          <w:lang w:val="en-US" w:eastAsia="zh-CN"/>
        </w:rPr>
        <w:t>4.3</w:t>
      </w:r>
      <w:r>
        <w:rPr>
          <w:rFonts w:hint="eastAsia" w:ascii="宋体" w:hAnsi="宋体" w:eastAsia="宋体" w:cs="宋体"/>
          <w:b/>
          <w:strike w:val="0"/>
          <w:dstrike w:val="0"/>
          <w:snapToGrid w:val="0"/>
          <w:color w:val="auto"/>
          <w:sz w:val="21"/>
          <w:szCs w:val="21"/>
          <w:highlight w:val="none"/>
        </w:rPr>
        <w:t>．诚信登记</w:t>
      </w:r>
      <w:bookmarkEnd w:id="157"/>
      <w:bookmarkEnd w:id="158"/>
    </w:p>
    <w:p w14:paraId="08003812">
      <w:pPr>
        <w:keepNext w:val="0"/>
        <w:keepLines w:val="0"/>
        <w:pageBreakBefore w:val="0"/>
        <w:kinsoku/>
        <w:wordWrap w:val="0"/>
        <w:overflowPunct/>
        <w:topLinePunct w:val="0"/>
        <w:bidi w:val="0"/>
        <w:adjustRightInd w:val="0"/>
        <w:snapToGrid w:val="0"/>
        <w:spacing w:line="440" w:lineRule="exact"/>
        <w:ind w:firstLine="630" w:firstLineChars="3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lang w:val="en-US" w:eastAsia="zh-CN"/>
        </w:rPr>
        <w:t>根据资质管理规定，许可机关应当建立、健全建筑业企业信用档案管理制度，包括企业基本信息、资质、业绩、工程质量和安全、合同履约、社会投诉和违法行为等情况</w:t>
      </w:r>
      <w:r>
        <w:rPr>
          <w:rFonts w:hint="eastAsia" w:ascii="宋体" w:hAnsi="宋体" w:eastAsia="宋体" w:cs="宋体"/>
          <w:strike w:val="0"/>
          <w:dstrike w:val="0"/>
          <w:snapToGrid w:val="0"/>
          <w:color w:val="auto"/>
          <w:kern w:val="0"/>
          <w:sz w:val="21"/>
          <w:szCs w:val="21"/>
          <w:highlight w:val="none"/>
        </w:rPr>
        <w:t>。</w:t>
      </w:r>
    </w:p>
    <w:p w14:paraId="19D3A33F">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trike w:val="0"/>
          <w:dstrike w:val="0"/>
          <w:snapToGrid w:val="0"/>
          <w:color w:val="auto"/>
          <w:sz w:val="21"/>
          <w:szCs w:val="21"/>
          <w:highlight w:val="none"/>
        </w:rPr>
      </w:pPr>
      <w:bookmarkStart w:id="159" w:name="_Toc30115"/>
      <w:bookmarkStart w:id="160" w:name="_Toc24195"/>
      <w:r>
        <w:rPr>
          <w:rFonts w:hint="eastAsia" w:ascii="宋体" w:hAnsi="宋体" w:eastAsia="宋体" w:cs="宋体"/>
          <w:b/>
          <w:strike w:val="0"/>
          <w:dstrike w:val="0"/>
          <w:snapToGrid w:val="0"/>
          <w:color w:val="auto"/>
          <w:sz w:val="21"/>
          <w:szCs w:val="21"/>
          <w:highlight w:val="none"/>
          <w:lang w:val="en-US" w:eastAsia="zh-CN"/>
        </w:rPr>
        <w:t>4.4</w:t>
      </w:r>
      <w:r>
        <w:rPr>
          <w:rFonts w:hint="eastAsia" w:ascii="宋体" w:hAnsi="宋体" w:eastAsia="宋体" w:cs="宋体"/>
          <w:b/>
          <w:strike w:val="0"/>
          <w:dstrike w:val="0"/>
          <w:snapToGrid w:val="0"/>
          <w:color w:val="auto"/>
          <w:sz w:val="21"/>
          <w:szCs w:val="21"/>
          <w:highlight w:val="none"/>
        </w:rPr>
        <w:t>．工期进度</w:t>
      </w:r>
      <w:bookmarkEnd w:id="159"/>
      <w:bookmarkEnd w:id="160"/>
    </w:p>
    <w:p w14:paraId="74754253">
      <w:pPr>
        <w:keepNext w:val="0"/>
        <w:keepLines w:val="0"/>
        <w:pageBreakBefore w:val="0"/>
        <w:tabs>
          <w:tab w:val="left" w:pos="7020"/>
        </w:tabs>
        <w:kinsoku/>
        <w:wordWrap w:val="0"/>
        <w:overflowPunct/>
        <w:topLinePunct w:val="0"/>
        <w:bidi w:val="0"/>
        <w:adjustRightInd w:val="0"/>
        <w:snapToGrid w:val="0"/>
        <w:spacing w:line="440" w:lineRule="exact"/>
        <w:ind w:firstLine="422" w:firstLineChars="2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4.4</w:t>
      </w:r>
      <w:r>
        <w:rPr>
          <w:rFonts w:hint="eastAsia" w:ascii="宋体" w:hAnsi="宋体" w:eastAsia="宋体" w:cs="宋体"/>
          <w:b/>
          <w:bCs/>
          <w:strike w:val="0"/>
          <w:dstrike w:val="0"/>
          <w:snapToGrid w:val="0"/>
          <w:color w:val="auto"/>
          <w:kern w:val="0"/>
          <w:sz w:val="21"/>
          <w:szCs w:val="21"/>
          <w:highlight w:val="none"/>
        </w:rPr>
        <w:t>.1</w:t>
      </w:r>
      <w:r>
        <w:rPr>
          <w:rFonts w:hint="eastAsia" w:ascii="宋体" w:hAnsi="宋体" w:eastAsia="宋体" w:cs="宋体"/>
          <w:strike w:val="0"/>
          <w:dstrike w:val="0"/>
          <w:snapToGrid w:val="0"/>
          <w:color w:val="auto"/>
          <w:kern w:val="0"/>
          <w:sz w:val="21"/>
          <w:szCs w:val="21"/>
          <w:highlight w:val="none"/>
        </w:rPr>
        <w:t>本招标项目施工工期为</w:t>
      </w:r>
      <w:r>
        <w:rPr>
          <w:rFonts w:hint="eastAsia" w:ascii="宋体" w:hAnsi="宋体" w:eastAsia="宋体" w:cs="宋体"/>
          <w:strike w:val="0"/>
          <w:dstrike w:val="0"/>
          <w:snapToGrid w:val="0"/>
          <w:color w:val="auto"/>
          <w:kern w:val="0"/>
          <w:sz w:val="21"/>
          <w:szCs w:val="21"/>
          <w:highlight w:val="none"/>
          <w:u w:val="single"/>
          <w:lang w:val="en-US" w:eastAsia="zh-CN"/>
        </w:rPr>
        <w:t xml:space="preserve"> </w:t>
      </w:r>
      <w:r>
        <w:rPr>
          <w:rFonts w:hint="eastAsia" w:hAnsi="宋体" w:cs="宋体"/>
          <w:strike w:val="0"/>
          <w:dstrike w:val="0"/>
          <w:snapToGrid w:val="0"/>
          <w:color w:val="auto"/>
          <w:kern w:val="0"/>
          <w:sz w:val="21"/>
          <w:szCs w:val="21"/>
          <w:highlight w:val="none"/>
          <w:u w:val="single"/>
          <w:lang w:val="en-US" w:eastAsia="zh-CN"/>
        </w:rPr>
        <w:t>90</w:t>
      </w:r>
      <w:r>
        <w:rPr>
          <w:rFonts w:hint="eastAsia" w:ascii="宋体" w:hAnsi="宋体" w:eastAsia="宋体" w:cs="宋体"/>
          <w:strike w:val="0"/>
          <w:dstrike w:val="0"/>
          <w:snapToGrid w:val="0"/>
          <w:color w:val="auto"/>
          <w:kern w:val="0"/>
          <w:sz w:val="21"/>
          <w:szCs w:val="21"/>
          <w:highlight w:val="none"/>
          <w:u w:val="single"/>
          <w:lang w:val="en-US" w:eastAsia="zh-CN"/>
        </w:rPr>
        <w:t>个日历天</w:t>
      </w:r>
      <w:r>
        <w:rPr>
          <w:rFonts w:hint="eastAsia" w:ascii="宋体" w:hAnsi="宋体" w:eastAsia="宋体" w:cs="宋体"/>
          <w:bCs/>
          <w:strike w:val="0"/>
          <w:dstrike w:val="0"/>
          <w:snapToGrid w:val="0"/>
          <w:color w:val="auto"/>
          <w:kern w:val="0"/>
          <w:sz w:val="21"/>
          <w:szCs w:val="21"/>
          <w:highlight w:val="none"/>
        </w:rPr>
        <w:t>，</w:t>
      </w:r>
      <w:r>
        <w:rPr>
          <w:rFonts w:hint="eastAsia" w:ascii="宋体" w:hAnsi="宋体" w:eastAsia="宋体" w:cs="宋体"/>
          <w:strike w:val="0"/>
          <w:dstrike w:val="0"/>
          <w:snapToGrid w:val="0"/>
          <w:color w:val="auto"/>
          <w:kern w:val="0"/>
          <w:sz w:val="21"/>
          <w:szCs w:val="21"/>
          <w:highlight w:val="none"/>
        </w:rPr>
        <w:t>承包人必须在招标工期内完成招标范围内的全部内容。</w:t>
      </w:r>
    </w:p>
    <w:p w14:paraId="58EF97C3">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4.4</w:t>
      </w:r>
      <w:r>
        <w:rPr>
          <w:rFonts w:hint="eastAsia" w:ascii="宋体" w:hAnsi="宋体" w:eastAsia="宋体" w:cs="宋体"/>
          <w:b/>
          <w:bCs/>
          <w:strike w:val="0"/>
          <w:dstrike w:val="0"/>
          <w:snapToGrid w:val="0"/>
          <w:color w:val="auto"/>
          <w:kern w:val="0"/>
          <w:sz w:val="21"/>
          <w:szCs w:val="21"/>
          <w:highlight w:val="none"/>
        </w:rPr>
        <w:t>.2</w:t>
      </w:r>
      <w:r>
        <w:rPr>
          <w:rFonts w:hint="eastAsia" w:ascii="宋体" w:hAnsi="宋体" w:eastAsia="宋体" w:cs="宋体"/>
          <w:strike w:val="0"/>
          <w:dstrike w:val="0"/>
          <w:snapToGrid w:val="0"/>
          <w:color w:val="auto"/>
          <w:kern w:val="0"/>
          <w:sz w:val="21"/>
          <w:szCs w:val="21"/>
          <w:highlight w:val="none"/>
        </w:rPr>
        <w:t xml:space="preserve"> 施工工期从承包人收到监理单位签发的开工令之日起计，至竣工验收合格之日止。</w:t>
      </w:r>
    </w:p>
    <w:p w14:paraId="5062B1F8">
      <w:pPr>
        <w:pStyle w:val="71"/>
        <w:keepNext w:val="0"/>
        <w:keepLines w:val="0"/>
        <w:pageBreakBefore w:val="0"/>
        <w:kinsoku/>
        <w:overflowPunct/>
        <w:topLinePunct w:val="0"/>
        <w:bidi w:val="0"/>
        <w:spacing w:line="440" w:lineRule="exact"/>
        <w:ind w:firstLine="422" w:firstLineChars="200"/>
        <w:rPr>
          <w:rFonts w:hint="eastAsia" w:ascii="宋体" w:hAnsi="宋体" w:eastAsia="宋体" w:cs="宋体"/>
          <w:b w:val="0"/>
          <w:bCs w:val="0"/>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4.2</w:t>
      </w:r>
      <w:r>
        <w:rPr>
          <w:rFonts w:hint="eastAsia" w:ascii="宋体" w:hAnsi="宋体" w:eastAsia="宋体" w:cs="宋体"/>
          <w:b/>
          <w:bCs/>
          <w:strike w:val="0"/>
          <w:dstrike w:val="0"/>
          <w:snapToGrid w:val="0"/>
          <w:color w:val="auto"/>
          <w:kern w:val="0"/>
          <w:sz w:val="21"/>
          <w:szCs w:val="21"/>
          <w:highlight w:val="none"/>
        </w:rPr>
        <w:t>.3</w:t>
      </w:r>
      <w:r>
        <w:rPr>
          <w:rFonts w:hint="eastAsia" w:ascii="宋体" w:hAnsi="宋体" w:eastAsia="宋体" w:cs="宋体"/>
          <w:b w:val="0"/>
          <w:bCs w:val="0"/>
          <w:strike w:val="0"/>
          <w:dstrike w:val="0"/>
          <w:snapToGrid w:val="0"/>
          <w:color w:val="auto"/>
          <w:kern w:val="0"/>
          <w:sz w:val="21"/>
          <w:szCs w:val="21"/>
          <w:highlight w:val="none"/>
          <w:lang w:val="en-US" w:eastAsia="zh-CN"/>
        </w:rPr>
        <w:t>工期奖罚</w:t>
      </w:r>
    </w:p>
    <w:p w14:paraId="0733F4FC">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□竣工验收合格交付使用每提前</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0"/>
          <w:sz w:val="21"/>
          <w:szCs w:val="21"/>
          <w:highlight w:val="none"/>
          <w:lang w:val="en-US" w:eastAsia="zh-CN" w:bidi="ar"/>
        </w:rPr>
        <w:t>天竣工；奖</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0"/>
          <w:sz w:val="21"/>
          <w:szCs w:val="21"/>
          <w:highlight w:val="none"/>
          <w:lang w:val="en-US" w:eastAsia="zh-CN" w:bidi="ar"/>
        </w:rPr>
        <w:t>元，奖励金额不超过合同价款的% （一般为 2%～5%）且不超过</w:t>
      </w:r>
      <w:r>
        <w:rPr>
          <w:rFonts w:hint="eastAsia" w:ascii="宋体" w:hAnsi="宋体" w:eastAsia="宋体" w:cs="宋体"/>
          <w:color w:val="auto"/>
          <w:kern w:val="0"/>
          <w:sz w:val="21"/>
          <w:szCs w:val="21"/>
          <w:highlight w:val="none"/>
          <w:u w:val="single"/>
          <w:lang w:val="en-US" w:eastAsia="zh-CN" w:bidi="ar"/>
        </w:rPr>
        <w:t xml:space="preserve">  /  </w:t>
      </w:r>
      <w:r>
        <w:rPr>
          <w:rFonts w:hint="eastAsia" w:ascii="宋体" w:hAnsi="宋体" w:eastAsia="宋体" w:cs="宋体"/>
          <w:color w:val="auto"/>
          <w:kern w:val="0"/>
          <w:sz w:val="21"/>
          <w:szCs w:val="21"/>
          <w:highlight w:val="none"/>
          <w:lang w:val="en-US" w:eastAsia="zh-CN" w:bidi="ar"/>
        </w:rPr>
        <w:t xml:space="preserve">万元。 </w:t>
      </w:r>
    </w:p>
    <w:p w14:paraId="62C680F1">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按施工合同期约定，因承包人原因每延误</w:t>
      </w:r>
      <w:r>
        <w:rPr>
          <w:rFonts w:hint="eastAsia" w:ascii="宋体" w:hAnsi="宋体" w:eastAsia="宋体" w:cs="宋体"/>
          <w:color w:val="auto"/>
          <w:kern w:val="0"/>
          <w:sz w:val="21"/>
          <w:szCs w:val="21"/>
          <w:highlight w:val="none"/>
          <w:u w:val="single"/>
          <w:lang w:val="en-US" w:eastAsia="zh-CN" w:bidi="ar"/>
        </w:rPr>
        <w:t xml:space="preserve"> </w:t>
      </w:r>
      <w:r>
        <w:rPr>
          <w:rFonts w:hint="eastAsia" w:hAnsi="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天竣工，罚</w:t>
      </w:r>
      <w:r>
        <w:rPr>
          <w:rFonts w:hint="eastAsia" w:ascii="宋体" w:hAnsi="宋体" w:eastAsia="宋体" w:cs="宋体"/>
          <w:color w:val="auto"/>
          <w:kern w:val="0"/>
          <w:sz w:val="21"/>
          <w:szCs w:val="21"/>
          <w:highlight w:val="none"/>
          <w:u w:val="single"/>
          <w:lang w:val="en-US" w:eastAsia="zh-CN" w:bidi="ar"/>
        </w:rPr>
        <w:t xml:space="preserve"> </w:t>
      </w:r>
      <w:r>
        <w:rPr>
          <w:rFonts w:hint="eastAsia" w:hAnsi="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元。 </w:t>
      </w:r>
    </w:p>
    <w:p w14:paraId="77A903D9">
      <w:pPr>
        <w:keepNext w:val="0"/>
        <w:keepLines w:val="0"/>
        <w:pageBreakBefore w:val="0"/>
        <w:widowControl/>
        <w:suppressLineNumbers w:val="0"/>
        <w:kinsoku/>
        <w:overflowPunct/>
        <w:topLinePunct w:val="0"/>
        <w:bidi w:val="0"/>
        <w:spacing w:line="440" w:lineRule="exact"/>
        <w:ind w:lef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□按施工合同期约定，因承包人原因延误工期</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天内不处罚， 自第</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天起每延误</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天竣工, 罚</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元。处罚金额不超过合同价款的</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%（一般为 2%～5%）且不超过</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万元，累计延误工期达到</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天，报请建设行政主管部门作不良行为记录，非承包方原因或不可抗力造成延误的除外。 </w:t>
      </w:r>
    </w:p>
    <w:p w14:paraId="0FEE48AB">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lang w:val="en-US"/>
        </w:rPr>
      </w:pPr>
      <w:r>
        <w:rPr>
          <w:rFonts w:hint="eastAsia"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其它说明：</w:t>
      </w:r>
      <w:r>
        <w:rPr>
          <w:rFonts w:hint="eastAsia" w:ascii="宋体" w:hAnsi="宋体" w:eastAsia="宋体" w:cs="宋体"/>
          <w:b/>
          <w:bCs/>
          <w:color w:val="auto"/>
          <w:kern w:val="0"/>
          <w:sz w:val="21"/>
          <w:szCs w:val="21"/>
          <w:highlight w:val="none"/>
          <w:lang w:val="en-US" w:eastAsia="zh-CN" w:bidi="ar"/>
        </w:rPr>
        <w:t>由于承包人原因造成工期延误的，承包人须在逾期第壹天起每天按合同价的1‰向招标人返纳逾期竣工违约金。</w:t>
      </w:r>
    </w:p>
    <w:p w14:paraId="0AB373D0">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strike w:val="0"/>
          <w:dstrike w:val="0"/>
          <w:snapToGrid w:val="0"/>
          <w:color w:val="auto"/>
          <w:sz w:val="21"/>
          <w:szCs w:val="21"/>
          <w:highlight w:val="none"/>
        </w:rPr>
      </w:pPr>
      <w:bookmarkStart w:id="161" w:name="_Toc21648"/>
      <w:bookmarkStart w:id="162" w:name="_Toc16363"/>
      <w:r>
        <w:rPr>
          <w:rFonts w:hint="eastAsia" w:ascii="宋体" w:hAnsi="宋体" w:eastAsia="宋体" w:cs="宋体"/>
          <w:b/>
          <w:strike w:val="0"/>
          <w:dstrike w:val="0"/>
          <w:snapToGrid w:val="0"/>
          <w:color w:val="auto"/>
          <w:sz w:val="21"/>
          <w:szCs w:val="21"/>
          <w:highlight w:val="none"/>
          <w:lang w:val="en-US" w:eastAsia="zh-CN"/>
        </w:rPr>
        <w:t>4.5</w:t>
      </w:r>
      <w:r>
        <w:rPr>
          <w:rFonts w:hint="eastAsia" w:ascii="宋体" w:hAnsi="宋体" w:eastAsia="宋体" w:cs="宋体"/>
          <w:b/>
          <w:strike w:val="0"/>
          <w:dstrike w:val="0"/>
          <w:snapToGrid w:val="0"/>
          <w:color w:val="auto"/>
          <w:sz w:val="21"/>
          <w:szCs w:val="21"/>
          <w:highlight w:val="none"/>
        </w:rPr>
        <w:t>．项目管理机构</w:t>
      </w:r>
      <w:bookmarkEnd w:id="161"/>
      <w:bookmarkEnd w:id="162"/>
    </w:p>
    <w:p w14:paraId="11AF06B8">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4.5</w:t>
      </w:r>
      <w:r>
        <w:rPr>
          <w:rFonts w:hint="eastAsia" w:ascii="宋体" w:hAnsi="宋体" w:eastAsia="宋体" w:cs="宋体"/>
          <w:b/>
          <w:bCs/>
          <w:strike w:val="0"/>
          <w:dstrike w:val="0"/>
          <w:snapToGrid w:val="0"/>
          <w:color w:val="auto"/>
          <w:kern w:val="0"/>
          <w:sz w:val="21"/>
          <w:szCs w:val="21"/>
          <w:highlight w:val="none"/>
        </w:rPr>
        <w:t>.1</w:t>
      </w:r>
      <w:r>
        <w:rPr>
          <w:rFonts w:hint="eastAsia" w:ascii="宋体" w:hAnsi="宋体" w:eastAsia="宋体" w:cs="宋体"/>
          <w:strike w:val="0"/>
          <w:dstrike w:val="0"/>
          <w:snapToGrid w:val="0"/>
          <w:color w:val="auto"/>
          <w:kern w:val="0"/>
          <w:sz w:val="21"/>
          <w:szCs w:val="21"/>
          <w:highlight w:val="none"/>
        </w:rPr>
        <w:t xml:space="preserve"> 承包人派驻的项目管理班子成员必须为其投标文件确定的人员，否则发包人有权终止合同。</w:t>
      </w:r>
    </w:p>
    <w:p w14:paraId="288E1F58">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4.5</w:t>
      </w:r>
      <w:r>
        <w:rPr>
          <w:rFonts w:hint="eastAsia" w:ascii="宋体" w:hAnsi="宋体" w:eastAsia="宋体" w:cs="宋体"/>
          <w:b/>
          <w:bCs/>
          <w:strike w:val="0"/>
          <w:dstrike w:val="0"/>
          <w:snapToGrid w:val="0"/>
          <w:color w:val="auto"/>
          <w:kern w:val="0"/>
          <w:sz w:val="21"/>
          <w:szCs w:val="21"/>
          <w:highlight w:val="none"/>
        </w:rPr>
        <w:t>.2</w:t>
      </w:r>
      <w:r>
        <w:rPr>
          <w:rFonts w:hint="eastAsia" w:ascii="宋体" w:hAnsi="宋体" w:eastAsia="宋体" w:cs="宋体"/>
          <w:strike w:val="0"/>
          <w:dstrike w:val="0"/>
          <w:snapToGrid w:val="0"/>
          <w:color w:val="auto"/>
          <w:kern w:val="0"/>
          <w:sz w:val="21"/>
          <w:szCs w:val="21"/>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1258A5BF">
      <w:pPr>
        <w:pStyle w:val="4"/>
        <w:keepNext w:val="0"/>
        <w:keepLines w:val="0"/>
        <w:pageBreakBefore w:val="0"/>
        <w:kinsoku/>
        <w:wordWrap w:val="0"/>
        <w:overflowPunct/>
        <w:topLinePunct w:val="0"/>
        <w:autoSpaceDE/>
        <w:autoSpaceDN/>
        <w:bidi w:val="0"/>
        <w:snapToGrid w:val="0"/>
        <w:spacing w:line="440" w:lineRule="exact"/>
        <w:ind w:firstLine="422" w:firstLineChars="200"/>
        <w:jc w:val="both"/>
        <w:rPr>
          <w:rFonts w:hint="eastAsia" w:ascii="宋体" w:hAnsi="宋体" w:eastAsia="宋体" w:cs="宋体"/>
          <w:b/>
          <w:strike w:val="0"/>
          <w:dstrike w:val="0"/>
          <w:snapToGrid w:val="0"/>
          <w:color w:val="auto"/>
          <w:sz w:val="21"/>
          <w:szCs w:val="21"/>
          <w:highlight w:val="none"/>
        </w:rPr>
      </w:pPr>
      <w:bookmarkStart w:id="163" w:name="_Toc16233"/>
      <w:bookmarkStart w:id="164" w:name="_Toc21811"/>
      <w:r>
        <w:rPr>
          <w:rFonts w:hint="eastAsia" w:ascii="宋体" w:hAnsi="宋体" w:eastAsia="宋体" w:cs="宋体"/>
          <w:b/>
          <w:strike w:val="0"/>
          <w:dstrike w:val="0"/>
          <w:snapToGrid w:val="0"/>
          <w:color w:val="auto"/>
          <w:sz w:val="21"/>
          <w:szCs w:val="21"/>
          <w:highlight w:val="none"/>
          <w:lang w:val="en-US" w:eastAsia="zh-CN"/>
        </w:rPr>
        <w:t>4.6</w:t>
      </w:r>
      <w:r>
        <w:rPr>
          <w:rFonts w:hint="eastAsia" w:ascii="宋体" w:hAnsi="宋体" w:eastAsia="宋体" w:cs="宋体"/>
          <w:b/>
          <w:strike w:val="0"/>
          <w:dstrike w:val="0"/>
          <w:snapToGrid w:val="0"/>
          <w:color w:val="auto"/>
          <w:sz w:val="21"/>
          <w:szCs w:val="21"/>
          <w:highlight w:val="none"/>
        </w:rPr>
        <w:t>．现场管理</w:t>
      </w:r>
      <w:bookmarkEnd w:id="163"/>
      <w:bookmarkEnd w:id="164"/>
    </w:p>
    <w:p w14:paraId="3528E951">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4.6</w:t>
      </w:r>
      <w:r>
        <w:rPr>
          <w:rFonts w:hint="eastAsia" w:ascii="宋体" w:hAnsi="宋体" w:eastAsia="宋体" w:cs="宋体"/>
          <w:b/>
          <w:bCs/>
          <w:strike w:val="0"/>
          <w:dstrike w:val="0"/>
          <w:snapToGrid w:val="0"/>
          <w:color w:val="auto"/>
          <w:kern w:val="0"/>
          <w:sz w:val="21"/>
          <w:szCs w:val="21"/>
          <w:highlight w:val="none"/>
        </w:rPr>
        <w:t>1</w:t>
      </w:r>
      <w:r>
        <w:rPr>
          <w:rFonts w:hint="eastAsia" w:ascii="宋体" w:hAnsi="宋体" w:eastAsia="宋体" w:cs="宋体"/>
          <w:strike w:val="0"/>
          <w:dstrike w:val="0"/>
          <w:snapToGrid w:val="0"/>
          <w:color w:val="auto"/>
          <w:kern w:val="0"/>
          <w:sz w:val="21"/>
          <w:szCs w:val="21"/>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6F6C92CC">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4.6</w:t>
      </w:r>
      <w:r>
        <w:rPr>
          <w:rFonts w:hint="eastAsia" w:ascii="宋体" w:hAnsi="宋体" w:eastAsia="宋体" w:cs="宋体"/>
          <w:b/>
          <w:bCs/>
          <w:strike w:val="0"/>
          <w:dstrike w:val="0"/>
          <w:snapToGrid w:val="0"/>
          <w:color w:val="auto"/>
          <w:kern w:val="0"/>
          <w:sz w:val="21"/>
          <w:szCs w:val="21"/>
          <w:highlight w:val="none"/>
        </w:rPr>
        <w:t>.2</w:t>
      </w:r>
      <w:r>
        <w:rPr>
          <w:rFonts w:hint="eastAsia" w:ascii="宋体" w:hAnsi="宋体" w:eastAsia="宋体" w:cs="宋体"/>
          <w:strike w:val="0"/>
          <w:dstrike w:val="0"/>
          <w:snapToGrid w:val="0"/>
          <w:color w:val="auto"/>
          <w:kern w:val="0"/>
          <w:sz w:val="21"/>
          <w:szCs w:val="21"/>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4D7C8648">
      <w:pPr>
        <w:keepNext w:val="0"/>
        <w:keepLines w:val="0"/>
        <w:pageBreakBefore w:val="0"/>
        <w:kinsoku/>
        <w:wordWrap w:val="0"/>
        <w:overflowPunct/>
        <w:topLinePunct w:val="0"/>
        <w:bidi w:val="0"/>
        <w:adjustRightInd w:val="0"/>
        <w:snapToGrid w:val="0"/>
        <w:spacing w:line="440" w:lineRule="exact"/>
        <w:ind w:firstLine="422" w:firstLineChars="200"/>
        <w:rPr>
          <w:rFonts w:hint="eastAsia" w:ascii="宋体" w:hAnsi="宋体" w:eastAsia="宋体" w:cs="宋体"/>
          <w:strike w:val="0"/>
          <w:dstrike w:val="0"/>
          <w:color w:val="auto"/>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4.6.</w:t>
      </w:r>
      <w:r>
        <w:rPr>
          <w:rFonts w:hint="eastAsia" w:ascii="宋体" w:hAnsi="宋体" w:eastAsia="宋体" w:cs="宋体"/>
          <w:b/>
          <w:bCs/>
          <w:strike w:val="0"/>
          <w:dstrike w:val="0"/>
          <w:snapToGrid w:val="0"/>
          <w:color w:val="auto"/>
          <w:kern w:val="0"/>
          <w:sz w:val="21"/>
          <w:szCs w:val="21"/>
          <w:highlight w:val="none"/>
        </w:rPr>
        <w:t>3</w:t>
      </w:r>
      <w:r>
        <w:rPr>
          <w:rFonts w:hint="eastAsia" w:ascii="宋体" w:hAnsi="宋体" w:eastAsia="宋体" w:cs="宋体"/>
          <w:strike w:val="0"/>
          <w:dstrike w:val="0"/>
          <w:snapToGrid w:val="0"/>
          <w:color w:val="auto"/>
          <w:kern w:val="0"/>
          <w:sz w:val="21"/>
          <w:szCs w:val="21"/>
          <w:highlight w:val="none"/>
        </w:rPr>
        <w:t xml:space="preserve"> 为保证施工现场的环境卫生，承包人在本招标项目施工过程中，所有的车辆必须按发包人规定的行车路线行驶。</w:t>
      </w:r>
    </w:p>
    <w:p w14:paraId="107F6C6F">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trike w:val="0"/>
          <w:dstrike w:val="0"/>
          <w:snapToGrid w:val="0"/>
          <w:color w:val="auto"/>
          <w:sz w:val="21"/>
          <w:szCs w:val="21"/>
          <w:highlight w:val="none"/>
        </w:rPr>
      </w:pPr>
      <w:bookmarkStart w:id="165" w:name="_Toc1176"/>
      <w:bookmarkStart w:id="166" w:name="_Toc1442"/>
      <w:r>
        <w:rPr>
          <w:rFonts w:hint="eastAsia" w:ascii="宋体" w:hAnsi="宋体" w:eastAsia="宋体" w:cs="宋体"/>
          <w:b/>
          <w:strike w:val="0"/>
          <w:dstrike w:val="0"/>
          <w:snapToGrid w:val="0"/>
          <w:color w:val="auto"/>
          <w:sz w:val="21"/>
          <w:szCs w:val="21"/>
          <w:highlight w:val="none"/>
          <w:lang w:val="en-US" w:eastAsia="zh-CN"/>
        </w:rPr>
        <w:t>4.7</w:t>
      </w:r>
      <w:r>
        <w:rPr>
          <w:rFonts w:hint="eastAsia" w:ascii="宋体" w:hAnsi="宋体" w:eastAsia="宋体" w:cs="宋体"/>
          <w:b/>
          <w:strike w:val="0"/>
          <w:dstrike w:val="0"/>
          <w:snapToGrid w:val="0"/>
          <w:color w:val="auto"/>
          <w:sz w:val="21"/>
          <w:szCs w:val="21"/>
          <w:highlight w:val="none"/>
        </w:rPr>
        <w:t>．监督实施</w:t>
      </w:r>
      <w:bookmarkEnd w:id="165"/>
      <w:bookmarkEnd w:id="166"/>
    </w:p>
    <w:p w14:paraId="43ED50F8">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50BBFB83">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trike w:val="0"/>
          <w:dstrike w:val="0"/>
          <w:snapToGrid w:val="0"/>
          <w:color w:val="auto"/>
          <w:sz w:val="21"/>
          <w:szCs w:val="21"/>
          <w:highlight w:val="none"/>
        </w:rPr>
      </w:pPr>
      <w:bookmarkStart w:id="167" w:name="_Toc1485"/>
      <w:bookmarkStart w:id="168" w:name="_Toc5482"/>
      <w:r>
        <w:rPr>
          <w:rFonts w:hint="eastAsia" w:ascii="宋体" w:hAnsi="宋体" w:eastAsia="宋体" w:cs="宋体"/>
          <w:b/>
          <w:strike w:val="0"/>
          <w:dstrike w:val="0"/>
          <w:snapToGrid w:val="0"/>
          <w:color w:val="auto"/>
          <w:sz w:val="21"/>
          <w:szCs w:val="21"/>
          <w:highlight w:val="none"/>
          <w:lang w:val="en-US" w:eastAsia="zh-CN"/>
        </w:rPr>
        <w:t>4.8</w:t>
      </w:r>
      <w:r>
        <w:rPr>
          <w:rFonts w:hint="eastAsia" w:ascii="宋体" w:hAnsi="宋体" w:eastAsia="宋体" w:cs="宋体"/>
          <w:b/>
          <w:strike w:val="0"/>
          <w:dstrike w:val="0"/>
          <w:snapToGrid w:val="0"/>
          <w:color w:val="auto"/>
          <w:sz w:val="21"/>
          <w:szCs w:val="21"/>
          <w:highlight w:val="none"/>
        </w:rPr>
        <w:t>．主材的采购和使用</w:t>
      </w:r>
      <w:bookmarkEnd w:id="167"/>
      <w:bookmarkEnd w:id="168"/>
    </w:p>
    <w:p w14:paraId="0BD835BB">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Cs/>
          <w:strike w:val="0"/>
          <w:dstrike w:val="0"/>
          <w:snapToGrid w:val="0"/>
          <w:color w:val="auto"/>
          <w:kern w:val="0"/>
          <w:sz w:val="21"/>
          <w:szCs w:val="21"/>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0F55C886">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trike w:val="0"/>
          <w:dstrike w:val="0"/>
          <w:snapToGrid w:val="0"/>
          <w:color w:val="auto"/>
          <w:sz w:val="21"/>
          <w:szCs w:val="21"/>
          <w:highlight w:val="none"/>
        </w:rPr>
      </w:pPr>
      <w:bookmarkStart w:id="169" w:name="_Toc27130"/>
      <w:bookmarkStart w:id="170" w:name="_Toc11557"/>
      <w:r>
        <w:rPr>
          <w:rFonts w:hint="eastAsia" w:ascii="宋体" w:hAnsi="宋体" w:eastAsia="宋体" w:cs="宋体"/>
          <w:b/>
          <w:strike w:val="0"/>
          <w:dstrike w:val="0"/>
          <w:snapToGrid w:val="0"/>
          <w:color w:val="auto"/>
          <w:sz w:val="21"/>
          <w:szCs w:val="21"/>
          <w:highlight w:val="none"/>
          <w:lang w:val="en-US" w:eastAsia="zh-CN"/>
        </w:rPr>
        <w:t>4.9</w:t>
      </w:r>
      <w:r>
        <w:rPr>
          <w:rFonts w:hint="eastAsia" w:ascii="宋体" w:hAnsi="宋体" w:eastAsia="宋体" w:cs="宋体"/>
          <w:b/>
          <w:strike w:val="0"/>
          <w:dstrike w:val="0"/>
          <w:snapToGrid w:val="0"/>
          <w:color w:val="auto"/>
          <w:sz w:val="21"/>
          <w:szCs w:val="21"/>
          <w:highlight w:val="none"/>
        </w:rPr>
        <w:t>．竣工资料移交</w:t>
      </w:r>
      <w:bookmarkEnd w:id="169"/>
      <w:bookmarkEnd w:id="170"/>
    </w:p>
    <w:p w14:paraId="3CFD4AE7">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strike w:val="0"/>
          <w:dstrike w:val="0"/>
          <w:color w:val="auto"/>
          <w:sz w:val="21"/>
          <w:szCs w:val="21"/>
          <w:highlight w:val="none"/>
        </w:rPr>
      </w:pPr>
      <w:r>
        <w:rPr>
          <w:rFonts w:hint="eastAsia" w:ascii="宋体" w:hAnsi="宋体" w:eastAsia="宋体" w:cs="宋体"/>
          <w:bCs/>
          <w:strike w:val="0"/>
          <w:dstrike w:val="0"/>
          <w:snapToGrid w:val="0"/>
          <w:color w:val="auto"/>
          <w:kern w:val="0"/>
          <w:sz w:val="21"/>
          <w:szCs w:val="21"/>
          <w:highlight w:val="none"/>
        </w:rPr>
        <w:t>项目竣工验收时，</w:t>
      </w:r>
      <w:r>
        <w:rPr>
          <w:rFonts w:hint="eastAsia" w:ascii="宋体" w:hAnsi="宋体" w:eastAsia="宋体" w:cs="宋体"/>
          <w:strike w:val="0"/>
          <w:dstrike w:val="0"/>
          <w:snapToGrid w:val="0"/>
          <w:color w:val="auto"/>
          <w:kern w:val="0"/>
          <w:sz w:val="21"/>
          <w:szCs w:val="21"/>
          <w:highlight w:val="none"/>
        </w:rPr>
        <w:t>承包</w:t>
      </w:r>
      <w:r>
        <w:rPr>
          <w:rFonts w:hint="eastAsia" w:ascii="宋体" w:hAnsi="宋体" w:eastAsia="宋体" w:cs="宋体"/>
          <w:bCs/>
          <w:strike w:val="0"/>
          <w:dstrike w:val="0"/>
          <w:snapToGrid w:val="0"/>
          <w:color w:val="auto"/>
          <w:kern w:val="0"/>
          <w:sz w:val="21"/>
          <w:szCs w:val="21"/>
          <w:highlight w:val="none"/>
        </w:rPr>
        <w:t>人应向监理单位和</w:t>
      </w:r>
      <w:r>
        <w:rPr>
          <w:rFonts w:hint="eastAsia" w:ascii="宋体" w:hAnsi="宋体" w:eastAsia="宋体" w:cs="宋体"/>
          <w:strike w:val="0"/>
          <w:dstrike w:val="0"/>
          <w:snapToGrid w:val="0"/>
          <w:color w:val="auto"/>
          <w:kern w:val="0"/>
          <w:sz w:val="21"/>
          <w:szCs w:val="21"/>
          <w:highlight w:val="none"/>
        </w:rPr>
        <w:t>发包</w:t>
      </w:r>
      <w:r>
        <w:rPr>
          <w:rFonts w:hint="eastAsia" w:ascii="宋体" w:hAnsi="宋体" w:eastAsia="宋体" w:cs="宋体"/>
          <w:bCs/>
          <w:strike w:val="0"/>
          <w:dstrike w:val="0"/>
          <w:snapToGrid w:val="0"/>
          <w:color w:val="auto"/>
          <w:kern w:val="0"/>
          <w:sz w:val="21"/>
          <w:szCs w:val="21"/>
          <w:highlight w:val="none"/>
        </w:rPr>
        <w:t>人提供符合国家档案部门备案要求的，编制成册的竣工图及有关的技术档案资料（含声像档案）一式</w:t>
      </w:r>
      <w:r>
        <w:rPr>
          <w:rFonts w:hint="eastAsia" w:ascii="宋体" w:hAnsi="宋体" w:eastAsia="宋体" w:cs="宋体"/>
          <w:bCs/>
          <w:strike w:val="0"/>
          <w:dstrike w:val="0"/>
          <w:snapToGrid w:val="0"/>
          <w:color w:val="auto"/>
          <w:kern w:val="0"/>
          <w:sz w:val="21"/>
          <w:szCs w:val="21"/>
          <w:highlight w:val="none"/>
          <w:u w:val="single"/>
        </w:rPr>
        <w:t>八</w:t>
      </w:r>
      <w:r>
        <w:rPr>
          <w:rFonts w:hint="eastAsia" w:ascii="宋体" w:hAnsi="宋体" w:eastAsia="宋体" w:cs="宋体"/>
          <w:bCs/>
          <w:strike w:val="0"/>
          <w:dstrike w:val="0"/>
          <w:snapToGrid w:val="0"/>
          <w:color w:val="auto"/>
          <w:kern w:val="0"/>
          <w:sz w:val="21"/>
          <w:szCs w:val="21"/>
          <w:highlight w:val="none"/>
        </w:rPr>
        <w:t>份。</w:t>
      </w:r>
    </w:p>
    <w:p w14:paraId="121F00F5">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trike w:val="0"/>
          <w:dstrike w:val="0"/>
          <w:snapToGrid w:val="0"/>
          <w:color w:val="auto"/>
          <w:sz w:val="21"/>
          <w:szCs w:val="21"/>
          <w:highlight w:val="none"/>
        </w:rPr>
      </w:pPr>
      <w:bookmarkStart w:id="171" w:name="_Toc14292"/>
      <w:bookmarkStart w:id="172" w:name="_Toc20949"/>
      <w:r>
        <w:rPr>
          <w:rFonts w:hint="eastAsia" w:ascii="宋体" w:hAnsi="宋体" w:eastAsia="宋体" w:cs="宋体"/>
          <w:b/>
          <w:strike w:val="0"/>
          <w:dstrike w:val="0"/>
          <w:snapToGrid w:val="0"/>
          <w:color w:val="auto"/>
          <w:sz w:val="21"/>
          <w:szCs w:val="21"/>
          <w:highlight w:val="none"/>
          <w:lang w:val="en-US" w:eastAsia="zh-CN"/>
        </w:rPr>
        <w:t>4.10</w:t>
      </w:r>
      <w:r>
        <w:rPr>
          <w:rFonts w:hint="eastAsia" w:ascii="宋体" w:hAnsi="宋体" w:eastAsia="宋体" w:cs="宋体"/>
          <w:b/>
          <w:strike w:val="0"/>
          <w:dstrike w:val="0"/>
          <w:snapToGrid w:val="0"/>
          <w:color w:val="auto"/>
          <w:sz w:val="21"/>
          <w:szCs w:val="21"/>
          <w:highlight w:val="none"/>
        </w:rPr>
        <w:t>．质量保证</w:t>
      </w:r>
      <w:bookmarkEnd w:id="171"/>
      <w:bookmarkEnd w:id="172"/>
    </w:p>
    <w:p w14:paraId="5EDD8EBF">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4.10</w:t>
      </w:r>
      <w:r>
        <w:rPr>
          <w:rFonts w:hint="eastAsia" w:ascii="宋体" w:hAnsi="宋体" w:eastAsia="宋体" w:cs="宋体"/>
          <w:b/>
          <w:bCs/>
          <w:strike w:val="0"/>
          <w:dstrike w:val="0"/>
          <w:snapToGrid w:val="0"/>
          <w:color w:val="auto"/>
          <w:kern w:val="0"/>
          <w:sz w:val="21"/>
          <w:szCs w:val="21"/>
          <w:highlight w:val="none"/>
        </w:rPr>
        <w:t>.1</w:t>
      </w:r>
      <w:r>
        <w:rPr>
          <w:rFonts w:hint="eastAsia" w:ascii="宋体" w:hAnsi="宋体" w:eastAsia="宋体" w:cs="宋体"/>
          <w:bCs/>
          <w:strike w:val="0"/>
          <w:dstrike w:val="0"/>
          <w:snapToGrid w:val="0"/>
          <w:color w:val="auto"/>
          <w:kern w:val="0"/>
          <w:sz w:val="21"/>
          <w:szCs w:val="21"/>
          <w:highlight w:val="none"/>
        </w:rPr>
        <w:t xml:space="preserve"> 本招标项目缺陷责任期为</w:t>
      </w:r>
      <w:r>
        <w:rPr>
          <w:rFonts w:hint="eastAsia" w:ascii="宋体" w:hAnsi="宋体" w:eastAsia="宋体" w:cs="宋体"/>
          <w:bCs/>
          <w:strike w:val="0"/>
          <w:dstrike w:val="0"/>
          <w:snapToGrid w:val="0"/>
          <w:color w:val="auto"/>
          <w:kern w:val="0"/>
          <w:sz w:val="21"/>
          <w:szCs w:val="21"/>
          <w:highlight w:val="none"/>
          <w:u w:val="single"/>
        </w:rPr>
        <w:t xml:space="preserve"> </w:t>
      </w:r>
      <w:r>
        <w:rPr>
          <w:rFonts w:hint="eastAsia" w:ascii="宋体" w:hAnsi="宋体" w:eastAsia="宋体" w:cs="宋体"/>
          <w:bCs/>
          <w:strike w:val="0"/>
          <w:dstrike w:val="0"/>
          <w:snapToGrid w:val="0"/>
          <w:color w:val="auto"/>
          <w:kern w:val="0"/>
          <w:sz w:val="21"/>
          <w:szCs w:val="21"/>
          <w:highlight w:val="none"/>
          <w:u w:val="single"/>
          <w:lang w:val="en-US" w:eastAsia="zh-CN"/>
        </w:rPr>
        <w:t>2</w:t>
      </w:r>
      <w:r>
        <w:rPr>
          <w:rFonts w:hint="eastAsia" w:ascii="宋体" w:hAnsi="宋体" w:eastAsia="宋体" w:cs="宋体"/>
          <w:bCs/>
          <w:strike w:val="0"/>
          <w:dstrike w:val="0"/>
          <w:snapToGrid w:val="0"/>
          <w:color w:val="auto"/>
          <w:kern w:val="0"/>
          <w:sz w:val="21"/>
          <w:szCs w:val="21"/>
          <w:highlight w:val="none"/>
          <w:u w:val="single"/>
        </w:rPr>
        <w:t xml:space="preserve"> </w:t>
      </w:r>
      <w:r>
        <w:rPr>
          <w:rFonts w:hint="eastAsia" w:ascii="宋体" w:hAnsi="宋体" w:eastAsia="宋体" w:cs="宋体"/>
          <w:bCs/>
          <w:strike w:val="0"/>
          <w:dstrike w:val="0"/>
          <w:snapToGrid w:val="0"/>
          <w:color w:val="auto"/>
          <w:kern w:val="0"/>
          <w:sz w:val="21"/>
          <w:szCs w:val="21"/>
          <w:highlight w:val="none"/>
        </w:rPr>
        <w:t>年（自通过竣工验收之日起计），在此期间预留金额为结算价</w:t>
      </w:r>
      <w:r>
        <w:rPr>
          <w:rFonts w:hint="eastAsia" w:ascii="宋体" w:hAnsi="宋体" w:eastAsia="宋体" w:cs="宋体"/>
          <w:bCs/>
          <w:strike w:val="0"/>
          <w:dstrike w:val="0"/>
          <w:snapToGrid w:val="0"/>
          <w:color w:val="auto"/>
          <w:kern w:val="0"/>
          <w:sz w:val="21"/>
          <w:szCs w:val="21"/>
          <w:highlight w:val="none"/>
          <w:u w:val="single"/>
        </w:rPr>
        <w:t xml:space="preserve">3% </w:t>
      </w:r>
      <w:r>
        <w:rPr>
          <w:rFonts w:hint="eastAsia" w:ascii="宋体" w:hAnsi="宋体" w:eastAsia="宋体" w:cs="宋体"/>
          <w:bCs/>
          <w:strike w:val="0"/>
          <w:dstrike w:val="0"/>
          <w:snapToGrid w:val="0"/>
          <w:color w:val="auto"/>
          <w:kern w:val="0"/>
          <w:sz w:val="21"/>
          <w:szCs w:val="21"/>
          <w:highlight w:val="none"/>
        </w:rPr>
        <w:t>的质量保证。</w:t>
      </w:r>
    </w:p>
    <w:p w14:paraId="05615291">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4.10</w:t>
      </w:r>
      <w:r>
        <w:rPr>
          <w:rFonts w:hint="eastAsia" w:ascii="宋体" w:hAnsi="宋体" w:eastAsia="宋体" w:cs="宋体"/>
          <w:b/>
          <w:bCs/>
          <w:strike w:val="0"/>
          <w:dstrike w:val="0"/>
          <w:snapToGrid w:val="0"/>
          <w:color w:val="auto"/>
          <w:kern w:val="0"/>
          <w:sz w:val="21"/>
          <w:szCs w:val="21"/>
          <w:highlight w:val="none"/>
        </w:rPr>
        <w:t xml:space="preserve">.2 </w:t>
      </w:r>
      <w:r>
        <w:rPr>
          <w:rFonts w:hint="eastAsia" w:ascii="宋体" w:hAnsi="宋体" w:eastAsia="宋体" w:cs="宋体"/>
          <w:bCs/>
          <w:strike w:val="0"/>
          <w:dstrike w:val="0"/>
          <w:snapToGrid w:val="0"/>
          <w:color w:val="auto"/>
          <w:kern w:val="0"/>
          <w:sz w:val="21"/>
          <w:szCs w:val="21"/>
          <w:highlight w:val="none"/>
        </w:rPr>
        <w:t>质量保证的形式包括质量保证金、质量保证担保、质量保证保险三种，由承包人自主选择。</w:t>
      </w:r>
    </w:p>
    <w:p w14:paraId="6AE2D401">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（1）采用质量保证金形式的，在结清审定总造价时一次性扣留相应金额作为质量保证金。 </w:t>
      </w:r>
    </w:p>
    <w:p w14:paraId="3F3C85C3">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采用质量保证担保或质量保证保险的，承包人应在竣工验收时向发包人提交有效的商业保函、银行保函或保险合同（或保险单）原件，商业保函、银行保函或保险合同（或保险单）的有效期不得短于缺陷责任期。</w:t>
      </w:r>
    </w:p>
    <w:p w14:paraId="59C9B31A">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4.10</w:t>
      </w:r>
      <w:r>
        <w:rPr>
          <w:rFonts w:hint="eastAsia" w:ascii="宋体" w:hAnsi="宋体" w:eastAsia="宋体" w:cs="宋体"/>
          <w:b/>
          <w:bCs/>
          <w:strike w:val="0"/>
          <w:dstrike w:val="0"/>
          <w:snapToGrid w:val="0"/>
          <w:color w:val="auto"/>
          <w:kern w:val="0"/>
          <w:sz w:val="21"/>
          <w:szCs w:val="21"/>
          <w:highlight w:val="none"/>
        </w:rPr>
        <w:t>.3</w:t>
      </w:r>
      <w:r>
        <w:rPr>
          <w:rFonts w:hint="eastAsia" w:ascii="宋体" w:hAnsi="宋体" w:eastAsia="宋体" w:cs="宋体"/>
          <w:bCs/>
          <w:strike w:val="0"/>
          <w:dstrike w:val="0"/>
          <w:snapToGrid w:val="0"/>
          <w:color w:val="auto"/>
          <w:kern w:val="0"/>
          <w:sz w:val="21"/>
          <w:szCs w:val="21"/>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5DC3100A">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Cs/>
          <w:strike w:val="0"/>
          <w:dstrike w:val="0"/>
          <w:snapToGrid w:val="0"/>
          <w:color w:val="auto"/>
          <w:kern w:val="0"/>
          <w:sz w:val="21"/>
          <w:szCs w:val="21"/>
          <w:highlight w:val="none"/>
        </w:rPr>
        <w:t>由他人原因造成的缺陷，发包人负责组织维修，承包人不承担费用，且发包人不得从质量保证中扣除费用。</w:t>
      </w:r>
    </w:p>
    <w:p w14:paraId="2A6D60D9">
      <w:pPr>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bCs/>
          <w:strike w:val="0"/>
          <w:dstrike w:val="0"/>
          <w:snapToGrid w:val="0"/>
          <w:color w:val="auto"/>
          <w:kern w:val="0"/>
          <w:sz w:val="21"/>
          <w:szCs w:val="21"/>
          <w:highlight w:val="none"/>
        </w:rPr>
      </w:pPr>
      <w:r>
        <w:rPr>
          <w:rFonts w:hint="eastAsia" w:ascii="宋体" w:hAnsi="宋体" w:eastAsia="宋体" w:cs="宋体"/>
          <w:b/>
          <w:bCs/>
          <w:strike w:val="0"/>
          <w:dstrike w:val="0"/>
          <w:snapToGrid w:val="0"/>
          <w:color w:val="auto"/>
          <w:kern w:val="0"/>
          <w:sz w:val="21"/>
          <w:szCs w:val="21"/>
          <w:highlight w:val="none"/>
          <w:lang w:val="en-US" w:eastAsia="zh-CN"/>
        </w:rPr>
        <w:t>4.10.</w:t>
      </w:r>
      <w:r>
        <w:rPr>
          <w:rFonts w:hint="eastAsia" w:ascii="宋体" w:hAnsi="宋体" w:eastAsia="宋体" w:cs="宋体"/>
          <w:b/>
          <w:bCs/>
          <w:strike w:val="0"/>
          <w:dstrike w:val="0"/>
          <w:snapToGrid w:val="0"/>
          <w:color w:val="auto"/>
          <w:kern w:val="0"/>
          <w:sz w:val="21"/>
          <w:szCs w:val="21"/>
          <w:highlight w:val="none"/>
        </w:rPr>
        <w:t>4</w:t>
      </w:r>
      <w:r>
        <w:rPr>
          <w:rFonts w:hint="eastAsia" w:ascii="宋体" w:hAnsi="宋体" w:eastAsia="宋体" w:cs="宋体"/>
          <w:bCs/>
          <w:strike w:val="0"/>
          <w:dstrike w:val="0"/>
          <w:snapToGrid w:val="0"/>
          <w:color w:val="auto"/>
          <w:kern w:val="0"/>
          <w:sz w:val="21"/>
          <w:szCs w:val="21"/>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204C0A81">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trike w:val="0"/>
          <w:dstrike w:val="0"/>
          <w:snapToGrid w:val="0"/>
          <w:color w:val="auto"/>
          <w:sz w:val="21"/>
          <w:szCs w:val="21"/>
          <w:highlight w:val="none"/>
        </w:rPr>
      </w:pPr>
      <w:bookmarkStart w:id="173" w:name="_Toc211"/>
      <w:bookmarkStart w:id="174" w:name="_Toc9682"/>
      <w:r>
        <w:rPr>
          <w:rFonts w:hint="eastAsia" w:ascii="宋体" w:hAnsi="宋体" w:eastAsia="宋体" w:cs="宋体"/>
          <w:b/>
          <w:strike w:val="0"/>
          <w:dstrike w:val="0"/>
          <w:snapToGrid w:val="0"/>
          <w:color w:val="auto"/>
          <w:sz w:val="21"/>
          <w:szCs w:val="21"/>
          <w:highlight w:val="none"/>
          <w:lang w:val="en-US" w:eastAsia="zh-CN"/>
        </w:rPr>
        <w:t>4.11</w:t>
      </w:r>
      <w:r>
        <w:rPr>
          <w:rFonts w:hint="eastAsia" w:ascii="宋体" w:hAnsi="宋体" w:eastAsia="宋体" w:cs="宋体"/>
          <w:b/>
          <w:strike w:val="0"/>
          <w:dstrike w:val="0"/>
          <w:snapToGrid w:val="0"/>
          <w:color w:val="auto"/>
          <w:sz w:val="21"/>
          <w:szCs w:val="21"/>
          <w:highlight w:val="none"/>
        </w:rPr>
        <w:t>．不良行为处理</w:t>
      </w:r>
      <w:bookmarkEnd w:id="173"/>
      <w:bookmarkEnd w:id="174"/>
    </w:p>
    <w:p w14:paraId="215229DB">
      <w:pPr>
        <w:pStyle w:val="75"/>
        <w:keepNext w:val="0"/>
        <w:keepLines w:val="0"/>
        <w:pageBreakBefore w:val="0"/>
        <w:kinsoku/>
        <w:wordWrap w:val="0"/>
        <w:overflowPunct/>
        <w:topLinePunct w:val="0"/>
        <w:bidi w:val="0"/>
        <w:adjustRightInd w:val="0"/>
        <w:snapToGrid w:val="0"/>
        <w:spacing w:line="440" w:lineRule="exact"/>
        <w:ind w:firstLine="420" w:firstLineChars="200"/>
        <w:jc w:val="lef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3F48FBC1">
      <w:pPr>
        <w:pStyle w:val="75"/>
        <w:keepNext w:val="0"/>
        <w:keepLines w:val="0"/>
        <w:pageBreakBefore w:val="0"/>
        <w:kinsoku/>
        <w:wordWrap w:val="0"/>
        <w:overflowPunct/>
        <w:topLinePunct w:val="0"/>
        <w:bidi w:val="0"/>
        <w:adjustRightInd w:val="0"/>
        <w:snapToGrid w:val="0"/>
        <w:spacing w:line="440" w:lineRule="exact"/>
        <w:ind w:firstLine="420" w:firstLineChars="200"/>
        <w:jc w:val="lef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（1）转包、违法分包或违反投标承诺分包工程的；</w:t>
      </w:r>
    </w:p>
    <w:p w14:paraId="098802A7">
      <w:pPr>
        <w:pStyle w:val="75"/>
        <w:keepNext w:val="0"/>
        <w:keepLines w:val="0"/>
        <w:pageBreakBefore w:val="0"/>
        <w:kinsoku/>
        <w:wordWrap w:val="0"/>
        <w:overflowPunct/>
        <w:topLinePunct w:val="0"/>
        <w:bidi w:val="0"/>
        <w:adjustRightInd w:val="0"/>
        <w:snapToGrid w:val="0"/>
        <w:spacing w:line="440" w:lineRule="exact"/>
        <w:ind w:firstLine="420" w:firstLineChars="200"/>
        <w:jc w:val="lef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（2）非原参加投标中标的项目经理负责组织施工或在实施过程中擅自更换项目经理的、项目的其他主要管理人员与中标文件确定的人员不相符的；</w:t>
      </w:r>
    </w:p>
    <w:p w14:paraId="1E8A39F0">
      <w:pPr>
        <w:pStyle w:val="75"/>
        <w:keepNext w:val="0"/>
        <w:keepLines w:val="0"/>
        <w:pageBreakBefore w:val="0"/>
        <w:kinsoku/>
        <w:wordWrap w:val="0"/>
        <w:overflowPunct/>
        <w:topLinePunct w:val="0"/>
        <w:bidi w:val="0"/>
        <w:adjustRightInd w:val="0"/>
        <w:snapToGrid w:val="0"/>
        <w:spacing w:line="440" w:lineRule="exact"/>
        <w:ind w:firstLine="420" w:firstLineChars="200"/>
        <w:jc w:val="lef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（3）投标文件确定的大型机械设备没有进入施工现场的；</w:t>
      </w:r>
    </w:p>
    <w:p w14:paraId="1173178D">
      <w:pPr>
        <w:pStyle w:val="75"/>
        <w:keepNext w:val="0"/>
        <w:keepLines w:val="0"/>
        <w:pageBreakBefore w:val="0"/>
        <w:kinsoku/>
        <w:wordWrap w:val="0"/>
        <w:overflowPunct/>
        <w:topLinePunct w:val="0"/>
        <w:bidi w:val="0"/>
        <w:adjustRightInd w:val="0"/>
        <w:snapToGrid w:val="0"/>
        <w:spacing w:line="440" w:lineRule="exact"/>
        <w:ind w:firstLine="420" w:firstLineChars="200"/>
        <w:jc w:val="lef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（4）与建设单位、监理单位串通，签认虚假工程量或工程造价的；</w:t>
      </w:r>
    </w:p>
    <w:p w14:paraId="09179A28">
      <w:pPr>
        <w:pStyle w:val="75"/>
        <w:keepNext w:val="0"/>
        <w:keepLines w:val="0"/>
        <w:pageBreakBefore w:val="0"/>
        <w:kinsoku/>
        <w:wordWrap w:val="0"/>
        <w:overflowPunct/>
        <w:topLinePunct w:val="0"/>
        <w:bidi w:val="0"/>
        <w:adjustRightInd w:val="0"/>
        <w:snapToGrid w:val="0"/>
        <w:spacing w:line="440" w:lineRule="exact"/>
        <w:ind w:firstLine="420" w:firstLineChars="200"/>
        <w:jc w:val="lef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（5）项目经理施工现场管理不到位的；</w:t>
      </w:r>
    </w:p>
    <w:p w14:paraId="5323E3B4">
      <w:pPr>
        <w:pStyle w:val="75"/>
        <w:keepNext w:val="0"/>
        <w:keepLines w:val="0"/>
        <w:pageBreakBefore w:val="0"/>
        <w:kinsoku/>
        <w:wordWrap w:val="0"/>
        <w:overflowPunct/>
        <w:topLinePunct w:val="0"/>
        <w:bidi w:val="0"/>
        <w:adjustRightInd w:val="0"/>
        <w:snapToGrid w:val="0"/>
        <w:spacing w:line="440" w:lineRule="exact"/>
        <w:ind w:firstLine="420" w:firstLineChars="200"/>
        <w:jc w:val="lef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（6）项目经理在非本人资格证书注册单位从事工程项目施工管理的；</w:t>
      </w:r>
    </w:p>
    <w:p w14:paraId="4C04A3C0">
      <w:pPr>
        <w:pStyle w:val="75"/>
        <w:keepNext w:val="0"/>
        <w:keepLines w:val="0"/>
        <w:pageBreakBefore w:val="0"/>
        <w:kinsoku/>
        <w:wordWrap w:val="0"/>
        <w:overflowPunct/>
        <w:topLinePunct w:val="0"/>
        <w:bidi w:val="0"/>
        <w:adjustRightInd w:val="0"/>
        <w:snapToGrid w:val="0"/>
        <w:spacing w:line="440" w:lineRule="exact"/>
        <w:ind w:firstLine="420" w:firstLineChars="200"/>
        <w:jc w:val="lef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（7）项目经理同时承担超过一项工程项目的；</w:t>
      </w:r>
    </w:p>
    <w:p w14:paraId="109DBEAA">
      <w:pPr>
        <w:pStyle w:val="75"/>
        <w:keepNext w:val="0"/>
        <w:keepLines w:val="0"/>
        <w:pageBreakBefore w:val="0"/>
        <w:kinsoku/>
        <w:wordWrap w:val="0"/>
        <w:overflowPunct/>
        <w:topLinePunct w:val="0"/>
        <w:bidi w:val="0"/>
        <w:adjustRightInd w:val="0"/>
        <w:snapToGrid w:val="0"/>
        <w:spacing w:line="440" w:lineRule="exact"/>
        <w:ind w:firstLine="420" w:firstLineChars="200"/>
        <w:jc w:val="left"/>
        <w:rPr>
          <w:rFonts w:hint="eastAsia" w:ascii="宋体" w:hAnsi="宋体" w:eastAsia="宋体" w:cs="宋体"/>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（8）违反有关法律、法规、规章规定的其它行为。</w:t>
      </w:r>
    </w:p>
    <w:p w14:paraId="1678B0DC">
      <w:pPr>
        <w:pStyle w:val="4"/>
        <w:keepNext w:val="0"/>
        <w:keepLines w:val="0"/>
        <w:pageBreakBefore w:val="0"/>
        <w:kinsoku/>
        <w:wordWrap w:val="0"/>
        <w:overflowPunct/>
        <w:topLinePunct w:val="0"/>
        <w:autoSpaceDE/>
        <w:autoSpaceDN/>
        <w:bidi w:val="0"/>
        <w:snapToGrid w:val="0"/>
        <w:spacing w:line="440" w:lineRule="exact"/>
        <w:ind w:firstLine="480"/>
        <w:jc w:val="both"/>
        <w:rPr>
          <w:rFonts w:hint="eastAsia" w:ascii="宋体" w:hAnsi="宋体" w:eastAsia="宋体" w:cs="宋体"/>
          <w:b/>
          <w:strike w:val="0"/>
          <w:dstrike w:val="0"/>
          <w:snapToGrid w:val="0"/>
          <w:color w:val="auto"/>
          <w:sz w:val="21"/>
          <w:szCs w:val="21"/>
          <w:highlight w:val="none"/>
        </w:rPr>
      </w:pPr>
      <w:bookmarkStart w:id="175" w:name="_Toc15004"/>
      <w:bookmarkStart w:id="176" w:name="_Toc16682"/>
      <w:r>
        <w:rPr>
          <w:rFonts w:hint="eastAsia" w:ascii="宋体" w:hAnsi="宋体" w:eastAsia="宋体" w:cs="宋体"/>
          <w:b/>
          <w:strike w:val="0"/>
          <w:dstrike w:val="0"/>
          <w:snapToGrid w:val="0"/>
          <w:color w:val="auto"/>
          <w:sz w:val="21"/>
          <w:szCs w:val="21"/>
          <w:highlight w:val="none"/>
          <w:lang w:val="en-US" w:eastAsia="zh-CN"/>
        </w:rPr>
        <w:t>4.12</w:t>
      </w:r>
      <w:r>
        <w:rPr>
          <w:rFonts w:hint="eastAsia" w:ascii="宋体" w:hAnsi="宋体" w:eastAsia="宋体" w:cs="宋体"/>
          <w:b/>
          <w:strike w:val="0"/>
          <w:dstrike w:val="0"/>
          <w:snapToGrid w:val="0"/>
          <w:color w:val="auto"/>
          <w:sz w:val="21"/>
          <w:szCs w:val="21"/>
          <w:highlight w:val="none"/>
        </w:rPr>
        <w:t>．信用评价条款内容</w:t>
      </w:r>
      <w:bookmarkEnd w:id="175"/>
      <w:bookmarkEnd w:id="176"/>
    </w:p>
    <w:p w14:paraId="68D582F4">
      <w:pPr>
        <w:pStyle w:val="95"/>
        <w:keepNext w:val="0"/>
        <w:keepLines w:val="0"/>
        <w:pageBreakBefore w:val="0"/>
        <w:kinsoku/>
        <w:wordWrap w:val="0"/>
        <w:overflowPunct/>
        <w:topLinePunct w:val="0"/>
        <w:bidi w:val="0"/>
        <w:adjustRightInd w:val="0"/>
        <w:snapToGrid w:val="0"/>
        <w:spacing w:line="440" w:lineRule="exact"/>
        <w:ind w:firstLine="560"/>
        <w:rPr>
          <w:rFonts w:hint="eastAsia" w:ascii="宋体" w:hAnsi="宋体" w:eastAsia="宋体" w:cs="宋体"/>
          <w:b/>
          <w:bCs/>
          <w:strike w:val="0"/>
          <w:dstrike w:val="0"/>
          <w:snapToGrid w:val="0"/>
          <w:color w:val="auto"/>
          <w:kern w:val="0"/>
          <w:sz w:val="21"/>
          <w:szCs w:val="21"/>
          <w:highlight w:val="none"/>
        </w:rPr>
      </w:pPr>
      <w:r>
        <w:rPr>
          <w:rFonts w:hint="eastAsia" w:ascii="宋体" w:hAnsi="宋体" w:eastAsia="宋体" w:cs="宋体"/>
          <w:strike w:val="0"/>
          <w:dstrike w:val="0"/>
          <w:snapToGrid w:val="0"/>
          <w:color w:val="auto"/>
          <w:kern w:val="0"/>
          <w:sz w:val="21"/>
          <w:szCs w:val="21"/>
          <w:highlight w:val="none"/>
        </w:rPr>
        <w:t>由</w:t>
      </w:r>
      <w:r>
        <w:rPr>
          <w:rFonts w:hint="eastAsia" w:ascii="宋体" w:hAnsi="宋体" w:eastAsia="宋体" w:cs="宋体"/>
          <w:snapToGrid w:val="0"/>
          <w:color w:val="auto"/>
          <w:kern w:val="0"/>
          <w:sz w:val="21"/>
          <w:szCs w:val="21"/>
          <w:highlight w:val="none"/>
        </w:rPr>
        <w:t>发包人</w:t>
      </w:r>
      <w:r>
        <w:rPr>
          <w:rFonts w:hint="eastAsia" w:ascii="宋体" w:hAnsi="宋体" w:eastAsia="宋体" w:cs="宋体"/>
          <w:strike w:val="0"/>
          <w:dstrike w:val="0"/>
          <w:snapToGrid w:val="0"/>
          <w:color w:val="auto"/>
          <w:kern w:val="0"/>
          <w:sz w:val="21"/>
          <w:szCs w:val="21"/>
          <w:highlight w:val="none"/>
        </w:rPr>
        <w:t>决定是否对施工单位的履约情况进行信用评价。若进行信用评价，评价条款由</w:t>
      </w:r>
      <w:r>
        <w:rPr>
          <w:rFonts w:hint="eastAsia" w:ascii="宋体" w:hAnsi="宋体" w:eastAsia="宋体" w:cs="宋体"/>
          <w:snapToGrid w:val="0"/>
          <w:color w:val="auto"/>
          <w:kern w:val="0"/>
          <w:sz w:val="21"/>
          <w:szCs w:val="21"/>
          <w:highlight w:val="none"/>
        </w:rPr>
        <w:t>发包人</w:t>
      </w:r>
      <w:r>
        <w:rPr>
          <w:rFonts w:hint="eastAsia" w:ascii="宋体" w:hAnsi="宋体" w:eastAsia="宋体" w:cs="宋体"/>
          <w:strike w:val="0"/>
          <w:dstrike w:val="0"/>
          <w:snapToGrid w:val="0"/>
          <w:color w:val="auto"/>
          <w:kern w:val="0"/>
          <w:sz w:val="21"/>
          <w:szCs w:val="21"/>
          <w:highlight w:val="none"/>
        </w:rPr>
        <w:t>自拟，条款内容可参考人员到位情况、服务配合程度、服务成果质量、项目后期服务及信用评价结果的运用等。</w:t>
      </w:r>
    </w:p>
    <w:p w14:paraId="69B4620D">
      <w:pPr>
        <w:pStyle w:val="95"/>
        <w:keepNext w:val="0"/>
        <w:keepLines w:val="0"/>
        <w:pageBreakBefore w:val="0"/>
        <w:kinsoku/>
        <w:overflowPunct/>
        <w:topLinePunct w:val="0"/>
        <w:bidi w:val="0"/>
        <w:snapToGrid w:val="0"/>
        <w:spacing w:line="440" w:lineRule="exact"/>
        <w:ind w:firstLine="422" w:firstLineChars="200"/>
        <w:rPr>
          <w:rFonts w:hint="eastAsia" w:ascii="宋体" w:hAnsi="宋体" w:eastAsia="宋体" w:cs="宋体"/>
          <w:strike w:val="0"/>
          <w:dstrike w:val="0"/>
          <w:color w:val="auto"/>
          <w:sz w:val="21"/>
          <w:szCs w:val="21"/>
          <w:highlight w:val="none"/>
          <w:shd w:val="clear" w:color="auto" w:fill="FFFFFF"/>
        </w:rPr>
      </w:pPr>
      <w:r>
        <w:rPr>
          <w:rFonts w:hint="eastAsia" w:ascii="宋体" w:hAnsi="宋体" w:eastAsia="宋体" w:cs="宋体"/>
          <w:b/>
          <w:strike w:val="0"/>
          <w:dstrike w:val="0"/>
          <w:snapToGrid w:val="0"/>
          <w:color w:val="auto"/>
          <w:sz w:val="21"/>
          <w:szCs w:val="21"/>
          <w:highlight w:val="none"/>
          <w:lang w:val="en-US" w:eastAsia="zh-CN"/>
        </w:rPr>
        <w:t>4.13</w:t>
      </w:r>
      <w:r>
        <w:rPr>
          <w:rFonts w:hint="eastAsia" w:ascii="宋体" w:hAnsi="宋体" w:eastAsia="宋体" w:cs="宋体"/>
          <w:b/>
          <w:bCs/>
          <w:strike w:val="0"/>
          <w:dstrike w:val="0"/>
          <w:color w:val="auto"/>
          <w:sz w:val="21"/>
          <w:szCs w:val="21"/>
          <w:highlight w:val="none"/>
          <w:shd w:val="clear" w:color="auto" w:fill="FFFFFF"/>
        </w:rPr>
        <w:t xml:space="preserve"> </w:t>
      </w:r>
      <w:r>
        <w:rPr>
          <w:rFonts w:hint="eastAsia" w:ascii="宋体" w:hAnsi="宋体" w:eastAsia="宋体" w:cs="宋体"/>
          <w:strike w:val="0"/>
          <w:dstrike w:val="0"/>
          <w:color w:val="auto"/>
          <w:sz w:val="21"/>
          <w:szCs w:val="21"/>
          <w:highlight w:val="none"/>
          <w:shd w:val="clear" w:color="auto" w:fill="FFFFFF"/>
        </w:rPr>
        <w:t>危险性较大的分部分项工程安全管理约定 。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必须按照《危险性较大的分部分项工程安全管理规定》的规定和经审批的专项施工方案履行安全职责，严格执行国家、地方政府有关施工安全管理方面的法律、法规及规章制度，同时严格执行</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制订的本项目安全生产管理方面的规章制度、安全检查程序及施工安全管理要求，以及监理人有关安全工作的指令。</w:t>
      </w:r>
    </w:p>
    <w:p w14:paraId="5ECC2A49">
      <w:pPr>
        <w:keepNext w:val="0"/>
        <w:keepLines w:val="0"/>
        <w:pageBreakBefore w:val="0"/>
        <w:widowControl/>
        <w:suppressLineNumbers w:val="0"/>
        <w:kinsoku/>
        <w:overflowPunct/>
        <w:topLinePunct w:val="0"/>
        <w:bidi w:val="0"/>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79E15CA1">
      <w:pPr>
        <w:pStyle w:val="95"/>
        <w:keepNext w:val="0"/>
        <w:keepLines w:val="0"/>
        <w:pageBreakBefore w:val="0"/>
        <w:kinsoku/>
        <w:overflowPunct/>
        <w:topLinePunct w:val="0"/>
        <w:bidi w:val="0"/>
        <w:snapToGrid w:val="0"/>
        <w:spacing w:line="440" w:lineRule="exact"/>
        <w:ind w:firstLine="422" w:firstLineChars="200"/>
        <w:rPr>
          <w:rFonts w:hint="eastAsia" w:ascii="宋体" w:hAnsi="宋体" w:eastAsia="宋体" w:cs="宋体"/>
          <w:strike w:val="0"/>
          <w:dstrike w:val="0"/>
          <w:color w:val="auto"/>
          <w:sz w:val="21"/>
          <w:szCs w:val="21"/>
          <w:highlight w:val="none"/>
          <w:shd w:val="clear" w:color="auto" w:fill="FFFFFF"/>
        </w:rPr>
      </w:pPr>
      <w:r>
        <w:rPr>
          <w:rFonts w:hint="eastAsia" w:ascii="宋体" w:hAnsi="宋体" w:eastAsia="宋体" w:cs="宋体"/>
          <w:b/>
          <w:bCs/>
          <w:strike w:val="0"/>
          <w:dstrike w:val="0"/>
          <w:color w:val="auto"/>
          <w:sz w:val="21"/>
          <w:szCs w:val="21"/>
          <w:highlight w:val="none"/>
          <w:shd w:val="clear" w:color="auto" w:fill="FFFFFF"/>
          <w:lang w:val="en-US" w:eastAsia="zh-CN"/>
        </w:rPr>
        <w:t>4.14</w:t>
      </w:r>
      <w:r>
        <w:rPr>
          <w:rFonts w:hint="eastAsia" w:ascii="宋体" w:hAnsi="宋体" w:eastAsia="宋体" w:cs="宋体"/>
          <w:b w:val="0"/>
          <w:bCs w:val="0"/>
          <w:strike w:val="0"/>
          <w:dstrike w:val="0"/>
          <w:color w:val="auto"/>
          <w:sz w:val="21"/>
          <w:szCs w:val="21"/>
          <w:highlight w:val="none"/>
          <w:shd w:val="clear" w:color="auto" w:fill="FFFFFF"/>
          <w:lang w:val="en-US" w:eastAsia="zh-CN"/>
        </w:rPr>
        <w:t>承包</w:t>
      </w:r>
      <w:r>
        <w:rPr>
          <w:rFonts w:hint="eastAsia" w:ascii="宋体" w:hAnsi="宋体" w:eastAsia="宋体" w:cs="宋体"/>
          <w:strike w:val="0"/>
          <w:dstrike w:val="0"/>
          <w:color w:val="auto"/>
          <w:sz w:val="21"/>
          <w:szCs w:val="21"/>
          <w:highlight w:val="none"/>
          <w:shd w:val="clear" w:color="auto" w:fill="FFFFFF"/>
        </w:rPr>
        <w:t>人在工程实施过程中，按照国家、省、市的相关规定制定相关的专项安全施工方案（如高支模、基坑支护、沉井等），编制专项施工方案报监理人、</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审批后方可开展专项工程的施工。</w:t>
      </w:r>
    </w:p>
    <w:p w14:paraId="11922146">
      <w:pPr>
        <w:pStyle w:val="95"/>
        <w:keepNext w:val="0"/>
        <w:keepLines w:val="0"/>
        <w:pageBreakBefore w:val="0"/>
        <w:kinsoku/>
        <w:overflowPunct/>
        <w:topLinePunct w:val="0"/>
        <w:bidi w:val="0"/>
        <w:snapToGrid w:val="0"/>
        <w:spacing w:line="440" w:lineRule="exact"/>
        <w:ind w:firstLine="422" w:firstLineChars="200"/>
        <w:rPr>
          <w:rFonts w:hint="eastAsia" w:ascii="宋体" w:hAnsi="宋体" w:eastAsia="宋体" w:cs="宋体"/>
          <w:strike w:val="0"/>
          <w:dstrike w:val="0"/>
          <w:color w:val="auto"/>
          <w:sz w:val="21"/>
          <w:szCs w:val="21"/>
          <w:highlight w:val="none"/>
          <w:shd w:val="clear" w:color="auto" w:fill="FFFFFF"/>
        </w:rPr>
      </w:pPr>
      <w:r>
        <w:rPr>
          <w:rFonts w:hint="eastAsia" w:ascii="宋体" w:hAnsi="宋体" w:eastAsia="宋体" w:cs="宋体"/>
          <w:b/>
          <w:bCs/>
          <w:strike w:val="0"/>
          <w:dstrike w:val="0"/>
          <w:color w:val="auto"/>
          <w:sz w:val="21"/>
          <w:szCs w:val="21"/>
          <w:highlight w:val="none"/>
          <w:shd w:val="clear" w:color="auto" w:fill="FFFFFF"/>
          <w:lang w:val="en-US" w:eastAsia="zh-CN"/>
        </w:rPr>
        <w:t>4.15</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须按照《韶关市建筑垃圾管理条例》（2021年5月1日起施行），将弃土运至</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指定的场所，否则</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有权要求</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无条件将弃土从违约弃土点运至</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 xml:space="preserve">指定的场所并扣除违约金 </w:t>
      </w:r>
      <w:r>
        <w:rPr>
          <w:rFonts w:hint="eastAsia" w:ascii="宋体" w:hAnsi="宋体" w:eastAsia="宋体" w:cs="宋体"/>
          <w:strike w:val="0"/>
          <w:dstrike w:val="0"/>
          <w:color w:val="auto"/>
          <w:sz w:val="21"/>
          <w:szCs w:val="21"/>
          <w:highlight w:val="none"/>
          <w:u w:val="single"/>
          <w:shd w:val="clear" w:color="auto" w:fill="FFFFFF"/>
        </w:rPr>
        <w:t xml:space="preserve"> </w:t>
      </w:r>
      <w:r>
        <w:rPr>
          <w:rFonts w:hint="eastAsia" w:ascii="宋体" w:hAnsi="宋体" w:eastAsia="宋体" w:cs="宋体"/>
          <w:strike w:val="0"/>
          <w:dstrike w:val="0"/>
          <w:color w:val="auto"/>
          <w:sz w:val="21"/>
          <w:szCs w:val="21"/>
          <w:highlight w:val="none"/>
          <w:u w:val="single"/>
          <w:shd w:val="clear" w:color="auto" w:fill="FFFFFF"/>
          <w:lang w:val="en-US" w:eastAsia="zh-CN"/>
        </w:rPr>
        <w:t>一</w:t>
      </w:r>
      <w:r>
        <w:rPr>
          <w:rFonts w:hint="eastAsia" w:ascii="宋体" w:hAnsi="宋体" w:eastAsia="宋体" w:cs="宋体"/>
          <w:strike w:val="0"/>
          <w:dstrike w:val="0"/>
          <w:color w:val="auto"/>
          <w:sz w:val="21"/>
          <w:szCs w:val="21"/>
          <w:highlight w:val="none"/>
          <w:u w:val="single"/>
          <w:shd w:val="clear" w:color="auto" w:fill="FFFFFF"/>
        </w:rPr>
        <w:t xml:space="preserve">  </w:t>
      </w:r>
      <w:r>
        <w:rPr>
          <w:rFonts w:hint="eastAsia" w:ascii="宋体" w:hAnsi="宋体" w:eastAsia="宋体" w:cs="宋体"/>
          <w:strike w:val="0"/>
          <w:dstrike w:val="0"/>
          <w:color w:val="auto"/>
          <w:sz w:val="21"/>
          <w:szCs w:val="21"/>
          <w:highlight w:val="none"/>
          <w:shd w:val="clear" w:color="auto" w:fill="FFFFFF"/>
        </w:rPr>
        <w:t>万元人民币/次。</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对建筑垃圾须按《韶关市建筑垃圾管理条例》（2021年5月1日起施行）的相关规定进行排放和运输，投标人在投标报价时综合考虑在报价内。</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应在施工现场建立洗车槽和临时排水系统等确保外运车辆（土方运输车辆应符合韶关市相关规定）不带泥上路，投标人在投标报价时综合考虑在报价内，</w:t>
      </w:r>
      <w:r>
        <w:rPr>
          <w:rFonts w:hint="eastAsia" w:ascii="宋体" w:hAnsi="宋体" w:eastAsia="宋体" w:cs="宋体"/>
          <w:color w:val="auto"/>
          <w:sz w:val="21"/>
          <w:szCs w:val="21"/>
          <w:highlight w:val="none"/>
          <w:shd w:val="clear" w:color="auto" w:fill="FFFFFF"/>
        </w:rPr>
        <w:t>发包人</w:t>
      </w:r>
      <w:r>
        <w:rPr>
          <w:rFonts w:hint="eastAsia" w:ascii="宋体" w:hAnsi="宋体" w:eastAsia="宋体" w:cs="宋体"/>
          <w:strike w:val="0"/>
          <w:dstrike w:val="0"/>
          <w:color w:val="auto"/>
          <w:sz w:val="21"/>
          <w:szCs w:val="21"/>
          <w:highlight w:val="none"/>
          <w:shd w:val="clear" w:color="auto" w:fill="FFFFFF"/>
        </w:rPr>
        <w:t>不另行支付该部分费用）。建设单位、施工单位应当在施工工地出入口显著位置公示建筑垃圾处理方案主要信息，包括建设工程垃圾种类、产生量、外运处置去向等信息及各相关单位名称、联系人及联系电话等。</w:t>
      </w:r>
    </w:p>
    <w:p w14:paraId="516D207C">
      <w:pPr>
        <w:pStyle w:val="95"/>
        <w:keepNext w:val="0"/>
        <w:keepLines w:val="0"/>
        <w:pageBreakBefore w:val="0"/>
        <w:kinsoku/>
        <w:overflowPunct/>
        <w:topLinePunct w:val="0"/>
        <w:bidi w:val="0"/>
        <w:snapToGrid w:val="0"/>
        <w:spacing w:line="440" w:lineRule="exact"/>
        <w:ind w:firstLine="422" w:firstLineChars="200"/>
        <w:rPr>
          <w:rFonts w:hint="eastAsia" w:ascii="宋体" w:hAnsi="宋体" w:eastAsia="宋体" w:cs="宋体"/>
          <w:strike w:val="0"/>
          <w:dstrike w:val="0"/>
          <w:color w:val="auto"/>
          <w:sz w:val="21"/>
          <w:szCs w:val="21"/>
          <w:highlight w:val="none"/>
          <w:shd w:val="clear" w:color="auto" w:fill="FFFFFF"/>
        </w:rPr>
      </w:pPr>
      <w:r>
        <w:rPr>
          <w:rFonts w:hint="eastAsia" w:ascii="宋体" w:hAnsi="宋体" w:eastAsia="宋体" w:cs="宋体"/>
          <w:b/>
          <w:bCs/>
          <w:strike w:val="0"/>
          <w:dstrike w:val="0"/>
          <w:color w:val="auto"/>
          <w:sz w:val="21"/>
          <w:szCs w:val="21"/>
          <w:highlight w:val="none"/>
          <w:shd w:val="clear" w:color="auto" w:fill="FFFFFF"/>
          <w:lang w:val="en-US" w:eastAsia="zh-CN"/>
        </w:rPr>
        <w:t>4.16</w:t>
      </w:r>
      <w:r>
        <w:rPr>
          <w:rFonts w:hint="eastAsia" w:ascii="宋体" w:hAnsi="宋体" w:eastAsia="宋体" w:cs="宋体"/>
          <w:strike w:val="0"/>
          <w:dstrike w:val="0"/>
          <w:color w:val="auto"/>
          <w:sz w:val="21"/>
          <w:szCs w:val="21"/>
          <w:highlight w:val="none"/>
          <w:shd w:val="clear" w:color="auto" w:fill="FFFFFF"/>
        </w:rPr>
        <w:t>工程竣工验收后15日内，</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应按市城建档案馆的要求（质量、数量），将编制成册的施工档案资料（含声像档案和电子档案）提供给</w:t>
      </w:r>
      <w:r>
        <w:rPr>
          <w:rFonts w:hint="eastAsia" w:ascii="宋体" w:hAnsi="宋体" w:eastAsia="宋体" w:cs="宋体"/>
          <w:strike w:val="0"/>
          <w:dstrike w:val="0"/>
          <w:color w:val="auto"/>
          <w:sz w:val="21"/>
          <w:szCs w:val="21"/>
          <w:highlight w:val="none"/>
          <w:shd w:val="clear" w:color="auto" w:fill="FFFFFF"/>
          <w:lang w:val="en-US" w:eastAsia="zh-CN"/>
        </w:rPr>
        <w:t>发包人</w:t>
      </w:r>
      <w:r>
        <w:rPr>
          <w:rFonts w:hint="eastAsia" w:ascii="宋体" w:hAnsi="宋体" w:eastAsia="宋体" w:cs="宋体"/>
          <w:strike w:val="0"/>
          <w:dstrike w:val="0"/>
          <w:color w:val="auto"/>
          <w:sz w:val="21"/>
          <w:szCs w:val="21"/>
          <w:highlight w:val="none"/>
          <w:shd w:val="clear" w:color="auto" w:fill="FFFFFF"/>
        </w:rPr>
        <w:t>、市城建档案馆、市住建管理局、管养单位及监理单位，并承担档案涉及的所有费用（制作标准和相关要求按市城建档案馆的有关规定执行）。</w:t>
      </w:r>
      <w:r>
        <w:rPr>
          <w:rFonts w:hint="eastAsia" w:ascii="宋体" w:hAnsi="宋体" w:eastAsia="宋体" w:cs="宋体"/>
          <w:color w:val="auto"/>
          <w:sz w:val="21"/>
          <w:szCs w:val="21"/>
          <w:highlight w:val="none"/>
          <w:shd w:val="clear" w:color="auto" w:fill="FFFFFF"/>
        </w:rPr>
        <w:t>承包人</w:t>
      </w:r>
      <w:r>
        <w:rPr>
          <w:rFonts w:hint="eastAsia" w:ascii="宋体" w:hAnsi="宋体" w:eastAsia="宋体" w:cs="宋体"/>
          <w:strike w:val="0"/>
          <w:dstrike w:val="0"/>
          <w:color w:val="auto"/>
          <w:sz w:val="21"/>
          <w:szCs w:val="21"/>
          <w:highlight w:val="none"/>
          <w:shd w:val="clear" w:color="auto" w:fill="FFFFFF"/>
        </w:rPr>
        <w:t>提交符合城建档案馆要求的竣工资料经</w:t>
      </w:r>
      <w:r>
        <w:rPr>
          <w:rFonts w:hint="eastAsia" w:ascii="宋体" w:hAnsi="宋体" w:eastAsia="宋体" w:cs="宋体"/>
          <w:strike w:val="0"/>
          <w:dstrike w:val="0"/>
          <w:color w:val="auto"/>
          <w:sz w:val="21"/>
          <w:szCs w:val="21"/>
          <w:highlight w:val="none"/>
          <w:shd w:val="clear" w:color="auto" w:fill="FFFFFF"/>
          <w:lang w:val="en-US" w:eastAsia="zh-CN"/>
        </w:rPr>
        <w:t>发包人</w:t>
      </w:r>
      <w:r>
        <w:rPr>
          <w:rFonts w:hint="eastAsia" w:ascii="宋体" w:hAnsi="宋体" w:eastAsia="宋体" w:cs="宋体"/>
          <w:strike w:val="0"/>
          <w:dstrike w:val="0"/>
          <w:color w:val="auto"/>
          <w:sz w:val="21"/>
          <w:szCs w:val="21"/>
          <w:highlight w:val="none"/>
          <w:shd w:val="clear" w:color="auto" w:fill="FFFFFF"/>
        </w:rPr>
        <w:t>确认签收后，即可办理工程结算手续。</w:t>
      </w:r>
    </w:p>
    <w:p w14:paraId="293C46CD">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4.17 </w:t>
      </w:r>
      <w:r>
        <w:rPr>
          <w:rFonts w:hint="eastAsia" w:ascii="宋体" w:hAnsi="宋体" w:eastAsia="宋体" w:cs="宋体"/>
          <w:color w:val="auto"/>
          <w:kern w:val="0"/>
          <w:sz w:val="21"/>
          <w:szCs w:val="21"/>
          <w:highlight w:val="none"/>
          <w:lang w:val="en-US" w:eastAsia="zh-CN" w:bidi="ar"/>
        </w:rPr>
        <w:t xml:space="preserve">承包人应做好周边设施（含军用光缆、燃气、供电、供水、排水、排污、人行道、路灯、治安监控、交通电警等）的成品保护并及时与周边设施的权属单位协调解决，如因承包人原因导致上述设施发生损坏，承包人无条件按发包人规定期限内修复，涉及成品保护费、索赔等一切费用全部由承包人自行解决。 </w:t>
      </w:r>
    </w:p>
    <w:p w14:paraId="2124504E">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4.18 </w:t>
      </w:r>
      <w:r>
        <w:rPr>
          <w:rFonts w:hint="eastAsia" w:ascii="宋体" w:hAnsi="宋体" w:eastAsia="宋体" w:cs="宋体"/>
          <w:color w:val="auto"/>
          <w:kern w:val="0"/>
          <w:sz w:val="21"/>
          <w:szCs w:val="21"/>
          <w:highlight w:val="none"/>
          <w:lang w:val="en-US" w:eastAsia="zh-CN" w:bidi="ar"/>
        </w:rPr>
        <w:t xml:space="preserve">承包人中标后必须按规定及时缴交工人工资保证金、环保噪声排污费等。 </w:t>
      </w:r>
    </w:p>
    <w:p w14:paraId="046D2BDF">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4.19 </w:t>
      </w:r>
      <w:r>
        <w:rPr>
          <w:rFonts w:hint="eastAsia" w:ascii="宋体" w:hAnsi="宋体" w:eastAsia="宋体" w:cs="宋体"/>
          <w:color w:val="auto"/>
          <w:kern w:val="0"/>
          <w:sz w:val="21"/>
          <w:szCs w:val="21"/>
          <w:highlight w:val="none"/>
          <w:lang w:val="en-US" w:eastAsia="zh-CN" w:bidi="ar"/>
        </w:rPr>
        <w:t xml:space="preserve">工程质量保修期按《中华人民共和国建筑法》、《建设工程质量管理条例》等相关规定实施。 </w:t>
      </w:r>
    </w:p>
    <w:p w14:paraId="41AE6DCE">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4.20 </w:t>
      </w:r>
      <w:r>
        <w:rPr>
          <w:rFonts w:hint="eastAsia" w:ascii="宋体" w:hAnsi="宋体" w:eastAsia="宋体" w:cs="宋体"/>
          <w:color w:val="auto"/>
          <w:kern w:val="0"/>
          <w:sz w:val="21"/>
          <w:szCs w:val="21"/>
          <w:highlight w:val="none"/>
          <w:lang w:val="en-US" w:eastAsia="zh-CN" w:bidi="ar"/>
        </w:rPr>
        <w:t xml:space="preserve">如项目实施过程中发生了工程变更及工程签证，承包人需根据发包人发布的 《工程变更管理办法》和《工程签证管理办法》完善工程变更签证相关程序。 </w:t>
      </w:r>
    </w:p>
    <w:p w14:paraId="0014F70B">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4.21 </w:t>
      </w:r>
      <w:r>
        <w:rPr>
          <w:rFonts w:hint="eastAsia" w:ascii="宋体" w:hAnsi="宋体" w:eastAsia="宋体" w:cs="宋体"/>
          <w:color w:val="auto"/>
          <w:kern w:val="0"/>
          <w:sz w:val="21"/>
          <w:szCs w:val="21"/>
          <w:highlight w:val="none"/>
          <w:lang w:val="en-US" w:eastAsia="zh-CN" w:bidi="ar"/>
        </w:rPr>
        <w:t xml:space="preserve">承包人需按相关规定要求，设置本工程符合相关要求的永久性标牌及规划公示牌，投标人在投标报价时综合考虑在报价内，发包人不另行支付该部分费用。 </w:t>
      </w:r>
    </w:p>
    <w:p w14:paraId="6C01A868">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4.22 </w:t>
      </w:r>
      <w:r>
        <w:rPr>
          <w:rFonts w:hint="eastAsia" w:ascii="宋体" w:hAnsi="宋体" w:eastAsia="宋体" w:cs="宋体"/>
          <w:color w:val="auto"/>
          <w:kern w:val="0"/>
          <w:sz w:val="21"/>
          <w:szCs w:val="21"/>
          <w:highlight w:val="none"/>
          <w:lang w:val="en-US" w:eastAsia="zh-CN" w:bidi="ar"/>
        </w:rPr>
        <w:t xml:space="preserve">承包人应在项目所在地住建管理部门办理诚信登记，发包人将严格按住建管理部门诚信登记管理办法对承包人履约情况进行考核。 </w:t>
      </w:r>
    </w:p>
    <w:p w14:paraId="0E9B6384">
      <w:pPr>
        <w:keepNext w:val="0"/>
        <w:keepLines w:val="0"/>
        <w:pageBreakBefore w:val="0"/>
        <w:widowControl/>
        <w:suppressLineNumbers w:val="0"/>
        <w:kinsoku/>
        <w:overflowPunct/>
        <w:topLinePunct w:val="0"/>
        <w:bidi w:val="0"/>
        <w:spacing w:line="440" w:lineRule="exact"/>
        <w:ind w:firstLine="422"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4.23 </w:t>
      </w:r>
      <w:r>
        <w:rPr>
          <w:rFonts w:hint="eastAsia" w:ascii="宋体" w:hAnsi="宋体" w:eastAsia="宋体" w:cs="宋体"/>
          <w:color w:val="auto"/>
          <w:kern w:val="0"/>
          <w:sz w:val="21"/>
          <w:szCs w:val="21"/>
          <w:highlight w:val="none"/>
          <w:lang w:val="en-US" w:eastAsia="zh-CN" w:bidi="ar"/>
        </w:rPr>
        <w:t>承包人应按韶关市住房和城乡建设管理局、韶关市人力资源和社会保障局等职能部门对用工实名制的相关规定,落实工人及相关软硬件设施要求。</w:t>
      </w:r>
    </w:p>
    <w:p w14:paraId="095EB0CD">
      <w:pPr>
        <w:pStyle w:val="4"/>
        <w:wordWrap w:val="0"/>
        <w:autoSpaceDE/>
        <w:autoSpaceDN/>
        <w:snapToGrid w:val="0"/>
        <w:spacing w:line="360" w:lineRule="auto"/>
        <w:ind w:firstLine="480"/>
        <w:jc w:val="both"/>
        <w:rPr>
          <w:rFonts w:ascii="Times New Roman"/>
          <w:b/>
          <w:snapToGrid w:val="0"/>
          <w:color w:val="auto"/>
          <w:sz w:val="21"/>
          <w:szCs w:val="20"/>
          <w:highlight w:val="none"/>
        </w:rPr>
      </w:pPr>
      <w:bookmarkStart w:id="177" w:name="_Toc21412"/>
      <w:bookmarkStart w:id="178" w:name="_Toc18560"/>
      <w:r>
        <w:rPr>
          <w:rFonts w:hint="eastAsia" w:ascii="Times New Roman"/>
          <w:b/>
          <w:snapToGrid w:val="0"/>
          <w:color w:val="auto"/>
          <w:sz w:val="21"/>
          <w:szCs w:val="20"/>
          <w:highlight w:val="none"/>
          <w:lang w:val="en-US" w:eastAsia="zh-CN"/>
        </w:rPr>
        <w:t>5</w:t>
      </w:r>
      <w:r>
        <w:rPr>
          <w:rFonts w:ascii="Times New Roman"/>
          <w:b/>
          <w:snapToGrid w:val="0"/>
          <w:color w:val="auto"/>
          <w:sz w:val="21"/>
          <w:szCs w:val="20"/>
          <w:highlight w:val="none"/>
        </w:rPr>
        <w:t>．专用合同条款</w:t>
      </w:r>
      <w:bookmarkEnd w:id="177"/>
      <w:bookmarkEnd w:id="178"/>
    </w:p>
    <w:p w14:paraId="47BF1593">
      <w:pPr>
        <w:spacing w:line="360" w:lineRule="auto"/>
        <w:ind w:firstLine="415" w:firstLineChars="197"/>
        <w:rPr>
          <w:rFonts w:hAnsi="宋体"/>
          <w:color w:val="auto"/>
          <w:sz w:val="21"/>
          <w:szCs w:val="16"/>
          <w:highlight w:val="none"/>
        </w:rPr>
      </w:pPr>
      <w:r>
        <w:rPr>
          <w:rFonts w:hint="eastAsia" w:ascii="Times New Roman"/>
          <w:b/>
          <w:bCs/>
          <w:snapToGrid w:val="0"/>
          <w:color w:val="auto"/>
          <w:kern w:val="0"/>
          <w:sz w:val="21"/>
          <w:szCs w:val="21"/>
          <w:highlight w:val="none"/>
          <w:lang w:val="en-US" w:eastAsia="zh-CN"/>
        </w:rPr>
        <w:t>5</w:t>
      </w:r>
      <w:r>
        <w:rPr>
          <w:rFonts w:ascii="Times New Roman"/>
          <w:b/>
          <w:bCs/>
          <w:snapToGrid w:val="0"/>
          <w:color w:val="auto"/>
          <w:kern w:val="0"/>
          <w:sz w:val="21"/>
          <w:szCs w:val="21"/>
          <w:highlight w:val="none"/>
        </w:rPr>
        <w:t>.1</w:t>
      </w:r>
      <w:r>
        <w:rPr>
          <w:rFonts w:hAnsi="宋体" w:cs="宋体"/>
          <w:color w:val="auto"/>
          <w:sz w:val="21"/>
          <w:szCs w:val="21"/>
          <w:highlight w:val="none"/>
        </w:rPr>
        <w:t>施工违约行为一览表</w:t>
      </w:r>
    </w:p>
    <w:p w14:paraId="292E0494">
      <w:pPr>
        <w:ind w:firstLine="415" w:firstLineChars="197"/>
        <w:jc w:val="center"/>
        <w:rPr>
          <w:rFonts w:hAnsi="宋体"/>
          <w:b/>
          <w:bCs/>
          <w:color w:val="auto"/>
          <w:sz w:val="21"/>
          <w:szCs w:val="16"/>
          <w:highlight w:val="none"/>
        </w:rPr>
      </w:pPr>
      <w:r>
        <w:rPr>
          <w:rFonts w:hAnsi="宋体" w:cs="宋体"/>
          <w:b/>
          <w:bCs/>
          <w:color w:val="auto"/>
          <w:sz w:val="21"/>
          <w:szCs w:val="21"/>
          <w:highlight w:val="none"/>
        </w:rPr>
        <w:t>施工违约行为一览表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5244"/>
        <w:gridCol w:w="1740"/>
        <w:gridCol w:w="1633"/>
      </w:tblGrid>
      <w:tr w14:paraId="63A4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688" w:type="dxa"/>
            <w:noWrap w:val="0"/>
            <w:vAlign w:val="center"/>
          </w:tcPr>
          <w:p w14:paraId="0A1036DD">
            <w:pPr>
              <w:pStyle w:val="66"/>
              <w:keepNext w:val="0"/>
              <w:keepLines w:val="0"/>
              <w:suppressLineNumbers w:val="0"/>
              <w:spacing w:before="0" w:beforeAutospacing="0" w:after="0" w:afterAutospacing="0"/>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序号</w:t>
            </w:r>
          </w:p>
        </w:tc>
        <w:tc>
          <w:tcPr>
            <w:tcW w:w="5244" w:type="dxa"/>
            <w:noWrap w:val="0"/>
            <w:vAlign w:val="center"/>
          </w:tcPr>
          <w:p w14:paraId="694697C2">
            <w:pPr>
              <w:pStyle w:val="66"/>
              <w:keepNext w:val="0"/>
              <w:keepLines w:val="0"/>
              <w:suppressLineNumbers w:val="0"/>
              <w:spacing w:before="0" w:beforeAutospacing="0" w:after="0" w:afterAutospacing="0"/>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违约行为</w:t>
            </w:r>
          </w:p>
        </w:tc>
        <w:tc>
          <w:tcPr>
            <w:tcW w:w="1740" w:type="dxa"/>
            <w:noWrap w:val="0"/>
            <w:vAlign w:val="center"/>
          </w:tcPr>
          <w:p w14:paraId="5975EAA5">
            <w:pPr>
              <w:pStyle w:val="66"/>
              <w:keepNext w:val="0"/>
              <w:keepLines w:val="0"/>
              <w:suppressLineNumbers w:val="0"/>
              <w:spacing w:before="0" w:beforeAutospacing="0" w:after="0" w:afterAutospacing="0"/>
              <w:ind w:left="0" w:right="0"/>
              <w:jc w:val="center"/>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违约金额</w:t>
            </w:r>
          </w:p>
        </w:tc>
        <w:tc>
          <w:tcPr>
            <w:tcW w:w="1633" w:type="dxa"/>
            <w:noWrap w:val="0"/>
            <w:vAlign w:val="center"/>
          </w:tcPr>
          <w:p w14:paraId="527FF4A3">
            <w:pPr>
              <w:pStyle w:val="66"/>
              <w:keepNext w:val="0"/>
              <w:keepLines w:val="0"/>
              <w:suppressLineNumbers w:val="0"/>
              <w:spacing w:before="0" w:beforeAutospacing="0" w:after="0" w:afterAutospacing="0"/>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备注</w:t>
            </w:r>
          </w:p>
        </w:tc>
      </w:tr>
      <w:tr w14:paraId="65DB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5BB6EA65">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一</w:t>
            </w:r>
          </w:p>
        </w:tc>
        <w:tc>
          <w:tcPr>
            <w:tcW w:w="5244" w:type="dxa"/>
            <w:noWrap w:val="0"/>
            <w:vAlign w:val="center"/>
          </w:tcPr>
          <w:p w14:paraId="67157525">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工程延误违约</w:t>
            </w:r>
          </w:p>
        </w:tc>
        <w:tc>
          <w:tcPr>
            <w:tcW w:w="1740" w:type="dxa"/>
            <w:noWrap w:val="0"/>
            <w:vAlign w:val="center"/>
          </w:tcPr>
          <w:p w14:paraId="6EE39128">
            <w:pPr>
              <w:pStyle w:val="66"/>
              <w:keepNext w:val="0"/>
              <w:keepLines w:val="0"/>
              <w:suppressLineNumbers w:val="0"/>
              <w:spacing w:before="0" w:beforeAutospacing="0" w:after="0" w:afterAutospacing="0"/>
              <w:ind w:left="0" w:right="0"/>
              <w:jc w:val="center"/>
              <w:rPr>
                <w:rFonts w:hint="eastAsia" w:ascii="宋体" w:hAnsi="宋体" w:eastAsia="宋体" w:cs="宋体"/>
                <w:bCs/>
                <w:color w:val="auto"/>
                <w:sz w:val="21"/>
                <w:szCs w:val="21"/>
                <w:highlight w:val="none"/>
              </w:rPr>
            </w:pPr>
          </w:p>
        </w:tc>
        <w:tc>
          <w:tcPr>
            <w:tcW w:w="1633" w:type="dxa"/>
            <w:noWrap w:val="0"/>
            <w:vAlign w:val="center"/>
          </w:tcPr>
          <w:p w14:paraId="1B349FBF">
            <w:pPr>
              <w:pStyle w:val="66"/>
              <w:keepNext w:val="0"/>
              <w:keepLines w:val="0"/>
              <w:suppressLineNumbers w:val="0"/>
              <w:spacing w:before="0" w:beforeAutospacing="0" w:after="0" w:afterAutospacing="0"/>
              <w:ind w:left="0" w:right="0"/>
              <w:rPr>
                <w:rFonts w:hint="eastAsia" w:ascii="宋体" w:hAnsi="宋体" w:eastAsia="宋体" w:cs="宋体"/>
                <w:bCs/>
                <w:color w:val="auto"/>
                <w:sz w:val="21"/>
                <w:szCs w:val="21"/>
                <w:highlight w:val="none"/>
              </w:rPr>
            </w:pPr>
          </w:p>
        </w:tc>
      </w:tr>
      <w:tr w14:paraId="3D99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30B2455D">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1</w:t>
            </w:r>
          </w:p>
        </w:tc>
        <w:tc>
          <w:tcPr>
            <w:tcW w:w="5244" w:type="dxa"/>
            <w:noWrap w:val="0"/>
            <w:vAlign w:val="center"/>
          </w:tcPr>
          <w:p w14:paraId="62C3BFE5">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因承包人原因，工程没有按期竣工时，承包人须在</w:t>
            </w:r>
            <w:r>
              <w:rPr>
                <w:rFonts w:hint="eastAsia" w:ascii="宋体" w:hAnsi="宋体" w:eastAsia="宋体" w:cs="宋体"/>
                <w:b w:val="0"/>
                <w:bCs/>
                <w:snapToGrid w:val="0"/>
                <w:color w:val="auto"/>
                <w:kern w:val="0"/>
                <w:sz w:val="21"/>
                <w:szCs w:val="21"/>
                <w:highlight w:val="none"/>
              </w:rPr>
              <w:t>逾期第壹天起每天缴纳逾期竣工违约金。</w:t>
            </w:r>
          </w:p>
        </w:tc>
        <w:tc>
          <w:tcPr>
            <w:tcW w:w="1740" w:type="dxa"/>
            <w:noWrap w:val="0"/>
            <w:vAlign w:val="center"/>
          </w:tcPr>
          <w:p w14:paraId="0B8A1253">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eastAsia" w:ascii="宋体" w:hAnsi="宋体" w:eastAsia="宋体" w:cs="宋体"/>
                <w:b w:val="0"/>
                <w:bCs/>
                <w:snapToGrid w:val="0"/>
                <w:color w:val="auto"/>
                <w:kern w:val="0"/>
                <w:sz w:val="21"/>
                <w:szCs w:val="21"/>
                <w:highlight w:val="none"/>
              </w:rPr>
              <w:t>合同价1‰/天</w:t>
            </w:r>
          </w:p>
        </w:tc>
        <w:tc>
          <w:tcPr>
            <w:tcW w:w="1633" w:type="dxa"/>
            <w:noWrap w:val="0"/>
            <w:vAlign w:val="center"/>
          </w:tcPr>
          <w:p w14:paraId="42A1D1FF">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 xml:space="preserve">逾期竣工违约金的最高限额为合同价的 </w:t>
            </w:r>
            <w:r>
              <w:rPr>
                <w:rFonts w:hint="eastAsia" w:ascii="宋体" w:hAnsi="宋体" w:eastAsia="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rPr>
              <w:t>%</w:t>
            </w:r>
          </w:p>
        </w:tc>
      </w:tr>
      <w:tr w14:paraId="7E6B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2B367D7B">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2</w:t>
            </w:r>
          </w:p>
        </w:tc>
        <w:tc>
          <w:tcPr>
            <w:tcW w:w="5244" w:type="dxa"/>
            <w:noWrap w:val="0"/>
            <w:vAlign w:val="center"/>
          </w:tcPr>
          <w:p w14:paraId="7A8DF032">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iCs/>
                <w:snapToGrid w:val="0"/>
                <w:color w:val="auto"/>
                <w:kern w:val="0"/>
                <w:sz w:val="21"/>
                <w:szCs w:val="21"/>
                <w:highlight w:val="none"/>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w:t>
            </w:r>
          </w:p>
        </w:tc>
        <w:tc>
          <w:tcPr>
            <w:tcW w:w="1740" w:type="dxa"/>
            <w:noWrap w:val="0"/>
            <w:vAlign w:val="center"/>
          </w:tcPr>
          <w:p w14:paraId="3AC4007A">
            <w:pPr>
              <w:pStyle w:val="66"/>
              <w:keepNext w:val="0"/>
              <w:keepLines w:val="0"/>
              <w:suppressLineNumbers w:val="0"/>
              <w:spacing w:before="0" w:beforeAutospacing="0" w:after="0" w:afterAutospacing="0"/>
              <w:ind w:left="0" w:right="0"/>
              <w:jc w:val="center"/>
              <w:rPr>
                <w:rFonts w:hint="eastAsia" w:ascii="宋体" w:hAnsi="宋体" w:eastAsia="宋体" w:cs="宋体"/>
                <w:b w:val="0"/>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3000元/次</w:t>
            </w:r>
          </w:p>
        </w:tc>
        <w:tc>
          <w:tcPr>
            <w:tcW w:w="1633" w:type="dxa"/>
            <w:noWrap w:val="0"/>
            <w:vAlign w:val="center"/>
          </w:tcPr>
          <w:p w14:paraId="0CD42DFC">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08A8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688" w:type="dxa"/>
            <w:noWrap w:val="0"/>
            <w:vAlign w:val="center"/>
          </w:tcPr>
          <w:p w14:paraId="147A5C69">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3</w:t>
            </w:r>
          </w:p>
        </w:tc>
        <w:tc>
          <w:tcPr>
            <w:tcW w:w="5244" w:type="dxa"/>
            <w:noWrap w:val="0"/>
            <w:vAlign w:val="center"/>
          </w:tcPr>
          <w:p w14:paraId="2B3A2116">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iCs/>
                <w:snapToGrid w:val="0"/>
                <w:color w:val="auto"/>
                <w:kern w:val="0"/>
                <w:sz w:val="21"/>
                <w:szCs w:val="21"/>
                <w:highlight w:val="none"/>
              </w:rPr>
            </w:pPr>
            <w:r>
              <w:rPr>
                <w:rFonts w:hint="eastAsia" w:ascii="宋体" w:hAnsi="宋体" w:eastAsia="宋体" w:cs="宋体"/>
                <w:b w:val="0"/>
                <w:bCs/>
                <w:color w:val="auto"/>
                <w:kern w:val="0"/>
                <w:sz w:val="21"/>
                <w:szCs w:val="21"/>
                <w:highlight w:val="none"/>
              </w:rPr>
              <w:t>停工发生后，若可复工时，承包人应在收到发包人或监理单位发出的复工通知书后3日内复工，否则，作误工违约处理。</w:t>
            </w:r>
          </w:p>
        </w:tc>
        <w:tc>
          <w:tcPr>
            <w:tcW w:w="1740" w:type="dxa"/>
            <w:noWrap w:val="0"/>
            <w:vAlign w:val="center"/>
          </w:tcPr>
          <w:p w14:paraId="49248A30">
            <w:pPr>
              <w:pStyle w:val="66"/>
              <w:keepNext w:val="0"/>
              <w:keepLines w:val="0"/>
              <w:suppressLineNumbers w:val="0"/>
              <w:spacing w:before="0" w:beforeAutospacing="0" w:after="0" w:afterAutospacing="0"/>
              <w:ind w:left="0" w:right="0"/>
              <w:jc w:val="center"/>
              <w:rPr>
                <w:rFonts w:hint="eastAsia" w:ascii="宋体" w:hAnsi="宋体" w:eastAsia="宋体" w:cs="宋体"/>
                <w:b w:val="0"/>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5000元/天</w:t>
            </w:r>
          </w:p>
        </w:tc>
        <w:tc>
          <w:tcPr>
            <w:tcW w:w="1633" w:type="dxa"/>
            <w:noWrap w:val="0"/>
            <w:vAlign w:val="center"/>
          </w:tcPr>
          <w:p w14:paraId="21390E89">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643C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3198996A">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二</w:t>
            </w:r>
          </w:p>
        </w:tc>
        <w:tc>
          <w:tcPr>
            <w:tcW w:w="5244" w:type="dxa"/>
            <w:noWrap w:val="0"/>
            <w:vAlign w:val="center"/>
          </w:tcPr>
          <w:p w14:paraId="09E813FA">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质量违约</w:t>
            </w:r>
          </w:p>
        </w:tc>
        <w:tc>
          <w:tcPr>
            <w:tcW w:w="1740" w:type="dxa"/>
            <w:noWrap w:val="0"/>
            <w:vAlign w:val="center"/>
          </w:tcPr>
          <w:p w14:paraId="428FFAF0">
            <w:pPr>
              <w:pStyle w:val="66"/>
              <w:keepNext w:val="0"/>
              <w:keepLines w:val="0"/>
              <w:suppressLineNumbers w:val="0"/>
              <w:spacing w:before="0" w:beforeAutospacing="0" w:after="0" w:afterAutospacing="0"/>
              <w:ind w:left="0" w:right="0"/>
              <w:jc w:val="center"/>
              <w:rPr>
                <w:rFonts w:hint="eastAsia" w:ascii="宋体" w:hAnsi="宋体" w:eastAsia="宋体" w:cs="宋体"/>
                <w:b w:val="0"/>
                <w:snapToGrid w:val="0"/>
                <w:color w:val="auto"/>
                <w:kern w:val="0"/>
                <w:sz w:val="21"/>
                <w:szCs w:val="21"/>
                <w:highlight w:val="none"/>
              </w:rPr>
            </w:pPr>
          </w:p>
        </w:tc>
        <w:tc>
          <w:tcPr>
            <w:tcW w:w="1633" w:type="dxa"/>
            <w:noWrap w:val="0"/>
            <w:vAlign w:val="center"/>
          </w:tcPr>
          <w:p w14:paraId="5CDC06D0">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0062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688" w:type="dxa"/>
            <w:noWrap w:val="0"/>
            <w:vAlign w:val="center"/>
          </w:tcPr>
          <w:p w14:paraId="4D87FBEC">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1</w:t>
            </w:r>
          </w:p>
        </w:tc>
        <w:tc>
          <w:tcPr>
            <w:tcW w:w="5244" w:type="dxa"/>
            <w:noWrap w:val="0"/>
            <w:vAlign w:val="center"/>
          </w:tcPr>
          <w:p w14:paraId="144DCB7E">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kern w:val="0"/>
                <w:sz w:val="21"/>
                <w:szCs w:val="21"/>
                <w:highlight w:val="none"/>
              </w:rPr>
            </w:pPr>
            <w:r>
              <w:rPr>
                <w:rFonts w:hint="eastAsia" w:ascii="宋体" w:hAnsi="宋体" w:eastAsia="宋体" w:cs="宋体"/>
                <w:b w:val="0"/>
                <w:bCs/>
                <w:color w:val="auto"/>
                <w:sz w:val="21"/>
                <w:szCs w:val="21"/>
                <w:highlight w:val="none"/>
              </w:rPr>
              <w:t>若发现材料不符合国家标准或发包人在技术规范中规定的标准，视为承包人违约。</w:t>
            </w:r>
          </w:p>
        </w:tc>
        <w:tc>
          <w:tcPr>
            <w:tcW w:w="1740" w:type="dxa"/>
            <w:noWrap w:val="0"/>
            <w:vAlign w:val="center"/>
          </w:tcPr>
          <w:p w14:paraId="3384A2E5">
            <w:pPr>
              <w:pStyle w:val="66"/>
              <w:keepNext w:val="0"/>
              <w:keepLines w:val="0"/>
              <w:suppressLineNumbers w:val="0"/>
              <w:spacing w:before="0" w:beforeAutospacing="0" w:after="0" w:afterAutospacing="0"/>
              <w:ind w:left="0" w:right="0"/>
              <w:jc w:val="center"/>
              <w:rPr>
                <w:rFonts w:hint="eastAsia" w:ascii="宋体" w:hAnsi="宋体" w:eastAsia="宋体" w:cs="宋体"/>
                <w:b w:val="0"/>
                <w:snapToGrid w:val="0"/>
                <w:color w:val="auto"/>
                <w:kern w:val="0"/>
                <w:sz w:val="21"/>
                <w:szCs w:val="21"/>
                <w:highlight w:val="none"/>
              </w:rPr>
            </w:pPr>
            <w:r>
              <w:rPr>
                <w:rFonts w:hint="eastAsia" w:ascii="宋体" w:hAnsi="宋体" w:eastAsia="宋体" w:cs="宋体"/>
                <w:b w:val="0"/>
                <w:bCs/>
                <w:color w:val="auto"/>
                <w:sz w:val="21"/>
                <w:szCs w:val="21"/>
                <w:highlight w:val="none"/>
              </w:rPr>
              <w:t>按现行《建设工程质量管理条例》处理</w:t>
            </w:r>
          </w:p>
        </w:tc>
        <w:tc>
          <w:tcPr>
            <w:tcW w:w="1633" w:type="dxa"/>
            <w:noWrap w:val="0"/>
            <w:vAlign w:val="center"/>
          </w:tcPr>
          <w:p w14:paraId="0E410653">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5A7D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19D4631A">
            <w:pPr>
              <w:pStyle w:val="66"/>
              <w:keepNext w:val="0"/>
              <w:keepLines w:val="0"/>
              <w:suppressLineNumbers w:val="0"/>
              <w:spacing w:before="0" w:beforeAutospacing="0" w:after="0" w:afterAutospacing="0" w:line="400" w:lineRule="exact"/>
              <w:ind w:left="0" w:right="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5244" w:type="dxa"/>
            <w:noWrap w:val="0"/>
            <w:vAlign w:val="center"/>
          </w:tcPr>
          <w:p w14:paraId="1FF8524B">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主要材料必须先提供样板或相关资料给</w:t>
            </w:r>
            <w:r>
              <w:rPr>
                <w:rFonts w:hint="eastAsia" w:ascii="宋体" w:hAnsi="宋体" w:eastAsia="宋体" w:cs="宋体"/>
                <w:b w:val="0"/>
                <w:bCs/>
                <w:color w:val="auto"/>
                <w:sz w:val="21"/>
                <w:szCs w:val="21"/>
                <w:highlight w:val="none"/>
                <w:lang w:val="zh-CN"/>
              </w:rPr>
              <w:t>发包人</w:t>
            </w:r>
            <w:r>
              <w:rPr>
                <w:rFonts w:hint="eastAsia" w:ascii="宋体" w:hAnsi="宋体" w:eastAsia="宋体" w:cs="宋体"/>
                <w:b w:val="0"/>
                <w:bCs/>
                <w:color w:val="auto"/>
                <w:sz w:val="21"/>
                <w:szCs w:val="21"/>
                <w:highlight w:val="none"/>
              </w:rPr>
              <w:t>同意确定其规格、型号、颜色、等级等，</w:t>
            </w:r>
            <w:r>
              <w:rPr>
                <w:rFonts w:hint="eastAsia" w:ascii="宋体" w:hAnsi="宋体" w:eastAsia="宋体" w:cs="宋体"/>
                <w:b w:val="0"/>
                <w:bCs/>
                <w:color w:val="auto"/>
                <w:sz w:val="21"/>
                <w:szCs w:val="21"/>
                <w:highlight w:val="none"/>
                <w:lang w:val="zh-CN"/>
              </w:rPr>
              <w:t>并经发包人委托的第三方检测部门检测合格</w:t>
            </w:r>
            <w:r>
              <w:rPr>
                <w:rFonts w:hint="eastAsia" w:ascii="宋体" w:hAnsi="宋体" w:eastAsia="宋体" w:cs="宋体"/>
                <w:b w:val="0"/>
                <w:bCs/>
                <w:color w:val="auto"/>
                <w:sz w:val="21"/>
                <w:szCs w:val="21"/>
                <w:highlight w:val="none"/>
              </w:rPr>
              <w:t>方可使用，所有材料必须使用合格产品。</w:t>
            </w:r>
            <w:r>
              <w:rPr>
                <w:rFonts w:hint="eastAsia" w:ascii="宋体" w:hAnsi="宋体" w:eastAsia="宋体" w:cs="宋体"/>
                <w:b w:val="0"/>
                <w:bCs/>
                <w:color w:val="auto"/>
                <w:sz w:val="21"/>
                <w:szCs w:val="21"/>
                <w:highlight w:val="none"/>
                <w:lang w:eastAsia="zh-CN"/>
              </w:rPr>
              <w:t>未按上述要求执行的</w:t>
            </w:r>
            <w:r>
              <w:rPr>
                <w:rFonts w:hint="eastAsia" w:ascii="宋体" w:hAnsi="宋体" w:eastAsia="宋体" w:cs="宋体"/>
                <w:b w:val="0"/>
                <w:bCs/>
                <w:color w:val="auto"/>
                <w:sz w:val="21"/>
                <w:szCs w:val="21"/>
                <w:highlight w:val="none"/>
              </w:rPr>
              <w:t>视为承包人违约。</w:t>
            </w:r>
          </w:p>
        </w:tc>
        <w:tc>
          <w:tcPr>
            <w:tcW w:w="1740" w:type="dxa"/>
            <w:noWrap w:val="0"/>
            <w:vAlign w:val="center"/>
          </w:tcPr>
          <w:p w14:paraId="1B7687B4">
            <w:pPr>
              <w:pStyle w:val="66"/>
              <w:keepNext w:val="0"/>
              <w:keepLines w:val="0"/>
              <w:suppressLineNumbers w:val="0"/>
              <w:spacing w:before="0" w:beforeAutospacing="0" w:after="0" w:afterAutospacing="0"/>
              <w:ind w:left="0" w:right="0"/>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snapToGrid w:val="0"/>
                <w:color w:val="auto"/>
                <w:kern w:val="0"/>
                <w:sz w:val="21"/>
                <w:szCs w:val="21"/>
                <w:highlight w:val="none"/>
                <w:lang w:val="en-US" w:eastAsia="zh-CN"/>
              </w:rPr>
              <w:t>10</w:t>
            </w:r>
            <w:r>
              <w:rPr>
                <w:rFonts w:hint="eastAsia" w:ascii="宋体" w:hAnsi="宋体" w:eastAsia="宋体" w:cs="宋体"/>
                <w:b w:val="0"/>
                <w:bCs/>
                <w:snapToGrid w:val="0"/>
                <w:color w:val="auto"/>
                <w:kern w:val="0"/>
                <w:sz w:val="21"/>
                <w:szCs w:val="21"/>
                <w:highlight w:val="none"/>
              </w:rPr>
              <w:t>000元/</w:t>
            </w:r>
            <w:r>
              <w:rPr>
                <w:rFonts w:hint="eastAsia" w:ascii="宋体" w:hAnsi="宋体" w:eastAsia="宋体" w:cs="宋体"/>
                <w:b w:val="0"/>
                <w:bCs/>
                <w:snapToGrid w:val="0"/>
                <w:color w:val="auto"/>
                <w:kern w:val="0"/>
                <w:sz w:val="21"/>
                <w:szCs w:val="21"/>
                <w:highlight w:val="none"/>
                <w:lang w:eastAsia="zh-CN"/>
              </w:rPr>
              <w:t>次</w:t>
            </w:r>
          </w:p>
        </w:tc>
        <w:tc>
          <w:tcPr>
            <w:tcW w:w="1633" w:type="dxa"/>
            <w:noWrap w:val="0"/>
            <w:vAlign w:val="center"/>
          </w:tcPr>
          <w:p w14:paraId="0D5D1F1A">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1164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32C7115D">
            <w:pPr>
              <w:pStyle w:val="66"/>
              <w:keepNext w:val="0"/>
              <w:keepLines w:val="0"/>
              <w:suppressLineNumbers w:val="0"/>
              <w:spacing w:before="0" w:beforeAutospacing="0" w:after="0" w:afterAutospacing="0" w:line="400" w:lineRule="exact"/>
              <w:ind w:left="0" w:right="0"/>
              <w:rPr>
                <w:rFonts w:hint="default" w:ascii="宋体" w:hAnsi="宋体" w:eastAsia="宋体" w:cs="宋体"/>
                <w:b w:val="0"/>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w:t>
            </w:r>
          </w:p>
        </w:tc>
        <w:tc>
          <w:tcPr>
            <w:tcW w:w="5244" w:type="dxa"/>
            <w:noWrap w:val="0"/>
            <w:vAlign w:val="center"/>
          </w:tcPr>
          <w:p w14:paraId="07D78AC2">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在施工过程中经监理单位（或</w:t>
            </w:r>
            <w:r>
              <w:rPr>
                <w:rFonts w:hint="eastAsia" w:ascii="宋体" w:hAnsi="宋体" w:eastAsia="宋体" w:cs="宋体"/>
                <w:b w:val="0"/>
                <w:bCs/>
                <w:color w:val="auto"/>
                <w:sz w:val="21"/>
                <w:szCs w:val="21"/>
                <w:highlight w:val="none"/>
                <w:lang w:val="zh-CN"/>
              </w:rPr>
              <w:t>发包人</w:t>
            </w:r>
            <w:r>
              <w:rPr>
                <w:rFonts w:hint="eastAsia" w:ascii="宋体" w:hAnsi="宋体" w:eastAsia="宋体" w:cs="宋体"/>
                <w:b w:val="0"/>
                <w:bCs/>
                <w:color w:val="auto"/>
                <w:sz w:val="21"/>
                <w:szCs w:val="21"/>
                <w:highlight w:val="none"/>
              </w:rPr>
              <w:t>）日常巡查或抽检发现未达到合格标准（或发现未按设计施工图施工），责令承包人进行整改，如未按规定时间进行整改或整改不到位的。</w:t>
            </w:r>
          </w:p>
        </w:tc>
        <w:tc>
          <w:tcPr>
            <w:tcW w:w="1740" w:type="dxa"/>
            <w:noWrap w:val="0"/>
            <w:vAlign w:val="center"/>
          </w:tcPr>
          <w:p w14:paraId="7161B14C">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eastAsia" w:ascii="宋体" w:hAnsi="宋体" w:eastAsia="宋体" w:cs="宋体"/>
                <w:b w:val="0"/>
                <w:bCs/>
                <w:iCs/>
                <w:snapToGrid w:val="0"/>
                <w:color w:val="auto"/>
                <w:kern w:val="0"/>
                <w:sz w:val="21"/>
                <w:szCs w:val="21"/>
                <w:highlight w:val="none"/>
              </w:rPr>
              <w:t>3000元/次</w:t>
            </w:r>
          </w:p>
        </w:tc>
        <w:tc>
          <w:tcPr>
            <w:tcW w:w="1633" w:type="dxa"/>
            <w:noWrap w:val="0"/>
            <w:vAlign w:val="center"/>
          </w:tcPr>
          <w:p w14:paraId="55616357">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01C1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46E82B49">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4</w:t>
            </w:r>
          </w:p>
        </w:tc>
        <w:tc>
          <w:tcPr>
            <w:tcW w:w="5244" w:type="dxa"/>
            <w:noWrap w:val="0"/>
            <w:vAlign w:val="center"/>
          </w:tcPr>
          <w:p w14:paraId="2639FD6C">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工程在竣工验收时未达到合格标准。</w:t>
            </w:r>
          </w:p>
        </w:tc>
        <w:tc>
          <w:tcPr>
            <w:tcW w:w="1740" w:type="dxa"/>
            <w:noWrap w:val="0"/>
            <w:vAlign w:val="center"/>
          </w:tcPr>
          <w:p w14:paraId="111962C4">
            <w:pPr>
              <w:pStyle w:val="66"/>
              <w:keepNext w:val="0"/>
              <w:keepLines w:val="0"/>
              <w:suppressLineNumbers w:val="0"/>
              <w:spacing w:before="0" w:beforeAutospacing="0" w:after="0" w:afterAutospacing="0"/>
              <w:ind w:left="0" w:right="0"/>
              <w:jc w:val="center"/>
              <w:rPr>
                <w:rFonts w:hint="eastAsia" w:ascii="宋体" w:hAnsi="宋体" w:eastAsia="宋体" w:cs="宋体"/>
                <w:b w:val="0"/>
                <w:iCs/>
                <w:snapToGrid w:val="0"/>
                <w:color w:val="auto"/>
                <w:kern w:val="0"/>
                <w:sz w:val="21"/>
                <w:szCs w:val="21"/>
                <w:highlight w:val="none"/>
              </w:rPr>
            </w:pPr>
            <w:r>
              <w:rPr>
                <w:rFonts w:hint="eastAsia" w:ascii="宋体" w:hAnsi="宋体" w:eastAsia="宋体" w:cs="宋体"/>
                <w:b w:val="0"/>
                <w:bCs/>
                <w:iCs/>
                <w:snapToGrid w:val="0"/>
                <w:color w:val="auto"/>
                <w:kern w:val="0"/>
                <w:sz w:val="21"/>
                <w:szCs w:val="21"/>
                <w:highlight w:val="none"/>
              </w:rPr>
              <w:t>合同价的 3 ‰</w:t>
            </w:r>
          </w:p>
        </w:tc>
        <w:tc>
          <w:tcPr>
            <w:tcW w:w="1633" w:type="dxa"/>
            <w:noWrap w:val="0"/>
            <w:vAlign w:val="center"/>
          </w:tcPr>
          <w:p w14:paraId="1F43D968">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6BD0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5A39569C">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三</w:t>
            </w:r>
          </w:p>
        </w:tc>
        <w:tc>
          <w:tcPr>
            <w:tcW w:w="5244" w:type="dxa"/>
            <w:noWrap w:val="0"/>
            <w:vAlign w:val="center"/>
          </w:tcPr>
          <w:p w14:paraId="6BFE17F6">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重大责任事故违约</w:t>
            </w:r>
          </w:p>
        </w:tc>
        <w:tc>
          <w:tcPr>
            <w:tcW w:w="1740" w:type="dxa"/>
            <w:noWrap w:val="0"/>
            <w:vAlign w:val="center"/>
          </w:tcPr>
          <w:p w14:paraId="3A674B3D">
            <w:pPr>
              <w:pStyle w:val="66"/>
              <w:keepNext w:val="0"/>
              <w:keepLines w:val="0"/>
              <w:suppressLineNumbers w:val="0"/>
              <w:spacing w:before="0" w:beforeAutospacing="0" w:after="0" w:afterAutospacing="0"/>
              <w:ind w:left="0" w:right="0"/>
              <w:jc w:val="center"/>
              <w:rPr>
                <w:rFonts w:hint="eastAsia" w:ascii="宋体" w:hAnsi="宋体" w:eastAsia="宋体" w:cs="宋体"/>
                <w:b w:val="0"/>
                <w:iCs/>
                <w:snapToGrid w:val="0"/>
                <w:color w:val="auto"/>
                <w:kern w:val="0"/>
                <w:sz w:val="21"/>
                <w:szCs w:val="21"/>
                <w:highlight w:val="none"/>
              </w:rPr>
            </w:pPr>
          </w:p>
        </w:tc>
        <w:tc>
          <w:tcPr>
            <w:tcW w:w="1633" w:type="dxa"/>
            <w:noWrap w:val="0"/>
            <w:vAlign w:val="center"/>
          </w:tcPr>
          <w:p w14:paraId="2D1F7843">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5695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4B7DC9D9">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1</w:t>
            </w:r>
          </w:p>
        </w:tc>
        <w:tc>
          <w:tcPr>
            <w:tcW w:w="5244" w:type="dxa"/>
            <w:noWrap w:val="0"/>
            <w:vAlign w:val="center"/>
          </w:tcPr>
          <w:p w14:paraId="24E0875A">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同时需缴纳违约金。</w:t>
            </w:r>
          </w:p>
        </w:tc>
        <w:tc>
          <w:tcPr>
            <w:tcW w:w="1740" w:type="dxa"/>
            <w:noWrap w:val="0"/>
            <w:vAlign w:val="center"/>
          </w:tcPr>
          <w:p w14:paraId="00F79037">
            <w:pPr>
              <w:pStyle w:val="66"/>
              <w:keepNext w:val="0"/>
              <w:keepLines w:val="0"/>
              <w:suppressLineNumbers w:val="0"/>
              <w:spacing w:before="0" w:beforeAutospacing="0" w:after="0" w:afterAutospacing="0"/>
              <w:ind w:left="0" w:right="0"/>
              <w:jc w:val="center"/>
              <w:rPr>
                <w:rFonts w:hint="eastAsia" w:ascii="宋体" w:hAnsi="宋体" w:eastAsia="宋体" w:cs="宋体"/>
                <w:b w:val="0"/>
                <w:iCs/>
                <w:snapToGrid w:val="0"/>
                <w:color w:val="auto"/>
                <w:kern w:val="0"/>
                <w:sz w:val="21"/>
                <w:szCs w:val="21"/>
                <w:highlight w:val="none"/>
              </w:rPr>
            </w:pPr>
            <w:r>
              <w:rPr>
                <w:rFonts w:hint="eastAsia" w:ascii="宋体" w:hAnsi="宋体" w:eastAsia="宋体" w:cs="宋体"/>
                <w:b w:val="0"/>
                <w:bCs/>
                <w:color w:val="auto"/>
                <w:sz w:val="21"/>
                <w:szCs w:val="21"/>
                <w:highlight w:val="none"/>
              </w:rPr>
              <w:t>50万元/次</w:t>
            </w:r>
          </w:p>
        </w:tc>
        <w:tc>
          <w:tcPr>
            <w:tcW w:w="1633" w:type="dxa"/>
            <w:noWrap w:val="0"/>
            <w:vAlign w:val="center"/>
          </w:tcPr>
          <w:p w14:paraId="7D37503D">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4529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506CE155">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四</w:t>
            </w:r>
          </w:p>
        </w:tc>
        <w:tc>
          <w:tcPr>
            <w:tcW w:w="5244" w:type="dxa"/>
            <w:noWrap w:val="0"/>
            <w:vAlign w:val="center"/>
          </w:tcPr>
          <w:p w14:paraId="762CC1EA">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用工违约</w:t>
            </w:r>
          </w:p>
        </w:tc>
        <w:tc>
          <w:tcPr>
            <w:tcW w:w="1740" w:type="dxa"/>
            <w:noWrap w:val="0"/>
            <w:vAlign w:val="center"/>
          </w:tcPr>
          <w:p w14:paraId="28270B09">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p>
        </w:tc>
        <w:tc>
          <w:tcPr>
            <w:tcW w:w="1633" w:type="dxa"/>
            <w:noWrap w:val="0"/>
            <w:vAlign w:val="center"/>
          </w:tcPr>
          <w:p w14:paraId="317B1397">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647B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5B26F477">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1</w:t>
            </w:r>
          </w:p>
        </w:tc>
        <w:tc>
          <w:tcPr>
            <w:tcW w:w="5244" w:type="dxa"/>
            <w:noWrap w:val="0"/>
            <w:vAlign w:val="center"/>
          </w:tcPr>
          <w:p w14:paraId="1EB36289">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在合同履行期间，如经查实承包人拖欠或克扣农民工或劳务工工资，导致劳资纠纷或发生危及公共安全或正常社会秩序的事件的，按承包人违约处理。</w:t>
            </w:r>
          </w:p>
        </w:tc>
        <w:tc>
          <w:tcPr>
            <w:tcW w:w="1740" w:type="dxa"/>
            <w:noWrap w:val="0"/>
            <w:vAlign w:val="center"/>
          </w:tcPr>
          <w:p w14:paraId="36FCDB2A">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10000元/次</w:t>
            </w:r>
          </w:p>
        </w:tc>
        <w:tc>
          <w:tcPr>
            <w:tcW w:w="1633" w:type="dxa"/>
            <w:noWrap w:val="0"/>
            <w:vAlign w:val="center"/>
          </w:tcPr>
          <w:p w14:paraId="77F319E0">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1D9D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59E671B4">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2</w:t>
            </w:r>
          </w:p>
        </w:tc>
        <w:tc>
          <w:tcPr>
            <w:tcW w:w="5244" w:type="dxa"/>
            <w:noWrap w:val="0"/>
            <w:vAlign w:val="center"/>
          </w:tcPr>
          <w:p w14:paraId="5BC838B3">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snapToGrid w:val="0"/>
                <w:color w:val="auto"/>
                <w:kern w:val="0"/>
                <w:sz w:val="21"/>
                <w:szCs w:val="21"/>
                <w:highlight w:val="none"/>
              </w:rPr>
              <w:t>承包人对提供的</w:t>
            </w:r>
            <w:r>
              <w:rPr>
                <w:rFonts w:hint="eastAsia" w:ascii="宋体" w:hAnsi="宋体" w:eastAsia="宋体" w:cs="宋体"/>
                <w:b w:val="0"/>
                <w:bCs/>
                <w:color w:val="auto"/>
                <w:sz w:val="21"/>
                <w:szCs w:val="21"/>
                <w:highlight w:val="none"/>
              </w:rPr>
              <w:t>农民工或劳务工工资发放及公示</w:t>
            </w:r>
            <w:r>
              <w:rPr>
                <w:rFonts w:hint="eastAsia" w:ascii="宋体" w:hAnsi="宋体" w:eastAsia="宋体" w:cs="宋体"/>
                <w:b w:val="0"/>
                <w:bCs/>
                <w:snapToGrid w:val="0"/>
                <w:color w:val="auto"/>
                <w:kern w:val="0"/>
                <w:sz w:val="21"/>
                <w:szCs w:val="21"/>
                <w:highlight w:val="none"/>
              </w:rPr>
              <w:t>资料真实性负责，如发现虚假不实情况。</w:t>
            </w:r>
          </w:p>
        </w:tc>
        <w:tc>
          <w:tcPr>
            <w:tcW w:w="1740" w:type="dxa"/>
            <w:noWrap w:val="0"/>
            <w:vAlign w:val="center"/>
          </w:tcPr>
          <w:p w14:paraId="4C634F2D">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10000元/次</w:t>
            </w:r>
          </w:p>
        </w:tc>
        <w:tc>
          <w:tcPr>
            <w:tcW w:w="1633" w:type="dxa"/>
            <w:noWrap w:val="0"/>
            <w:vAlign w:val="center"/>
          </w:tcPr>
          <w:p w14:paraId="23C303FB">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4B89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688" w:type="dxa"/>
            <w:noWrap w:val="0"/>
            <w:vAlign w:val="center"/>
          </w:tcPr>
          <w:p w14:paraId="63A3F84B">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3</w:t>
            </w:r>
          </w:p>
        </w:tc>
        <w:tc>
          <w:tcPr>
            <w:tcW w:w="5244" w:type="dxa"/>
            <w:noWrap w:val="0"/>
            <w:vAlign w:val="center"/>
          </w:tcPr>
          <w:p w14:paraId="00F7CC9D">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snapToGrid w:val="0"/>
                <w:color w:val="auto"/>
                <w:kern w:val="0"/>
                <w:sz w:val="21"/>
                <w:szCs w:val="21"/>
                <w:highlight w:val="none"/>
              </w:rPr>
            </w:pPr>
            <w:r>
              <w:rPr>
                <w:rFonts w:hint="eastAsia" w:ascii="宋体" w:hAnsi="宋体" w:eastAsia="宋体" w:cs="宋体"/>
                <w:b w:val="0"/>
                <w:bCs/>
                <w:color w:val="auto"/>
                <w:sz w:val="21"/>
                <w:szCs w:val="21"/>
                <w:highlight w:val="none"/>
              </w:rPr>
              <w:t>承包人应积极落实有关部门关于用工实名制管理工作的要求，未按规落实农民工工资专户及实用工实名制要求。</w:t>
            </w:r>
          </w:p>
        </w:tc>
        <w:tc>
          <w:tcPr>
            <w:tcW w:w="1740" w:type="dxa"/>
            <w:noWrap w:val="0"/>
            <w:vAlign w:val="center"/>
          </w:tcPr>
          <w:p w14:paraId="37BEC1CD">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10000元/次</w:t>
            </w:r>
          </w:p>
        </w:tc>
        <w:tc>
          <w:tcPr>
            <w:tcW w:w="1633" w:type="dxa"/>
            <w:noWrap w:val="0"/>
            <w:vAlign w:val="center"/>
          </w:tcPr>
          <w:p w14:paraId="163C8175">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062C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66AC0C83">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五</w:t>
            </w:r>
          </w:p>
        </w:tc>
        <w:tc>
          <w:tcPr>
            <w:tcW w:w="5244" w:type="dxa"/>
            <w:noWrap w:val="0"/>
            <w:vAlign w:val="center"/>
          </w:tcPr>
          <w:p w14:paraId="51BD750F">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安全文明施工违约</w:t>
            </w:r>
          </w:p>
        </w:tc>
        <w:tc>
          <w:tcPr>
            <w:tcW w:w="1740" w:type="dxa"/>
            <w:noWrap w:val="0"/>
            <w:vAlign w:val="center"/>
          </w:tcPr>
          <w:p w14:paraId="0C6606B8">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p>
        </w:tc>
        <w:tc>
          <w:tcPr>
            <w:tcW w:w="1633" w:type="dxa"/>
            <w:noWrap w:val="0"/>
            <w:vAlign w:val="center"/>
          </w:tcPr>
          <w:p w14:paraId="3DEC1FF9">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61B0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0EB69CDD">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1</w:t>
            </w:r>
          </w:p>
        </w:tc>
        <w:tc>
          <w:tcPr>
            <w:tcW w:w="5244" w:type="dxa"/>
            <w:noWrap w:val="0"/>
            <w:vAlign w:val="center"/>
          </w:tcPr>
          <w:p w14:paraId="1A6B3085">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如承包人违反国家、广东省、发包人及合同关于安全文明施工的规定，但尚未造成安全责任事故，承包人应及时改正行为并赔偿相关方的损失，如未及时整改,针对每一违约行为。</w:t>
            </w:r>
          </w:p>
        </w:tc>
        <w:tc>
          <w:tcPr>
            <w:tcW w:w="1740" w:type="dxa"/>
            <w:noWrap w:val="0"/>
            <w:vAlign w:val="center"/>
          </w:tcPr>
          <w:p w14:paraId="24DBA3AA">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eastAsia" w:ascii="宋体" w:hAnsi="宋体" w:eastAsia="宋体" w:cs="宋体"/>
                <w:b w:val="0"/>
                <w:bCs/>
                <w:iCs/>
                <w:snapToGrid w:val="0"/>
                <w:color w:val="auto"/>
                <w:kern w:val="0"/>
                <w:sz w:val="21"/>
                <w:szCs w:val="21"/>
                <w:highlight w:val="none"/>
              </w:rPr>
              <w:t>3000元/次</w:t>
            </w:r>
          </w:p>
        </w:tc>
        <w:tc>
          <w:tcPr>
            <w:tcW w:w="1633" w:type="dxa"/>
            <w:noWrap w:val="0"/>
            <w:vAlign w:val="center"/>
          </w:tcPr>
          <w:p w14:paraId="0A84AEC3">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3C09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88" w:type="dxa"/>
            <w:noWrap w:val="0"/>
            <w:vAlign w:val="center"/>
          </w:tcPr>
          <w:p w14:paraId="3D115E32">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2</w:t>
            </w:r>
          </w:p>
        </w:tc>
        <w:tc>
          <w:tcPr>
            <w:tcW w:w="5244" w:type="dxa"/>
            <w:noWrap w:val="0"/>
            <w:vAlign w:val="center"/>
          </w:tcPr>
          <w:p w14:paraId="6938D9BF">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承包人现场施工人员存在野蛮施工行为，经现场发包人（含监理单位）管理人员确认。</w:t>
            </w:r>
          </w:p>
        </w:tc>
        <w:tc>
          <w:tcPr>
            <w:tcW w:w="1740" w:type="dxa"/>
            <w:noWrap w:val="0"/>
            <w:vAlign w:val="center"/>
          </w:tcPr>
          <w:p w14:paraId="3417679F">
            <w:pPr>
              <w:pStyle w:val="66"/>
              <w:keepNext w:val="0"/>
              <w:keepLines w:val="0"/>
              <w:suppressLineNumbers w:val="0"/>
              <w:spacing w:before="0" w:beforeAutospacing="0" w:after="0" w:afterAutospacing="0"/>
              <w:ind w:left="0" w:right="0"/>
              <w:jc w:val="center"/>
              <w:rPr>
                <w:rFonts w:hint="eastAsia" w:ascii="宋体" w:hAnsi="宋体" w:eastAsia="宋体" w:cs="宋体"/>
                <w:b w:val="0"/>
                <w:iCs/>
                <w:snapToGrid w:val="0"/>
                <w:color w:val="auto"/>
                <w:kern w:val="0"/>
                <w:sz w:val="21"/>
                <w:szCs w:val="21"/>
                <w:highlight w:val="none"/>
              </w:rPr>
            </w:pPr>
            <w:r>
              <w:rPr>
                <w:rFonts w:hint="eastAsia" w:ascii="宋体" w:hAnsi="宋体" w:eastAsia="宋体" w:cs="宋体"/>
                <w:b w:val="0"/>
                <w:bCs/>
                <w:iCs/>
                <w:snapToGrid w:val="0"/>
                <w:color w:val="auto"/>
                <w:kern w:val="0"/>
                <w:sz w:val="21"/>
                <w:szCs w:val="21"/>
                <w:highlight w:val="none"/>
              </w:rPr>
              <w:t>5000元/次</w:t>
            </w:r>
          </w:p>
        </w:tc>
        <w:tc>
          <w:tcPr>
            <w:tcW w:w="1633" w:type="dxa"/>
            <w:noWrap w:val="0"/>
            <w:vAlign w:val="center"/>
          </w:tcPr>
          <w:p w14:paraId="7CB2B0A2">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7292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688" w:type="dxa"/>
            <w:noWrap w:val="0"/>
            <w:vAlign w:val="center"/>
          </w:tcPr>
          <w:p w14:paraId="101FE9FE">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3</w:t>
            </w:r>
          </w:p>
        </w:tc>
        <w:tc>
          <w:tcPr>
            <w:tcW w:w="5244" w:type="dxa"/>
            <w:noWrap w:val="0"/>
            <w:vAlign w:val="center"/>
          </w:tcPr>
          <w:p w14:paraId="314EAD83">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如因野蛮施工行为，引起投诉或网络问政的。</w:t>
            </w:r>
          </w:p>
        </w:tc>
        <w:tc>
          <w:tcPr>
            <w:tcW w:w="1740" w:type="dxa"/>
            <w:noWrap w:val="0"/>
            <w:vAlign w:val="center"/>
          </w:tcPr>
          <w:p w14:paraId="47BE7511">
            <w:pPr>
              <w:pStyle w:val="66"/>
              <w:keepNext w:val="0"/>
              <w:keepLines w:val="0"/>
              <w:suppressLineNumbers w:val="0"/>
              <w:spacing w:before="0" w:beforeAutospacing="0" w:after="0" w:afterAutospacing="0"/>
              <w:ind w:left="0" w:right="0"/>
              <w:jc w:val="center"/>
              <w:rPr>
                <w:rFonts w:hint="eastAsia" w:ascii="宋体" w:hAnsi="宋体" w:eastAsia="宋体" w:cs="宋体"/>
                <w:b w:val="0"/>
                <w:iCs/>
                <w:snapToGrid w:val="0"/>
                <w:color w:val="auto"/>
                <w:kern w:val="0"/>
                <w:sz w:val="21"/>
                <w:szCs w:val="21"/>
                <w:highlight w:val="none"/>
              </w:rPr>
            </w:pPr>
            <w:r>
              <w:rPr>
                <w:rFonts w:hint="eastAsia" w:ascii="宋体" w:hAnsi="宋体" w:eastAsia="宋体" w:cs="宋体"/>
                <w:b w:val="0"/>
                <w:bCs/>
                <w:iCs/>
                <w:snapToGrid w:val="0"/>
                <w:color w:val="auto"/>
                <w:kern w:val="0"/>
                <w:sz w:val="21"/>
                <w:szCs w:val="21"/>
                <w:highlight w:val="none"/>
              </w:rPr>
              <w:t>5000元/次</w:t>
            </w:r>
          </w:p>
        </w:tc>
        <w:tc>
          <w:tcPr>
            <w:tcW w:w="1633" w:type="dxa"/>
            <w:noWrap w:val="0"/>
            <w:vAlign w:val="center"/>
          </w:tcPr>
          <w:p w14:paraId="76689B4D">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7D3D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5BEACD61">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4</w:t>
            </w:r>
          </w:p>
        </w:tc>
        <w:tc>
          <w:tcPr>
            <w:tcW w:w="5244" w:type="dxa"/>
            <w:noWrap w:val="0"/>
            <w:vAlign w:val="center"/>
          </w:tcPr>
          <w:p w14:paraId="16A3298D">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承包人必须接受发包人及监理单位组织的安全、文明施工的检查，检查中的不合格项目、安全隐患必须在规定的时间内整改完成，每拖延一天。</w:t>
            </w:r>
          </w:p>
        </w:tc>
        <w:tc>
          <w:tcPr>
            <w:tcW w:w="1740" w:type="dxa"/>
            <w:noWrap w:val="0"/>
            <w:vAlign w:val="center"/>
          </w:tcPr>
          <w:p w14:paraId="466D27F6">
            <w:pPr>
              <w:pStyle w:val="66"/>
              <w:keepNext w:val="0"/>
              <w:keepLines w:val="0"/>
              <w:suppressLineNumbers w:val="0"/>
              <w:spacing w:before="0" w:beforeAutospacing="0" w:after="0" w:afterAutospacing="0"/>
              <w:ind w:left="0" w:right="0"/>
              <w:jc w:val="center"/>
              <w:rPr>
                <w:rFonts w:hint="eastAsia" w:ascii="宋体" w:hAnsi="宋体" w:eastAsia="宋体" w:cs="宋体"/>
                <w:b w:val="0"/>
                <w:iCs/>
                <w:snapToGrid w:val="0"/>
                <w:color w:val="auto"/>
                <w:kern w:val="0"/>
                <w:sz w:val="21"/>
                <w:szCs w:val="21"/>
                <w:highlight w:val="none"/>
              </w:rPr>
            </w:pPr>
            <w:r>
              <w:rPr>
                <w:rFonts w:hint="eastAsia" w:ascii="宋体" w:hAnsi="宋体" w:eastAsia="宋体" w:cs="宋体"/>
                <w:b w:val="0"/>
                <w:bCs/>
                <w:iCs/>
                <w:snapToGrid w:val="0"/>
                <w:color w:val="auto"/>
                <w:kern w:val="0"/>
                <w:sz w:val="21"/>
                <w:szCs w:val="21"/>
                <w:highlight w:val="none"/>
              </w:rPr>
              <w:t>3000元/天</w:t>
            </w:r>
          </w:p>
        </w:tc>
        <w:tc>
          <w:tcPr>
            <w:tcW w:w="1633" w:type="dxa"/>
            <w:noWrap w:val="0"/>
            <w:vAlign w:val="center"/>
          </w:tcPr>
          <w:p w14:paraId="73E8C692">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3681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0774E83B">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5</w:t>
            </w:r>
          </w:p>
        </w:tc>
        <w:tc>
          <w:tcPr>
            <w:tcW w:w="5244" w:type="dxa"/>
            <w:noWrap w:val="0"/>
            <w:vAlign w:val="center"/>
          </w:tcPr>
          <w:p w14:paraId="018F9393">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kern w:val="0"/>
                <w:sz w:val="21"/>
                <w:szCs w:val="21"/>
                <w:highlight w:val="none"/>
              </w:rPr>
            </w:pPr>
            <w:r>
              <w:rPr>
                <w:rFonts w:hint="eastAsia" w:ascii="宋体" w:hAnsi="宋体" w:eastAsia="宋体" w:cs="宋体"/>
                <w:b w:val="0"/>
                <w:bCs/>
                <w:color w:val="auto"/>
                <w:sz w:val="21"/>
                <w:szCs w:val="21"/>
                <w:highlight w:val="none"/>
              </w:rPr>
              <w:t>承包人必须接受发包人及监理单位组织的安全、文明施工的检查，检查中的不合格项目、安全隐患反复发生的。</w:t>
            </w:r>
          </w:p>
        </w:tc>
        <w:tc>
          <w:tcPr>
            <w:tcW w:w="1740" w:type="dxa"/>
            <w:noWrap w:val="0"/>
            <w:vAlign w:val="center"/>
          </w:tcPr>
          <w:p w14:paraId="383C2228">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kern w:val="0"/>
                <w:sz w:val="21"/>
                <w:szCs w:val="21"/>
                <w:highlight w:val="none"/>
              </w:rPr>
            </w:pPr>
            <w:r>
              <w:rPr>
                <w:rFonts w:hint="eastAsia" w:ascii="宋体" w:hAnsi="宋体" w:eastAsia="宋体" w:cs="宋体"/>
                <w:b w:val="0"/>
                <w:bCs/>
                <w:iCs/>
                <w:snapToGrid w:val="0"/>
                <w:color w:val="auto"/>
                <w:kern w:val="0"/>
                <w:sz w:val="21"/>
                <w:szCs w:val="21"/>
                <w:highlight w:val="none"/>
              </w:rPr>
              <w:t>5000元/次</w:t>
            </w:r>
          </w:p>
        </w:tc>
        <w:tc>
          <w:tcPr>
            <w:tcW w:w="1633" w:type="dxa"/>
            <w:noWrap w:val="0"/>
            <w:vAlign w:val="center"/>
          </w:tcPr>
          <w:p w14:paraId="7173DEF2">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6FA3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6689E8A3">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6</w:t>
            </w:r>
          </w:p>
        </w:tc>
        <w:tc>
          <w:tcPr>
            <w:tcW w:w="5244" w:type="dxa"/>
            <w:noWrap w:val="0"/>
            <w:vAlign w:val="center"/>
          </w:tcPr>
          <w:p w14:paraId="56D46791">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kern w:val="0"/>
                <w:sz w:val="21"/>
                <w:szCs w:val="21"/>
                <w:highlight w:val="none"/>
              </w:rPr>
              <w:t>承包人施工现场发生工伤或其他责任事故的，一次事故或全年累计死亡3人及以上。项目部必须撤换项目经理、主管安全副经理和安全主管。</w:t>
            </w:r>
          </w:p>
        </w:tc>
        <w:tc>
          <w:tcPr>
            <w:tcW w:w="1740" w:type="dxa"/>
            <w:noWrap w:val="0"/>
            <w:vAlign w:val="center"/>
          </w:tcPr>
          <w:p w14:paraId="7895204E">
            <w:pPr>
              <w:pStyle w:val="66"/>
              <w:keepNext w:val="0"/>
              <w:keepLines w:val="0"/>
              <w:suppressLineNumbers w:val="0"/>
              <w:spacing w:before="0" w:beforeAutospacing="0" w:after="0" w:afterAutospacing="0"/>
              <w:ind w:left="0" w:right="0"/>
              <w:jc w:val="center"/>
              <w:rPr>
                <w:rFonts w:hint="eastAsia" w:ascii="宋体" w:hAnsi="宋体" w:eastAsia="宋体" w:cs="宋体"/>
                <w:b w:val="0"/>
                <w:iCs/>
                <w:snapToGrid w:val="0"/>
                <w:color w:val="auto"/>
                <w:kern w:val="0"/>
                <w:sz w:val="21"/>
                <w:szCs w:val="21"/>
                <w:highlight w:val="none"/>
              </w:rPr>
            </w:pPr>
            <w:r>
              <w:rPr>
                <w:rFonts w:hint="eastAsia" w:ascii="宋体" w:hAnsi="宋体" w:eastAsia="宋体" w:cs="宋体"/>
                <w:b w:val="0"/>
                <w:bCs/>
                <w:color w:val="auto"/>
                <w:kern w:val="0"/>
                <w:sz w:val="21"/>
                <w:szCs w:val="21"/>
                <w:highlight w:val="none"/>
              </w:rPr>
              <w:t>100万元/次</w:t>
            </w:r>
          </w:p>
        </w:tc>
        <w:tc>
          <w:tcPr>
            <w:tcW w:w="1633" w:type="dxa"/>
            <w:noWrap w:val="0"/>
            <w:vAlign w:val="center"/>
          </w:tcPr>
          <w:p w14:paraId="2CAB9D45">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273A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4364B494">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7</w:t>
            </w:r>
          </w:p>
        </w:tc>
        <w:tc>
          <w:tcPr>
            <w:tcW w:w="5244" w:type="dxa"/>
            <w:noWrap w:val="0"/>
            <w:vAlign w:val="center"/>
          </w:tcPr>
          <w:p w14:paraId="6379E76C">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kern w:val="0"/>
                <w:sz w:val="21"/>
                <w:szCs w:val="21"/>
                <w:highlight w:val="none"/>
              </w:rPr>
            </w:pPr>
            <w:r>
              <w:rPr>
                <w:rFonts w:hint="eastAsia" w:ascii="宋体" w:hAnsi="宋体" w:eastAsia="宋体" w:cs="宋体"/>
                <w:b w:val="0"/>
                <w:bCs/>
                <w:color w:val="auto"/>
                <w:kern w:val="0"/>
                <w:sz w:val="21"/>
                <w:szCs w:val="21"/>
                <w:highlight w:val="none"/>
              </w:rPr>
              <w:t>承包人施工现场发生工伤或其他责任事故的，一次事故或全年累计死亡2人。安全第一责任人在韶关市地区建设范围内公开检查；承包人必须撤换项目主管安全副经理或安全主管。</w:t>
            </w:r>
          </w:p>
        </w:tc>
        <w:tc>
          <w:tcPr>
            <w:tcW w:w="1740" w:type="dxa"/>
            <w:noWrap w:val="0"/>
            <w:vAlign w:val="center"/>
          </w:tcPr>
          <w:p w14:paraId="16D1CE4E">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kern w:val="0"/>
                <w:sz w:val="21"/>
                <w:szCs w:val="21"/>
                <w:highlight w:val="none"/>
              </w:rPr>
            </w:pPr>
            <w:r>
              <w:rPr>
                <w:rFonts w:hint="eastAsia" w:ascii="宋体" w:hAnsi="宋体" w:eastAsia="宋体" w:cs="宋体"/>
                <w:b w:val="0"/>
                <w:bCs/>
                <w:color w:val="auto"/>
                <w:kern w:val="0"/>
                <w:sz w:val="21"/>
                <w:szCs w:val="21"/>
                <w:highlight w:val="none"/>
              </w:rPr>
              <w:t>60万元/次</w:t>
            </w:r>
          </w:p>
        </w:tc>
        <w:tc>
          <w:tcPr>
            <w:tcW w:w="1633" w:type="dxa"/>
            <w:noWrap w:val="0"/>
            <w:vAlign w:val="center"/>
          </w:tcPr>
          <w:p w14:paraId="55535636">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51BE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72742C98">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8</w:t>
            </w:r>
          </w:p>
        </w:tc>
        <w:tc>
          <w:tcPr>
            <w:tcW w:w="5244" w:type="dxa"/>
            <w:noWrap w:val="0"/>
            <w:vAlign w:val="center"/>
          </w:tcPr>
          <w:p w14:paraId="1229563F">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kern w:val="0"/>
                <w:sz w:val="21"/>
                <w:szCs w:val="21"/>
                <w:highlight w:val="none"/>
              </w:rPr>
            </w:pPr>
            <w:r>
              <w:rPr>
                <w:rFonts w:hint="eastAsia" w:ascii="宋体" w:hAnsi="宋体" w:eastAsia="宋体" w:cs="宋体"/>
                <w:b w:val="0"/>
                <w:bCs/>
                <w:color w:val="auto"/>
                <w:kern w:val="0"/>
                <w:sz w:val="21"/>
                <w:szCs w:val="21"/>
                <w:highlight w:val="none"/>
              </w:rPr>
              <w:t>承包人施工现场发生工伤或其他责任事故的，一次事故或全年累计死亡1人。安全第一责任人在韶关市地区建设范围内公开检查，并报其上级单位；建议承包人撤换项目安全主管。</w:t>
            </w:r>
          </w:p>
        </w:tc>
        <w:tc>
          <w:tcPr>
            <w:tcW w:w="1740" w:type="dxa"/>
            <w:noWrap w:val="0"/>
            <w:vAlign w:val="center"/>
          </w:tcPr>
          <w:p w14:paraId="7A9F3819">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kern w:val="0"/>
                <w:sz w:val="21"/>
                <w:szCs w:val="21"/>
                <w:highlight w:val="none"/>
              </w:rPr>
            </w:pPr>
            <w:r>
              <w:rPr>
                <w:rFonts w:hint="eastAsia" w:ascii="宋体" w:hAnsi="宋体" w:eastAsia="宋体" w:cs="宋体"/>
                <w:b w:val="0"/>
                <w:bCs/>
                <w:color w:val="auto"/>
                <w:kern w:val="0"/>
                <w:sz w:val="21"/>
                <w:szCs w:val="21"/>
                <w:highlight w:val="none"/>
              </w:rPr>
              <w:t>10万元/次</w:t>
            </w:r>
          </w:p>
        </w:tc>
        <w:tc>
          <w:tcPr>
            <w:tcW w:w="1633" w:type="dxa"/>
            <w:noWrap w:val="0"/>
            <w:vAlign w:val="center"/>
          </w:tcPr>
          <w:p w14:paraId="3BDE001D">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488C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7BA6D893">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9</w:t>
            </w:r>
          </w:p>
        </w:tc>
        <w:tc>
          <w:tcPr>
            <w:tcW w:w="5244" w:type="dxa"/>
            <w:noWrap w:val="0"/>
            <w:vAlign w:val="center"/>
          </w:tcPr>
          <w:p w14:paraId="3F50B805">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kern w:val="0"/>
                <w:sz w:val="21"/>
                <w:szCs w:val="21"/>
                <w:highlight w:val="none"/>
              </w:rPr>
            </w:pPr>
            <w:r>
              <w:rPr>
                <w:rFonts w:hint="eastAsia" w:ascii="宋体" w:hAnsi="宋体" w:eastAsia="宋体" w:cs="宋体"/>
                <w:b w:val="0"/>
                <w:bCs/>
                <w:color w:val="auto"/>
                <w:kern w:val="0"/>
                <w:sz w:val="21"/>
                <w:szCs w:val="21"/>
                <w:highlight w:val="none"/>
              </w:rPr>
              <w:t>承包人施工现场发生重伤事故、造成10人及以上集体中毒住院、经济损失重大的火灾、设备及交通事故。</w:t>
            </w:r>
          </w:p>
        </w:tc>
        <w:tc>
          <w:tcPr>
            <w:tcW w:w="1740" w:type="dxa"/>
            <w:noWrap w:val="0"/>
            <w:vAlign w:val="center"/>
          </w:tcPr>
          <w:p w14:paraId="56C0E6FF">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kern w:val="0"/>
                <w:sz w:val="21"/>
                <w:szCs w:val="21"/>
                <w:highlight w:val="none"/>
              </w:rPr>
            </w:pPr>
            <w:r>
              <w:rPr>
                <w:rFonts w:hint="eastAsia" w:ascii="宋体" w:hAnsi="宋体" w:eastAsia="宋体" w:cs="宋体"/>
                <w:b w:val="0"/>
                <w:bCs/>
                <w:color w:val="auto"/>
                <w:kern w:val="0"/>
                <w:sz w:val="21"/>
                <w:szCs w:val="21"/>
                <w:highlight w:val="none"/>
              </w:rPr>
              <w:t>30万元/次</w:t>
            </w:r>
          </w:p>
        </w:tc>
        <w:tc>
          <w:tcPr>
            <w:tcW w:w="1633" w:type="dxa"/>
            <w:noWrap w:val="0"/>
            <w:vAlign w:val="center"/>
          </w:tcPr>
          <w:p w14:paraId="48C15171">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099C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325586CE">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10</w:t>
            </w:r>
          </w:p>
        </w:tc>
        <w:tc>
          <w:tcPr>
            <w:tcW w:w="5244" w:type="dxa"/>
            <w:noWrap w:val="0"/>
            <w:vAlign w:val="center"/>
          </w:tcPr>
          <w:p w14:paraId="40B93BB1">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kern w:val="0"/>
                <w:sz w:val="21"/>
                <w:szCs w:val="21"/>
                <w:highlight w:val="none"/>
              </w:rPr>
            </w:pPr>
            <w:r>
              <w:rPr>
                <w:rFonts w:hint="eastAsia" w:ascii="宋体" w:hAnsi="宋体" w:eastAsia="宋体" w:cs="宋体"/>
                <w:b w:val="0"/>
                <w:bCs/>
                <w:color w:val="auto"/>
                <w:kern w:val="0"/>
                <w:sz w:val="21"/>
                <w:szCs w:val="21"/>
                <w:highlight w:val="none"/>
              </w:rPr>
              <w:t>因施工造成的道路交通中断、通讯中断、管线漏水漏气等全部责任事故，由承包人承担责任。</w:t>
            </w:r>
          </w:p>
        </w:tc>
        <w:tc>
          <w:tcPr>
            <w:tcW w:w="1740" w:type="dxa"/>
            <w:noWrap w:val="0"/>
            <w:vAlign w:val="center"/>
          </w:tcPr>
          <w:p w14:paraId="113CF5CB">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kern w:val="0"/>
                <w:sz w:val="21"/>
                <w:szCs w:val="21"/>
                <w:highlight w:val="none"/>
              </w:rPr>
            </w:pPr>
            <w:r>
              <w:rPr>
                <w:rFonts w:hint="eastAsia" w:ascii="宋体" w:hAnsi="宋体" w:eastAsia="宋体" w:cs="宋体"/>
                <w:b w:val="0"/>
                <w:bCs/>
                <w:color w:val="auto"/>
                <w:kern w:val="0"/>
                <w:sz w:val="21"/>
                <w:szCs w:val="21"/>
                <w:highlight w:val="none"/>
              </w:rPr>
              <w:t>10000元/次</w:t>
            </w:r>
          </w:p>
        </w:tc>
        <w:tc>
          <w:tcPr>
            <w:tcW w:w="1633" w:type="dxa"/>
            <w:noWrap w:val="0"/>
            <w:vAlign w:val="center"/>
          </w:tcPr>
          <w:p w14:paraId="56C2AA74">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0F91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88" w:type="dxa"/>
            <w:noWrap w:val="0"/>
            <w:vAlign w:val="center"/>
          </w:tcPr>
          <w:p w14:paraId="4CD64BED">
            <w:pPr>
              <w:pStyle w:val="66"/>
              <w:keepNext w:val="0"/>
              <w:keepLines w:val="0"/>
              <w:suppressLineNumbers w:val="0"/>
              <w:spacing w:before="0" w:beforeAutospacing="0" w:after="0" w:afterAutospacing="0" w:line="400" w:lineRule="exact"/>
              <w:ind w:left="0" w:right="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11</w:t>
            </w:r>
          </w:p>
        </w:tc>
        <w:tc>
          <w:tcPr>
            <w:tcW w:w="5244" w:type="dxa"/>
            <w:noWrap w:val="0"/>
            <w:vAlign w:val="center"/>
          </w:tcPr>
          <w:p w14:paraId="05B90F6F">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bCs/>
                <w:color w:val="auto"/>
                <w:kern w:val="0"/>
                <w:sz w:val="21"/>
                <w:szCs w:val="21"/>
                <w:highlight w:val="none"/>
                <w:lang w:eastAsia="zh-CN"/>
              </w:rPr>
            </w:pPr>
            <w:r>
              <w:rPr>
                <w:rFonts w:hint="eastAsia" w:ascii="宋体" w:hAnsi="宋体" w:eastAsia="宋体" w:cs="宋体"/>
                <w:b w:val="0"/>
                <w:bCs/>
                <w:color w:val="auto"/>
                <w:kern w:val="0"/>
                <w:sz w:val="21"/>
                <w:szCs w:val="21"/>
                <w:highlight w:val="none"/>
                <w:lang w:eastAsia="zh-CN"/>
              </w:rPr>
              <w:t>施工作业现场未按相关规定佩戴防护措施（安全帽以及其它相关作业道具等）。</w:t>
            </w:r>
          </w:p>
        </w:tc>
        <w:tc>
          <w:tcPr>
            <w:tcW w:w="1740" w:type="dxa"/>
            <w:noWrap w:val="0"/>
            <w:vAlign w:val="center"/>
          </w:tcPr>
          <w:p w14:paraId="0691CBFC">
            <w:pPr>
              <w:pStyle w:val="66"/>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500元</w:t>
            </w:r>
            <w:r>
              <w:rPr>
                <w:rFonts w:hint="eastAsia" w:ascii="宋体" w:hAnsi="宋体" w:eastAsia="宋体" w:cs="宋体"/>
                <w:b w:val="0"/>
                <w:bCs/>
                <w:color w:val="auto"/>
                <w:kern w:val="0"/>
                <w:sz w:val="21"/>
                <w:szCs w:val="21"/>
                <w:highlight w:val="none"/>
              </w:rPr>
              <w:t>/</w:t>
            </w:r>
            <w:r>
              <w:rPr>
                <w:rFonts w:hint="eastAsia" w:ascii="宋体" w:hAnsi="宋体" w:eastAsia="宋体" w:cs="宋体"/>
                <w:b w:val="0"/>
                <w:bCs/>
                <w:color w:val="auto"/>
                <w:kern w:val="0"/>
                <w:sz w:val="21"/>
                <w:szCs w:val="21"/>
                <w:highlight w:val="none"/>
                <w:lang w:val="en-US" w:eastAsia="zh-CN"/>
              </w:rPr>
              <w:t>人</w:t>
            </w:r>
          </w:p>
        </w:tc>
        <w:tc>
          <w:tcPr>
            <w:tcW w:w="1633" w:type="dxa"/>
            <w:noWrap w:val="0"/>
            <w:vAlign w:val="center"/>
          </w:tcPr>
          <w:p w14:paraId="43BF16ED">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1424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6DDFFDCC">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六</w:t>
            </w:r>
          </w:p>
        </w:tc>
        <w:tc>
          <w:tcPr>
            <w:tcW w:w="5244" w:type="dxa"/>
            <w:noWrap w:val="0"/>
            <w:vAlign w:val="center"/>
          </w:tcPr>
          <w:p w14:paraId="57F674CF">
            <w:pPr>
              <w:pStyle w:val="66"/>
              <w:keepNext w:val="0"/>
              <w:keepLines w:val="0"/>
              <w:suppressLineNumbers w:val="0"/>
              <w:spacing w:before="0" w:beforeAutospacing="0" w:after="0" w:afterAutospacing="0" w:line="400" w:lineRule="exact"/>
              <w:ind w:left="0" w:right="0"/>
              <w:rPr>
                <w:rFonts w:hint="eastAsia" w:ascii="宋体" w:hAnsi="宋体" w:eastAsia="宋体" w:cs="宋体"/>
                <w:bCs/>
                <w:color w:val="auto"/>
                <w:kern w:val="0"/>
                <w:sz w:val="21"/>
                <w:szCs w:val="21"/>
                <w:highlight w:val="none"/>
              </w:rPr>
            </w:pPr>
            <w:r>
              <w:rPr>
                <w:rFonts w:hint="eastAsia" w:ascii="宋体" w:hAnsi="宋体" w:eastAsia="宋体" w:cs="宋体"/>
                <w:color w:val="auto"/>
                <w:sz w:val="21"/>
                <w:szCs w:val="21"/>
                <w:highlight w:val="none"/>
              </w:rPr>
              <w:t>其他违约</w:t>
            </w:r>
          </w:p>
        </w:tc>
        <w:tc>
          <w:tcPr>
            <w:tcW w:w="1740" w:type="dxa"/>
            <w:noWrap w:val="0"/>
            <w:vAlign w:val="center"/>
          </w:tcPr>
          <w:p w14:paraId="5DA74C46">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kern w:val="0"/>
                <w:sz w:val="21"/>
                <w:szCs w:val="21"/>
                <w:highlight w:val="none"/>
              </w:rPr>
            </w:pPr>
          </w:p>
        </w:tc>
        <w:tc>
          <w:tcPr>
            <w:tcW w:w="1633" w:type="dxa"/>
            <w:noWrap w:val="0"/>
            <w:vAlign w:val="center"/>
          </w:tcPr>
          <w:p w14:paraId="15176D1C">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74AE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688" w:type="dxa"/>
            <w:noWrap w:val="0"/>
            <w:vAlign w:val="center"/>
          </w:tcPr>
          <w:p w14:paraId="48689F72">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1</w:t>
            </w:r>
          </w:p>
        </w:tc>
        <w:tc>
          <w:tcPr>
            <w:tcW w:w="5244" w:type="dxa"/>
            <w:noWrap w:val="0"/>
            <w:vAlign w:val="center"/>
          </w:tcPr>
          <w:p w14:paraId="1A52CE09">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考勤采用人脸识别打卡每月累计不到位次数超过10天。</w:t>
            </w:r>
          </w:p>
        </w:tc>
        <w:tc>
          <w:tcPr>
            <w:tcW w:w="1740" w:type="dxa"/>
            <w:noWrap w:val="0"/>
            <w:vAlign w:val="center"/>
          </w:tcPr>
          <w:p w14:paraId="48243C84">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kern w:val="0"/>
                <w:sz w:val="21"/>
                <w:szCs w:val="21"/>
                <w:highlight w:val="none"/>
              </w:rPr>
            </w:pPr>
            <w:r>
              <w:rPr>
                <w:rFonts w:hint="eastAsia" w:ascii="宋体" w:hAnsi="宋体" w:eastAsia="宋体" w:cs="宋体"/>
                <w:b w:val="0"/>
                <w:bCs/>
                <w:color w:val="auto"/>
                <w:sz w:val="21"/>
                <w:szCs w:val="21"/>
                <w:highlight w:val="none"/>
              </w:rPr>
              <w:t>5000元/人/天</w:t>
            </w:r>
          </w:p>
        </w:tc>
        <w:tc>
          <w:tcPr>
            <w:tcW w:w="1633" w:type="dxa"/>
            <w:noWrap w:val="0"/>
            <w:vAlign w:val="center"/>
          </w:tcPr>
          <w:p w14:paraId="6C86C530">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0399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688" w:type="dxa"/>
            <w:vMerge w:val="restart"/>
            <w:noWrap w:val="0"/>
            <w:vAlign w:val="center"/>
          </w:tcPr>
          <w:p w14:paraId="4723EA3D">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2</w:t>
            </w:r>
          </w:p>
        </w:tc>
        <w:tc>
          <w:tcPr>
            <w:tcW w:w="5244" w:type="dxa"/>
            <w:noWrap w:val="0"/>
            <w:vAlign w:val="center"/>
          </w:tcPr>
          <w:p w14:paraId="7F11466B">
            <w:pPr>
              <w:pStyle w:val="66"/>
              <w:keepNext w:val="0"/>
              <w:keepLines w:val="0"/>
              <w:suppressLineNumbers w:val="0"/>
              <w:spacing w:before="0" w:beforeAutospacing="0" w:after="0" w:afterAutospacing="0" w:line="400" w:lineRule="exact"/>
              <w:ind w:left="0" w:right="0"/>
              <w:jc w:val="left"/>
              <w:rPr>
                <w:rFonts w:hint="eastAsia" w:eastAsia="宋体"/>
                <w:color w:val="auto"/>
                <w:highlight w:val="none"/>
                <w:lang w:val="en-US" w:eastAsia="zh-CN"/>
              </w:rPr>
            </w:pPr>
            <w:r>
              <w:rPr>
                <w:rFonts w:hint="eastAsia" w:ascii="宋体" w:hAnsi="宋体" w:eastAsia="宋体" w:cs="宋体"/>
                <w:b w:val="0"/>
                <w:bCs/>
                <w:color w:val="auto"/>
                <w:sz w:val="21"/>
                <w:szCs w:val="21"/>
                <w:highlight w:val="none"/>
                <w:lang w:val="en-US" w:eastAsia="zh-CN"/>
              </w:rPr>
              <w:t>①发包人</w:t>
            </w:r>
            <w:r>
              <w:rPr>
                <w:rFonts w:hint="default" w:ascii="宋体" w:hAnsi="宋体" w:eastAsia="宋体" w:cs="宋体"/>
                <w:b w:val="0"/>
                <w:bCs/>
                <w:color w:val="auto"/>
                <w:sz w:val="21"/>
                <w:szCs w:val="21"/>
                <w:highlight w:val="none"/>
                <w:lang w:val="en-US"/>
              </w:rPr>
              <w:t>可以随时对承包人进行检查。每发现“项目管理机构组成表”中任何人员未提前请假缺勤1次</w:t>
            </w:r>
            <w:r>
              <w:rPr>
                <w:rFonts w:hint="eastAsia" w:ascii="宋体" w:hAnsi="宋体" w:eastAsia="宋体" w:cs="宋体"/>
                <w:b w:val="0"/>
                <w:bCs/>
                <w:color w:val="auto"/>
                <w:sz w:val="21"/>
                <w:szCs w:val="21"/>
                <w:highlight w:val="none"/>
                <w:lang w:val="en-US" w:eastAsia="zh-CN"/>
              </w:rPr>
              <w:t>的</w:t>
            </w:r>
            <w:r>
              <w:rPr>
                <w:rFonts w:hint="default" w:ascii="宋体" w:hAnsi="宋体" w:eastAsia="宋体" w:cs="宋体"/>
                <w:b w:val="0"/>
                <w:bCs/>
                <w:color w:val="auto"/>
                <w:sz w:val="21"/>
                <w:szCs w:val="21"/>
                <w:highlight w:val="none"/>
                <w:lang w:val="en-US"/>
              </w:rPr>
              <w:t>，除上报行业主管部门按照《建设工程质量管理条例》处罚外，另外扣除承包人20000元</w:t>
            </w:r>
            <w:r>
              <w:rPr>
                <w:rFonts w:hint="eastAsia" w:ascii="宋体" w:hAnsi="宋体" w:eastAsia="宋体" w:cs="宋体"/>
                <w:b w:val="0"/>
                <w:bCs/>
                <w:color w:val="auto"/>
                <w:sz w:val="21"/>
                <w:szCs w:val="21"/>
                <w:highlight w:val="none"/>
                <w:lang w:val="en-US" w:eastAsia="zh-CN"/>
              </w:rPr>
              <w:t>。</w:t>
            </w:r>
          </w:p>
        </w:tc>
        <w:tc>
          <w:tcPr>
            <w:tcW w:w="1740" w:type="dxa"/>
            <w:noWrap w:val="0"/>
            <w:vAlign w:val="center"/>
          </w:tcPr>
          <w:p w14:paraId="7BFA0504">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default" w:ascii="宋体" w:hAnsi="宋体" w:eastAsia="宋体" w:cs="宋体"/>
                <w:b w:val="0"/>
                <w:bCs/>
                <w:color w:val="auto"/>
                <w:sz w:val="21"/>
                <w:szCs w:val="21"/>
                <w:highlight w:val="none"/>
                <w:lang w:val="en-US"/>
              </w:rPr>
              <w:t>20000</w:t>
            </w:r>
            <w:r>
              <w:rPr>
                <w:rFonts w:hint="eastAsia" w:ascii="宋体" w:hAnsi="宋体" w:eastAsia="宋体" w:cs="宋体"/>
                <w:b w:val="0"/>
                <w:bCs/>
                <w:color w:val="auto"/>
                <w:sz w:val="21"/>
                <w:szCs w:val="21"/>
                <w:highlight w:val="none"/>
              </w:rPr>
              <w:t>元/人/次</w:t>
            </w:r>
          </w:p>
        </w:tc>
        <w:tc>
          <w:tcPr>
            <w:tcW w:w="1633" w:type="dxa"/>
            <w:noWrap w:val="0"/>
            <w:vAlign w:val="center"/>
          </w:tcPr>
          <w:p w14:paraId="5860B6DD">
            <w:pPr>
              <w:pStyle w:val="66"/>
              <w:keepNext w:val="0"/>
              <w:keepLines w:val="0"/>
              <w:suppressLineNumbers w:val="0"/>
              <w:spacing w:before="0" w:beforeAutospacing="0" w:after="0" w:afterAutospacing="0"/>
              <w:ind w:left="0" w:right="0"/>
              <w:rPr>
                <w:rFonts w:hint="default" w:ascii="宋体" w:hAnsi="宋体" w:eastAsia="宋体" w:cs="宋体"/>
                <w:b w:val="0"/>
                <w:color w:val="auto"/>
                <w:sz w:val="21"/>
                <w:szCs w:val="21"/>
                <w:highlight w:val="none"/>
                <w:lang w:val="en-US" w:eastAsia="zh-CN"/>
              </w:rPr>
            </w:pPr>
          </w:p>
        </w:tc>
      </w:tr>
      <w:tr w14:paraId="12DE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88" w:type="dxa"/>
            <w:vMerge w:val="continue"/>
            <w:noWrap w:val="0"/>
            <w:vAlign w:val="center"/>
          </w:tcPr>
          <w:p w14:paraId="4D4D36FD">
            <w:pPr>
              <w:pStyle w:val="66"/>
              <w:keepNext w:val="0"/>
              <w:keepLines w:val="0"/>
              <w:suppressLineNumbers w:val="0"/>
              <w:spacing w:before="0" w:beforeAutospacing="0" w:after="0" w:afterAutospacing="0" w:line="400" w:lineRule="exact"/>
              <w:ind w:left="0" w:right="0"/>
              <w:rPr>
                <w:rFonts w:hint="eastAsia" w:ascii="宋体" w:hAnsi="宋体" w:eastAsia="宋体" w:cs="宋体"/>
                <w:b w:val="0"/>
                <w:bCs/>
                <w:color w:val="auto"/>
                <w:sz w:val="21"/>
                <w:szCs w:val="21"/>
                <w:highlight w:val="none"/>
              </w:rPr>
            </w:pPr>
          </w:p>
        </w:tc>
        <w:tc>
          <w:tcPr>
            <w:tcW w:w="5244" w:type="dxa"/>
            <w:noWrap w:val="0"/>
            <w:vAlign w:val="center"/>
          </w:tcPr>
          <w:p w14:paraId="5F26F508">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②发包人</w:t>
            </w:r>
            <w:r>
              <w:rPr>
                <w:rFonts w:hint="eastAsia" w:ascii="宋体" w:hAnsi="宋体" w:eastAsia="宋体" w:cs="宋体"/>
                <w:b w:val="0"/>
                <w:bCs/>
                <w:color w:val="auto"/>
                <w:sz w:val="21"/>
                <w:szCs w:val="21"/>
                <w:highlight w:val="none"/>
              </w:rPr>
              <w:t>可以随时对承包人进行检查。每发现“项目管理机构组成表”中任何人员未提前请假，累计缺勤2次，除上报行业主管部门按照《建设工程质量管理条例》处罚外，另外扣除承包人50000元，</w:t>
            </w:r>
            <w:r>
              <w:rPr>
                <w:rFonts w:hint="eastAsia" w:ascii="宋体" w:hAnsi="宋体" w:eastAsia="宋体" w:cs="宋体"/>
                <w:b w:val="0"/>
                <w:bCs/>
                <w:color w:val="auto"/>
                <w:sz w:val="21"/>
                <w:szCs w:val="21"/>
                <w:highlight w:val="none"/>
                <w:lang w:val="en-US" w:eastAsia="zh-CN"/>
              </w:rPr>
              <w:t>且</w:t>
            </w:r>
            <w:r>
              <w:rPr>
                <w:rFonts w:hint="eastAsia" w:ascii="宋体" w:hAnsi="宋体" w:eastAsia="宋体" w:cs="宋体"/>
                <w:b w:val="0"/>
                <w:bCs/>
                <w:color w:val="auto"/>
                <w:sz w:val="21"/>
                <w:szCs w:val="21"/>
                <w:highlight w:val="none"/>
              </w:rPr>
              <w:t>承包人须更换“项目管理机构组成表”中的全部人员。</w:t>
            </w:r>
          </w:p>
        </w:tc>
        <w:tc>
          <w:tcPr>
            <w:tcW w:w="1740" w:type="dxa"/>
            <w:noWrap w:val="0"/>
            <w:vAlign w:val="center"/>
          </w:tcPr>
          <w:p w14:paraId="7B0ABEB4">
            <w:pPr>
              <w:pStyle w:val="66"/>
              <w:keepNext w:val="0"/>
              <w:keepLines w:val="0"/>
              <w:suppressLineNumbers w:val="0"/>
              <w:spacing w:before="0" w:beforeAutospacing="0" w:after="0" w:afterAutospacing="0"/>
              <w:ind w:left="0" w:right="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w:t>
            </w:r>
            <w:r>
              <w:rPr>
                <w:rFonts w:hint="default" w:ascii="宋体" w:hAnsi="宋体" w:eastAsia="宋体" w:cs="宋体"/>
                <w:b w:val="0"/>
                <w:bCs/>
                <w:color w:val="auto"/>
                <w:sz w:val="21"/>
                <w:szCs w:val="21"/>
                <w:highlight w:val="none"/>
                <w:lang w:val="en-US"/>
              </w:rPr>
              <w:t>0000</w:t>
            </w:r>
            <w:r>
              <w:rPr>
                <w:rFonts w:hint="eastAsia" w:ascii="宋体" w:hAnsi="宋体" w:eastAsia="宋体" w:cs="宋体"/>
                <w:b w:val="0"/>
                <w:bCs/>
                <w:color w:val="auto"/>
                <w:sz w:val="21"/>
                <w:szCs w:val="21"/>
                <w:highlight w:val="none"/>
              </w:rPr>
              <w:t>元/人/次</w:t>
            </w:r>
          </w:p>
        </w:tc>
        <w:tc>
          <w:tcPr>
            <w:tcW w:w="1633" w:type="dxa"/>
            <w:noWrap w:val="0"/>
            <w:vAlign w:val="center"/>
          </w:tcPr>
          <w:p w14:paraId="00993CD0">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bCs/>
                <w:color w:val="auto"/>
                <w:sz w:val="21"/>
                <w:szCs w:val="21"/>
                <w:highlight w:val="none"/>
              </w:rPr>
              <w:t>承包人须更换“项目管理机构组成表”中的全部人员</w:t>
            </w:r>
          </w:p>
        </w:tc>
      </w:tr>
      <w:tr w14:paraId="6CE2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688" w:type="dxa"/>
            <w:vMerge w:val="continue"/>
            <w:noWrap w:val="0"/>
            <w:vAlign w:val="center"/>
          </w:tcPr>
          <w:p w14:paraId="724A3995">
            <w:pPr>
              <w:keepNext w:val="0"/>
              <w:keepLines w:val="0"/>
              <w:suppressLineNumbers w:val="0"/>
              <w:spacing w:before="0" w:beforeAutospacing="0" w:after="0" w:afterAutospacing="0"/>
              <w:ind w:left="0" w:right="0"/>
              <w:rPr>
                <w:rFonts w:hint="eastAsia" w:hAnsi="Times New Roman" w:cs="Times New Roman"/>
                <w:color w:val="auto"/>
                <w:szCs w:val="20"/>
                <w:highlight w:val="none"/>
              </w:rPr>
            </w:pPr>
          </w:p>
        </w:tc>
        <w:tc>
          <w:tcPr>
            <w:tcW w:w="5244" w:type="dxa"/>
            <w:noWrap w:val="0"/>
            <w:vAlign w:val="center"/>
          </w:tcPr>
          <w:p w14:paraId="6B8F9B0E">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③发包人</w:t>
            </w:r>
            <w:r>
              <w:rPr>
                <w:rFonts w:hint="eastAsia" w:ascii="宋体" w:hAnsi="宋体" w:eastAsia="宋体" w:cs="宋体"/>
                <w:b w:val="0"/>
                <w:bCs/>
                <w:color w:val="auto"/>
                <w:sz w:val="21"/>
                <w:szCs w:val="21"/>
                <w:highlight w:val="none"/>
              </w:rPr>
              <w:t>可以随时对承包人进行检查。每发现“项目管理机构组成表”中任何人员未提前请假，累计缺勤3次，除上报行业主管部门按照《建设工程质量管理条例》处罚外，另外扣除承包人100000元，</w:t>
            </w:r>
            <w:r>
              <w:rPr>
                <w:rFonts w:hint="eastAsia" w:ascii="宋体" w:hAnsi="宋体" w:eastAsia="宋体" w:cs="宋体"/>
                <w:b w:val="0"/>
                <w:bCs/>
                <w:color w:val="auto"/>
                <w:sz w:val="21"/>
                <w:szCs w:val="21"/>
                <w:highlight w:val="none"/>
                <w:lang w:val="en-US" w:eastAsia="zh-CN"/>
              </w:rPr>
              <w:t>发包人有权</w:t>
            </w:r>
            <w:r>
              <w:rPr>
                <w:rFonts w:hint="eastAsia" w:ascii="宋体" w:hAnsi="宋体" w:eastAsia="宋体" w:cs="宋体"/>
                <w:b w:val="0"/>
                <w:bCs/>
                <w:color w:val="auto"/>
                <w:sz w:val="21"/>
                <w:szCs w:val="21"/>
                <w:highlight w:val="none"/>
              </w:rPr>
              <w:t>单方面解除合同。</w:t>
            </w:r>
          </w:p>
        </w:tc>
        <w:tc>
          <w:tcPr>
            <w:tcW w:w="1740" w:type="dxa"/>
            <w:noWrap w:val="0"/>
            <w:vAlign w:val="center"/>
          </w:tcPr>
          <w:p w14:paraId="3C30D1E0">
            <w:pPr>
              <w:pStyle w:val="66"/>
              <w:keepNext w:val="0"/>
              <w:keepLines w:val="0"/>
              <w:suppressLineNumbers w:val="0"/>
              <w:spacing w:before="0" w:beforeAutospacing="0" w:after="0" w:afterAutospacing="0"/>
              <w:ind w:left="0" w:right="0"/>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10</w:t>
            </w:r>
            <w:r>
              <w:rPr>
                <w:rFonts w:hint="default" w:ascii="宋体" w:hAnsi="宋体" w:eastAsia="宋体" w:cs="宋体"/>
                <w:b w:val="0"/>
                <w:bCs/>
                <w:color w:val="auto"/>
                <w:sz w:val="21"/>
                <w:szCs w:val="21"/>
                <w:highlight w:val="none"/>
                <w:lang w:val="en-US"/>
              </w:rPr>
              <w:t>0000</w:t>
            </w:r>
            <w:r>
              <w:rPr>
                <w:rFonts w:hint="eastAsia" w:ascii="宋体" w:hAnsi="宋体" w:eastAsia="宋体" w:cs="宋体"/>
                <w:b w:val="0"/>
                <w:bCs/>
                <w:color w:val="auto"/>
                <w:sz w:val="21"/>
                <w:szCs w:val="21"/>
                <w:highlight w:val="none"/>
              </w:rPr>
              <w:t>元/人/次</w:t>
            </w:r>
          </w:p>
        </w:tc>
        <w:tc>
          <w:tcPr>
            <w:tcW w:w="1633" w:type="dxa"/>
            <w:noWrap w:val="0"/>
            <w:vAlign w:val="center"/>
          </w:tcPr>
          <w:p w14:paraId="3129B5BE">
            <w:pPr>
              <w:pStyle w:val="66"/>
              <w:keepNext w:val="0"/>
              <w:keepLines w:val="0"/>
              <w:suppressLineNumbers w:val="0"/>
              <w:spacing w:before="0" w:beforeAutospacing="0" w:after="0" w:afterAutospacing="0"/>
              <w:ind w:left="0" w:right="0"/>
              <w:rPr>
                <w:rFonts w:hint="default" w:ascii="宋体" w:hAnsi="宋体" w:eastAsia="宋体" w:cs="宋体"/>
                <w:b w:val="0"/>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发包人有权</w:t>
            </w:r>
            <w:r>
              <w:rPr>
                <w:rFonts w:hint="eastAsia" w:ascii="宋体" w:hAnsi="宋体" w:eastAsia="宋体" w:cs="宋体"/>
                <w:b w:val="0"/>
                <w:bCs/>
                <w:color w:val="auto"/>
                <w:sz w:val="21"/>
                <w:szCs w:val="21"/>
                <w:highlight w:val="none"/>
              </w:rPr>
              <w:t>单方面解除合同</w:t>
            </w:r>
          </w:p>
        </w:tc>
      </w:tr>
      <w:tr w14:paraId="6B6F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4F3B0140">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3</w:t>
            </w:r>
          </w:p>
        </w:tc>
        <w:tc>
          <w:tcPr>
            <w:tcW w:w="5244" w:type="dxa"/>
            <w:noWrap w:val="0"/>
            <w:vAlign w:val="center"/>
          </w:tcPr>
          <w:p w14:paraId="1EB1A9AD">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snapToGrid w:val="0"/>
                <w:color w:val="auto"/>
                <w:kern w:val="0"/>
                <w:sz w:val="21"/>
                <w:szCs w:val="21"/>
                <w:highlight w:val="none"/>
              </w:rPr>
              <w:t>承包人施工资料必须与形象进度同步，如</w:t>
            </w:r>
            <w:r>
              <w:rPr>
                <w:rFonts w:hint="eastAsia" w:ascii="宋体" w:hAnsi="宋体" w:eastAsia="宋体" w:cs="宋体"/>
                <w:b w:val="0"/>
                <w:bCs/>
                <w:snapToGrid w:val="0"/>
                <w:color w:val="auto"/>
                <w:kern w:val="0"/>
                <w:sz w:val="21"/>
                <w:szCs w:val="21"/>
                <w:highlight w:val="none"/>
                <w:lang w:eastAsia="zh-CN"/>
              </w:rPr>
              <w:t>发包人</w:t>
            </w:r>
            <w:r>
              <w:rPr>
                <w:rFonts w:hint="eastAsia" w:ascii="宋体" w:hAnsi="宋体" w:eastAsia="宋体" w:cs="宋体"/>
                <w:b w:val="0"/>
                <w:bCs/>
                <w:snapToGrid w:val="0"/>
                <w:color w:val="auto"/>
                <w:kern w:val="0"/>
                <w:sz w:val="21"/>
                <w:szCs w:val="21"/>
                <w:highlight w:val="none"/>
              </w:rPr>
              <w:t>在日常检查中发现不同步的现象的。</w:t>
            </w:r>
          </w:p>
        </w:tc>
        <w:tc>
          <w:tcPr>
            <w:tcW w:w="1740" w:type="dxa"/>
            <w:noWrap w:val="0"/>
            <w:vAlign w:val="center"/>
          </w:tcPr>
          <w:p w14:paraId="4A313983">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eastAsia" w:ascii="宋体" w:hAnsi="宋体" w:eastAsia="宋体" w:cs="宋体"/>
                <w:b w:val="0"/>
                <w:bCs/>
                <w:snapToGrid w:val="0"/>
                <w:color w:val="auto"/>
                <w:kern w:val="0"/>
                <w:sz w:val="21"/>
                <w:szCs w:val="21"/>
                <w:highlight w:val="none"/>
              </w:rPr>
              <w:t>2000元/次</w:t>
            </w:r>
          </w:p>
        </w:tc>
        <w:tc>
          <w:tcPr>
            <w:tcW w:w="1633" w:type="dxa"/>
            <w:noWrap w:val="0"/>
            <w:vAlign w:val="center"/>
          </w:tcPr>
          <w:p w14:paraId="351AA97B">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1D1D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1E685C62">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4</w:t>
            </w:r>
          </w:p>
        </w:tc>
        <w:tc>
          <w:tcPr>
            <w:tcW w:w="5244" w:type="dxa"/>
            <w:noWrap w:val="0"/>
            <w:vAlign w:val="center"/>
          </w:tcPr>
          <w:p w14:paraId="50D6D2E2">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snapToGrid w:val="0"/>
                <w:color w:val="auto"/>
                <w:kern w:val="0"/>
                <w:sz w:val="21"/>
                <w:szCs w:val="21"/>
                <w:highlight w:val="none"/>
              </w:rPr>
            </w:pPr>
            <w:r>
              <w:rPr>
                <w:rFonts w:hint="eastAsia" w:ascii="宋体" w:hAnsi="宋体" w:eastAsia="宋体" w:cs="宋体"/>
                <w:b w:val="0"/>
                <w:bCs/>
                <w:color w:val="auto"/>
                <w:sz w:val="21"/>
                <w:szCs w:val="21"/>
                <w:highlight w:val="none"/>
              </w:rPr>
              <w:t>发包人要求承包人替换项目部中不称职人员或能力有异议，而承包人不予替换，视为承包人违约。</w:t>
            </w:r>
          </w:p>
        </w:tc>
        <w:tc>
          <w:tcPr>
            <w:tcW w:w="1740" w:type="dxa"/>
            <w:noWrap w:val="0"/>
            <w:vAlign w:val="center"/>
          </w:tcPr>
          <w:p w14:paraId="7B75A891">
            <w:pPr>
              <w:pStyle w:val="66"/>
              <w:keepNext w:val="0"/>
              <w:keepLines w:val="0"/>
              <w:suppressLineNumbers w:val="0"/>
              <w:spacing w:before="0" w:beforeAutospacing="0" w:after="0" w:afterAutospacing="0"/>
              <w:ind w:left="0" w:right="0"/>
              <w:jc w:val="center"/>
              <w:rPr>
                <w:rFonts w:hint="eastAsia" w:ascii="宋体" w:hAnsi="宋体" w:eastAsia="宋体" w:cs="宋体"/>
                <w:b w:val="0"/>
                <w:snapToGrid w:val="0"/>
                <w:color w:val="auto"/>
                <w:kern w:val="0"/>
                <w:sz w:val="21"/>
                <w:szCs w:val="21"/>
                <w:highlight w:val="none"/>
              </w:rPr>
            </w:pPr>
            <w:r>
              <w:rPr>
                <w:rFonts w:hint="eastAsia" w:ascii="宋体" w:hAnsi="宋体" w:eastAsia="宋体" w:cs="宋体"/>
                <w:b w:val="0"/>
                <w:bCs/>
                <w:color w:val="auto"/>
                <w:sz w:val="21"/>
                <w:szCs w:val="21"/>
                <w:highlight w:val="none"/>
              </w:rPr>
              <w:t>10万元/人次</w:t>
            </w:r>
          </w:p>
        </w:tc>
        <w:tc>
          <w:tcPr>
            <w:tcW w:w="1633" w:type="dxa"/>
            <w:noWrap w:val="0"/>
            <w:vAlign w:val="center"/>
          </w:tcPr>
          <w:p w14:paraId="60620046">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0B9D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1517DE10">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5</w:t>
            </w:r>
          </w:p>
        </w:tc>
        <w:tc>
          <w:tcPr>
            <w:tcW w:w="5244" w:type="dxa"/>
            <w:noWrap w:val="0"/>
            <w:vAlign w:val="center"/>
          </w:tcPr>
          <w:p w14:paraId="7F5D6848">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发包人根据项目实施进度情况要求承包人增派项目管理人员和作业人员，而承包人不予增派的，视为承包人违约。</w:t>
            </w:r>
          </w:p>
        </w:tc>
        <w:tc>
          <w:tcPr>
            <w:tcW w:w="1740" w:type="dxa"/>
            <w:noWrap w:val="0"/>
            <w:vAlign w:val="center"/>
          </w:tcPr>
          <w:p w14:paraId="688DF2B8">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5万元/次</w:t>
            </w:r>
          </w:p>
        </w:tc>
        <w:tc>
          <w:tcPr>
            <w:tcW w:w="1633" w:type="dxa"/>
            <w:noWrap w:val="0"/>
            <w:vAlign w:val="center"/>
          </w:tcPr>
          <w:p w14:paraId="70CF4A5A">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019F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688" w:type="dxa"/>
            <w:noWrap w:val="0"/>
            <w:vAlign w:val="center"/>
          </w:tcPr>
          <w:p w14:paraId="020F93E2">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6</w:t>
            </w:r>
          </w:p>
        </w:tc>
        <w:tc>
          <w:tcPr>
            <w:tcW w:w="5244" w:type="dxa"/>
            <w:noWrap w:val="0"/>
            <w:vAlign w:val="center"/>
          </w:tcPr>
          <w:p w14:paraId="4803AF16">
            <w:pPr>
              <w:pStyle w:val="66"/>
              <w:keepNext w:val="0"/>
              <w:keepLines w:val="0"/>
              <w:suppressLineNumbers w:val="0"/>
              <w:spacing w:before="0" w:beforeAutospacing="0" w:after="0" w:afterAutospacing="0" w:line="400" w:lineRule="exact"/>
              <w:ind w:left="0" w:right="0"/>
              <w:jc w:val="left"/>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承包人没有正当合理的理由中途退场。</w:t>
            </w:r>
          </w:p>
        </w:tc>
        <w:tc>
          <w:tcPr>
            <w:tcW w:w="1740" w:type="dxa"/>
            <w:noWrap w:val="0"/>
            <w:vAlign w:val="center"/>
          </w:tcPr>
          <w:p w14:paraId="58B238F4">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所有履约保证</w:t>
            </w:r>
          </w:p>
        </w:tc>
        <w:tc>
          <w:tcPr>
            <w:tcW w:w="1633" w:type="dxa"/>
            <w:noWrap w:val="0"/>
            <w:vAlign w:val="center"/>
          </w:tcPr>
          <w:p w14:paraId="6D1F9F51">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3A25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2768ED5D">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7</w:t>
            </w:r>
          </w:p>
        </w:tc>
        <w:tc>
          <w:tcPr>
            <w:tcW w:w="5244" w:type="dxa"/>
            <w:noWrap w:val="0"/>
            <w:vAlign w:val="center"/>
          </w:tcPr>
          <w:p w14:paraId="6A19BA23">
            <w:pPr>
              <w:keepNext w:val="0"/>
              <w:keepLines w:val="0"/>
              <w:suppressLineNumbers w:val="0"/>
              <w:spacing w:before="0" w:beforeAutospacing="0" w:after="0" w:afterAutospacing="0"/>
              <w:ind w:left="0" w:right="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承包人应加强生活用电管理，检查发现私拉乱接电线的。</w:t>
            </w:r>
          </w:p>
        </w:tc>
        <w:tc>
          <w:tcPr>
            <w:tcW w:w="1740" w:type="dxa"/>
            <w:noWrap w:val="0"/>
            <w:vAlign w:val="center"/>
          </w:tcPr>
          <w:p w14:paraId="01651FCF">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500元/次</w:t>
            </w:r>
          </w:p>
        </w:tc>
        <w:tc>
          <w:tcPr>
            <w:tcW w:w="1633" w:type="dxa"/>
            <w:noWrap w:val="0"/>
            <w:vAlign w:val="center"/>
          </w:tcPr>
          <w:p w14:paraId="287B2676">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00DB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29B806DA">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8</w:t>
            </w:r>
          </w:p>
        </w:tc>
        <w:tc>
          <w:tcPr>
            <w:tcW w:w="5244" w:type="dxa"/>
            <w:noWrap w:val="0"/>
            <w:vAlign w:val="center"/>
          </w:tcPr>
          <w:p w14:paraId="420FB795">
            <w:pPr>
              <w:keepNext w:val="0"/>
              <w:keepLines w:val="0"/>
              <w:suppressLineNumbers w:val="0"/>
              <w:spacing w:before="0" w:beforeAutospacing="0" w:after="0" w:afterAutospacing="0"/>
              <w:ind w:left="0" w:right="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国家发生疫情或其他重大风险期间，承包人不执行有关部门关于特殊时期管控规定、不落实相关措施的。</w:t>
            </w:r>
          </w:p>
        </w:tc>
        <w:tc>
          <w:tcPr>
            <w:tcW w:w="1740" w:type="dxa"/>
            <w:noWrap w:val="0"/>
            <w:vAlign w:val="center"/>
          </w:tcPr>
          <w:p w14:paraId="369D1B1B">
            <w:pPr>
              <w:pStyle w:val="66"/>
              <w:keepNext w:val="0"/>
              <w:keepLines w:val="0"/>
              <w:suppressLineNumbers w:val="0"/>
              <w:spacing w:before="0" w:beforeAutospacing="0" w:after="0" w:afterAutospacing="0"/>
              <w:ind w:left="0" w:right="0"/>
              <w:jc w:val="center"/>
              <w:rPr>
                <w:rFonts w:hint="eastAsia" w:ascii="宋体" w:hAnsi="宋体" w:eastAsia="宋体" w:cs="宋体"/>
                <w:b w:val="0"/>
                <w:color w:val="auto"/>
                <w:sz w:val="21"/>
                <w:szCs w:val="21"/>
                <w:highlight w:val="none"/>
              </w:rPr>
            </w:pPr>
            <w:r>
              <w:rPr>
                <w:rFonts w:hint="eastAsia" w:ascii="宋体" w:hAnsi="宋体" w:eastAsia="宋体" w:cs="宋体"/>
                <w:b w:val="0"/>
                <w:bCs/>
                <w:snapToGrid w:val="0"/>
                <w:color w:val="auto"/>
                <w:kern w:val="0"/>
                <w:sz w:val="21"/>
                <w:szCs w:val="21"/>
                <w:highlight w:val="none"/>
              </w:rPr>
              <w:t>2000元/次</w:t>
            </w:r>
          </w:p>
        </w:tc>
        <w:tc>
          <w:tcPr>
            <w:tcW w:w="1633" w:type="dxa"/>
            <w:noWrap w:val="0"/>
            <w:vAlign w:val="center"/>
          </w:tcPr>
          <w:p w14:paraId="0D46CACF">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4BA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88" w:type="dxa"/>
            <w:noWrap w:val="0"/>
            <w:vAlign w:val="center"/>
          </w:tcPr>
          <w:p w14:paraId="14AA9A69">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9</w:t>
            </w:r>
          </w:p>
        </w:tc>
        <w:tc>
          <w:tcPr>
            <w:tcW w:w="5244" w:type="dxa"/>
            <w:noWrap w:val="0"/>
            <w:vAlign w:val="center"/>
          </w:tcPr>
          <w:p w14:paraId="49A17C1D">
            <w:pPr>
              <w:keepNext w:val="0"/>
              <w:keepLines w:val="0"/>
              <w:suppressLineNumbers w:val="0"/>
              <w:spacing w:before="0" w:beforeAutospacing="0" w:after="0" w:afterAutospacing="0"/>
              <w:ind w:left="0" w:right="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承包人必须在中标通知书发出之日起一个月内完成现场临时设施（施工用水用电、围蔽、板房、洗车槽、相关公示牌等）施工，因承包人原因导致逾期的。</w:t>
            </w:r>
          </w:p>
        </w:tc>
        <w:tc>
          <w:tcPr>
            <w:tcW w:w="1740" w:type="dxa"/>
            <w:noWrap w:val="0"/>
            <w:vAlign w:val="center"/>
          </w:tcPr>
          <w:p w14:paraId="5D3CC134">
            <w:pPr>
              <w:pStyle w:val="66"/>
              <w:keepNext w:val="0"/>
              <w:keepLines w:val="0"/>
              <w:suppressLineNumbers w:val="0"/>
              <w:spacing w:before="0" w:beforeAutospacing="0" w:after="0" w:afterAutospacing="0"/>
              <w:ind w:left="0" w:right="0"/>
              <w:jc w:val="center"/>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color w:val="auto"/>
                <w:sz w:val="21"/>
                <w:szCs w:val="21"/>
                <w:highlight w:val="none"/>
              </w:rPr>
              <w:t>2000元/天</w:t>
            </w:r>
          </w:p>
        </w:tc>
        <w:tc>
          <w:tcPr>
            <w:tcW w:w="1633" w:type="dxa"/>
            <w:noWrap w:val="0"/>
            <w:vAlign w:val="center"/>
          </w:tcPr>
          <w:p w14:paraId="02C9A320">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0C76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88" w:type="dxa"/>
            <w:noWrap w:val="0"/>
            <w:vAlign w:val="center"/>
          </w:tcPr>
          <w:p w14:paraId="4818F5E7">
            <w:pPr>
              <w:pStyle w:val="66"/>
              <w:keepNext w:val="0"/>
              <w:keepLines w:val="0"/>
              <w:suppressLineNumbers w:val="0"/>
              <w:spacing w:before="0" w:beforeAutospacing="0" w:after="0" w:afterAutospacing="0" w:line="400" w:lineRule="exact"/>
              <w:ind w:left="0" w:right="0"/>
              <w:rPr>
                <w:rFonts w:hint="eastAsia" w:ascii="宋体" w:hAnsi="宋体" w:eastAsia="宋体" w:cs="宋体"/>
                <w:b w:val="0"/>
                <w:color w:val="auto"/>
                <w:sz w:val="21"/>
                <w:szCs w:val="21"/>
                <w:highlight w:val="none"/>
              </w:rPr>
            </w:pPr>
            <w:r>
              <w:rPr>
                <w:rFonts w:hint="eastAsia" w:ascii="宋体" w:hAnsi="宋体" w:eastAsia="宋体" w:cs="宋体"/>
                <w:b w:val="0"/>
                <w:bCs/>
                <w:color w:val="auto"/>
                <w:sz w:val="21"/>
                <w:szCs w:val="21"/>
                <w:highlight w:val="none"/>
              </w:rPr>
              <w:t>10</w:t>
            </w:r>
          </w:p>
        </w:tc>
        <w:tc>
          <w:tcPr>
            <w:tcW w:w="5244" w:type="dxa"/>
            <w:noWrap w:val="0"/>
            <w:vAlign w:val="center"/>
          </w:tcPr>
          <w:p w14:paraId="06C7A573">
            <w:pPr>
              <w:keepNext w:val="0"/>
              <w:keepLines w:val="0"/>
              <w:suppressLineNumbers w:val="0"/>
              <w:spacing w:before="0" w:beforeAutospacing="0" w:after="0" w:afterAutospacing="0"/>
              <w:ind w:left="0" w:right="0"/>
              <w:jc w:val="left"/>
              <w:rPr>
                <w:rFonts w:hint="eastAsia" w:ascii="宋体" w:hAnsi="宋体" w:eastAsia="宋体" w:cs="宋体"/>
                <w:bCs/>
                <w:color w:val="auto"/>
                <w:sz w:val="21"/>
                <w:szCs w:val="21"/>
                <w:highlight w:val="none"/>
              </w:rPr>
            </w:pPr>
            <w:r>
              <w:rPr>
                <w:rFonts w:hint="eastAsia" w:hAnsi="宋体" w:eastAsia="宋体" w:cs="宋体"/>
                <w:bCs/>
                <w:color w:val="auto"/>
                <w:sz w:val="21"/>
                <w:szCs w:val="21"/>
                <w:highlight w:val="none"/>
                <w:lang w:eastAsia="zh-CN"/>
              </w:rPr>
              <w:t>承包人</w:t>
            </w:r>
            <w:r>
              <w:rPr>
                <w:rFonts w:hint="eastAsia" w:ascii="宋体" w:hAnsi="宋体" w:eastAsia="宋体" w:cs="宋体"/>
                <w:bCs/>
                <w:color w:val="auto"/>
                <w:sz w:val="21"/>
                <w:szCs w:val="21"/>
                <w:highlight w:val="none"/>
              </w:rPr>
              <w:t>须将弃土运至经项目所在地政府有关规定核准使用的建筑垃圾消纳场，</w:t>
            </w:r>
            <w:r>
              <w:rPr>
                <w:rFonts w:hint="eastAsia" w:hAnsi="宋体" w:eastAsia="宋体" w:cs="宋体"/>
                <w:bCs/>
                <w:color w:val="auto"/>
                <w:sz w:val="21"/>
                <w:szCs w:val="21"/>
                <w:highlight w:val="none"/>
                <w:lang w:eastAsia="zh-CN"/>
              </w:rPr>
              <w:t>承包人</w:t>
            </w:r>
            <w:r>
              <w:rPr>
                <w:rFonts w:hint="eastAsia" w:ascii="宋体" w:hAnsi="宋体" w:eastAsia="宋体" w:cs="宋体"/>
                <w:bCs/>
                <w:color w:val="auto"/>
                <w:sz w:val="21"/>
                <w:szCs w:val="21"/>
                <w:highlight w:val="none"/>
              </w:rPr>
              <w:t>不严格落实的</w:t>
            </w:r>
            <w:r>
              <w:rPr>
                <w:rFonts w:hint="eastAsia" w:hAnsi="宋体" w:eastAsia="宋体" w:cs="宋体"/>
                <w:bCs/>
                <w:color w:val="auto"/>
                <w:sz w:val="21"/>
                <w:szCs w:val="21"/>
                <w:highlight w:val="none"/>
                <w:lang w:eastAsia="zh-CN"/>
              </w:rPr>
              <w:t>。</w:t>
            </w:r>
          </w:p>
        </w:tc>
        <w:tc>
          <w:tcPr>
            <w:tcW w:w="1740" w:type="dxa"/>
            <w:noWrap w:val="0"/>
            <w:vAlign w:val="center"/>
          </w:tcPr>
          <w:p w14:paraId="24FCB841">
            <w:pPr>
              <w:pStyle w:val="66"/>
              <w:keepNext w:val="0"/>
              <w:keepLines w:val="0"/>
              <w:suppressLineNumbers w:val="0"/>
              <w:spacing w:before="0" w:beforeAutospacing="0" w:after="0" w:afterAutospacing="0"/>
              <w:ind w:left="0" w:right="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10000元/次</w:t>
            </w:r>
          </w:p>
        </w:tc>
        <w:tc>
          <w:tcPr>
            <w:tcW w:w="1633" w:type="dxa"/>
            <w:noWrap w:val="0"/>
            <w:vAlign w:val="center"/>
          </w:tcPr>
          <w:p w14:paraId="36398F4A">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rPr>
            </w:pPr>
          </w:p>
        </w:tc>
      </w:tr>
      <w:tr w14:paraId="1B73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8" w:type="dxa"/>
            <w:noWrap w:val="0"/>
            <w:vAlign w:val="center"/>
          </w:tcPr>
          <w:p w14:paraId="7AD13828">
            <w:pPr>
              <w:pStyle w:val="66"/>
              <w:keepNext w:val="0"/>
              <w:keepLines w:val="0"/>
              <w:suppressLineNumbers w:val="0"/>
              <w:spacing w:before="0" w:beforeAutospacing="0" w:after="0" w:afterAutospacing="0" w:line="400" w:lineRule="exact"/>
              <w:ind w:left="0" w:right="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11</w:t>
            </w:r>
          </w:p>
        </w:tc>
        <w:tc>
          <w:tcPr>
            <w:tcW w:w="5244" w:type="dxa"/>
            <w:noWrap w:val="0"/>
            <w:vAlign w:val="center"/>
          </w:tcPr>
          <w:p w14:paraId="7E2D5D5F">
            <w:pPr>
              <w:keepNext w:val="0"/>
              <w:keepLines w:val="0"/>
              <w:suppressLineNumbers w:val="0"/>
              <w:spacing w:before="0" w:beforeAutospacing="0" w:after="0" w:afterAutospacing="0"/>
              <w:ind w:left="0" w:right="0"/>
              <w:jc w:val="left"/>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隐蔽工程隐蔽前未经相关单位验收、隐蔽工程隐蔽前漏做相关检测、漏做隐蔽前应做的其它项目所造成的一切后果均由承包人承担，并处罚金。</w:t>
            </w:r>
          </w:p>
        </w:tc>
        <w:tc>
          <w:tcPr>
            <w:tcW w:w="1740" w:type="dxa"/>
            <w:noWrap w:val="0"/>
            <w:vAlign w:val="center"/>
          </w:tcPr>
          <w:p w14:paraId="7A0C9FE9">
            <w:pPr>
              <w:pStyle w:val="66"/>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5000元/次</w:t>
            </w:r>
          </w:p>
        </w:tc>
        <w:tc>
          <w:tcPr>
            <w:tcW w:w="1633" w:type="dxa"/>
            <w:noWrap w:val="0"/>
            <w:vAlign w:val="center"/>
          </w:tcPr>
          <w:p w14:paraId="30EA6E6F">
            <w:pPr>
              <w:pStyle w:val="66"/>
              <w:keepNext w:val="0"/>
              <w:keepLines w:val="0"/>
              <w:suppressLineNumbers w:val="0"/>
              <w:spacing w:before="0" w:beforeAutospacing="0" w:after="0" w:afterAutospacing="0"/>
              <w:ind w:left="0" w:right="0"/>
              <w:rPr>
                <w:rFonts w:hint="eastAsia" w:ascii="宋体" w:hAnsi="宋体" w:eastAsia="宋体" w:cs="宋体"/>
                <w:b w:val="0"/>
                <w:bCs/>
                <w:color w:val="auto"/>
                <w:sz w:val="21"/>
                <w:szCs w:val="21"/>
                <w:highlight w:val="none"/>
                <w:lang w:eastAsia="zh-CN"/>
              </w:rPr>
            </w:pPr>
          </w:p>
        </w:tc>
      </w:tr>
      <w:tr w14:paraId="0F55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688" w:type="dxa"/>
            <w:noWrap w:val="0"/>
            <w:vAlign w:val="center"/>
          </w:tcPr>
          <w:p w14:paraId="09FC8EE5">
            <w:pPr>
              <w:pStyle w:val="66"/>
              <w:keepNext w:val="0"/>
              <w:keepLines w:val="0"/>
              <w:suppressLineNumbers w:val="0"/>
              <w:spacing w:before="0" w:beforeAutospacing="0" w:after="0" w:afterAutospacing="0" w:line="400" w:lineRule="exact"/>
              <w:ind w:left="0" w:right="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12</w:t>
            </w:r>
          </w:p>
        </w:tc>
        <w:tc>
          <w:tcPr>
            <w:tcW w:w="5244" w:type="dxa"/>
            <w:noWrap w:val="0"/>
            <w:vAlign w:val="center"/>
          </w:tcPr>
          <w:p w14:paraId="4252E5B5">
            <w:pPr>
              <w:keepNext w:val="0"/>
              <w:keepLines w:val="0"/>
              <w:suppressLineNumbers w:val="0"/>
              <w:spacing w:before="0" w:beforeAutospacing="0" w:after="0" w:afterAutospacing="0"/>
              <w:ind w:left="0" w:right="0"/>
              <w:jc w:val="left"/>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工程竣工验收合格后90天内承包人未向发包人和建设单位以及监理人提交完整的竣工结算资料，并逾期的情况</w:t>
            </w:r>
            <w:r>
              <w:rPr>
                <w:rFonts w:hint="eastAsia" w:hAnsi="宋体" w:eastAsia="宋体" w:cs="宋体"/>
                <w:b w:val="0"/>
                <w:bCs w:val="0"/>
                <w:color w:val="auto"/>
                <w:kern w:val="0"/>
                <w:sz w:val="21"/>
                <w:szCs w:val="21"/>
                <w:highlight w:val="none"/>
                <w:lang w:val="en-US" w:eastAsia="zh-CN" w:bidi="ar-SA"/>
              </w:rPr>
              <w:t>。</w:t>
            </w:r>
          </w:p>
        </w:tc>
        <w:tc>
          <w:tcPr>
            <w:tcW w:w="1740" w:type="dxa"/>
            <w:noWrap w:val="0"/>
            <w:vAlign w:val="center"/>
          </w:tcPr>
          <w:p w14:paraId="3DBA87AD">
            <w:pPr>
              <w:pStyle w:val="66"/>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2000元/天</w:t>
            </w:r>
          </w:p>
        </w:tc>
        <w:tc>
          <w:tcPr>
            <w:tcW w:w="1633" w:type="dxa"/>
            <w:noWrap w:val="0"/>
            <w:vAlign w:val="center"/>
          </w:tcPr>
          <w:p w14:paraId="277FE70C">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lang w:val="en-US" w:eastAsia="zh-CN"/>
              </w:rPr>
            </w:pPr>
          </w:p>
        </w:tc>
      </w:tr>
      <w:tr w14:paraId="6F21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688" w:type="dxa"/>
            <w:noWrap w:val="0"/>
            <w:vAlign w:val="center"/>
          </w:tcPr>
          <w:p w14:paraId="121F8CD2">
            <w:pPr>
              <w:pStyle w:val="66"/>
              <w:keepNext w:val="0"/>
              <w:keepLines w:val="0"/>
              <w:suppressLineNumbers w:val="0"/>
              <w:spacing w:before="0" w:beforeAutospacing="0" w:after="0" w:afterAutospacing="0" w:line="400" w:lineRule="exact"/>
              <w:ind w:left="0" w:right="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13</w:t>
            </w:r>
          </w:p>
        </w:tc>
        <w:tc>
          <w:tcPr>
            <w:tcW w:w="5244" w:type="dxa"/>
            <w:noWrap w:val="0"/>
            <w:vAlign w:val="center"/>
          </w:tcPr>
          <w:p w14:paraId="4F83E2B5">
            <w:pPr>
              <w:keepNext w:val="0"/>
              <w:keepLines w:val="0"/>
              <w:suppressLineNumbers w:val="0"/>
              <w:spacing w:before="0" w:beforeAutospacing="0" w:after="0" w:afterAutospacing="0"/>
              <w:ind w:left="0" w:right="0"/>
              <w:jc w:val="left"/>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施工中遇到涉及变更、签证等影响结算金额的事项，未经业主、代建方同意强行施工。</w:t>
            </w:r>
          </w:p>
        </w:tc>
        <w:tc>
          <w:tcPr>
            <w:tcW w:w="1740" w:type="dxa"/>
            <w:noWrap w:val="0"/>
            <w:vAlign w:val="center"/>
          </w:tcPr>
          <w:p w14:paraId="315BF393">
            <w:pPr>
              <w:pStyle w:val="66"/>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相应增加的造价不予结算；并罚款10000元/次</w:t>
            </w:r>
          </w:p>
        </w:tc>
        <w:tc>
          <w:tcPr>
            <w:tcW w:w="1633" w:type="dxa"/>
            <w:noWrap w:val="0"/>
            <w:vAlign w:val="center"/>
          </w:tcPr>
          <w:p w14:paraId="7BEF5AD4">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lang w:val="en-US" w:eastAsia="zh-CN"/>
              </w:rPr>
            </w:pPr>
          </w:p>
        </w:tc>
      </w:tr>
      <w:tr w14:paraId="70DF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688" w:type="dxa"/>
            <w:noWrap w:val="0"/>
            <w:vAlign w:val="center"/>
          </w:tcPr>
          <w:p w14:paraId="5F8AA93D">
            <w:pPr>
              <w:pStyle w:val="66"/>
              <w:keepNext w:val="0"/>
              <w:keepLines w:val="0"/>
              <w:suppressLineNumbers w:val="0"/>
              <w:spacing w:before="0" w:beforeAutospacing="0" w:after="0" w:afterAutospacing="0" w:line="400" w:lineRule="exact"/>
              <w:ind w:left="0" w:right="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14</w:t>
            </w:r>
          </w:p>
        </w:tc>
        <w:tc>
          <w:tcPr>
            <w:tcW w:w="5244" w:type="dxa"/>
            <w:noWrap w:val="0"/>
            <w:vAlign w:val="center"/>
          </w:tcPr>
          <w:p w14:paraId="71302985">
            <w:pPr>
              <w:keepNext w:val="0"/>
              <w:keepLines w:val="0"/>
              <w:suppressLineNumbers w:val="0"/>
              <w:spacing w:before="0" w:beforeAutospacing="0" w:after="0" w:afterAutospacing="0"/>
              <w:ind w:left="0" w:right="0"/>
              <w:jc w:val="left"/>
              <w:rPr>
                <w:rFonts w:hint="default"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承包人未经业主及代建方同意，擅自更换现场主要管理人员。</w:t>
            </w:r>
          </w:p>
        </w:tc>
        <w:tc>
          <w:tcPr>
            <w:tcW w:w="1740" w:type="dxa"/>
            <w:noWrap w:val="0"/>
            <w:vAlign w:val="center"/>
          </w:tcPr>
          <w:p w14:paraId="7181F826">
            <w:pPr>
              <w:pStyle w:val="66"/>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5000元/次</w:t>
            </w:r>
          </w:p>
        </w:tc>
        <w:tc>
          <w:tcPr>
            <w:tcW w:w="1633" w:type="dxa"/>
            <w:noWrap w:val="0"/>
            <w:vAlign w:val="center"/>
          </w:tcPr>
          <w:p w14:paraId="6AA5E9B4">
            <w:pPr>
              <w:pStyle w:val="66"/>
              <w:keepNext w:val="0"/>
              <w:keepLines w:val="0"/>
              <w:suppressLineNumbers w:val="0"/>
              <w:spacing w:before="0" w:beforeAutospacing="0" w:after="0" w:afterAutospacing="0"/>
              <w:ind w:left="0" w:right="0"/>
              <w:rPr>
                <w:rFonts w:hint="eastAsia" w:ascii="宋体" w:hAnsi="宋体" w:eastAsia="宋体" w:cs="宋体"/>
                <w:b w:val="0"/>
                <w:color w:val="auto"/>
                <w:kern w:val="2"/>
                <w:sz w:val="21"/>
                <w:szCs w:val="21"/>
                <w:highlight w:val="none"/>
                <w:lang w:val="en-US" w:eastAsia="zh-CN" w:bidi="ar-SA"/>
              </w:rPr>
            </w:pPr>
          </w:p>
        </w:tc>
      </w:tr>
      <w:tr w14:paraId="497F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688" w:type="dxa"/>
            <w:noWrap w:val="0"/>
            <w:vAlign w:val="center"/>
          </w:tcPr>
          <w:p w14:paraId="1C33563C">
            <w:pPr>
              <w:pStyle w:val="66"/>
              <w:keepNext w:val="0"/>
              <w:keepLines w:val="0"/>
              <w:suppressLineNumbers w:val="0"/>
              <w:spacing w:before="0" w:beforeAutospacing="0" w:after="0" w:afterAutospacing="0" w:line="400" w:lineRule="exact"/>
              <w:ind w:left="0" w:right="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15</w:t>
            </w:r>
          </w:p>
        </w:tc>
        <w:tc>
          <w:tcPr>
            <w:tcW w:w="5244" w:type="dxa"/>
            <w:noWrap w:val="0"/>
            <w:vAlign w:val="center"/>
          </w:tcPr>
          <w:p w14:paraId="6F9311CB">
            <w:pPr>
              <w:keepNext w:val="0"/>
              <w:keepLines w:val="0"/>
              <w:suppressLineNumbers w:val="0"/>
              <w:spacing w:before="0" w:beforeAutospacing="0" w:after="0" w:afterAutospacing="0"/>
              <w:ind w:left="0" w:right="0"/>
              <w:jc w:val="left"/>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承包人未每月提供农民工工资支付流水及台账资料</w:t>
            </w:r>
          </w:p>
        </w:tc>
        <w:tc>
          <w:tcPr>
            <w:tcW w:w="1740" w:type="dxa"/>
            <w:noWrap w:val="0"/>
            <w:vAlign w:val="center"/>
          </w:tcPr>
          <w:p w14:paraId="0D3BEA07">
            <w:pPr>
              <w:pStyle w:val="66"/>
              <w:keepNext w:val="0"/>
              <w:keepLines w:val="0"/>
              <w:suppressLineNumbers w:val="0"/>
              <w:tabs>
                <w:tab w:val="center" w:pos="688"/>
              </w:tabs>
              <w:spacing w:before="0" w:beforeAutospacing="0" w:after="0" w:afterAutospacing="0"/>
              <w:ind w:left="0" w:right="0"/>
              <w:jc w:val="center"/>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2000元/次</w:t>
            </w:r>
          </w:p>
        </w:tc>
        <w:tc>
          <w:tcPr>
            <w:tcW w:w="1633" w:type="dxa"/>
            <w:noWrap w:val="0"/>
            <w:vAlign w:val="center"/>
          </w:tcPr>
          <w:p w14:paraId="7B26D0B1">
            <w:pPr>
              <w:pStyle w:val="66"/>
              <w:keepNext w:val="0"/>
              <w:keepLines w:val="0"/>
              <w:suppressLineNumbers w:val="0"/>
              <w:spacing w:before="0" w:beforeAutospacing="0" w:after="0" w:afterAutospacing="0"/>
              <w:ind w:left="0" w:right="0"/>
              <w:rPr>
                <w:rFonts w:hint="eastAsia" w:ascii="宋体" w:hAnsi="宋体" w:eastAsia="宋体" w:cs="宋体"/>
                <w:b w:val="0"/>
                <w:color w:val="auto"/>
                <w:kern w:val="2"/>
                <w:sz w:val="21"/>
                <w:szCs w:val="21"/>
                <w:highlight w:val="none"/>
                <w:lang w:val="en-US" w:eastAsia="zh-CN" w:bidi="ar-SA"/>
              </w:rPr>
            </w:pPr>
          </w:p>
        </w:tc>
      </w:tr>
      <w:tr w14:paraId="5E16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688" w:type="dxa"/>
            <w:noWrap w:val="0"/>
            <w:vAlign w:val="center"/>
          </w:tcPr>
          <w:p w14:paraId="4E5185ED">
            <w:pPr>
              <w:pStyle w:val="66"/>
              <w:keepNext w:val="0"/>
              <w:keepLines w:val="0"/>
              <w:suppressLineNumbers w:val="0"/>
              <w:spacing w:before="0" w:beforeAutospacing="0" w:after="0" w:afterAutospacing="0" w:line="400" w:lineRule="exact"/>
              <w:ind w:left="0" w:right="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16</w:t>
            </w:r>
          </w:p>
        </w:tc>
        <w:tc>
          <w:tcPr>
            <w:tcW w:w="5244" w:type="dxa"/>
            <w:noWrap w:val="0"/>
            <w:vAlign w:val="center"/>
          </w:tcPr>
          <w:p w14:paraId="32478B34">
            <w:pPr>
              <w:keepNext w:val="0"/>
              <w:keepLines w:val="0"/>
              <w:suppressLineNumbers w:val="0"/>
              <w:spacing w:before="0" w:beforeAutospacing="0" w:after="0" w:afterAutospacing="0"/>
              <w:ind w:left="0" w:right="0"/>
              <w:jc w:val="left"/>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承包人</w:t>
            </w:r>
            <w:r>
              <w:rPr>
                <w:rFonts w:hint="eastAsia" w:hAnsi="宋体" w:eastAsia="宋体" w:cs="宋体"/>
                <w:b w:val="0"/>
                <w:bCs w:val="0"/>
                <w:color w:val="auto"/>
                <w:kern w:val="0"/>
                <w:sz w:val="21"/>
                <w:szCs w:val="21"/>
                <w:highlight w:val="none"/>
                <w:lang w:val="en-US" w:eastAsia="zh-CN" w:bidi="ar-SA"/>
              </w:rPr>
              <w:t>存在违法分包行为的，一经发现发包人有权终止合同。</w:t>
            </w:r>
          </w:p>
        </w:tc>
        <w:tc>
          <w:tcPr>
            <w:tcW w:w="1740" w:type="dxa"/>
            <w:noWrap w:val="0"/>
            <w:vAlign w:val="center"/>
          </w:tcPr>
          <w:p w14:paraId="7C68149F">
            <w:pPr>
              <w:pStyle w:val="66"/>
              <w:keepNext w:val="0"/>
              <w:keepLines w:val="0"/>
              <w:suppressLineNumbers w:val="0"/>
              <w:tabs>
                <w:tab w:val="center" w:pos="688"/>
              </w:tabs>
              <w:spacing w:before="0" w:beforeAutospacing="0" w:after="0" w:afterAutospacing="0"/>
              <w:ind w:left="0" w:right="0"/>
              <w:jc w:val="center"/>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w:t>
            </w:r>
          </w:p>
        </w:tc>
        <w:tc>
          <w:tcPr>
            <w:tcW w:w="1633" w:type="dxa"/>
            <w:noWrap w:val="0"/>
            <w:vAlign w:val="center"/>
          </w:tcPr>
          <w:p w14:paraId="0514537C">
            <w:pPr>
              <w:pStyle w:val="66"/>
              <w:keepNext w:val="0"/>
              <w:keepLines w:val="0"/>
              <w:suppressLineNumbers w:val="0"/>
              <w:spacing w:before="0" w:beforeAutospacing="0" w:after="0" w:afterAutospacing="0"/>
              <w:ind w:left="0" w:right="0"/>
              <w:rPr>
                <w:rFonts w:hint="eastAsia" w:ascii="宋体" w:hAnsi="宋体" w:eastAsia="宋体" w:cs="宋体"/>
                <w:b w:val="0"/>
                <w:color w:val="auto"/>
                <w:kern w:val="2"/>
                <w:sz w:val="21"/>
                <w:szCs w:val="21"/>
                <w:highlight w:val="none"/>
                <w:lang w:val="en-US" w:eastAsia="zh-CN" w:bidi="ar-SA"/>
              </w:rPr>
            </w:pPr>
            <w:r>
              <w:rPr>
                <w:rFonts w:hint="eastAsia" w:hAnsi="宋体" w:eastAsia="宋体" w:cs="宋体"/>
                <w:b w:val="0"/>
                <w:bCs w:val="0"/>
                <w:color w:val="auto"/>
                <w:kern w:val="0"/>
                <w:sz w:val="21"/>
                <w:szCs w:val="21"/>
                <w:highlight w:val="none"/>
                <w:lang w:val="en-US" w:eastAsia="zh-CN" w:bidi="ar-SA"/>
              </w:rPr>
              <w:t>发包人有权直接终止合同</w:t>
            </w:r>
          </w:p>
        </w:tc>
      </w:tr>
      <w:tr w14:paraId="68EA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688" w:type="dxa"/>
            <w:noWrap w:val="0"/>
            <w:vAlign w:val="center"/>
          </w:tcPr>
          <w:p w14:paraId="14CC973C">
            <w:pPr>
              <w:pStyle w:val="66"/>
              <w:keepNext w:val="0"/>
              <w:keepLines w:val="0"/>
              <w:suppressLineNumbers w:val="0"/>
              <w:spacing w:before="0" w:beforeAutospacing="0" w:after="0" w:afterAutospacing="0" w:line="400" w:lineRule="exact"/>
              <w:ind w:left="0" w:right="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17</w:t>
            </w:r>
          </w:p>
        </w:tc>
        <w:tc>
          <w:tcPr>
            <w:tcW w:w="5244" w:type="dxa"/>
            <w:noWrap w:val="0"/>
            <w:vAlign w:val="center"/>
          </w:tcPr>
          <w:p w14:paraId="134B2D4B">
            <w:pPr>
              <w:keepNext w:val="0"/>
              <w:keepLines w:val="0"/>
              <w:suppressLineNumbers w:val="0"/>
              <w:spacing w:before="0" w:beforeAutospacing="0" w:after="0" w:afterAutospacing="0"/>
              <w:ind w:left="0" w:right="0"/>
              <w:jc w:val="left"/>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其余违约</w:t>
            </w:r>
          </w:p>
        </w:tc>
        <w:tc>
          <w:tcPr>
            <w:tcW w:w="1740" w:type="dxa"/>
            <w:noWrap w:val="0"/>
            <w:vAlign w:val="center"/>
          </w:tcPr>
          <w:p w14:paraId="0C59E94D">
            <w:pPr>
              <w:pStyle w:val="66"/>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根据施工合同签订的方式处罚。</w:t>
            </w:r>
          </w:p>
        </w:tc>
        <w:tc>
          <w:tcPr>
            <w:tcW w:w="1633" w:type="dxa"/>
            <w:noWrap w:val="0"/>
            <w:vAlign w:val="center"/>
          </w:tcPr>
          <w:p w14:paraId="27528AD5">
            <w:pPr>
              <w:pStyle w:val="66"/>
              <w:keepNext w:val="0"/>
              <w:keepLines w:val="0"/>
              <w:suppressLineNumbers w:val="0"/>
              <w:spacing w:before="0" w:beforeAutospacing="0" w:after="0" w:afterAutospacing="0"/>
              <w:ind w:left="0" w:right="0"/>
              <w:rPr>
                <w:rFonts w:hint="eastAsia" w:ascii="宋体" w:hAnsi="宋体" w:eastAsia="宋体" w:cs="宋体"/>
                <w:b w:val="0"/>
                <w:color w:val="auto"/>
                <w:sz w:val="21"/>
                <w:szCs w:val="21"/>
                <w:highlight w:val="none"/>
                <w:lang w:val="en-US" w:eastAsia="zh-CN"/>
              </w:rPr>
            </w:pPr>
          </w:p>
        </w:tc>
      </w:tr>
    </w:tbl>
    <w:p w14:paraId="315999B9">
      <w:pPr>
        <w:wordWrap w:val="0"/>
        <w:adjustRightInd w:val="0"/>
        <w:snapToGrid w:val="0"/>
        <w:spacing w:line="440" w:lineRule="exact"/>
        <w:ind w:firstLine="422" w:firstLineChars="200"/>
        <w:rPr>
          <w:rFonts w:ascii="Times New Roman"/>
          <w:snapToGrid w:val="0"/>
          <w:color w:val="auto"/>
          <w:kern w:val="0"/>
          <w:sz w:val="21"/>
          <w:szCs w:val="21"/>
          <w:highlight w:val="none"/>
        </w:rPr>
      </w:pPr>
      <w:r>
        <w:rPr>
          <w:rFonts w:hint="eastAsia" w:hAnsi="宋体" w:cs="宋体"/>
          <w:b/>
          <w:bCs/>
          <w:color w:val="auto"/>
          <w:sz w:val="21"/>
          <w:szCs w:val="16"/>
          <w:highlight w:val="none"/>
          <w:lang w:val="en-US" w:eastAsia="zh-CN"/>
        </w:rPr>
        <w:t>5</w:t>
      </w:r>
      <w:r>
        <w:rPr>
          <w:rFonts w:hAnsi="宋体" w:cs="宋体"/>
          <w:b/>
          <w:bCs/>
          <w:color w:val="auto"/>
          <w:sz w:val="21"/>
          <w:szCs w:val="16"/>
          <w:highlight w:val="none"/>
        </w:rPr>
        <w:t xml:space="preserve">.2 </w:t>
      </w:r>
      <w:r>
        <w:rPr>
          <w:rFonts w:hAnsi="宋体" w:cs="宋体"/>
          <w:b/>
          <w:snapToGrid w:val="0"/>
          <w:color w:val="auto"/>
          <w:sz w:val="21"/>
          <w:szCs w:val="16"/>
          <w:highlight w:val="none"/>
        </w:rPr>
        <w:t>其他条款由</w:t>
      </w:r>
      <w:r>
        <w:rPr>
          <w:rFonts w:hint="eastAsia" w:hAnsi="宋体" w:cs="宋体"/>
          <w:b/>
          <w:snapToGrid w:val="0"/>
          <w:color w:val="auto"/>
          <w:sz w:val="21"/>
          <w:szCs w:val="16"/>
          <w:highlight w:val="none"/>
          <w:lang w:eastAsia="zh-CN"/>
        </w:rPr>
        <w:t>发包人</w:t>
      </w:r>
      <w:r>
        <w:rPr>
          <w:rFonts w:hAnsi="宋体" w:cs="宋体"/>
          <w:b/>
          <w:snapToGrid w:val="0"/>
          <w:color w:val="auto"/>
          <w:sz w:val="21"/>
          <w:szCs w:val="16"/>
          <w:highlight w:val="none"/>
        </w:rPr>
        <w:t>根据本工程实际情况和地方政策与</w:t>
      </w:r>
      <w:r>
        <w:rPr>
          <w:rFonts w:hint="eastAsia" w:hAnsi="宋体" w:cs="宋体"/>
          <w:b/>
          <w:snapToGrid w:val="0"/>
          <w:color w:val="auto"/>
          <w:sz w:val="21"/>
          <w:szCs w:val="16"/>
          <w:highlight w:val="none"/>
          <w:lang w:eastAsia="zh-CN"/>
        </w:rPr>
        <w:t>承包人</w:t>
      </w:r>
      <w:r>
        <w:rPr>
          <w:rFonts w:hAnsi="宋体" w:cs="宋体"/>
          <w:b/>
          <w:snapToGrid w:val="0"/>
          <w:color w:val="auto"/>
          <w:sz w:val="21"/>
          <w:szCs w:val="16"/>
          <w:highlight w:val="none"/>
        </w:rPr>
        <w:t>自行协商签定相关专用合同条款</w:t>
      </w:r>
      <w:r>
        <w:rPr>
          <w:rFonts w:ascii="Times New Roman"/>
          <w:snapToGrid w:val="0"/>
          <w:color w:val="auto"/>
          <w:kern w:val="0"/>
          <w:sz w:val="21"/>
          <w:szCs w:val="21"/>
          <w:highlight w:val="none"/>
        </w:rPr>
        <w:t>。</w:t>
      </w:r>
    </w:p>
    <w:p w14:paraId="7CD84ABA">
      <w:pPr>
        <w:keepNext w:val="0"/>
        <w:keepLines w:val="0"/>
        <w:pageBreakBefore w:val="0"/>
        <w:widowControl/>
        <w:suppressLineNumbers w:val="0"/>
        <w:kinsoku/>
        <w:overflowPunct/>
        <w:topLinePunct w:val="0"/>
        <w:bidi w:val="0"/>
        <w:spacing w:line="440" w:lineRule="exact"/>
        <w:ind w:firstLine="422" w:firstLineChars="200"/>
        <w:jc w:val="left"/>
        <w:rPr>
          <w:rFonts w:hint="default" w:ascii="宋体" w:hAnsi="宋体" w:eastAsia="宋体" w:cs="宋体"/>
          <w:b/>
          <w:bCs/>
          <w:color w:val="auto"/>
          <w:kern w:val="0"/>
          <w:sz w:val="21"/>
          <w:szCs w:val="21"/>
          <w:highlight w:val="none"/>
          <w:lang w:val="en-US" w:eastAsia="zh-CN" w:bidi="ar"/>
        </w:rPr>
      </w:pPr>
    </w:p>
    <w:bookmarkEnd w:id="123"/>
    <w:p w14:paraId="7291D957">
      <w:pPr>
        <w:pStyle w:val="3"/>
        <w:tabs>
          <w:tab w:val="left" w:pos="885"/>
        </w:tabs>
        <w:wordWrap w:val="0"/>
        <w:autoSpaceDE/>
        <w:autoSpaceDN/>
        <w:snapToGrid w:val="0"/>
        <w:spacing w:line="440" w:lineRule="exact"/>
        <w:ind w:left="885" w:hanging="885"/>
        <w:jc w:val="center"/>
        <w:rPr>
          <w:rFonts w:hint="eastAsia" w:ascii="宋体" w:hAnsi="宋体" w:eastAsia="宋体" w:cs="宋体"/>
          <w:b/>
          <w:snapToGrid w:val="0"/>
          <w:color w:val="auto"/>
          <w:kern w:val="0"/>
          <w:highlight w:val="none"/>
        </w:rPr>
      </w:pPr>
      <w:bookmarkStart w:id="179" w:name="_Hlt69698796"/>
      <w:r>
        <w:rPr>
          <w:rFonts w:hint="eastAsia" w:ascii="宋体" w:hAnsi="宋体" w:eastAsia="宋体" w:cs="宋体"/>
          <w:b/>
          <w:snapToGrid w:val="0"/>
          <w:color w:val="auto"/>
          <w:sz w:val="24"/>
          <w:highlight w:val="none"/>
        </w:rPr>
        <w:br w:type="page"/>
      </w:r>
      <w:bookmarkStart w:id="180" w:name="_Toc15197"/>
      <w:r>
        <w:rPr>
          <w:rFonts w:hint="eastAsia" w:ascii="宋体" w:hAnsi="宋体" w:eastAsia="宋体" w:cs="宋体"/>
          <w:b/>
          <w:snapToGrid w:val="0"/>
          <w:color w:val="auto"/>
          <w:sz w:val="24"/>
          <w:highlight w:val="none"/>
        </w:rPr>
        <w:t>第四章</w:t>
      </w:r>
      <w:bookmarkStart w:id="181" w:name="_Hlt87793853"/>
      <w:bookmarkEnd w:id="181"/>
      <w:r>
        <w:rPr>
          <w:rFonts w:hint="eastAsia" w:ascii="宋体" w:hAnsi="宋体" w:eastAsia="宋体" w:cs="宋体"/>
          <w:b/>
          <w:snapToGrid w:val="0"/>
          <w:color w:val="auto"/>
          <w:sz w:val="24"/>
          <w:highlight w:val="none"/>
        </w:rPr>
        <w:t xml:space="preserve"> 技术要求</w:t>
      </w:r>
      <w:bookmarkEnd w:id="179"/>
      <w:bookmarkEnd w:id="180"/>
      <w:bookmarkStart w:id="182" w:name="_Hlt69359335"/>
      <w:bookmarkEnd w:id="182"/>
      <w:bookmarkStart w:id="183" w:name="_Hlt69116854"/>
      <w:bookmarkEnd w:id="183"/>
      <w:bookmarkStart w:id="184" w:name="_Hlt69357851"/>
      <w:bookmarkEnd w:id="184"/>
      <w:bookmarkStart w:id="185" w:name="_Hlt66104926"/>
      <w:bookmarkEnd w:id="185"/>
      <w:bookmarkStart w:id="186" w:name="_Hlt87793370"/>
      <w:bookmarkEnd w:id="186"/>
      <w:bookmarkStart w:id="187" w:name="_Hlt69265216"/>
      <w:bookmarkEnd w:id="187"/>
      <w:bookmarkStart w:id="188" w:name="_Hlt68774758"/>
      <w:bookmarkEnd w:id="188"/>
      <w:bookmarkStart w:id="189" w:name="_Hlt80411122"/>
      <w:bookmarkEnd w:id="189"/>
      <w:bookmarkStart w:id="190" w:name="_Hlt87793346"/>
      <w:bookmarkEnd w:id="190"/>
      <w:bookmarkStart w:id="191" w:name="_Hlt69358207"/>
      <w:bookmarkEnd w:id="191"/>
      <w:bookmarkStart w:id="192" w:name="_Hlt75685840"/>
      <w:bookmarkEnd w:id="192"/>
    </w:p>
    <w:p w14:paraId="61CF8BD9">
      <w:pPr>
        <w:wordWrap w:val="0"/>
        <w:adjustRightInd w:val="0"/>
        <w:snapToGrid w:val="0"/>
        <w:spacing w:line="360" w:lineRule="auto"/>
        <w:ind w:firstLine="422" w:firstLineChars="200"/>
        <w:rPr>
          <w:rFonts w:hint="eastAsia" w:ascii="宋体" w:hAnsi="宋体" w:eastAsia="宋体" w:cs="宋体"/>
          <w:b/>
          <w:snapToGrid w:val="0"/>
          <w:color w:val="auto"/>
          <w:kern w:val="0"/>
          <w:sz w:val="21"/>
          <w:szCs w:val="21"/>
          <w:highlight w:val="none"/>
        </w:rPr>
      </w:pPr>
      <w:r>
        <w:rPr>
          <w:rFonts w:hint="eastAsia" w:ascii="宋体" w:hAnsi="宋体" w:eastAsia="宋体" w:cs="宋体"/>
          <w:b/>
          <w:snapToGrid w:val="0"/>
          <w:color w:val="auto"/>
          <w:kern w:val="0"/>
          <w:sz w:val="21"/>
          <w:szCs w:val="21"/>
          <w:highlight w:val="none"/>
          <w:lang w:val="en-US" w:eastAsia="zh-CN"/>
        </w:rPr>
        <w:t>1.技术（规范）标准（包括但不限于）</w:t>
      </w:r>
    </w:p>
    <w:p w14:paraId="30E00E7A">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GB 50052-2009      《供配电系统设计规范》</w:t>
      </w:r>
    </w:p>
    <w:p w14:paraId="285EBAEF">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GB 50053-1994      《10kV及以下变电所设计规范》</w:t>
      </w:r>
    </w:p>
    <w:p w14:paraId="77D3222F">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GB 50054-2011      《低压配电设计规范》</w:t>
      </w:r>
    </w:p>
    <w:p w14:paraId="7C42FD2E">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GB 50060-2008      《3～110kV高压配电装置设计规范》</w:t>
      </w:r>
    </w:p>
    <w:p w14:paraId="74802ACD">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GB 50061-2010      《66kV及以下架空电力线路设计规范》</w:t>
      </w:r>
    </w:p>
    <w:p w14:paraId="4311D953">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GB 50217-2007      《电力工程电缆设计规范》</w:t>
      </w:r>
    </w:p>
    <w:p w14:paraId="632C5CFB">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GB 50293-1999      《城市电力规划规范》</w:t>
      </w:r>
    </w:p>
    <w:p w14:paraId="7AD135DB">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GB/T 4623-2006     《环型混凝土电杆》</w:t>
      </w:r>
    </w:p>
    <w:p w14:paraId="6ED1E9B3">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GB/T 50062-2008    《电力装置的继电保护和自动装置设计规范》</w:t>
      </w:r>
    </w:p>
    <w:p w14:paraId="569C503A">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DL/T 499-2001     《农村低压电力技术规程》</w:t>
      </w:r>
    </w:p>
    <w:p w14:paraId="527DA373">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DL/T 599-2005     《城市中低压配电网改造技术导则》</w:t>
      </w:r>
    </w:p>
    <w:p w14:paraId="6B7D421E">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DL/T 601-1996     《架空绝缘配电线路设计技术规程》</w:t>
      </w:r>
    </w:p>
    <w:p w14:paraId="4F8A859A">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DL/T 620-1997     《交流电气装置的过电压保护和绝缘配合》</w:t>
      </w:r>
    </w:p>
    <w:p w14:paraId="41B188F4">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DL/T 621-1997     《交流电气装置的接地》</w:t>
      </w:r>
    </w:p>
    <w:p w14:paraId="02A33536">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DL/T 5130-2001    《架空送电线路钢管杆设计技术规定》</w:t>
      </w:r>
    </w:p>
    <w:p w14:paraId="5182DCCD">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DL/T 5154-2002    《架空送电线路杆塔结构设计技术规定》</w:t>
      </w:r>
    </w:p>
    <w:p w14:paraId="4D508AA2">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DL/T 5219-2005    《架空送电线路基础设计技术规定》</w:t>
      </w:r>
    </w:p>
    <w:p w14:paraId="5C24E248">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DL/T 5220-2005    《10kV及以下架空配电线路设计技术规程》</w:t>
      </w:r>
    </w:p>
    <w:p w14:paraId="53DA4BCC">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JGJ/T 16-2008     《民用建筑电气设计规范》</w:t>
      </w:r>
    </w:p>
    <w:p w14:paraId="7FEABBB1">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Q/CSG1 0012-2005  《中国南方电网城市配电网技术导则》</w:t>
      </w:r>
    </w:p>
    <w:p w14:paraId="5E9EDD0F">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《工程建设标准强制性条文》（电力工程部分）（2006版）</w:t>
      </w:r>
    </w:p>
    <w:p w14:paraId="3D51A508">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《南方电网标准设计》(中国南方电网)</w:t>
      </w:r>
    </w:p>
    <w:p w14:paraId="2E17BAC3">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《南方电网基建工程质量控制作业标准（WHS）》(中国南方电网)</w:t>
      </w:r>
    </w:p>
    <w:p w14:paraId="4C5031A1">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《南方电网施工作业指导书》(中国南方电网)</w:t>
      </w:r>
    </w:p>
    <w:p w14:paraId="4F5C9064">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《南方电网质量验收评定标准》(中国南方电网)</w:t>
      </w:r>
    </w:p>
    <w:p w14:paraId="1ACD244C">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DL/T5009.2-94</w:t>
      </w:r>
      <w:r>
        <w:rPr>
          <w:rFonts w:hint="eastAsia" w:ascii="宋体" w:hAnsi="宋体" w:eastAsia="宋体" w:cs="宋体"/>
          <w:b w:val="0"/>
          <w:bCs/>
          <w:snapToGrid w:val="0"/>
          <w:color w:val="auto"/>
          <w:kern w:val="0"/>
          <w:sz w:val="21"/>
          <w:szCs w:val="21"/>
          <w:highlight w:val="none"/>
          <w:lang w:val="en-US" w:eastAsia="zh-CN"/>
        </w:rPr>
        <w:t xml:space="preserve">    </w:t>
      </w:r>
      <w:r>
        <w:rPr>
          <w:rFonts w:hint="eastAsia" w:ascii="宋体" w:hAnsi="宋体" w:eastAsia="宋体" w:cs="宋体"/>
          <w:b w:val="0"/>
          <w:bCs/>
          <w:snapToGrid w:val="0"/>
          <w:color w:val="auto"/>
          <w:kern w:val="0"/>
          <w:sz w:val="21"/>
          <w:szCs w:val="21"/>
          <w:highlight w:val="none"/>
        </w:rPr>
        <w:t>《电力建设安全工作规范》</w:t>
      </w:r>
    </w:p>
    <w:p w14:paraId="4DD47344">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GB/T50328-2001</w:t>
      </w:r>
      <w:r>
        <w:rPr>
          <w:rFonts w:hint="eastAsia" w:ascii="宋体" w:hAnsi="宋体" w:eastAsia="宋体" w:cs="宋体"/>
          <w:b w:val="0"/>
          <w:bCs/>
          <w:snapToGrid w:val="0"/>
          <w:color w:val="auto"/>
          <w:kern w:val="0"/>
          <w:sz w:val="21"/>
          <w:szCs w:val="21"/>
          <w:highlight w:val="none"/>
          <w:lang w:val="en-US" w:eastAsia="zh-CN"/>
        </w:rPr>
        <w:t xml:space="preserve">    </w:t>
      </w:r>
      <w:r>
        <w:rPr>
          <w:rFonts w:hint="eastAsia" w:ascii="宋体" w:hAnsi="宋体" w:eastAsia="宋体" w:cs="宋体"/>
          <w:b w:val="0"/>
          <w:bCs/>
          <w:snapToGrid w:val="0"/>
          <w:color w:val="auto"/>
          <w:kern w:val="0"/>
          <w:sz w:val="21"/>
          <w:szCs w:val="21"/>
          <w:highlight w:val="none"/>
        </w:rPr>
        <w:t>《建设工程文件归档整理规范》</w:t>
      </w:r>
    </w:p>
    <w:p w14:paraId="17043B30">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GB50169-2006</w:t>
      </w:r>
      <w:r>
        <w:rPr>
          <w:rFonts w:hint="eastAsia" w:ascii="宋体" w:hAnsi="宋体" w:eastAsia="宋体" w:cs="宋体"/>
          <w:b w:val="0"/>
          <w:bCs/>
          <w:snapToGrid w:val="0"/>
          <w:color w:val="auto"/>
          <w:kern w:val="0"/>
          <w:sz w:val="21"/>
          <w:szCs w:val="21"/>
          <w:highlight w:val="none"/>
          <w:lang w:val="en-US" w:eastAsia="zh-CN"/>
        </w:rPr>
        <w:t xml:space="preserve">     </w:t>
      </w:r>
      <w:r>
        <w:rPr>
          <w:rFonts w:hint="eastAsia" w:ascii="宋体" w:hAnsi="宋体" w:eastAsia="宋体" w:cs="宋体"/>
          <w:b w:val="0"/>
          <w:bCs/>
          <w:snapToGrid w:val="0"/>
          <w:color w:val="auto"/>
          <w:kern w:val="0"/>
          <w:sz w:val="21"/>
          <w:szCs w:val="21"/>
          <w:highlight w:val="none"/>
        </w:rPr>
        <w:t>《电气装置安装工程接地装置施工及验收规范》</w:t>
      </w:r>
    </w:p>
    <w:p w14:paraId="6F82D0D1">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中国南方电网公司《10kV及以下业扩受电工程典型设计图集》</w:t>
      </w:r>
    </w:p>
    <w:p w14:paraId="629EEBA4">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中国南方电网公司《10kV及以下业扩受电工程技术导则》</w:t>
      </w:r>
    </w:p>
    <w:p w14:paraId="0539E779">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中国南方电网公司电能计量装置典型设计《10kV用电客户电能计量卷》、《低压用电客户电能计量卷》</w:t>
      </w:r>
    </w:p>
    <w:p w14:paraId="09CB244B">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《广东电网公司配网安健环设施标准》S.00.00.05/PM.0100.0010</w:t>
      </w:r>
    </w:p>
    <w:p w14:paraId="0CF79FF7">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供电部门确定的供电方案</w:t>
      </w:r>
    </w:p>
    <w:p w14:paraId="3C828857">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★《实施工程建设强制性标准监督规定》（建设部 81 号令）</w:t>
      </w:r>
    </w:p>
    <w:p w14:paraId="524F40BD">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★《工程建设标准强制性条文》（电力工程部分）（2006版）</w:t>
      </w:r>
    </w:p>
    <w:p w14:paraId="4D754298">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★《工程建设标准强制性条文》（房屋建筑部分）（2009版）</w:t>
      </w:r>
    </w:p>
    <w:p w14:paraId="77CA9850">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★《基建工程强制性条文实施办法》（南网各分、子公司）</w:t>
      </w:r>
    </w:p>
    <w:p w14:paraId="0E04A4EB">
      <w:pPr>
        <w:numPr>
          <w:ilvl w:val="0"/>
          <w:numId w:val="3"/>
        </w:numPr>
        <w:wordWrap w:val="0"/>
        <w:adjustRightInd w:val="0"/>
        <w:snapToGrid w:val="0"/>
        <w:spacing w:line="360" w:lineRule="auto"/>
        <w:ind w:left="845" w:leftChars="0" w:hanging="425" w:firstLineChars="0"/>
        <w:rPr>
          <w:rFonts w:hint="eastAsia" w:ascii="宋体" w:hAnsi="宋体" w:eastAsia="宋体" w:cs="宋体"/>
          <w:b w:val="0"/>
          <w:bCs/>
          <w:snapToGrid w:val="0"/>
          <w:color w:val="auto"/>
          <w:kern w:val="0"/>
          <w:sz w:val="21"/>
          <w:szCs w:val="21"/>
          <w:highlight w:val="none"/>
        </w:rPr>
      </w:pPr>
      <w:r>
        <w:rPr>
          <w:rFonts w:hint="eastAsia" w:ascii="宋体" w:hAnsi="宋体" w:eastAsia="宋体" w:cs="宋体"/>
          <w:b w:val="0"/>
          <w:bCs/>
          <w:snapToGrid w:val="0"/>
          <w:color w:val="auto"/>
          <w:kern w:val="0"/>
          <w:sz w:val="21"/>
          <w:szCs w:val="21"/>
          <w:highlight w:val="none"/>
        </w:rPr>
        <w:t>其他现行国家、广东省关于电力工程或配电工程的施工及验收规范、规程、标准。</w:t>
      </w:r>
    </w:p>
    <w:p w14:paraId="20528EB7">
      <w:pPr>
        <w:wordWrap w:val="0"/>
        <w:adjustRightInd w:val="0"/>
        <w:snapToGrid w:val="0"/>
        <w:spacing w:line="360" w:lineRule="auto"/>
        <w:ind w:firstLine="422" w:firstLineChars="200"/>
        <w:rPr>
          <w:rFonts w:hint="eastAsia" w:ascii="宋体" w:hAnsi="宋体" w:eastAsia="宋体" w:cs="宋体"/>
          <w:b/>
          <w:snapToGrid w:val="0"/>
          <w:color w:val="auto"/>
          <w:kern w:val="0"/>
          <w:sz w:val="21"/>
          <w:szCs w:val="21"/>
          <w:highlight w:val="none"/>
          <w:lang w:val="en-US" w:eastAsia="zh-CN"/>
        </w:rPr>
      </w:pPr>
    </w:p>
    <w:p w14:paraId="14B19527">
      <w:pPr>
        <w:wordWrap w:val="0"/>
        <w:adjustRightInd w:val="0"/>
        <w:snapToGrid w:val="0"/>
        <w:spacing w:line="360" w:lineRule="auto"/>
        <w:ind w:firstLine="422" w:firstLineChars="200"/>
        <w:rPr>
          <w:rFonts w:hint="eastAsia" w:ascii="宋体" w:hAnsi="宋体" w:eastAsia="宋体" w:cs="宋体"/>
          <w:b/>
          <w:snapToGrid w:val="0"/>
          <w:color w:val="auto"/>
          <w:kern w:val="0"/>
          <w:sz w:val="21"/>
          <w:szCs w:val="21"/>
          <w:highlight w:val="none"/>
        </w:rPr>
      </w:pPr>
      <w:r>
        <w:rPr>
          <w:rFonts w:hint="eastAsia" w:ascii="宋体" w:hAnsi="宋体" w:eastAsia="宋体" w:cs="宋体"/>
          <w:b/>
          <w:snapToGrid w:val="0"/>
          <w:color w:val="auto"/>
          <w:kern w:val="0"/>
          <w:sz w:val="21"/>
          <w:szCs w:val="21"/>
          <w:highlight w:val="none"/>
          <w:lang w:val="en-US" w:eastAsia="zh-CN"/>
        </w:rPr>
        <w:t>2</w:t>
      </w:r>
      <w:r>
        <w:rPr>
          <w:rFonts w:hint="eastAsia" w:ascii="宋体" w:hAnsi="宋体" w:eastAsia="宋体" w:cs="宋体"/>
          <w:b/>
          <w:snapToGrid w:val="0"/>
          <w:color w:val="auto"/>
          <w:kern w:val="0"/>
          <w:sz w:val="21"/>
          <w:szCs w:val="21"/>
          <w:highlight w:val="none"/>
        </w:rPr>
        <w:t>．房屋建筑工程建设项目</w:t>
      </w:r>
    </w:p>
    <w:p w14:paraId="5E86BF2C">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bookmarkStart w:id="193" w:name="_Hlt69359086"/>
      <w:bookmarkEnd w:id="193"/>
      <w:bookmarkStart w:id="194" w:name="_Hlt69635252"/>
      <w:bookmarkEnd w:id="194"/>
      <w:bookmarkStart w:id="195" w:name="_Hlt78709799"/>
      <w:bookmarkEnd w:id="195"/>
      <w:bookmarkStart w:id="196" w:name="_Hlt69359243"/>
      <w:bookmarkEnd w:id="196"/>
      <w:bookmarkStart w:id="197" w:name="_Hlt69116858"/>
      <w:bookmarkEnd w:id="197"/>
      <w:bookmarkStart w:id="198" w:name="_Hlt69359245"/>
      <w:bookmarkEnd w:id="198"/>
      <w:bookmarkStart w:id="199" w:name="_Hlt69358458"/>
      <w:bookmarkEnd w:id="199"/>
      <w:r>
        <w:rPr>
          <w:rFonts w:hint="eastAsia" w:ascii="宋体" w:hAnsi="宋体" w:eastAsia="宋体" w:cs="宋体"/>
          <w:bCs/>
          <w:snapToGrid w:val="0"/>
          <w:color w:val="auto"/>
          <w:kern w:val="0"/>
          <w:sz w:val="21"/>
          <w:szCs w:val="21"/>
          <w:highlight w:val="none"/>
        </w:rPr>
        <w:t>房屋建筑工程建设项目必须执行的现行技术规范，包括且不限于：</w:t>
      </w:r>
    </w:p>
    <w:p w14:paraId="4E0EF3A0">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（1）《建筑工程施工质量验收统一标准》；</w:t>
      </w:r>
    </w:p>
    <w:p w14:paraId="61738F6A">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（2）《建筑地基基础工程施工质量验收规范》；</w:t>
      </w:r>
    </w:p>
    <w:p w14:paraId="48C8A9EA">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（3）《砌体工程施工质量验收规范》；</w:t>
      </w:r>
    </w:p>
    <w:p w14:paraId="372436D5">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（4）《混凝土结构工程施工质量验收规范》；</w:t>
      </w:r>
    </w:p>
    <w:p w14:paraId="4ED2C7B1">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（5）《屋面工程质量验收规范》；</w:t>
      </w:r>
    </w:p>
    <w:p w14:paraId="03EB523E">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（6）《地下防水工程质量验收规范》；</w:t>
      </w:r>
    </w:p>
    <w:p w14:paraId="6FE717BD">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（7）</w:t>
      </w:r>
      <w:bookmarkStart w:id="200" w:name="_Hlt78795211"/>
      <w:bookmarkEnd w:id="200"/>
      <w:r>
        <w:rPr>
          <w:rFonts w:hint="eastAsia" w:ascii="宋体" w:hAnsi="宋体" w:eastAsia="宋体" w:cs="宋体"/>
          <w:bCs/>
          <w:snapToGrid w:val="0"/>
          <w:color w:val="auto"/>
          <w:kern w:val="0"/>
          <w:sz w:val="21"/>
          <w:szCs w:val="21"/>
          <w:highlight w:val="none"/>
        </w:rPr>
        <w:t>《建筑地面工程施工质量验收规范》；</w:t>
      </w:r>
    </w:p>
    <w:p w14:paraId="03B7299E">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（8）《建筑装饰装修工程施工质量验收规范》；</w:t>
      </w:r>
    </w:p>
    <w:p w14:paraId="4CEA2A06">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（9）《建筑给排水及采暖工程施工质量验收规范》；</w:t>
      </w:r>
    </w:p>
    <w:p w14:paraId="07CF6A13">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（10）《建筑电气工程施工质量验收规范》；</w:t>
      </w:r>
    </w:p>
    <w:p w14:paraId="25141853">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（11）《住建部绿色建筑评价标准》；</w:t>
      </w:r>
    </w:p>
    <w:p w14:paraId="6AB842A2">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（12）《建筑节能与可再生能源利用通用规范》（GB55015-2021）；</w:t>
      </w:r>
    </w:p>
    <w:p w14:paraId="4CCDF6C4">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（13）《建筑环境通用规范》；</w:t>
      </w:r>
    </w:p>
    <w:p w14:paraId="0C358E7F">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（14）《建筑与市政工程无障碍通用规范》 GB 55019-2021；</w:t>
      </w:r>
    </w:p>
    <w:p w14:paraId="79AEA93B">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（15）《建筑防火通用规范》GB 55037-2022;</w:t>
      </w:r>
    </w:p>
    <w:p w14:paraId="0D592A0B">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（16）《建筑与市政工程抗震通用规范》GB55002-2001;</w:t>
      </w:r>
    </w:p>
    <w:p w14:paraId="0EC8DB17">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（17）《建筑与市政地基基础通用规范》GB55003-2001;</w:t>
      </w:r>
    </w:p>
    <w:p w14:paraId="75C32283">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（18）《广东省住房和城乡建设厅绿色施工导则》；</w:t>
      </w:r>
    </w:p>
    <w:p w14:paraId="09126CE4">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（19）《广东省建筑工程绿色施工评价标准》；</w:t>
      </w:r>
    </w:p>
    <w:p w14:paraId="6F19C32B">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（20）《广东省建筑节能与绿色建筑工程施工质量验收规范》</w:t>
      </w:r>
    </w:p>
    <w:p w14:paraId="3D1BC85E">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（21）其他现行国家、广东省关于房建工程的施工及验收规范、定额、规程、标准。</w:t>
      </w:r>
    </w:p>
    <w:p w14:paraId="127F2D97">
      <w:pPr>
        <w:pStyle w:val="4"/>
        <w:spacing w:line="360" w:lineRule="auto"/>
        <w:ind w:firstLine="422" w:firstLineChars="200"/>
        <w:rPr>
          <w:rFonts w:hint="eastAsia" w:ascii="宋体" w:hAnsi="宋体" w:eastAsia="宋体" w:cs="宋体"/>
          <w:b/>
          <w:bCs/>
          <w:color w:val="auto"/>
          <w:sz w:val="21"/>
          <w:szCs w:val="21"/>
          <w:highlight w:val="none"/>
        </w:rPr>
      </w:pPr>
      <w:bookmarkStart w:id="201" w:name="_Toc21871"/>
    </w:p>
    <w:p w14:paraId="20DD8882">
      <w:pPr>
        <w:pStyle w:val="4"/>
        <w:spacing w:line="360" w:lineRule="auto"/>
        <w:ind w:firstLine="422" w:firstLineChars="200"/>
        <w:rPr>
          <w:rFonts w:hint="eastAsia" w:ascii="宋体" w:hAnsi="宋体" w:eastAsia="宋体" w:cs="宋体"/>
          <w:b/>
          <w:bCs/>
          <w:color w:val="auto"/>
          <w:sz w:val="21"/>
          <w:szCs w:val="21"/>
          <w:highlight w:val="none"/>
        </w:rPr>
      </w:pPr>
      <w:bookmarkStart w:id="202" w:name="_Toc18760"/>
      <w:bookmarkStart w:id="203" w:name="_Toc13183"/>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．市政基础设施工程建设项目</w:t>
      </w:r>
      <w:bookmarkEnd w:id="201"/>
      <w:bookmarkEnd w:id="202"/>
      <w:bookmarkEnd w:id="203"/>
    </w:p>
    <w:p w14:paraId="547DA1D8">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市政基础设施工程建设项目必须执行的现行技术规范，包括且不限于：</w:t>
      </w:r>
    </w:p>
    <w:p w14:paraId="65362D8A">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（1）《公路路基施工技术规范》；</w:t>
      </w:r>
    </w:p>
    <w:p w14:paraId="1E9DB2AF">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（2）《市政道路工程质量检验评定标准》；</w:t>
      </w:r>
    </w:p>
    <w:p w14:paraId="0EED5ECB">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（3）《市政排水管渠工程质量检验评定标准》；</w:t>
      </w:r>
    </w:p>
    <w:p w14:paraId="6345D60D">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（4）《给水排水管道工程施工及验收规范》；</w:t>
      </w:r>
    </w:p>
    <w:p w14:paraId="2AE1D3CD">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（5）《城市道路路基工程施工及验收规范》；</w:t>
      </w:r>
    </w:p>
    <w:p w14:paraId="5FE38C5C">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（6）《水泥砼路面施工及验收规范》；</w:t>
      </w:r>
    </w:p>
    <w:p w14:paraId="50FF351F">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（7）《公路水泥砼路面施工技术规范》；</w:t>
      </w:r>
    </w:p>
    <w:p w14:paraId="54725DAF">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（8）《埋地硬聚氯乙烯排水管道工程技术规程》；</w:t>
      </w:r>
    </w:p>
    <w:p w14:paraId="78372DAA">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（9）《沥青路面施工及验收规范》；</w:t>
      </w:r>
    </w:p>
    <w:p w14:paraId="4D680F64">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（10）《广东省市政工程施工质量技术资料统一用表》。</w:t>
      </w:r>
    </w:p>
    <w:p w14:paraId="538039E4">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（11）《建筑与市政工程无障碍通用规范》 GB 55019-2021；</w:t>
      </w:r>
    </w:p>
    <w:p w14:paraId="6D523BF9">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（12）《建筑防火通用规范》GB 55037-2022;</w:t>
      </w:r>
    </w:p>
    <w:p w14:paraId="5BD4FE26">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（13）《建筑与市政工程抗震通用规范》GB55002-2001;</w:t>
      </w:r>
    </w:p>
    <w:p w14:paraId="68923429">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（14）《建筑与市政地基基础通用规范》GB55003-2001;</w:t>
      </w:r>
    </w:p>
    <w:p w14:paraId="3B86EFCC">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（15）《城市道路照明设计标准》（CJJ45-2015）；</w:t>
      </w:r>
    </w:p>
    <w:p w14:paraId="6E83E715">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（16）《低压配电设计规范》（GB50054-2011）；</w:t>
      </w:r>
    </w:p>
    <w:p w14:paraId="4C785F44">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（17）《城市道路照明工程施工及验收规程》（CJJ89-2012）；</w:t>
      </w:r>
    </w:p>
    <w:p w14:paraId="03F6D0C9">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（18）《LED 道路照明工程技术规范》（DB44/T 1898-2016）；</w:t>
      </w:r>
    </w:p>
    <w:p w14:paraId="35A3FA49">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（19）《灯具第 1 部分：一般要求与试验》（GB7000.1-2015）；</w:t>
      </w:r>
    </w:p>
    <w:p w14:paraId="63C6F442">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（20）《电缆工程电缆设计标准》（GB50217-2018）；</w:t>
      </w:r>
    </w:p>
    <w:p w14:paraId="5038F48C">
      <w:pPr>
        <w:wordWrap w:val="0"/>
        <w:adjustRightInd w:val="0"/>
        <w:snapToGrid w:val="0"/>
        <w:spacing w:line="360" w:lineRule="auto"/>
        <w:ind w:firstLine="420" w:firstLineChars="200"/>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（21）其他现行国家、广东省关于市政工程的技术及验收规范、定额、规程、标准。</w:t>
      </w:r>
    </w:p>
    <w:p w14:paraId="04FA377D">
      <w:pPr>
        <w:pStyle w:val="4"/>
        <w:spacing w:line="360" w:lineRule="auto"/>
        <w:ind w:firstLine="422" w:firstLineChars="200"/>
        <w:rPr>
          <w:rFonts w:hint="eastAsia" w:ascii="宋体" w:hAnsi="宋体" w:eastAsia="宋体" w:cs="宋体"/>
          <w:b/>
          <w:bCs/>
          <w:color w:val="auto"/>
          <w:sz w:val="21"/>
          <w:szCs w:val="21"/>
          <w:highlight w:val="none"/>
        </w:rPr>
      </w:pPr>
      <w:bookmarkStart w:id="204" w:name="_Toc23373"/>
      <w:bookmarkStart w:id="205" w:name="_Toc641"/>
      <w:bookmarkStart w:id="206" w:name="_Toc29846"/>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．备查要求</w:t>
      </w:r>
      <w:bookmarkEnd w:id="204"/>
      <w:bookmarkEnd w:id="205"/>
      <w:bookmarkEnd w:id="206"/>
    </w:p>
    <w:p w14:paraId="74920D1B">
      <w:pPr>
        <w:wordWrap w:val="0"/>
        <w:adjustRightInd w:val="0"/>
        <w:snapToGrid w:val="0"/>
        <w:spacing w:line="360" w:lineRule="auto"/>
        <w:ind w:firstLine="420" w:firstLineChars="200"/>
        <w:rPr>
          <w:rFonts w:hint="eastAsia" w:ascii="宋体" w:hAnsi="宋体" w:eastAsia="宋体" w:cs="宋体"/>
          <w:bCs/>
          <w:snapToGrid w:val="0"/>
          <w:color w:val="auto"/>
          <w:kern w:val="0"/>
          <w:highlight w:val="none"/>
        </w:rPr>
      </w:pP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人必须在施工现场准备至少一套上述规范，</w:t>
      </w:r>
      <w:r>
        <w:rPr>
          <w:rFonts w:hint="eastAsia" w:ascii="宋体" w:hAnsi="宋体" w:eastAsia="宋体" w:cs="宋体"/>
          <w:snapToGrid w:val="0"/>
          <w:color w:val="auto"/>
          <w:kern w:val="0"/>
          <w:sz w:val="21"/>
          <w:szCs w:val="21"/>
          <w:highlight w:val="none"/>
        </w:rPr>
        <w:t>发包</w:t>
      </w:r>
      <w:r>
        <w:rPr>
          <w:rFonts w:hint="eastAsia" w:ascii="宋体" w:hAnsi="宋体" w:eastAsia="宋体" w:cs="宋体"/>
          <w:bCs/>
          <w:snapToGrid w:val="0"/>
          <w:color w:val="auto"/>
          <w:kern w:val="0"/>
          <w:sz w:val="21"/>
          <w:szCs w:val="21"/>
          <w:highlight w:val="none"/>
        </w:rPr>
        <w:t>人和监理单位可随时检查</w:t>
      </w: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人的上述规范，并监督</w:t>
      </w:r>
      <w:r>
        <w:rPr>
          <w:rFonts w:hint="eastAsia" w:ascii="宋体" w:hAnsi="宋体" w:eastAsia="宋体" w:cs="宋体"/>
          <w:snapToGrid w:val="0"/>
          <w:color w:val="auto"/>
          <w:kern w:val="0"/>
          <w:sz w:val="21"/>
          <w:szCs w:val="21"/>
          <w:highlight w:val="none"/>
        </w:rPr>
        <w:t>承包</w:t>
      </w:r>
      <w:r>
        <w:rPr>
          <w:rFonts w:hint="eastAsia" w:ascii="宋体" w:hAnsi="宋体" w:eastAsia="宋体" w:cs="宋体"/>
          <w:bCs/>
          <w:snapToGrid w:val="0"/>
          <w:color w:val="auto"/>
          <w:kern w:val="0"/>
          <w:sz w:val="21"/>
          <w:szCs w:val="21"/>
          <w:highlight w:val="none"/>
        </w:rPr>
        <w:t>人按规范要求执行。</w:t>
      </w:r>
    </w:p>
    <w:p w14:paraId="114FEDD9">
      <w:pPr>
        <w:wordWrap w:val="0"/>
        <w:adjustRightInd w:val="0"/>
        <w:snapToGrid w:val="0"/>
        <w:spacing w:line="440" w:lineRule="exact"/>
        <w:ind w:firstLine="560"/>
        <w:rPr>
          <w:rFonts w:hint="eastAsia" w:ascii="宋体" w:hAnsi="宋体" w:eastAsia="宋体" w:cs="宋体"/>
          <w:strike/>
          <w:snapToGrid w:val="0"/>
          <w:color w:val="auto"/>
          <w:kern w:val="0"/>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bookmarkStart w:id="207" w:name="_Hlt69670335"/>
      <w:bookmarkEnd w:id="207"/>
    </w:p>
    <w:p w14:paraId="2EFC3E93">
      <w:pPr>
        <w:pStyle w:val="3"/>
        <w:tabs>
          <w:tab w:val="left" w:pos="885"/>
        </w:tabs>
        <w:wordWrap w:val="0"/>
        <w:autoSpaceDE/>
        <w:autoSpaceDN/>
        <w:snapToGrid w:val="0"/>
        <w:ind w:left="885" w:hanging="885"/>
        <w:jc w:val="center"/>
        <w:rPr>
          <w:rFonts w:hint="eastAsia" w:ascii="宋体" w:hAnsi="宋体" w:eastAsia="宋体" w:cs="宋体"/>
          <w:b/>
          <w:snapToGrid w:val="0"/>
          <w:color w:val="auto"/>
          <w:sz w:val="24"/>
          <w:highlight w:val="none"/>
        </w:rPr>
      </w:pPr>
      <w:bookmarkStart w:id="208" w:name="_Hlt69358336"/>
      <w:bookmarkEnd w:id="208"/>
      <w:bookmarkStart w:id="209" w:name="_Hlt69635247"/>
      <w:bookmarkEnd w:id="209"/>
      <w:bookmarkStart w:id="210" w:name="_Hlt69265207"/>
      <w:bookmarkEnd w:id="210"/>
      <w:bookmarkStart w:id="211" w:name="_Hlt66848640"/>
      <w:bookmarkEnd w:id="211"/>
      <w:bookmarkStart w:id="212" w:name="_Hlt69116863"/>
      <w:bookmarkEnd w:id="212"/>
      <w:bookmarkStart w:id="213" w:name="_Hlt69338190"/>
      <w:bookmarkEnd w:id="213"/>
      <w:bookmarkStart w:id="214" w:name="_Toc23497"/>
      <w:r>
        <w:rPr>
          <w:rFonts w:hint="eastAsia" w:ascii="宋体" w:hAnsi="宋体" w:eastAsia="宋体" w:cs="宋体"/>
          <w:b/>
          <w:snapToGrid w:val="0"/>
          <w:color w:val="auto"/>
          <w:sz w:val="24"/>
          <w:highlight w:val="none"/>
        </w:rPr>
        <w:t>第五章</w:t>
      </w:r>
      <w:bookmarkStart w:id="215" w:name="_Hlt87793860"/>
      <w:bookmarkEnd w:id="215"/>
      <w:r>
        <w:rPr>
          <w:rFonts w:hint="eastAsia" w:ascii="宋体" w:hAnsi="宋体" w:eastAsia="宋体" w:cs="宋体"/>
          <w:b/>
          <w:snapToGrid w:val="0"/>
          <w:color w:val="auto"/>
          <w:sz w:val="24"/>
          <w:highlight w:val="none"/>
        </w:rPr>
        <w:t xml:space="preserve"> 图纸和招标工程</w:t>
      </w:r>
      <w:bookmarkStart w:id="216" w:name="_Hlt69669215"/>
      <w:bookmarkEnd w:id="216"/>
      <w:r>
        <w:rPr>
          <w:rFonts w:hint="eastAsia" w:ascii="宋体" w:hAnsi="宋体" w:eastAsia="宋体" w:cs="宋体"/>
          <w:b/>
          <w:snapToGrid w:val="0"/>
          <w:color w:val="auto"/>
          <w:sz w:val="24"/>
          <w:highlight w:val="none"/>
        </w:rPr>
        <w:t>量清单</w:t>
      </w:r>
      <w:bookmarkEnd w:id="214"/>
    </w:p>
    <w:p w14:paraId="0171E8B5">
      <w:pPr>
        <w:keepNext w:val="0"/>
        <w:keepLines w:val="0"/>
        <w:pageBreakBefore w:val="0"/>
        <w:widowControl/>
        <w:suppressLineNumbers w:val="0"/>
        <w:kinsoku/>
        <w:overflowPunct/>
        <w:topLinePunct w:val="0"/>
        <w:autoSpaceDE/>
        <w:autoSpaceDN/>
        <w:bidi w:val="0"/>
        <w:spacing w:line="500" w:lineRule="atLeast"/>
        <w:jc w:val="center"/>
        <w:textAlignment w:val="auto"/>
        <w:rPr>
          <w:rFonts w:hint="eastAsia" w:ascii="宋体" w:hAnsi="宋体" w:eastAsia="宋体" w:cs="宋体"/>
          <w:color w:val="auto"/>
          <w:sz w:val="21"/>
          <w:szCs w:val="21"/>
          <w:highlight w:val="none"/>
        </w:rPr>
      </w:pPr>
      <w:bookmarkStart w:id="217" w:name="_Hlt66104919"/>
      <w:bookmarkEnd w:id="217"/>
      <w:bookmarkStart w:id="218" w:name="_Hlt69669182"/>
      <w:bookmarkEnd w:id="218"/>
      <w:bookmarkStart w:id="219" w:name="_Hlt75747203"/>
      <w:bookmarkEnd w:id="219"/>
      <w:bookmarkStart w:id="220" w:name="_Hlt87793868"/>
      <w:bookmarkEnd w:id="220"/>
      <w:bookmarkStart w:id="221" w:name="_Hlt69698785"/>
      <w:r>
        <w:rPr>
          <w:rFonts w:hint="eastAsia" w:ascii="宋体" w:hAnsi="宋体" w:eastAsia="宋体" w:cs="宋体"/>
          <w:color w:val="auto"/>
          <w:kern w:val="0"/>
          <w:sz w:val="21"/>
          <w:szCs w:val="21"/>
          <w:highlight w:val="none"/>
          <w:lang w:val="en-US" w:eastAsia="zh-CN" w:bidi="ar"/>
        </w:rPr>
        <w:t>□有，另附复印件 ☑有，自行网上下载(浏览)  □无</w:t>
      </w:r>
    </w:p>
    <w:p w14:paraId="41C0A970">
      <w:pPr>
        <w:keepNext w:val="0"/>
        <w:keepLines w:val="0"/>
        <w:pageBreakBefore w:val="0"/>
        <w:kinsoku/>
        <w:wordWrap w:val="0"/>
        <w:overflowPunct/>
        <w:topLinePunct w:val="0"/>
        <w:autoSpaceDE/>
        <w:autoSpaceDN/>
        <w:bidi w:val="0"/>
        <w:adjustRightInd w:val="0"/>
        <w:snapToGrid w:val="0"/>
        <w:spacing w:line="500" w:lineRule="atLeas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1．图纸</w:t>
      </w:r>
    </w:p>
    <w:p w14:paraId="5CBD9C48">
      <w:pPr>
        <w:keepNext w:val="0"/>
        <w:keepLines w:val="0"/>
        <w:pageBreakBefore w:val="0"/>
        <w:widowControl/>
        <w:suppressLineNumbers w:val="0"/>
        <w:kinsoku w:val="0"/>
        <w:wordWrap w:val="0"/>
        <w:overflowPunct/>
        <w:topLinePunct w:val="0"/>
        <w:autoSpaceDE/>
        <w:autoSpaceDN/>
        <w:bidi w:val="0"/>
        <w:spacing w:line="500" w:lineRule="atLeast"/>
        <w:ind w:firstLine="422" w:firstLineChars="200"/>
        <w:jc w:val="left"/>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b/>
          <w:bCs/>
          <w:snapToGrid w:val="0"/>
          <w:color w:val="auto"/>
          <w:kern w:val="0"/>
          <w:sz w:val="21"/>
          <w:szCs w:val="21"/>
          <w:highlight w:val="none"/>
          <w:lang w:val="en-US" w:eastAsia="zh-CN"/>
        </w:rPr>
        <w:t xml:space="preserve">1.1 </w:t>
      </w:r>
      <w:r>
        <w:rPr>
          <w:rFonts w:hint="eastAsia" w:ascii="宋体" w:hAnsi="宋体" w:eastAsia="宋体" w:cs="宋体"/>
          <w:snapToGrid w:val="0"/>
          <w:color w:val="auto"/>
          <w:kern w:val="0"/>
          <w:sz w:val="21"/>
          <w:szCs w:val="21"/>
          <w:highlight w:val="none"/>
          <w:lang w:val="en-US" w:eastAsia="zh-CN"/>
        </w:rPr>
        <w:t>本招标文件随文另附施工图（电子文件）各一套。</w:t>
      </w:r>
    </w:p>
    <w:p w14:paraId="26354186">
      <w:pPr>
        <w:keepNext w:val="0"/>
        <w:keepLines w:val="0"/>
        <w:pageBreakBefore w:val="0"/>
        <w:kinsoku/>
        <w:wordWrap w:val="0"/>
        <w:overflowPunct/>
        <w:topLinePunct w:val="0"/>
        <w:autoSpaceDE/>
        <w:autoSpaceDN/>
        <w:bidi w:val="0"/>
        <w:adjustRightInd w:val="0"/>
        <w:snapToGrid w:val="0"/>
        <w:spacing w:line="500" w:lineRule="atLeas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2．招标工程量清单</w:t>
      </w:r>
    </w:p>
    <w:p w14:paraId="0ACFA1A9">
      <w:pPr>
        <w:keepNext w:val="0"/>
        <w:keepLines w:val="0"/>
        <w:pageBreakBefore w:val="0"/>
        <w:kinsoku/>
        <w:wordWrap w:val="0"/>
        <w:overflowPunct/>
        <w:topLinePunct w:val="0"/>
        <w:autoSpaceDE/>
        <w:autoSpaceDN/>
        <w:bidi w:val="0"/>
        <w:adjustRightInd w:val="0"/>
        <w:snapToGrid w:val="0"/>
        <w:spacing w:line="500" w:lineRule="atLeast"/>
        <w:ind w:firstLine="422" w:firstLineChars="20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2.1</w:t>
      </w:r>
      <w:r>
        <w:rPr>
          <w:rFonts w:hint="eastAsia" w:ascii="宋体" w:hAnsi="宋体" w:eastAsia="宋体" w:cs="宋体"/>
          <w:snapToGrid w:val="0"/>
          <w:color w:val="auto"/>
          <w:kern w:val="0"/>
          <w:sz w:val="21"/>
          <w:szCs w:val="21"/>
          <w:highlight w:val="none"/>
        </w:rPr>
        <w:t xml:space="preserve">  本招标文件随文另附</w:t>
      </w:r>
      <w:r>
        <w:rPr>
          <w:rFonts w:hint="eastAsia" w:ascii="宋体" w:hAnsi="宋体" w:eastAsia="宋体" w:cs="宋体"/>
          <w:snapToGrid w:val="0"/>
          <w:color w:val="auto"/>
          <w:kern w:val="0"/>
          <w:sz w:val="21"/>
          <w:szCs w:val="21"/>
          <w:highlight w:val="none"/>
          <w:u w:val="single"/>
        </w:rPr>
        <w:t>招标工程量清单、招标控制价的PDF版/EXCEL版</w:t>
      </w:r>
      <w:r>
        <w:rPr>
          <w:rFonts w:hint="eastAsia" w:ascii="宋体" w:hAnsi="宋体" w:eastAsia="宋体" w:cs="宋体"/>
          <w:snapToGrid w:val="0"/>
          <w:color w:val="auto"/>
          <w:kern w:val="0"/>
          <w:sz w:val="21"/>
          <w:szCs w:val="21"/>
          <w:highlight w:val="none"/>
        </w:rPr>
        <w:t>电子文件一套。</w:t>
      </w:r>
    </w:p>
    <w:p w14:paraId="35E0C4EC">
      <w:pPr>
        <w:keepNext w:val="0"/>
        <w:keepLines w:val="0"/>
        <w:pageBreakBefore w:val="0"/>
        <w:kinsoku/>
        <w:wordWrap w:val="0"/>
        <w:overflowPunct/>
        <w:topLinePunct w:val="0"/>
        <w:autoSpaceDE/>
        <w:autoSpaceDN/>
        <w:bidi w:val="0"/>
        <w:adjustRightInd w:val="0"/>
        <w:snapToGrid w:val="0"/>
        <w:spacing w:line="500" w:lineRule="atLeast"/>
        <w:ind w:firstLine="48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2.2</w:t>
      </w:r>
      <w:r>
        <w:rPr>
          <w:rFonts w:hint="eastAsia" w:ascii="宋体" w:hAnsi="宋体" w:eastAsia="宋体" w:cs="宋体"/>
          <w:snapToGrid w:val="0"/>
          <w:color w:val="auto"/>
          <w:kern w:val="0"/>
          <w:sz w:val="21"/>
          <w:szCs w:val="21"/>
          <w:highlight w:val="none"/>
        </w:rPr>
        <w:t xml:space="preserve"> 本工程按照以下依据编制</w:t>
      </w:r>
      <w:r>
        <w:rPr>
          <w:rFonts w:hint="eastAsia" w:ascii="宋体" w:hAnsi="宋体" w:eastAsia="宋体" w:cs="宋体"/>
          <w:snapToGrid w:val="0"/>
          <w:color w:val="auto"/>
          <w:kern w:val="0"/>
          <w:sz w:val="21"/>
          <w:szCs w:val="21"/>
          <w:highlight w:val="none"/>
          <w:u w:val="single"/>
        </w:rPr>
        <w:t>招标工程量清单</w:t>
      </w:r>
      <w:r>
        <w:rPr>
          <w:rFonts w:hint="eastAsia" w:ascii="宋体" w:hAnsi="宋体" w:eastAsia="宋体" w:cs="宋体"/>
          <w:snapToGrid w:val="0"/>
          <w:color w:val="auto"/>
          <w:kern w:val="0"/>
          <w:sz w:val="21"/>
          <w:szCs w:val="21"/>
          <w:highlight w:val="none"/>
          <w:u w:val="single"/>
          <w:lang w:eastAsia="zh-CN"/>
        </w:rPr>
        <w:t>、</w:t>
      </w:r>
      <w:r>
        <w:rPr>
          <w:rFonts w:hint="eastAsia" w:ascii="宋体" w:hAnsi="宋体" w:eastAsia="宋体" w:cs="宋体"/>
          <w:snapToGrid w:val="0"/>
          <w:color w:val="auto"/>
          <w:kern w:val="0"/>
          <w:sz w:val="21"/>
          <w:szCs w:val="21"/>
          <w:highlight w:val="none"/>
          <w:u w:val="single"/>
          <w:lang w:val="en-US" w:eastAsia="zh-CN"/>
        </w:rPr>
        <w:t>招标控制价</w:t>
      </w:r>
      <w:r>
        <w:rPr>
          <w:rFonts w:hint="eastAsia" w:ascii="宋体" w:hAnsi="宋体" w:eastAsia="宋体" w:cs="宋体"/>
          <w:snapToGrid w:val="0"/>
          <w:color w:val="auto"/>
          <w:kern w:val="0"/>
          <w:sz w:val="21"/>
          <w:szCs w:val="21"/>
          <w:highlight w:val="none"/>
        </w:rPr>
        <w:t>：</w:t>
      </w:r>
    </w:p>
    <w:p w14:paraId="36A0CC50">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（1）定额套用：《电网技术改造工程预算定额（2020 年版）》、《电网拆除工程预算定额（2020 年版）》、《电网检修工程预算定额（2020 年版）》，不足部分选用或参考其他相关定额，其他定额选用或参考顺序：《电力建设工程预算定额（2018 年版）》、《20kV及以下配电网工程预算定额（2016 年版）》，《广东省建设工程计价依据（2018）》。</w:t>
      </w:r>
    </w:p>
    <w:p w14:paraId="2FE0D17C">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（2）取费标准：执行《电网技术改造工程预算编制与计算规定（2020 年版) 》、《电网检修工程预算编制与计算规定（2020 年版）》和《关于印发广东省电网技术改造工程预算编制与计算规定实施细则等两项规定的通知》(粤电定[2021]15 号)及电网公司的最新规定。</w:t>
      </w:r>
    </w:p>
    <w:p w14:paraId="1516561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（3）人工单价调整:参照执行《电力工程造价与定额管理总站关于发布2018版电力建设工程概预算定额2020年度价格水平调整的通知》（定额[2021]3号）。</w:t>
      </w:r>
    </w:p>
    <w:p w14:paraId="6D0E5D5C">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材料价差调整：安装工程定额材料调整参照执行《电力工程造价与定额管理总站关于发布2018版电力建设工程概预算定额2020年度价格水平调整的通知》（定额[2021]3号）；安装工程装置性材料市场价按中电联定额〔2020〕44号《中电联关于发布2018年版电力建设工程装置性材料预算价格与综合预算价格》，按《关于转发南方电网公司2022年第一度电网工程主要设备材料信息价的通知》以及韶关市场价计取材差，地材按当地最新信息价计价差；建筑工程参照执行工程所在地建设工程造价管理机构公布的投标截止日前最新信息价计取材料价差。</w:t>
      </w:r>
    </w:p>
    <w:p w14:paraId="78C1930C">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5）施工机械费价差调整：安装工程定额机械调整参照执行《电力工程造价与定额管理总站关于发布2018版电力建设工程概预算定额2020年度价格水平调整的通知》（定额[2021]3号）；建筑工程施工机械价差调整参照执行《电力工程造价与定额管理总站关于发布2018版电力建设工程概预算定额2020年度价格水平调整的通知》（定额[2021]3号）。</w:t>
      </w:r>
    </w:p>
    <w:p w14:paraId="233D8DFE">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）招标文件及其答疑（或修改）公告、招标工程量清单；</w:t>
      </w:r>
    </w:p>
    <w:p w14:paraId="29E55EC6">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7</w:t>
      </w:r>
      <w:r>
        <w:rPr>
          <w:rFonts w:hint="eastAsia" w:ascii="宋体" w:hAnsi="宋体" w:eastAsia="宋体" w:cs="宋体"/>
          <w:snapToGrid w:val="0"/>
          <w:color w:val="auto"/>
          <w:kern w:val="0"/>
          <w:sz w:val="21"/>
          <w:szCs w:val="21"/>
          <w:highlight w:val="none"/>
        </w:rPr>
        <w:t>）施工图及相关资料；</w:t>
      </w:r>
    </w:p>
    <w:p w14:paraId="0EAA5C6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8</w:t>
      </w:r>
      <w:r>
        <w:rPr>
          <w:rFonts w:hint="eastAsia" w:ascii="宋体" w:hAnsi="宋体" w:eastAsia="宋体" w:cs="宋体"/>
          <w:snapToGrid w:val="0"/>
          <w:color w:val="auto"/>
          <w:kern w:val="0"/>
          <w:sz w:val="21"/>
          <w:szCs w:val="21"/>
          <w:highlight w:val="none"/>
        </w:rPr>
        <w:t>）施工现场情况、工程特点及投标时拟定的施工组织设计或施工方案；</w:t>
      </w:r>
    </w:p>
    <w:p w14:paraId="24E032CE">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）市场价格信息或项目所在地工程造价管理机构发布的工程造价信息；</w:t>
      </w:r>
    </w:p>
    <w:p w14:paraId="360CA7DE">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）与建设项目相关的标准、规范、技术资料。</w:t>
      </w:r>
    </w:p>
    <w:p w14:paraId="61479713">
      <w:pPr>
        <w:keepNext w:val="0"/>
        <w:keepLines w:val="0"/>
        <w:pageBreakBefore w:val="0"/>
        <w:kinsoku/>
        <w:wordWrap w:val="0"/>
        <w:overflowPunct/>
        <w:topLinePunct w:val="0"/>
        <w:bidi w:val="0"/>
        <w:adjustRightInd w:val="0"/>
        <w:snapToGrid w:val="0"/>
        <w:spacing w:line="400" w:lineRule="atLeast"/>
        <w:ind w:firstLine="420" w:firstLineChars="200"/>
        <w:rPr>
          <w:rFonts w:hint="eastAsia" w:ascii="宋体" w:hAnsi="宋体" w:eastAsia="宋体" w:cs="宋体"/>
          <w:snapToGrid w:val="0"/>
          <w:color w:val="auto"/>
          <w:kern w:val="0"/>
          <w:sz w:val="21"/>
          <w:szCs w:val="21"/>
          <w:highlight w:val="none"/>
        </w:rPr>
      </w:pPr>
    </w:p>
    <w:p w14:paraId="21FC4DB7">
      <w:pPr>
        <w:pStyle w:val="7"/>
        <w:rPr>
          <w:rFonts w:hint="eastAsia"/>
          <w:color w:val="auto"/>
          <w:highlight w:val="none"/>
        </w:rPr>
      </w:pPr>
      <w:r>
        <w:rPr>
          <w:rFonts w:hint="eastAsia"/>
          <w:color w:val="auto"/>
          <w:highlight w:val="none"/>
        </w:rPr>
        <w:br w:type="page"/>
      </w:r>
    </w:p>
    <w:p w14:paraId="1B6E6F7D">
      <w:pPr>
        <w:pStyle w:val="3"/>
        <w:wordWrap w:val="0"/>
        <w:autoSpaceDE/>
        <w:autoSpaceDN/>
        <w:snapToGrid w:val="0"/>
        <w:spacing w:line="440" w:lineRule="exact"/>
        <w:jc w:val="center"/>
        <w:rPr>
          <w:rFonts w:hint="eastAsia" w:ascii="宋体" w:hAnsi="宋体" w:eastAsia="宋体" w:cs="宋体"/>
          <w:b/>
          <w:snapToGrid w:val="0"/>
          <w:color w:val="auto"/>
          <w:sz w:val="24"/>
          <w:highlight w:val="none"/>
        </w:rPr>
      </w:pPr>
      <w:bookmarkStart w:id="222" w:name="_Toc29173"/>
      <w:r>
        <w:rPr>
          <w:rFonts w:hint="eastAsia" w:ascii="宋体" w:hAnsi="宋体" w:eastAsia="宋体" w:cs="宋体"/>
          <w:b/>
          <w:snapToGrid w:val="0"/>
          <w:color w:val="auto"/>
          <w:sz w:val="24"/>
          <w:highlight w:val="none"/>
        </w:rPr>
        <w:t xml:space="preserve">第六章 </w:t>
      </w:r>
      <w:bookmarkStart w:id="223" w:name="_Hlt75747044"/>
      <w:bookmarkEnd w:id="223"/>
      <w:r>
        <w:rPr>
          <w:rFonts w:hint="eastAsia" w:ascii="宋体" w:hAnsi="宋体" w:eastAsia="宋体" w:cs="宋体"/>
          <w:b/>
          <w:snapToGrid w:val="0"/>
          <w:color w:val="auto"/>
          <w:sz w:val="24"/>
          <w:highlight w:val="none"/>
        </w:rPr>
        <w:t>投标文件格式</w:t>
      </w:r>
      <w:bookmarkEnd w:id="222"/>
    </w:p>
    <w:bookmarkEnd w:id="221"/>
    <w:p w14:paraId="37707BCA">
      <w:pPr>
        <w:pStyle w:val="50"/>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snapToGrid w:val="0"/>
          <w:color w:val="auto"/>
          <w:highlight w:val="none"/>
        </w:rPr>
      </w:pPr>
      <w:bookmarkStart w:id="224" w:name="_附件一：对招标文件条款自愿接受承诺书"/>
      <w:bookmarkEnd w:id="224"/>
      <w:bookmarkStart w:id="225" w:name="_附件五：综合评审合理低价法"/>
      <w:bookmarkEnd w:id="225"/>
      <w:bookmarkStart w:id="226" w:name="_附件四：工期承诺书"/>
      <w:bookmarkEnd w:id="226"/>
      <w:bookmarkStart w:id="227" w:name="_附件一：投标函"/>
      <w:bookmarkEnd w:id="227"/>
      <w:bookmarkStart w:id="228" w:name="_附件二：近三年度主要施工项目（竣工及在建）一览表"/>
      <w:bookmarkEnd w:id="228"/>
      <w:bookmarkStart w:id="229" w:name="_附件二：工期承诺书"/>
      <w:bookmarkEnd w:id="229"/>
      <w:bookmarkStart w:id="230" w:name="_Toc200338097"/>
      <w:bookmarkStart w:id="231" w:name="_Toc137621693"/>
      <w:bookmarkStart w:id="232" w:name="_Toc66849200"/>
      <w:bookmarkStart w:id="233" w:name="_Hlt66847557"/>
    </w:p>
    <w:p w14:paraId="086CA57A">
      <w:pPr>
        <w:pStyle w:val="50"/>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snapToGrid w:val="0"/>
          <w:color w:val="auto"/>
          <w:highlight w:val="none"/>
        </w:rPr>
      </w:pPr>
      <w:bookmarkStart w:id="234" w:name="_Toc10900"/>
      <w:r>
        <w:rPr>
          <w:rFonts w:hint="eastAsia" w:ascii="宋体" w:hAnsi="宋体" w:eastAsia="宋体" w:cs="宋体"/>
          <w:b/>
          <w:snapToGrid w:val="0"/>
          <w:color w:val="auto"/>
          <w:highlight w:val="none"/>
        </w:rPr>
        <w:t>格式一 封面</w:t>
      </w:r>
      <w:bookmarkEnd w:id="234"/>
    </w:p>
    <w:p w14:paraId="752A5415">
      <w:pPr>
        <w:pStyle w:val="51"/>
        <w:widowControl w:val="0"/>
        <w:wordWrap w:val="0"/>
        <w:adjustRightInd w:val="0"/>
        <w:snapToGrid w:val="0"/>
        <w:spacing w:line="240" w:lineRule="auto"/>
        <w:jc w:val="right"/>
        <w:rPr>
          <w:rFonts w:hint="eastAsia" w:ascii="宋体" w:hAnsi="宋体" w:eastAsia="宋体" w:cs="宋体"/>
          <w:b/>
          <w:snapToGrid w:val="0"/>
          <w:color w:val="auto"/>
          <w:sz w:val="24"/>
          <w:highlight w:val="none"/>
        </w:rPr>
      </w:pPr>
    </w:p>
    <w:p w14:paraId="64095140">
      <w:pPr>
        <w:pStyle w:val="51"/>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5C0F0FD9">
      <w:pPr>
        <w:pStyle w:val="51"/>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788BDDAE">
      <w:pPr>
        <w:pStyle w:val="51"/>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610BF07F">
      <w:pPr>
        <w:pStyle w:val="51"/>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6543973A">
      <w:pPr>
        <w:pStyle w:val="51"/>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4198D7B9">
      <w:pPr>
        <w:pStyle w:val="51"/>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1F2484EF">
      <w:pPr>
        <w:keepNext w:val="0"/>
        <w:keepLines w:val="0"/>
        <w:widowControl/>
        <w:suppressLineNumbers w:val="0"/>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（项目名称）</w:t>
      </w:r>
      <w:r>
        <w:rPr>
          <w:rFonts w:hint="eastAsia" w:ascii="宋体" w:hAnsi="宋体" w:eastAsia="宋体" w:cs="宋体"/>
          <w:b/>
          <w:snapToGrid w:val="0"/>
          <w:color w:val="auto"/>
          <w:sz w:val="48"/>
          <w:szCs w:val="48"/>
          <w:highlight w:val="none"/>
          <w:lang w:val="en-US" w:eastAsia="zh-CN"/>
        </w:rPr>
        <w:t>工程施工</w:t>
      </w:r>
      <w:r>
        <w:rPr>
          <w:rFonts w:hint="eastAsia" w:ascii="宋体" w:hAnsi="宋体" w:eastAsia="宋体" w:cs="宋体"/>
          <w:b/>
          <w:snapToGrid w:val="0"/>
          <w:color w:val="auto"/>
          <w:sz w:val="48"/>
          <w:szCs w:val="48"/>
          <w:highlight w:val="none"/>
        </w:rPr>
        <w:t>招标</w:t>
      </w:r>
    </w:p>
    <w:p w14:paraId="7CC477E7">
      <w:pPr>
        <w:pStyle w:val="51"/>
        <w:widowControl w:val="0"/>
        <w:wordWrap w:val="0"/>
        <w:adjustRightInd w:val="0"/>
        <w:snapToGrid w:val="0"/>
        <w:spacing w:line="240" w:lineRule="auto"/>
        <w:ind w:firstLine="0"/>
        <w:jc w:val="center"/>
        <w:rPr>
          <w:rFonts w:hint="eastAsia" w:ascii="宋体" w:hAnsi="宋体" w:eastAsia="宋体" w:cs="宋体"/>
          <w:b/>
          <w:snapToGrid w:val="0"/>
          <w:color w:val="auto"/>
          <w:sz w:val="32"/>
          <w:highlight w:val="none"/>
        </w:rPr>
      </w:pPr>
    </w:p>
    <w:p w14:paraId="5DD7EBA0">
      <w:pPr>
        <w:pStyle w:val="51"/>
        <w:widowControl w:val="0"/>
        <w:wordWrap w:val="0"/>
        <w:adjustRightInd w:val="0"/>
        <w:snapToGrid w:val="0"/>
        <w:spacing w:line="240" w:lineRule="auto"/>
        <w:ind w:firstLine="0"/>
        <w:jc w:val="center"/>
        <w:rPr>
          <w:rFonts w:hint="eastAsia" w:ascii="宋体" w:hAnsi="宋体" w:eastAsia="宋体" w:cs="宋体"/>
          <w:b/>
          <w:snapToGrid w:val="0"/>
          <w:color w:val="auto"/>
          <w:sz w:val="72"/>
          <w:highlight w:val="none"/>
        </w:rPr>
      </w:pPr>
      <w:r>
        <w:rPr>
          <w:rFonts w:hint="eastAsia" w:ascii="宋体" w:hAnsi="宋体" w:eastAsia="宋体" w:cs="宋体"/>
          <w:b/>
          <w:snapToGrid w:val="0"/>
          <w:color w:val="auto"/>
          <w:sz w:val="72"/>
          <w:highlight w:val="none"/>
        </w:rPr>
        <w:t>投  标  文  件</w:t>
      </w:r>
    </w:p>
    <w:p w14:paraId="078AEC62">
      <w:pPr>
        <w:pStyle w:val="51"/>
        <w:widowControl w:val="0"/>
        <w:wordWrap w:val="0"/>
        <w:adjustRightInd w:val="0"/>
        <w:snapToGrid w:val="0"/>
        <w:spacing w:line="240" w:lineRule="auto"/>
        <w:ind w:firstLine="0"/>
        <w:jc w:val="center"/>
        <w:rPr>
          <w:rFonts w:hint="eastAsia" w:ascii="宋体" w:hAnsi="宋体" w:eastAsia="宋体" w:cs="宋体"/>
          <w:b/>
          <w:snapToGrid w:val="0"/>
          <w:color w:val="auto"/>
          <w:sz w:val="32"/>
          <w:highlight w:val="none"/>
        </w:rPr>
      </w:pPr>
    </w:p>
    <w:p w14:paraId="0C2A9423">
      <w:pPr>
        <w:pStyle w:val="51"/>
        <w:widowControl w:val="0"/>
        <w:wordWrap w:val="0"/>
        <w:adjustRightInd w:val="0"/>
        <w:snapToGrid w:val="0"/>
        <w:spacing w:line="24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（商务标书／经济标书／施工组织设计）</w:t>
      </w:r>
    </w:p>
    <w:p w14:paraId="2384718A">
      <w:pPr>
        <w:pStyle w:val="51"/>
        <w:widowControl w:val="0"/>
        <w:wordWrap w:val="0"/>
        <w:adjustRightInd w:val="0"/>
        <w:snapToGrid w:val="0"/>
        <w:spacing w:line="240" w:lineRule="auto"/>
        <w:rPr>
          <w:rFonts w:hint="eastAsia" w:ascii="宋体" w:hAnsi="宋体" w:eastAsia="宋体" w:cs="宋体"/>
          <w:b/>
          <w:snapToGrid w:val="0"/>
          <w:color w:val="auto"/>
          <w:highlight w:val="none"/>
        </w:rPr>
      </w:pPr>
    </w:p>
    <w:p w14:paraId="19E9D9D4">
      <w:pPr>
        <w:pStyle w:val="51"/>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632A3847">
      <w:pPr>
        <w:pStyle w:val="51"/>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75461631">
      <w:pPr>
        <w:pStyle w:val="51"/>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28FA7383">
      <w:pPr>
        <w:pStyle w:val="51"/>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6C26BB2F">
      <w:pPr>
        <w:pStyle w:val="51"/>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7AF40200">
      <w:pPr>
        <w:pStyle w:val="51"/>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05C5518B">
      <w:pPr>
        <w:pStyle w:val="51"/>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7740B52E">
      <w:pPr>
        <w:pStyle w:val="51"/>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512F8461">
      <w:pPr>
        <w:pStyle w:val="51"/>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5DC8012C">
      <w:pPr>
        <w:pStyle w:val="51"/>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7BCCC5FA">
      <w:pPr>
        <w:pStyle w:val="51"/>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7DABD3DF">
      <w:pPr>
        <w:pStyle w:val="51"/>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577D1F72">
      <w:pPr>
        <w:pStyle w:val="51"/>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u w:val="single"/>
        </w:rPr>
      </w:pPr>
    </w:p>
    <w:p w14:paraId="73C0BFA8">
      <w:pPr>
        <w:pStyle w:val="51"/>
        <w:widowControl w:val="0"/>
        <w:wordWrap w:val="0"/>
        <w:adjustRightInd w:val="0"/>
        <w:snapToGrid w:val="0"/>
        <w:spacing w:line="24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159BD42E">
      <w:pPr>
        <w:pStyle w:val="51"/>
        <w:rPr>
          <w:rFonts w:hint="eastAsia" w:ascii="宋体" w:hAnsi="宋体" w:eastAsia="宋体" w:cs="宋体"/>
          <w:b/>
          <w:snapToGrid w:val="0"/>
          <w:color w:val="auto"/>
          <w:highlight w:val="none"/>
        </w:rPr>
      </w:pPr>
      <w:r>
        <w:rPr>
          <w:rFonts w:hint="eastAsia" w:ascii="宋体" w:hAnsi="宋体" w:eastAsia="宋体" w:cs="宋体"/>
          <w:b/>
          <w:snapToGrid w:val="0"/>
          <w:color w:val="auto"/>
          <w:highlight w:val="none"/>
        </w:rPr>
        <w:br w:type="page"/>
      </w:r>
      <w:bookmarkStart w:id="235" w:name="_Toc13316"/>
      <w:bookmarkStart w:id="236" w:name="_Toc104711098"/>
      <w:bookmarkStart w:id="237" w:name="_Toc106418843"/>
      <w:r>
        <w:rPr>
          <w:rFonts w:hint="eastAsia" w:ascii="宋体" w:hAnsi="宋体" w:eastAsia="宋体" w:cs="宋体"/>
          <w:b/>
          <w:snapToGrid w:val="0"/>
          <w:color w:val="auto"/>
          <w:highlight w:val="none"/>
        </w:rPr>
        <w:t>格式</w:t>
      </w:r>
      <w:bookmarkStart w:id="238" w:name="_Hlt97526007"/>
      <w:bookmarkEnd w:id="238"/>
      <w:r>
        <w:rPr>
          <w:rFonts w:hint="eastAsia" w:ascii="宋体" w:hAnsi="宋体" w:eastAsia="宋体" w:cs="宋体"/>
          <w:b/>
          <w:snapToGrid w:val="0"/>
          <w:color w:val="auto"/>
          <w:highlight w:val="none"/>
        </w:rPr>
        <w:t>二 投标函</w:t>
      </w:r>
      <w:bookmarkEnd w:id="235"/>
    </w:p>
    <w:p w14:paraId="39A450A1">
      <w:pPr>
        <w:wordWrap w:val="0"/>
        <w:adjustRightInd w:val="0"/>
        <w:snapToGrid w:val="0"/>
        <w:spacing w:before="260" w:after="260" w:line="440" w:lineRule="exact"/>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投  标  函</w:t>
      </w:r>
      <w:bookmarkEnd w:id="236"/>
      <w:bookmarkEnd w:id="237"/>
    </w:p>
    <w:p w14:paraId="249C5520">
      <w:pPr>
        <w:wordWrap w:val="0"/>
        <w:adjustRightInd w:val="0"/>
        <w:snapToGrid w:val="0"/>
        <w:spacing w:line="440" w:lineRule="exact"/>
        <w:jc w:val="center"/>
        <w:rPr>
          <w:rFonts w:hint="eastAsia" w:ascii="宋体" w:hAnsi="宋体" w:eastAsia="宋体" w:cs="宋体"/>
          <w:b/>
          <w:snapToGrid w:val="0"/>
          <w:color w:val="auto"/>
          <w:kern w:val="0"/>
          <w:highlight w:val="none"/>
        </w:rPr>
      </w:pPr>
    </w:p>
    <w:p w14:paraId="5B8B3BBC">
      <w:pPr>
        <w:keepNext w:val="0"/>
        <w:keepLines w:val="0"/>
        <w:pageBreakBefore w:val="0"/>
        <w:widowControl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（招标人名称）</w:t>
      </w:r>
    </w:p>
    <w:p w14:paraId="1A5A7790">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 我方考察现场并充分研究</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（项目名称）（以下简称“本项目”）招标文件所有内容后，结合自身资质、能力和特点，愿意接受招标文件的全部内容和条件，兹以人民币（大写）：</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）的投标总价竞投本项目施工。</w:t>
      </w:r>
    </w:p>
    <w:p w14:paraId="3050568F">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在我方的上述投标总价中，包括：绿色施工安全防护措施费¥</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，暂列金额¥</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，暂估价¥</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w:t>
      </w:r>
    </w:p>
    <w:p w14:paraId="5F10CA3E">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 如果我方中标，我方保证按照合同约定的开工日期开始本项目的施工，</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个日历天内竣工，并确保工程质量达到</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标准和维修其中的任何缺陷。</w:t>
      </w:r>
    </w:p>
    <w:p w14:paraId="31EC883B">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 本投标函在你方接收我方递交的投标文件之日起、到招标文件规定的投标有效期期满前对我方具有约束力。我方随时准备接受你方发出的中标通知书。</w:t>
      </w:r>
    </w:p>
    <w:p w14:paraId="49BF64B8">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4．我方在此声明，我方不存在本项目招标文件第一章第三节第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条“禁止投标条款”所列出的任何一种情形，并愿意承担因我方就此弄虚作假所引起的一切法律后果。</w:t>
      </w:r>
    </w:p>
    <w:p w14:paraId="704C787B">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5．我方在此承诺，所递交投标文件的全部内容均为真实、有效、准确的，并愿意承担因我方就此弄虚作假所引起的一切法律后果，同时理解和同意有可能被要求提供更多的资料。</w:t>
      </w:r>
    </w:p>
    <w:p w14:paraId="4A1E29E3">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宋体" w:hAnsi="宋体" w:eastAsia="宋体" w:cs="宋体"/>
          <w:snapToGrid w:val="0"/>
          <w:color w:val="auto"/>
          <w:kern w:val="0"/>
          <w:sz w:val="21"/>
          <w:szCs w:val="21"/>
          <w:highlight w:val="none"/>
        </w:rPr>
      </w:pPr>
      <w:bookmarkStart w:id="239" w:name="_Hlt68771070"/>
      <w:bookmarkEnd w:id="239"/>
      <w:r>
        <w:rPr>
          <w:rFonts w:hint="eastAsia" w:ascii="宋体" w:hAnsi="宋体" w:eastAsia="宋体" w:cs="宋体"/>
          <w:snapToGrid w:val="0"/>
          <w:color w:val="auto"/>
          <w:kern w:val="0"/>
          <w:sz w:val="21"/>
          <w:szCs w:val="21"/>
          <w:highlight w:val="none"/>
        </w:rPr>
        <w:t>6. 我方理解你方不一定要接纳收到的最低投标总价或任何投标总价的投标人中标，也不要求你方解释我方是否中标的原因。</w:t>
      </w:r>
    </w:p>
    <w:p w14:paraId="0DE1B8AD">
      <w:pPr>
        <w:keepNext w:val="0"/>
        <w:keepLines w:val="0"/>
        <w:pageBreakBefore w:val="0"/>
        <w:widowControl w:val="0"/>
        <w:kinsoku/>
        <w:wordWrap w:val="0"/>
        <w:overflowPunct/>
        <w:topLinePunct w:val="0"/>
        <w:autoSpaceDE/>
        <w:autoSpaceDN/>
        <w:bidi w:val="0"/>
        <w:adjustRightInd w:val="0"/>
        <w:snapToGrid w:val="0"/>
        <w:spacing w:line="440" w:lineRule="exact"/>
        <w:ind w:firstLine="570"/>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p w14:paraId="04B3C76F">
      <w:pPr>
        <w:keepNext w:val="0"/>
        <w:keepLines w:val="0"/>
        <w:pageBreakBefore w:val="0"/>
        <w:widowControl w:val="0"/>
        <w:kinsoku/>
        <w:wordWrap w:val="0"/>
        <w:overflowPunct/>
        <w:topLinePunct w:val="0"/>
        <w:autoSpaceDE/>
        <w:autoSpaceDN/>
        <w:bidi w:val="0"/>
        <w:adjustRightInd w:val="0"/>
        <w:snapToGrid w:val="0"/>
        <w:spacing w:line="440" w:lineRule="exact"/>
        <w:textAlignment w:val="auto"/>
        <w:rPr>
          <w:rFonts w:hint="eastAsia" w:ascii="宋体" w:hAnsi="宋体" w:eastAsia="宋体" w:cs="宋体"/>
          <w:snapToGrid w:val="0"/>
          <w:color w:val="auto"/>
          <w:kern w:val="0"/>
          <w:sz w:val="21"/>
          <w:szCs w:val="21"/>
          <w:highlight w:val="none"/>
        </w:rPr>
      </w:pPr>
    </w:p>
    <w:p w14:paraId="1BD37C44">
      <w:pPr>
        <w:keepNext w:val="0"/>
        <w:keepLines w:val="0"/>
        <w:pageBreakBefore w:val="0"/>
        <w:widowControl w:val="0"/>
        <w:kinsoku/>
        <w:wordWrap w:val="0"/>
        <w:overflowPunct/>
        <w:topLinePunct w:val="0"/>
        <w:autoSpaceDE/>
        <w:autoSpaceDN/>
        <w:bidi w:val="0"/>
        <w:adjustRightInd w:val="0"/>
        <w:snapToGrid w:val="0"/>
        <w:spacing w:line="440" w:lineRule="exact"/>
        <w:jc w:val="righ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投标人：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（盖单位章）</w:t>
      </w:r>
    </w:p>
    <w:p w14:paraId="4F7B342A">
      <w:pPr>
        <w:keepNext w:val="0"/>
        <w:keepLines w:val="0"/>
        <w:pageBreakBefore w:val="0"/>
        <w:widowControl w:val="0"/>
        <w:kinsoku/>
        <w:wordWrap w:val="0"/>
        <w:overflowPunct/>
        <w:topLinePunct w:val="0"/>
        <w:autoSpaceDE/>
        <w:autoSpaceDN/>
        <w:bidi w:val="0"/>
        <w:adjustRightInd w:val="0"/>
        <w:snapToGrid w:val="0"/>
        <w:spacing w:line="440" w:lineRule="exact"/>
        <w:jc w:val="right"/>
        <w:textAlignment w:val="auto"/>
        <w:rPr>
          <w:rFonts w:hint="eastAsia" w:ascii="宋体" w:hAnsi="宋体" w:eastAsia="宋体" w:cs="宋体"/>
          <w:snapToGrid w:val="0"/>
          <w:color w:val="auto"/>
          <w:kern w:val="0"/>
          <w:sz w:val="21"/>
          <w:szCs w:val="21"/>
          <w:highlight w:val="none"/>
        </w:rPr>
      </w:pPr>
    </w:p>
    <w:p w14:paraId="48543F3A">
      <w:pPr>
        <w:keepNext w:val="0"/>
        <w:keepLines w:val="0"/>
        <w:pageBreakBefore w:val="0"/>
        <w:widowControl w:val="0"/>
        <w:kinsoku/>
        <w:wordWrap w:val="0"/>
        <w:overflowPunct/>
        <w:topLinePunct w:val="0"/>
        <w:autoSpaceDE/>
        <w:autoSpaceDN/>
        <w:bidi w:val="0"/>
        <w:adjustRightInd w:val="0"/>
        <w:snapToGrid w:val="0"/>
        <w:spacing w:line="440" w:lineRule="exact"/>
        <w:ind w:firstLine="420" w:firstLineChars="200"/>
        <w:jc w:val="right"/>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法定代表人或其委托代理人：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（签字或盖章）</w:t>
      </w:r>
    </w:p>
    <w:p w14:paraId="61D9D615">
      <w:pPr>
        <w:keepNext w:val="0"/>
        <w:keepLines w:val="0"/>
        <w:pageBreakBefore w:val="0"/>
        <w:widowControl w:val="0"/>
        <w:kinsoku/>
        <w:wordWrap w:val="0"/>
        <w:overflowPunct/>
        <w:topLinePunct w:val="0"/>
        <w:autoSpaceDE/>
        <w:autoSpaceDN/>
        <w:bidi w:val="0"/>
        <w:adjustRightInd w:val="0"/>
        <w:snapToGrid w:val="0"/>
        <w:spacing w:line="440" w:lineRule="exact"/>
        <w:ind w:firstLine="420" w:firstLineChars="200"/>
        <w:jc w:val="right"/>
        <w:textAlignment w:val="auto"/>
        <w:rPr>
          <w:rFonts w:hint="eastAsia" w:ascii="宋体" w:hAnsi="宋体" w:eastAsia="宋体" w:cs="宋体"/>
          <w:snapToGrid w:val="0"/>
          <w:color w:val="auto"/>
          <w:kern w:val="0"/>
          <w:sz w:val="21"/>
          <w:szCs w:val="21"/>
          <w:highlight w:val="none"/>
        </w:rPr>
      </w:pPr>
    </w:p>
    <w:p w14:paraId="44B9FCF2">
      <w:pPr>
        <w:keepNext w:val="0"/>
        <w:keepLines w:val="0"/>
        <w:pageBreakBefore w:val="0"/>
        <w:widowControl w:val="0"/>
        <w:kinsoku/>
        <w:wordWrap w:val="0"/>
        <w:overflowPunct/>
        <w:topLinePunct w:val="0"/>
        <w:autoSpaceDE/>
        <w:autoSpaceDN/>
        <w:bidi w:val="0"/>
        <w:adjustRightInd w:val="0"/>
        <w:snapToGrid w:val="0"/>
        <w:spacing w:line="440" w:lineRule="exact"/>
        <w:jc w:val="right"/>
        <w:textAlignment w:val="auto"/>
        <w:rPr>
          <w:rFonts w:hint="eastAsia" w:ascii="宋体" w:hAnsi="宋体" w:eastAsia="宋体" w:cs="宋体"/>
          <w:snapToGrid w:val="0"/>
          <w:color w:val="auto"/>
          <w:kern w:val="0"/>
          <w:sz w:val="21"/>
          <w:szCs w:val="21"/>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7DE2977C">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highlight w:val="none"/>
        </w:rPr>
      </w:pPr>
      <w:bookmarkStart w:id="240" w:name="_Toc20416"/>
      <w:r>
        <w:rPr>
          <w:rFonts w:hint="eastAsia" w:ascii="宋体" w:hAnsi="宋体" w:eastAsia="宋体" w:cs="宋体"/>
          <w:b/>
          <w:snapToGrid w:val="0"/>
          <w:color w:val="auto"/>
          <w:highlight w:val="none"/>
        </w:rPr>
        <w:t>格式三 各项承诺一览表</w:t>
      </w:r>
      <w:bookmarkEnd w:id="240"/>
    </w:p>
    <w:p w14:paraId="69F9A88F">
      <w:pPr>
        <w:wordWrap w:val="0"/>
        <w:adjustRightInd w:val="0"/>
        <w:snapToGrid w:val="0"/>
        <w:spacing w:before="260" w:after="260" w:line="440" w:lineRule="exact"/>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各项承诺一览表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394"/>
        <w:gridCol w:w="3013"/>
        <w:gridCol w:w="4108"/>
      </w:tblGrid>
      <w:tr w14:paraId="4A41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14:paraId="640B0159">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序号</w:t>
            </w:r>
          </w:p>
        </w:tc>
        <w:tc>
          <w:tcPr>
            <w:tcW w:w="1394" w:type="dxa"/>
            <w:noWrap w:val="0"/>
            <w:vAlign w:val="center"/>
          </w:tcPr>
          <w:p w14:paraId="420FB85B">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承诺事项</w:t>
            </w:r>
          </w:p>
        </w:tc>
        <w:tc>
          <w:tcPr>
            <w:tcW w:w="3013" w:type="dxa"/>
            <w:noWrap w:val="0"/>
            <w:vAlign w:val="center"/>
          </w:tcPr>
          <w:p w14:paraId="5798A2FB">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承诺内容</w:t>
            </w:r>
          </w:p>
        </w:tc>
        <w:tc>
          <w:tcPr>
            <w:tcW w:w="4108" w:type="dxa"/>
            <w:noWrap w:val="0"/>
            <w:vAlign w:val="center"/>
          </w:tcPr>
          <w:p w14:paraId="4CD45C26">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bCs/>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违约承诺</w:t>
            </w:r>
          </w:p>
        </w:tc>
      </w:tr>
      <w:tr w14:paraId="315B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7" w:hRule="atLeast"/>
          <w:jc w:val="center"/>
        </w:trPr>
        <w:tc>
          <w:tcPr>
            <w:tcW w:w="716" w:type="dxa"/>
            <w:noWrap w:val="0"/>
            <w:vAlign w:val="center"/>
          </w:tcPr>
          <w:p w14:paraId="7A649D75">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394" w:type="dxa"/>
            <w:noWrap w:val="0"/>
            <w:vAlign w:val="center"/>
          </w:tcPr>
          <w:p w14:paraId="44FD5570">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14:paraId="3A5565F4">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3013" w:type="dxa"/>
            <w:noWrap w:val="0"/>
            <w:vAlign w:val="center"/>
          </w:tcPr>
          <w:p w14:paraId="4D469ADD">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4108" w:type="dxa"/>
            <w:noWrap w:val="0"/>
            <w:vAlign w:val="center"/>
          </w:tcPr>
          <w:p w14:paraId="79377773">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52C6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2" w:hRule="atLeast"/>
          <w:jc w:val="center"/>
        </w:trPr>
        <w:tc>
          <w:tcPr>
            <w:tcW w:w="716" w:type="dxa"/>
            <w:noWrap w:val="0"/>
            <w:vAlign w:val="center"/>
          </w:tcPr>
          <w:p w14:paraId="6FAA8939">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394" w:type="dxa"/>
            <w:noWrap w:val="0"/>
            <w:vAlign w:val="center"/>
          </w:tcPr>
          <w:p w14:paraId="7A43FF93">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22A95219">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3013" w:type="dxa"/>
            <w:noWrap w:val="0"/>
            <w:vAlign w:val="center"/>
          </w:tcPr>
          <w:p w14:paraId="3DD87CC3">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4108" w:type="dxa"/>
            <w:noWrap w:val="0"/>
            <w:vAlign w:val="center"/>
          </w:tcPr>
          <w:p w14:paraId="493C80D9">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52BD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8" w:hRule="atLeast"/>
          <w:jc w:val="center"/>
        </w:trPr>
        <w:tc>
          <w:tcPr>
            <w:tcW w:w="716" w:type="dxa"/>
            <w:noWrap w:val="0"/>
            <w:vAlign w:val="center"/>
          </w:tcPr>
          <w:p w14:paraId="5B50C4E1">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394" w:type="dxa"/>
            <w:noWrap w:val="0"/>
            <w:vAlign w:val="center"/>
          </w:tcPr>
          <w:p w14:paraId="0C57907F">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14:paraId="1E375D4A">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14:paraId="770A072E">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3013" w:type="dxa"/>
            <w:noWrap w:val="0"/>
            <w:vAlign w:val="center"/>
          </w:tcPr>
          <w:p w14:paraId="5EFDE368">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4108" w:type="dxa"/>
            <w:noWrap w:val="0"/>
            <w:vAlign w:val="center"/>
          </w:tcPr>
          <w:p w14:paraId="027467F4">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013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5" w:hRule="atLeast"/>
          <w:jc w:val="center"/>
        </w:trPr>
        <w:tc>
          <w:tcPr>
            <w:tcW w:w="716" w:type="dxa"/>
            <w:noWrap w:val="0"/>
            <w:vAlign w:val="center"/>
          </w:tcPr>
          <w:p w14:paraId="52541A62">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394" w:type="dxa"/>
            <w:noWrap w:val="0"/>
            <w:vAlign w:val="center"/>
          </w:tcPr>
          <w:p w14:paraId="6E3F403F">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48FD9495">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3013" w:type="dxa"/>
            <w:noWrap w:val="0"/>
            <w:vAlign w:val="center"/>
          </w:tcPr>
          <w:p w14:paraId="22587DB6">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我方拟派项目经理现阶段没有担任任何在施（包括已中标未开工、已开工未竣工）建设工程项目的项目经理。</w:t>
            </w:r>
          </w:p>
        </w:tc>
        <w:tc>
          <w:tcPr>
            <w:tcW w:w="4108" w:type="dxa"/>
            <w:noWrap w:val="0"/>
            <w:vAlign w:val="center"/>
          </w:tcPr>
          <w:p w14:paraId="56E046F7">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1562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5" w:hRule="atLeast"/>
          <w:jc w:val="center"/>
        </w:trPr>
        <w:tc>
          <w:tcPr>
            <w:tcW w:w="716" w:type="dxa"/>
            <w:noWrap w:val="0"/>
            <w:vAlign w:val="center"/>
          </w:tcPr>
          <w:p w14:paraId="39601921">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394" w:type="dxa"/>
            <w:noWrap w:val="0"/>
            <w:vAlign w:val="center"/>
          </w:tcPr>
          <w:p w14:paraId="7ADEA8F5">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35E1ACF2">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3013" w:type="dxa"/>
            <w:noWrap w:val="0"/>
            <w:vAlign w:val="center"/>
          </w:tcPr>
          <w:p w14:paraId="23BC1B62">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4108" w:type="dxa"/>
            <w:noWrap w:val="0"/>
            <w:vAlign w:val="center"/>
          </w:tcPr>
          <w:p w14:paraId="59F7B4A9">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29EE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1DCFA3BE">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394" w:type="dxa"/>
            <w:noWrap w:val="0"/>
            <w:vAlign w:val="center"/>
          </w:tcPr>
          <w:p w14:paraId="42C63CEF">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23DA3D40">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3013" w:type="dxa"/>
            <w:noWrap w:val="0"/>
            <w:vAlign w:val="center"/>
          </w:tcPr>
          <w:p w14:paraId="1DDA4D86">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4108" w:type="dxa"/>
            <w:tcBorders>
              <w:bottom w:val="single" w:color="auto" w:sz="4" w:space="0"/>
              <w:tr2bl w:val="single" w:color="auto" w:sz="4" w:space="0"/>
            </w:tcBorders>
            <w:noWrap w:val="0"/>
            <w:vAlign w:val="center"/>
          </w:tcPr>
          <w:p w14:paraId="66D688DB">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tc>
      </w:tr>
      <w:tr w14:paraId="2E81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58968E1A">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394" w:type="dxa"/>
            <w:noWrap w:val="0"/>
            <w:vAlign w:val="center"/>
          </w:tcPr>
          <w:p w14:paraId="354F656A">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14:paraId="678ACBD9">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3013" w:type="dxa"/>
            <w:noWrap w:val="0"/>
            <w:vAlign w:val="center"/>
          </w:tcPr>
          <w:p w14:paraId="199146C1">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108" w:type="dxa"/>
            <w:tcBorders>
              <w:tr2bl w:val="single" w:color="auto" w:sz="4" w:space="0"/>
            </w:tcBorders>
            <w:noWrap w:val="0"/>
            <w:vAlign w:val="center"/>
          </w:tcPr>
          <w:p w14:paraId="0440790F">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1"/>
                <w:szCs w:val="21"/>
                <w:highlight w:val="none"/>
              </w:rPr>
            </w:pPr>
          </w:p>
          <w:p w14:paraId="5FC66E87">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1"/>
                <w:szCs w:val="21"/>
                <w:highlight w:val="none"/>
              </w:rPr>
            </w:pPr>
          </w:p>
        </w:tc>
      </w:tr>
      <w:tr w14:paraId="5BD6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5C2A64CC">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394" w:type="dxa"/>
            <w:noWrap w:val="0"/>
            <w:vAlign w:val="center"/>
          </w:tcPr>
          <w:p w14:paraId="12E1FED2">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14:paraId="63D772AA">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3013" w:type="dxa"/>
            <w:noWrap w:val="0"/>
            <w:vAlign w:val="center"/>
          </w:tcPr>
          <w:p w14:paraId="2A6933BC">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4108" w:type="dxa"/>
            <w:noWrap w:val="0"/>
            <w:vAlign w:val="center"/>
          </w:tcPr>
          <w:p w14:paraId="1D924EC0">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555D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028E8028">
            <w:pPr>
              <w:pStyle w:val="52"/>
              <w:keepNext w:val="0"/>
              <w:keepLines w:val="0"/>
              <w:suppressLineNumbers w:val="0"/>
              <w:wordWrap w:val="0"/>
              <w:adjustRightInd w:val="0"/>
              <w:snapToGrid w:val="0"/>
              <w:spacing w:before="0" w:beforeAutospacing="0" w:after="0" w:afterAutospacing="0" w:line="380" w:lineRule="exact"/>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394" w:type="dxa"/>
            <w:noWrap w:val="0"/>
            <w:vAlign w:val="center"/>
          </w:tcPr>
          <w:p w14:paraId="6614A9F7">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14:paraId="5BB0AC8F">
            <w:pPr>
              <w:pStyle w:val="72"/>
              <w:keepNext w:val="0"/>
              <w:keepLines w:val="0"/>
              <w:suppressLineNumbers w:val="0"/>
              <w:wordWrap w:val="0"/>
              <w:adjustRightInd w:val="0"/>
              <w:snapToGrid w:val="0"/>
              <w:spacing w:before="0" w:beforeAutospacing="0" w:after="0" w:afterAutospacing="0" w:line="380" w:lineRule="exact"/>
              <w:ind w:left="0" w:right="0"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3013" w:type="dxa"/>
            <w:noWrap w:val="0"/>
            <w:vAlign w:val="center"/>
          </w:tcPr>
          <w:p w14:paraId="4EF6B0E4">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108" w:type="dxa"/>
            <w:noWrap w:val="0"/>
            <w:vAlign w:val="center"/>
          </w:tcPr>
          <w:p w14:paraId="0E440013">
            <w:pPr>
              <w:pStyle w:val="72"/>
              <w:keepNext w:val="0"/>
              <w:keepLines w:val="0"/>
              <w:suppressLineNumbers w:val="0"/>
              <w:wordWrap w:val="0"/>
              <w:adjustRightInd w:val="0"/>
              <w:snapToGrid w:val="0"/>
              <w:spacing w:before="0" w:beforeAutospacing="0" w:after="0" w:afterAutospacing="0" w:line="380" w:lineRule="exact"/>
              <w:ind w:left="0" w:right="0"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5D8A52F">
      <w:pPr>
        <w:pStyle w:val="52"/>
        <w:wordWrap w:val="0"/>
        <w:adjustRightInd w:val="0"/>
        <w:snapToGrid w:val="0"/>
        <w:spacing w:line="420" w:lineRule="exact"/>
        <w:jc w:val="left"/>
        <w:rPr>
          <w:rFonts w:hint="eastAsia" w:ascii="宋体" w:hAnsi="宋体" w:eastAsia="宋体" w:cs="宋体"/>
          <w:snapToGrid w:val="0"/>
          <w:color w:val="auto"/>
          <w:kern w:val="0"/>
          <w:highlight w:val="none"/>
        </w:rPr>
      </w:pPr>
    </w:p>
    <w:p w14:paraId="5D22F64B">
      <w:pPr>
        <w:pStyle w:val="18"/>
        <w:wordWrap w:val="0"/>
        <w:adjustRightInd w:val="0"/>
        <w:snapToGrid w:val="0"/>
        <w:spacing w:line="420" w:lineRule="exact"/>
        <w:ind w:firstLine="420" w:firstLineChars="200"/>
        <w:jc w:val="right"/>
        <w:rPr>
          <w:rFonts w:hint="eastAsia" w:ascii="宋体" w:hAnsi="宋体" w:eastAsia="宋体" w:cs="宋体"/>
          <w:snapToGrid w:val="0"/>
          <w:color w:val="auto"/>
          <w:kern w:val="0"/>
          <w:sz w:val="21"/>
          <w:szCs w:val="21"/>
          <w:highlight w:val="none"/>
        </w:rPr>
      </w:pPr>
    </w:p>
    <w:p w14:paraId="779611FD">
      <w:pPr>
        <w:pStyle w:val="18"/>
        <w:wordWrap w:val="0"/>
        <w:adjustRightInd w:val="0"/>
        <w:snapToGrid w:val="0"/>
        <w:spacing w:line="420" w:lineRule="exact"/>
        <w:ind w:firstLine="420" w:firstLineChars="200"/>
        <w:jc w:val="righ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（盖单位章）</w:t>
      </w:r>
    </w:p>
    <w:p w14:paraId="6D48280E">
      <w:pPr>
        <w:pStyle w:val="18"/>
        <w:wordWrap w:val="0"/>
        <w:adjustRightInd w:val="0"/>
        <w:snapToGrid w:val="0"/>
        <w:spacing w:line="420" w:lineRule="exact"/>
        <w:ind w:left="0" w:leftChars="0" w:firstLine="0" w:firstLineChars="0"/>
        <w:jc w:val="both"/>
        <w:rPr>
          <w:rFonts w:hint="eastAsia" w:ascii="宋体" w:hAnsi="宋体" w:eastAsia="宋体" w:cs="宋体"/>
          <w:snapToGrid w:val="0"/>
          <w:color w:val="auto"/>
          <w:kern w:val="0"/>
          <w:sz w:val="21"/>
          <w:szCs w:val="21"/>
          <w:highlight w:val="none"/>
        </w:rPr>
      </w:pPr>
    </w:p>
    <w:p w14:paraId="3142F9C7">
      <w:pPr>
        <w:pStyle w:val="18"/>
        <w:wordWrap w:val="0"/>
        <w:adjustRightInd w:val="0"/>
        <w:snapToGrid w:val="0"/>
        <w:spacing w:line="420" w:lineRule="exact"/>
        <w:ind w:firstLine="420" w:firstLineChars="200"/>
        <w:jc w:val="righ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法定代表人或其委托代理人：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（签字或盖章）</w:t>
      </w:r>
    </w:p>
    <w:p w14:paraId="32005986">
      <w:pPr>
        <w:pStyle w:val="18"/>
        <w:wordWrap w:val="0"/>
        <w:adjustRightInd w:val="0"/>
        <w:snapToGrid w:val="0"/>
        <w:spacing w:line="420" w:lineRule="exact"/>
        <w:ind w:firstLine="420" w:firstLineChars="200"/>
        <w:rPr>
          <w:rFonts w:hint="eastAsia" w:ascii="宋体" w:hAnsi="宋体" w:eastAsia="宋体" w:cs="宋体"/>
          <w:snapToGrid w:val="0"/>
          <w:color w:val="auto"/>
          <w:kern w:val="0"/>
          <w:sz w:val="21"/>
          <w:szCs w:val="21"/>
          <w:highlight w:val="none"/>
        </w:rPr>
      </w:pPr>
    </w:p>
    <w:p w14:paraId="146C4A1B">
      <w:pPr>
        <w:pStyle w:val="18"/>
        <w:wordWrap w:val="0"/>
        <w:adjustRightInd w:val="0"/>
        <w:snapToGrid w:val="0"/>
        <w:spacing w:line="420" w:lineRule="exact"/>
        <w:ind w:firstLine="420" w:firstLineChars="20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3ABBC25B">
      <w:pPr>
        <w:wordWrap w:val="0"/>
        <w:adjustRightInd w:val="0"/>
        <w:snapToGrid w:val="0"/>
        <w:spacing w:line="420" w:lineRule="exact"/>
        <w:jc w:val="left"/>
        <w:outlineLvl w:val="2"/>
        <w:rPr>
          <w:rFonts w:hint="eastAsia" w:ascii="宋体" w:hAnsi="宋体" w:eastAsia="宋体" w:cs="宋体"/>
          <w:b/>
          <w:snapToGrid w:val="0"/>
          <w:color w:val="auto"/>
          <w:kern w:val="0"/>
          <w:sz w:val="21"/>
          <w:szCs w:val="21"/>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22E2901B">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highlight w:val="none"/>
        </w:rPr>
      </w:pPr>
      <w:bookmarkStart w:id="241" w:name="_Toc7829"/>
      <w:r>
        <w:rPr>
          <w:rFonts w:hint="eastAsia" w:ascii="宋体" w:hAnsi="宋体" w:eastAsia="宋体" w:cs="宋体"/>
          <w:b/>
          <w:snapToGrid w:val="0"/>
          <w:color w:val="auto"/>
          <w:highlight w:val="none"/>
        </w:rPr>
        <w:t>格式四 授权委托书</w:t>
      </w:r>
      <w:bookmarkEnd w:id="241"/>
    </w:p>
    <w:p w14:paraId="79333A37">
      <w:pPr>
        <w:rPr>
          <w:rFonts w:hint="eastAsia" w:ascii="宋体" w:hAnsi="宋体" w:eastAsia="宋体" w:cs="宋体"/>
          <w:color w:val="auto"/>
          <w:highlight w:val="none"/>
        </w:rPr>
      </w:pPr>
    </w:p>
    <w:p w14:paraId="1C3C49E0">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授权委托书</w:t>
      </w:r>
    </w:p>
    <w:p w14:paraId="161DB8B4">
      <w:pPr>
        <w:wordWrap w:val="0"/>
        <w:adjustRightInd w:val="0"/>
        <w:snapToGrid w:val="0"/>
        <w:spacing w:line="440" w:lineRule="exact"/>
        <w:rPr>
          <w:rFonts w:hint="eastAsia" w:ascii="宋体" w:hAnsi="宋体" w:eastAsia="宋体" w:cs="宋体"/>
          <w:snapToGrid w:val="0"/>
          <w:color w:val="auto"/>
          <w:kern w:val="0"/>
          <w:szCs w:val="28"/>
          <w:highlight w:val="none"/>
        </w:rPr>
      </w:pPr>
    </w:p>
    <w:p w14:paraId="24E868BA">
      <w:pPr>
        <w:wordWrap w:val="0"/>
        <w:adjustRightInd w:val="0"/>
        <w:snapToGrid w:val="0"/>
        <w:spacing w:line="48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 w:val="21"/>
          <w:szCs w:val="21"/>
          <w:highlight w:val="none"/>
        </w:rPr>
        <w:t xml:space="preserve">   本人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（姓名）系</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（投标人名称）的法定代表人，现委托</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（姓名）为我方代理人。代理人根据授权，以我方名义签署、澄清、说明、补正、递交、撤回、修改</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（项目名称）投标文件、签订合同和处理有关事宜，其法律后果由我方承担。</w:t>
      </w:r>
    </w:p>
    <w:p w14:paraId="30C55475">
      <w:pPr>
        <w:keepNext w:val="0"/>
        <w:keepLines w:val="0"/>
        <w:widowControl/>
        <w:suppressLineNumbers w:val="0"/>
        <w:spacing w:line="480" w:lineRule="auto"/>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委托期限：至</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年</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月</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日</w:t>
      </w:r>
      <w:r>
        <w:rPr>
          <w:rFonts w:hint="eastAsia" w:ascii="宋体" w:hAnsi="宋体" w:eastAsia="宋体" w:cs="宋体"/>
          <w:i/>
          <w:iCs/>
          <w:snapToGrid w:val="0"/>
          <w:color w:val="auto"/>
          <w:kern w:val="0"/>
          <w:sz w:val="21"/>
          <w:szCs w:val="21"/>
          <w:highlight w:val="none"/>
          <w:u w:val="single"/>
        </w:rPr>
        <w:t>（不得短于招标文件规定的投标有效期）</w:t>
      </w:r>
      <w:r>
        <w:rPr>
          <w:rFonts w:hint="eastAsia" w:ascii="宋体" w:hAnsi="宋体" w:eastAsia="宋体" w:cs="宋体"/>
          <w:i/>
          <w:iCs/>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val="en-US" w:eastAsia="zh-CN" w:bidi="ar"/>
        </w:rPr>
        <w:t>。</w:t>
      </w:r>
    </w:p>
    <w:p w14:paraId="06741932">
      <w:pPr>
        <w:wordWrap w:val="0"/>
        <w:adjustRightInd w:val="0"/>
        <w:snapToGrid w:val="0"/>
        <w:spacing w:line="48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代理人无转委托权。</w:t>
      </w:r>
    </w:p>
    <w:p w14:paraId="461BA8FE">
      <w:pPr>
        <w:wordWrap w:val="0"/>
        <w:adjustRightInd w:val="0"/>
        <w:snapToGrid w:val="0"/>
        <w:spacing w:line="480" w:lineRule="auto"/>
        <w:ind w:firstLine="420" w:firstLineChars="200"/>
        <w:rPr>
          <w:rFonts w:hint="eastAsia" w:ascii="宋体" w:hAnsi="宋体" w:eastAsia="宋体" w:cs="宋体"/>
          <w:snapToGrid w:val="0"/>
          <w:color w:val="auto"/>
          <w:kern w:val="0"/>
          <w:sz w:val="21"/>
          <w:szCs w:val="21"/>
          <w:highlight w:val="none"/>
        </w:rPr>
      </w:pPr>
    </w:p>
    <w:p w14:paraId="7EEF8953">
      <w:pPr>
        <w:wordWrap w:val="0"/>
        <w:adjustRightInd w:val="0"/>
        <w:snapToGrid w:val="0"/>
        <w:spacing w:line="480" w:lineRule="auto"/>
        <w:ind w:firstLine="420" w:firstLineChars="200"/>
        <w:rPr>
          <w:rFonts w:hint="eastAsia" w:ascii="宋体" w:hAnsi="宋体" w:eastAsia="宋体" w:cs="宋体"/>
          <w:snapToGrid w:val="0"/>
          <w:color w:val="auto"/>
          <w:kern w:val="0"/>
          <w:sz w:val="21"/>
          <w:szCs w:val="21"/>
          <w:highlight w:val="none"/>
        </w:rPr>
      </w:pPr>
    </w:p>
    <w:p w14:paraId="1542346E">
      <w:pPr>
        <w:wordWrap w:val="0"/>
        <w:adjustRightInd w:val="0"/>
        <w:snapToGrid w:val="0"/>
        <w:spacing w:line="48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投  标  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（盖单位章）</w:t>
      </w:r>
    </w:p>
    <w:p w14:paraId="25D5E76A">
      <w:pPr>
        <w:wordWrap w:val="0"/>
        <w:adjustRightInd w:val="0"/>
        <w:snapToGrid w:val="0"/>
        <w:spacing w:line="48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w:t>
      </w:r>
    </w:p>
    <w:p w14:paraId="254683DB">
      <w:pPr>
        <w:wordWrap w:val="0"/>
        <w:adjustRightInd w:val="0"/>
        <w:snapToGrid w:val="0"/>
        <w:spacing w:line="48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法定代表人：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（签字或盖章）</w:t>
      </w:r>
    </w:p>
    <w:p w14:paraId="4B7E088E">
      <w:pPr>
        <w:wordWrap w:val="0"/>
        <w:adjustRightInd w:val="0"/>
        <w:snapToGrid w:val="0"/>
        <w:spacing w:line="48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rPr>
        <w:t>委托代理人：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（签字或盖章）</w:t>
      </w:r>
    </w:p>
    <w:p w14:paraId="3433C5F4">
      <w:pPr>
        <w:wordWrap w:val="0"/>
        <w:adjustRightInd w:val="0"/>
        <w:snapToGrid w:val="0"/>
        <w:spacing w:line="48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w:t>
      </w:r>
    </w:p>
    <w:p w14:paraId="4CC653F8">
      <w:pPr>
        <w:wordWrap w:val="0"/>
        <w:adjustRightInd w:val="0"/>
        <w:snapToGrid w:val="0"/>
        <w:spacing w:line="480" w:lineRule="auto"/>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611C2AF5">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04EA8B8D">
      <w:pPr>
        <w:wordWrap w:val="0"/>
        <w:adjustRightInd w:val="0"/>
        <w:snapToGrid w:val="0"/>
        <w:ind w:firstLine="6440" w:firstLineChars="23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8"/>
          <w:szCs w:val="28"/>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32FAB00">
                            <w:pPr>
                              <w:jc w:val="center"/>
                              <w:rPr>
                                <w:rFonts w:hint="eastAsia"/>
                                <w:szCs w:val="21"/>
                              </w:rPr>
                            </w:pPr>
                          </w:p>
                          <w:p w14:paraId="6B93653A">
                            <w:pPr>
                              <w:jc w:val="center"/>
                              <w:rPr>
                                <w:rFonts w:hint="eastAsia"/>
                                <w:szCs w:val="21"/>
                              </w:rPr>
                            </w:pPr>
                          </w:p>
                          <w:p w14:paraId="59F9BC94">
                            <w:pPr>
                              <w:jc w:val="center"/>
                              <w:rPr>
                                <w:rFonts w:hint="eastAsia"/>
                                <w:szCs w:val="21"/>
                              </w:rPr>
                            </w:pPr>
                          </w:p>
                          <w:p w14:paraId="682F52E7">
                            <w:pPr>
                              <w:jc w:val="center"/>
                              <w:rPr>
                                <w:szCs w:val="21"/>
                              </w:rPr>
                            </w:pPr>
                            <w:r>
                              <w:rPr>
                                <w:rFonts w:hint="eastAsia"/>
                                <w:szCs w:val="21"/>
                              </w:rPr>
                              <w:t>委托代理人身份证</w:t>
                            </w:r>
                            <w:r>
                              <w:rPr>
                                <w:rFonts w:hint="eastAsia" w:ascii="Times New Roman"/>
                                <w:snapToGrid w:val="0"/>
                                <w:kern w:val="0"/>
                              </w:rPr>
                              <w:t>彩色扫描件</w:t>
                            </w:r>
                            <w:r>
                              <w:rPr>
                                <w:rFonts w:hint="eastAsia"/>
                                <w:szCs w:val="21"/>
                              </w:rPr>
                              <w:t>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1312;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532FAB00">
                      <w:pPr>
                        <w:jc w:val="center"/>
                        <w:rPr>
                          <w:rFonts w:hint="eastAsia"/>
                          <w:szCs w:val="21"/>
                        </w:rPr>
                      </w:pPr>
                    </w:p>
                    <w:p w14:paraId="6B93653A">
                      <w:pPr>
                        <w:jc w:val="center"/>
                        <w:rPr>
                          <w:rFonts w:hint="eastAsia"/>
                          <w:szCs w:val="21"/>
                        </w:rPr>
                      </w:pPr>
                    </w:p>
                    <w:p w14:paraId="59F9BC94">
                      <w:pPr>
                        <w:jc w:val="center"/>
                        <w:rPr>
                          <w:rFonts w:hint="eastAsia"/>
                          <w:szCs w:val="21"/>
                        </w:rPr>
                      </w:pPr>
                    </w:p>
                    <w:p w14:paraId="682F52E7">
                      <w:pPr>
                        <w:jc w:val="center"/>
                        <w:rPr>
                          <w:szCs w:val="21"/>
                        </w:rPr>
                      </w:pPr>
                      <w:r>
                        <w:rPr>
                          <w:rFonts w:hint="eastAsia"/>
                          <w:szCs w:val="21"/>
                        </w:rPr>
                        <w:t>委托代理人身份证</w:t>
                      </w:r>
                      <w:r>
                        <w:rPr>
                          <w:rFonts w:hint="eastAsia" w:ascii="Times New Roman"/>
                          <w:snapToGrid w:val="0"/>
                          <w:kern w:val="0"/>
                        </w:rPr>
                        <w:t>彩色扫描件</w:t>
                      </w:r>
                      <w:r>
                        <w:rPr>
                          <w:rFonts w:hint="eastAsia"/>
                          <w:szCs w:val="21"/>
                        </w:rPr>
                        <w:t>正、反面</w:t>
                      </w:r>
                    </w:p>
                  </w:txbxContent>
                </v:textbox>
              </v:shape>
            </w:pict>
          </mc:Fallback>
        </mc:AlternateContent>
      </w:r>
    </w:p>
    <w:p w14:paraId="139BFAF2">
      <w:pPr>
        <w:pStyle w:val="12"/>
        <w:wordWrap w:val="0"/>
        <w:adjustRightInd w:val="0"/>
        <w:snapToGrid w:val="0"/>
        <w:rPr>
          <w:rFonts w:hint="eastAsia" w:ascii="宋体" w:hAnsi="宋体" w:eastAsia="宋体" w:cs="宋体"/>
          <w:snapToGrid w:val="0"/>
          <w:color w:val="auto"/>
          <w:kern w:val="0"/>
          <w:szCs w:val="24"/>
          <w:highlight w:val="none"/>
        </w:rPr>
      </w:pPr>
    </w:p>
    <w:p w14:paraId="5359FE40">
      <w:pPr>
        <w:rPr>
          <w:rFonts w:hint="eastAsia" w:ascii="宋体" w:hAnsi="宋体" w:eastAsia="宋体" w:cs="宋体"/>
          <w:color w:val="auto"/>
          <w:highlight w:val="none"/>
        </w:rPr>
      </w:pPr>
    </w:p>
    <w:p w14:paraId="577220C6">
      <w:pPr>
        <w:pStyle w:val="6"/>
        <w:widowControl w:val="0"/>
        <w:wordWrap w:val="0"/>
        <w:adjustRightInd w:val="0"/>
        <w:snapToGrid w:val="0"/>
        <w:rPr>
          <w:rFonts w:hint="eastAsia" w:ascii="宋体" w:hAnsi="宋体" w:eastAsia="宋体" w:cs="宋体"/>
          <w:snapToGrid w:val="0"/>
          <w:color w:val="auto"/>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3B1CB62A">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highlight w:val="none"/>
        </w:rPr>
      </w:pPr>
      <w:bookmarkStart w:id="242" w:name="_Toc11626"/>
      <w:r>
        <w:rPr>
          <w:rFonts w:hint="eastAsia" w:ascii="宋体" w:hAnsi="宋体" w:eastAsia="宋体" w:cs="宋体"/>
          <w:b/>
          <w:snapToGrid w:val="0"/>
          <w:color w:val="auto"/>
          <w:highlight w:val="none"/>
        </w:rPr>
        <w:t>格式五 法定代表人身份证明</w:t>
      </w:r>
      <w:bookmarkEnd w:id="242"/>
    </w:p>
    <w:p w14:paraId="22D755E1">
      <w:pPr>
        <w:rPr>
          <w:rFonts w:hint="eastAsia" w:ascii="宋体" w:hAnsi="宋体" w:eastAsia="宋体" w:cs="宋体"/>
          <w:color w:val="auto"/>
          <w:highlight w:val="none"/>
        </w:rPr>
      </w:pPr>
    </w:p>
    <w:p w14:paraId="7281B45E">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法定代表人身份证明</w:t>
      </w:r>
    </w:p>
    <w:p w14:paraId="02D5F765">
      <w:pPr>
        <w:wordWrap w:val="0"/>
        <w:adjustRightInd w:val="0"/>
        <w:snapToGrid w:val="0"/>
        <w:spacing w:line="440" w:lineRule="exact"/>
        <w:rPr>
          <w:rFonts w:hint="eastAsia" w:ascii="宋体" w:hAnsi="宋体" w:eastAsia="宋体" w:cs="宋体"/>
          <w:snapToGrid w:val="0"/>
          <w:color w:val="auto"/>
          <w:kern w:val="0"/>
          <w:szCs w:val="21"/>
          <w:highlight w:val="none"/>
        </w:rPr>
      </w:pPr>
    </w:p>
    <w:p w14:paraId="3587A2F0">
      <w:pPr>
        <w:wordWrap w:val="0"/>
        <w:adjustRightInd w:val="0"/>
        <w:snapToGrid w:val="0"/>
        <w:spacing w:line="440" w:lineRule="exact"/>
        <w:rPr>
          <w:rFonts w:hint="eastAsia" w:ascii="宋体" w:hAnsi="宋体" w:eastAsia="宋体" w:cs="宋体"/>
          <w:snapToGrid w:val="0"/>
          <w:color w:val="auto"/>
          <w:kern w:val="0"/>
          <w:sz w:val="21"/>
          <w:szCs w:val="21"/>
          <w:highlight w:val="none"/>
          <w:u w:val="single"/>
        </w:rPr>
      </w:pPr>
      <w:r>
        <w:rPr>
          <w:rFonts w:hint="eastAsia" w:ascii="宋体" w:hAnsi="宋体" w:eastAsia="宋体" w:cs="宋体"/>
          <w:snapToGrid w:val="0"/>
          <w:color w:val="auto"/>
          <w:kern w:val="0"/>
          <w:sz w:val="21"/>
          <w:szCs w:val="21"/>
          <w:highlight w:val="none"/>
        </w:rPr>
        <w:t>投标人名称：</w:t>
      </w:r>
      <w:r>
        <w:rPr>
          <w:rFonts w:hint="eastAsia" w:ascii="宋体" w:hAnsi="宋体" w:eastAsia="宋体" w:cs="宋体"/>
          <w:snapToGrid w:val="0"/>
          <w:color w:val="auto"/>
          <w:kern w:val="0"/>
          <w:sz w:val="21"/>
          <w:szCs w:val="21"/>
          <w:highlight w:val="none"/>
          <w:u w:val="single"/>
        </w:rPr>
        <w:t xml:space="preserve">                  </w:t>
      </w:r>
    </w:p>
    <w:p w14:paraId="09627ECE">
      <w:pPr>
        <w:wordWrap w:val="0"/>
        <w:adjustRightInd w:val="0"/>
        <w:snapToGrid w:val="0"/>
        <w:spacing w:line="440" w:lineRule="exact"/>
        <w:rPr>
          <w:rFonts w:hint="eastAsia" w:ascii="宋体" w:hAnsi="宋体" w:eastAsia="宋体" w:cs="宋体"/>
          <w:snapToGrid w:val="0"/>
          <w:color w:val="auto"/>
          <w:kern w:val="0"/>
          <w:sz w:val="21"/>
          <w:szCs w:val="21"/>
          <w:highlight w:val="none"/>
          <w:u w:val="single"/>
        </w:rPr>
      </w:pPr>
      <w:r>
        <w:rPr>
          <w:rFonts w:hint="eastAsia" w:ascii="宋体" w:hAnsi="宋体" w:eastAsia="宋体" w:cs="宋体"/>
          <w:snapToGrid w:val="0"/>
          <w:color w:val="auto"/>
          <w:kern w:val="0"/>
          <w:sz w:val="21"/>
          <w:szCs w:val="21"/>
          <w:highlight w:val="none"/>
        </w:rPr>
        <w:t>姓名：</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性别：</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年龄：</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职务：</w:t>
      </w:r>
      <w:r>
        <w:rPr>
          <w:rFonts w:hint="eastAsia" w:ascii="宋体" w:hAnsi="宋体" w:eastAsia="宋体" w:cs="宋体"/>
          <w:snapToGrid w:val="0"/>
          <w:color w:val="auto"/>
          <w:kern w:val="0"/>
          <w:sz w:val="21"/>
          <w:szCs w:val="21"/>
          <w:highlight w:val="none"/>
          <w:u w:val="single"/>
        </w:rPr>
        <w:t xml:space="preserve">           </w:t>
      </w:r>
    </w:p>
    <w:p w14:paraId="3606794D">
      <w:pPr>
        <w:wordWrap w:val="0"/>
        <w:adjustRightInd w:val="0"/>
        <w:snapToGrid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系</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（投标人名称）的法定代表人。</w:t>
      </w:r>
    </w:p>
    <w:p w14:paraId="2AF02261">
      <w:pPr>
        <w:wordWrap w:val="0"/>
        <w:adjustRightInd w:val="0"/>
        <w:snapToGrid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特此证明。</w:t>
      </w:r>
    </w:p>
    <w:p w14:paraId="52B33B7A">
      <w:pPr>
        <w:wordWrap w:val="0"/>
        <w:adjustRightInd w:val="0"/>
        <w:snapToGrid w:val="0"/>
        <w:spacing w:line="440" w:lineRule="exact"/>
        <w:rPr>
          <w:rFonts w:hint="eastAsia" w:ascii="宋体" w:hAnsi="宋体" w:eastAsia="宋体" w:cs="宋体"/>
          <w:snapToGrid w:val="0"/>
          <w:color w:val="auto"/>
          <w:kern w:val="0"/>
          <w:sz w:val="21"/>
          <w:szCs w:val="21"/>
          <w:highlight w:val="none"/>
        </w:rPr>
      </w:pPr>
    </w:p>
    <w:p w14:paraId="20950208">
      <w:pPr>
        <w:wordWrap w:val="0"/>
        <w:adjustRightInd w:val="0"/>
        <w:snapToGrid w:val="0"/>
        <w:spacing w:line="440" w:lineRule="exact"/>
        <w:rPr>
          <w:rFonts w:hint="eastAsia" w:ascii="宋体" w:hAnsi="宋体" w:eastAsia="宋体" w:cs="宋体"/>
          <w:snapToGrid w:val="0"/>
          <w:color w:val="auto"/>
          <w:kern w:val="0"/>
          <w:sz w:val="21"/>
          <w:szCs w:val="21"/>
          <w:highlight w:val="none"/>
        </w:rPr>
      </w:pPr>
    </w:p>
    <w:p w14:paraId="46B6DF65">
      <w:pPr>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（盖单位章）</w:t>
      </w:r>
    </w:p>
    <w:p w14:paraId="37B4BD43">
      <w:pPr>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p>
    <w:p w14:paraId="308B80F5">
      <w:pPr>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p>
    <w:p w14:paraId="5D820B9D">
      <w:pPr>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法定代表人：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（签字或盖章）</w:t>
      </w:r>
    </w:p>
    <w:p w14:paraId="49ACE04D">
      <w:pPr>
        <w:wordWrap w:val="0"/>
        <w:adjustRightInd w:val="0"/>
        <w:snapToGrid w:val="0"/>
        <w:spacing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p w14:paraId="68C3BECD">
      <w:pPr>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 xml:space="preserve">日       </w:t>
      </w:r>
    </w:p>
    <w:p w14:paraId="37EA6FC0">
      <w:pPr>
        <w:wordWrap w:val="0"/>
        <w:adjustRightInd w:val="0"/>
        <w:snapToGrid w:val="0"/>
        <w:spacing w:line="440" w:lineRule="exact"/>
        <w:ind w:firstLine="240" w:firstLineChars="1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6CD4F14F">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i/>
          <w:iCs/>
          <w:snapToGrid w:val="0"/>
          <w:color w:val="auto"/>
          <w:kern w:val="0"/>
          <w:szCs w:val="21"/>
          <w:highlight w:val="none"/>
        </w:rPr>
        <w:t xml:space="preserve"> </w:t>
      </w:r>
    </w:p>
    <w:p w14:paraId="333FDA4F">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p>
    <w:p w14:paraId="62F21B7C">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p>
    <w:p w14:paraId="0AF7B2D0">
      <w:pPr>
        <w:wordWrap w:val="0"/>
        <w:adjustRightInd w:val="0"/>
        <w:snapToGrid w:val="0"/>
        <w:rPr>
          <w:rFonts w:hint="eastAsia" w:ascii="宋体" w:hAnsi="宋体" w:eastAsia="宋体" w:cs="宋体"/>
          <w:b/>
          <w:snapToGrid w:val="0"/>
          <w:color w:val="auto"/>
          <w:kern w:val="0"/>
          <w:szCs w:val="21"/>
          <w:highlight w:val="none"/>
        </w:rPr>
      </w:pPr>
      <w:r>
        <w:rPr>
          <w:rFonts w:hint="eastAsia" w:ascii="宋体" w:hAnsi="宋体" w:eastAsia="宋体" w:cs="宋体"/>
          <w:b/>
          <w:snapToGrid w:val="0"/>
          <w:color w:val="auto"/>
          <w:kern w:val="0"/>
          <w:szCs w:val="21"/>
          <w:highlight w:val="none"/>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2"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D44634E">
                            <w:pPr>
                              <w:jc w:val="center"/>
                              <w:rPr>
                                <w:rFonts w:hint="eastAsia"/>
                                <w:szCs w:val="21"/>
                              </w:rPr>
                            </w:pPr>
                          </w:p>
                          <w:p w14:paraId="43B31959">
                            <w:pPr>
                              <w:jc w:val="center"/>
                              <w:rPr>
                                <w:rFonts w:hint="eastAsia"/>
                                <w:szCs w:val="21"/>
                              </w:rPr>
                            </w:pPr>
                          </w:p>
                          <w:p w14:paraId="29CF2AE0">
                            <w:pPr>
                              <w:jc w:val="center"/>
                              <w:rPr>
                                <w:szCs w:val="21"/>
                              </w:rPr>
                            </w:pPr>
                            <w:r>
                              <w:rPr>
                                <w:rFonts w:hint="eastAsia"/>
                                <w:szCs w:val="21"/>
                              </w:rPr>
                              <w:t>法定代表人身份证</w:t>
                            </w:r>
                            <w:r>
                              <w:rPr>
                                <w:rFonts w:hint="eastAsia" w:ascii="Times New Roman"/>
                                <w:snapToGrid w:val="0"/>
                                <w:kern w:val="0"/>
                              </w:rPr>
                              <w:t>彩色扫描件</w:t>
                            </w:r>
                            <w:r>
                              <w:rPr>
                                <w:rFonts w:hint="eastAsia"/>
                                <w:szCs w:val="21"/>
                              </w:rPr>
                              <w:t>正、反面</w:t>
                            </w:r>
                          </w:p>
                        </w:txbxContent>
                      </wps:txbx>
                      <wps:bodyPr wrap="square" upright="1"/>
                    </wps:wsp>
                  </a:graphicData>
                </a:graphic>
              </wp:anchor>
            </w:drawing>
          </mc:Choice>
          <mc:Fallback>
            <w:pict>
              <v:shape id="自选图形 18" o:spid="_x0000_s1026" o:spt="176" type="#_x0000_t176" style="position:absolute;left:0pt;margin-left:127.5pt;margin-top:1.6pt;height:124.75pt;width:222.45pt;z-index:251660288;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HhXUptgAAAAJAQAADwAAAAAAAAABACAAAAAiAAAAZHJzL2Rvd25yZXYueG1sUEsBAhQAFAAAAAgA&#10;h07iQP2aoBQlAgAAVAQAAA4AAAAAAAAAAQAgAAAAJwEAAGRycy9lMm9Eb2MueG1sUEsFBgAAAAAG&#10;AAYAWQEAAL4FAAAAAA==&#10;">
                <v:fill on="t" focussize="0,0"/>
                <v:stroke color="#000000" joinstyle="miter"/>
                <v:imagedata o:title=""/>
                <o:lock v:ext="edit" aspectratio="f"/>
                <v:textbox>
                  <w:txbxContent>
                    <w:p w14:paraId="3D44634E">
                      <w:pPr>
                        <w:jc w:val="center"/>
                        <w:rPr>
                          <w:rFonts w:hint="eastAsia"/>
                          <w:szCs w:val="21"/>
                        </w:rPr>
                      </w:pPr>
                    </w:p>
                    <w:p w14:paraId="43B31959">
                      <w:pPr>
                        <w:jc w:val="center"/>
                        <w:rPr>
                          <w:rFonts w:hint="eastAsia"/>
                          <w:szCs w:val="21"/>
                        </w:rPr>
                      </w:pPr>
                    </w:p>
                    <w:p w14:paraId="29CF2AE0">
                      <w:pPr>
                        <w:jc w:val="center"/>
                        <w:rPr>
                          <w:szCs w:val="21"/>
                        </w:rPr>
                      </w:pPr>
                      <w:r>
                        <w:rPr>
                          <w:rFonts w:hint="eastAsia"/>
                          <w:szCs w:val="21"/>
                        </w:rPr>
                        <w:t>法定代表人身份证</w:t>
                      </w:r>
                      <w:r>
                        <w:rPr>
                          <w:rFonts w:hint="eastAsia" w:ascii="Times New Roman"/>
                          <w:snapToGrid w:val="0"/>
                          <w:kern w:val="0"/>
                        </w:rPr>
                        <w:t>彩色扫描件</w:t>
                      </w:r>
                      <w:r>
                        <w:rPr>
                          <w:rFonts w:hint="eastAsia"/>
                          <w:szCs w:val="21"/>
                        </w:rPr>
                        <w:t>正、反面</w:t>
                      </w:r>
                    </w:p>
                  </w:txbxContent>
                </v:textbox>
              </v:shape>
            </w:pict>
          </mc:Fallback>
        </mc:AlternateContent>
      </w:r>
    </w:p>
    <w:p w14:paraId="00E904AD">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宋体" w:hAnsi="宋体" w:eastAsia="宋体" w:cs="宋体"/>
          <w:snapToGrid w:val="0"/>
          <w:color w:val="auto"/>
          <w:kern w:val="0"/>
          <w:sz w:val="28"/>
          <w:szCs w:val="28"/>
          <w:highlight w:val="none"/>
        </w:rPr>
      </w:pPr>
    </w:p>
    <w:p w14:paraId="13124B1E">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pPr>
    </w:p>
    <w:p w14:paraId="649BD3D8">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pPr>
    </w:p>
    <w:p w14:paraId="59A34A4C">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1BC104BD">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highlight w:val="none"/>
          <w:lang w:eastAsia="zh-CN"/>
        </w:rPr>
      </w:pPr>
      <w:bookmarkStart w:id="243" w:name="_Toc10912"/>
      <w:bookmarkStart w:id="244" w:name="_Toc31895"/>
      <w:bookmarkStart w:id="245" w:name="_Toc27794"/>
      <w:r>
        <w:rPr>
          <w:rFonts w:hint="eastAsia" w:ascii="宋体" w:hAnsi="宋体" w:eastAsia="宋体" w:cs="宋体"/>
          <w:b/>
          <w:snapToGrid w:val="0"/>
          <w:color w:val="auto"/>
          <w:highlight w:val="none"/>
        </w:rPr>
        <w:t>格式六 联合体协议书</w:t>
      </w:r>
      <w:bookmarkEnd w:id="243"/>
      <w:bookmarkEnd w:id="244"/>
      <w:r>
        <w:rPr>
          <w:rFonts w:hint="eastAsia" w:ascii="宋体" w:hAnsi="宋体" w:eastAsia="宋体" w:cs="宋体"/>
          <w:b/>
          <w:snapToGrid w:val="0"/>
          <w:color w:val="auto"/>
          <w:highlight w:val="none"/>
          <w:lang w:eastAsia="zh-CN"/>
        </w:rPr>
        <w:t>（</w:t>
      </w:r>
      <w:r>
        <w:rPr>
          <w:rFonts w:hint="eastAsia" w:ascii="宋体" w:hAnsi="宋体" w:eastAsia="宋体" w:cs="宋体"/>
          <w:b/>
          <w:snapToGrid w:val="0"/>
          <w:color w:val="auto"/>
          <w:highlight w:val="none"/>
          <w:lang w:val="en-US" w:eastAsia="zh-CN"/>
        </w:rPr>
        <w:t>本项目不适用</w:t>
      </w:r>
      <w:r>
        <w:rPr>
          <w:rFonts w:hint="eastAsia" w:ascii="宋体" w:hAnsi="宋体" w:eastAsia="宋体" w:cs="宋体"/>
          <w:b/>
          <w:snapToGrid w:val="0"/>
          <w:color w:val="auto"/>
          <w:highlight w:val="none"/>
          <w:lang w:eastAsia="zh-CN"/>
        </w:rPr>
        <w:t>）</w:t>
      </w:r>
    </w:p>
    <w:p w14:paraId="072BD7FB">
      <w:pPr>
        <w:pStyle w:val="51"/>
        <w:widowControl w:val="0"/>
        <w:wordWrap w:val="0"/>
        <w:adjustRightInd w:val="0"/>
        <w:snapToGrid w:val="0"/>
        <w:spacing w:line="440" w:lineRule="exact"/>
        <w:ind w:firstLine="0"/>
        <w:rPr>
          <w:rFonts w:hint="eastAsia" w:ascii="宋体" w:hAnsi="宋体" w:eastAsia="宋体" w:cs="宋体"/>
          <w:b/>
          <w:bCs/>
          <w:snapToGrid w:val="0"/>
          <w:color w:val="auto"/>
          <w:sz w:val="24"/>
          <w:szCs w:val="24"/>
          <w:highlight w:val="none"/>
        </w:rPr>
      </w:pPr>
    </w:p>
    <w:p w14:paraId="39636AF4">
      <w:pPr>
        <w:pStyle w:val="51"/>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1"/>
          <w:highlight w:val="none"/>
        </w:rPr>
      </w:pPr>
      <w:r>
        <w:rPr>
          <w:rFonts w:hint="eastAsia" w:ascii="宋体" w:hAnsi="宋体" w:eastAsia="宋体" w:cs="宋体"/>
          <w:b/>
          <w:snapToGrid w:val="0"/>
          <w:color w:val="auto"/>
          <w:sz w:val="30"/>
          <w:highlight w:val="none"/>
        </w:rPr>
        <w:t>联合体协议书</w:t>
      </w:r>
    </w:p>
    <w:p w14:paraId="41E84BA6">
      <w:pPr>
        <w:pStyle w:val="51"/>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14B64536">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牵头人名称：</w:t>
      </w:r>
      <w:r>
        <w:rPr>
          <w:rFonts w:hint="eastAsia" w:ascii="宋体" w:hAnsi="宋体" w:eastAsia="宋体" w:cs="宋体"/>
          <w:snapToGrid w:val="0"/>
          <w:color w:val="auto"/>
          <w:sz w:val="21"/>
          <w:szCs w:val="21"/>
          <w:highlight w:val="none"/>
          <w:u w:val="single"/>
        </w:rPr>
        <w:t xml:space="preserve">                                                  </w:t>
      </w:r>
    </w:p>
    <w:p w14:paraId="4500F5B8">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法定代表人：</w:t>
      </w:r>
      <w:r>
        <w:rPr>
          <w:rFonts w:hint="eastAsia" w:ascii="宋体" w:hAnsi="宋体" w:eastAsia="宋体" w:cs="宋体"/>
          <w:snapToGrid w:val="0"/>
          <w:color w:val="auto"/>
          <w:sz w:val="21"/>
          <w:szCs w:val="21"/>
          <w:highlight w:val="none"/>
          <w:u w:val="single"/>
        </w:rPr>
        <w:t xml:space="preserve">                                                  </w:t>
      </w:r>
    </w:p>
    <w:p w14:paraId="53AD14A3">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法定住所：</w:t>
      </w:r>
      <w:r>
        <w:rPr>
          <w:rFonts w:hint="eastAsia" w:ascii="宋体" w:hAnsi="宋体" w:eastAsia="宋体" w:cs="宋体"/>
          <w:snapToGrid w:val="0"/>
          <w:color w:val="auto"/>
          <w:sz w:val="21"/>
          <w:szCs w:val="21"/>
          <w:highlight w:val="none"/>
          <w:u w:val="single"/>
        </w:rPr>
        <w:t xml:space="preserve">                                                    </w:t>
      </w:r>
    </w:p>
    <w:p w14:paraId="322930DA">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1AD6D911">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成员二名称：</w:t>
      </w:r>
      <w:r>
        <w:rPr>
          <w:rFonts w:hint="eastAsia" w:ascii="宋体" w:hAnsi="宋体" w:eastAsia="宋体" w:cs="宋体"/>
          <w:snapToGrid w:val="0"/>
          <w:color w:val="auto"/>
          <w:sz w:val="21"/>
          <w:szCs w:val="21"/>
          <w:highlight w:val="none"/>
          <w:u w:val="single"/>
        </w:rPr>
        <w:t xml:space="preserve">                                                  </w:t>
      </w:r>
    </w:p>
    <w:p w14:paraId="1F46490B">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法定代表人：</w:t>
      </w:r>
      <w:r>
        <w:rPr>
          <w:rFonts w:hint="eastAsia" w:ascii="宋体" w:hAnsi="宋体" w:eastAsia="宋体" w:cs="宋体"/>
          <w:snapToGrid w:val="0"/>
          <w:color w:val="auto"/>
          <w:sz w:val="21"/>
          <w:szCs w:val="21"/>
          <w:highlight w:val="none"/>
          <w:u w:val="single"/>
        </w:rPr>
        <w:t xml:space="preserve">                                                  </w:t>
      </w:r>
    </w:p>
    <w:p w14:paraId="55782597">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法定住所：</w:t>
      </w:r>
      <w:r>
        <w:rPr>
          <w:rFonts w:hint="eastAsia" w:ascii="宋体" w:hAnsi="宋体" w:eastAsia="宋体" w:cs="宋体"/>
          <w:snapToGrid w:val="0"/>
          <w:color w:val="auto"/>
          <w:sz w:val="21"/>
          <w:szCs w:val="21"/>
          <w:highlight w:val="none"/>
          <w:u w:val="single"/>
        </w:rPr>
        <w:t xml:space="preserve">                                                    </w:t>
      </w:r>
    </w:p>
    <w:p w14:paraId="446FC999">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w:t>
      </w:r>
    </w:p>
    <w:p w14:paraId="6F60FCD6">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上述各成员单位经过友好协商，自愿组成联合体，共同参加</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（项目名称）（以下简称“本项目”）的施工投标并争取赢得本项目施工承包合同（以下简称合同）。现就联合体投标事宜订立如下协议：</w:t>
      </w:r>
    </w:p>
    <w:p w14:paraId="7D7AE40F">
      <w:pPr>
        <w:pStyle w:val="51"/>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1．</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（某成员单位名称）为联合体牵头人。</w:t>
      </w:r>
    </w:p>
    <w:p w14:paraId="5074FEA4">
      <w:pPr>
        <w:pStyle w:val="51"/>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64695109">
      <w:pPr>
        <w:pStyle w:val="51"/>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54C6C6B8">
      <w:pPr>
        <w:pStyle w:val="51"/>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4．联合体各成员单位内部的职责分工如下：</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。按照本条上述分工，联合体成员单位各自所承担的合同工作量比例如下：</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w:t>
      </w:r>
    </w:p>
    <w:p w14:paraId="3BC94D09">
      <w:pPr>
        <w:pStyle w:val="51"/>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5．投标工作和联合体在中标后工程实施过程中的有关费用按各自承担的工作量分摊。</w:t>
      </w:r>
    </w:p>
    <w:p w14:paraId="706F938C">
      <w:pPr>
        <w:pStyle w:val="51"/>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6．联合体中标后，本联合体协议是合同的附件，对联合体各成员单位有合同约束力。</w:t>
      </w:r>
    </w:p>
    <w:p w14:paraId="65802863">
      <w:pPr>
        <w:pStyle w:val="51"/>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7．本协议书自签署之日起生效，联合体未中标或者中标时合同履行完毕后自动失效。</w:t>
      </w:r>
    </w:p>
    <w:p w14:paraId="6E0A55BB">
      <w:pPr>
        <w:pStyle w:val="51"/>
        <w:widowControl w:val="0"/>
        <w:wordWrap w:val="0"/>
        <w:adjustRightInd w:val="0"/>
        <w:snapToGrid w:val="0"/>
        <w:spacing w:line="440" w:lineRule="exact"/>
        <w:ind w:firstLine="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8．本协议书一式</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份，联合体成员和招标人各执一份。</w:t>
      </w:r>
    </w:p>
    <w:p w14:paraId="2DED78AB">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69F1D5F1">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0DEECABD">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牵头人名称：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14:paraId="7CCA4793">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w:t>
      </w:r>
    </w:p>
    <w:p w14:paraId="12ADA623">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5DB4208B">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14:paraId="392530C1">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798B15F8">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5B523BBA">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w:t>
      </w:r>
    </w:p>
    <w:p w14:paraId="28C25F54">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015028A2">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3A6AD22A">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成员二名称：</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（盖单位章）</w:t>
      </w:r>
    </w:p>
    <w:p w14:paraId="0E6BDCF1">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539C73D5">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p>
    <w:p w14:paraId="253AFE13">
      <w:pPr>
        <w:pStyle w:val="51"/>
        <w:widowControl w:val="0"/>
        <w:wordWrap w:val="0"/>
        <w:adjustRightInd w:val="0"/>
        <w:snapToGrid w:val="0"/>
        <w:spacing w:line="440" w:lineRule="exact"/>
        <w:jc w:val="righ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法定代表人或其委托代理人：</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（签字或盖章）</w:t>
      </w:r>
    </w:p>
    <w:p w14:paraId="3EB42BFD">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w:t>
      </w:r>
    </w:p>
    <w:p w14:paraId="4F997DB8">
      <w:pPr>
        <w:pStyle w:val="51"/>
        <w:widowControl w:val="0"/>
        <w:wordWrap w:val="0"/>
        <w:adjustRightInd w:val="0"/>
        <w:snapToGrid w:val="0"/>
        <w:spacing w:line="440" w:lineRule="exact"/>
        <w:rPr>
          <w:rFonts w:hint="eastAsia" w:ascii="宋体" w:hAnsi="宋体" w:eastAsia="宋体" w:cs="宋体"/>
          <w:snapToGrid w:val="0"/>
          <w:color w:val="auto"/>
          <w:sz w:val="21"/>
          <w:szCs w:val="21"/>
          <w:highlight w:val="none"/>
        </w:rPr>
      </w:pPr>
    </w:p>
    <w:p w14:paraId="3D436CFE">
      <w:pPr>
        <w:pStyle w:val="51"/>
        <w:widowControl w:val="0"/>
        <w:wordWrap w:val="0"/>
        <w:adjustRightInd w:val="0"/>
        <w:snapToGrid w:val="0"/>
        <w:spacing w:line="440" w:lineRule="exact"/>
        <w:jc w:val="center"/>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 xml:space="preserve">                                 </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年</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月</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日</w:t>
      </w:r>
    </w:p>
    <w:p w14:paraId="5D3E9E28">
      <w:pPr>
        <w:pStyle w:val="51"/>
        <w:widowControl w:val="0"/>
        <w:wordWrap w:val="0"/>
        <w:adjustRightInd w:val="0"/>
        <w:snapToGrid w:val="0"/>
        <w:spacing w:line="440" w:lineRule="exact"/>
        <w:jc w:val="center"/>
        <w:rPr>
          <w:rFonts w:hint="eastAsia" w:ascii="宋体" w:hAnsi="宋体" w:eastAsia="宋体" w:cs="宋体"/>
          <w:snapToGrid w:val="0"/>
          <w:color w:val="auto"/>
          <w:sz w:val="21"/>
          <w:szCs w:val="21"/>
          <w:highlight w:val="none"/>
        </w:rPr>
      </w:pPr>
    </w:p>
    <w:p w14:paraId="7F2828D9">
      <w:pPr>
        <w:pStyle w:val="51"/>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1"/>
          <w:szCs w:val="21"/>
          <w:highlight w:val="none"/>
        </w:rPr>
        <w:t>说明：《联合体协议书》由委托代理人签字或盖章的，应附法定代表人签字或盖章的授权委托书。</w:t>
      </w:r>
    </w:p>
    <w:p w14:paraId="68D64F13">
      <w:pPr>
        <w:pStyle w:val="51"/>
        <w:widowControl w:val="0"/>
        <w:wordWrap w:val="0"/>
        <w:adjustRightInd w:val="0"/>
        <w:snapToGrid w:val="0"/>
        <w:spacing w:line="440" w:lineRule="exact"/>
        <w:rPr>
          <w:rFonts w:hint="eastAsia" w:ascii="宋体" w:hAnsi="宋体" w:eastAsia="宋体" w:cs="宋体"/>
          <w:snapToGrid w:val="0"/>
          <w:color w:val="auto"/>
          <w:sz w:val="24"/>
          <w:szCs w:val="24"/>
          <w:highlight w:val="none"/>
        </w:rPr>
        <w:sectPr>
          <w:endnotePr>
            <w:numFmt w:val="decimal"/>
          </w:endnotePr>
          <w:pgSz w:w="11906" w:h="16838"/>
          <w:pgMar w:top="1701" w:right="1531" w:bottom="1417" w:left="1531" w:header="850" w:footer="992" w:gutter="0"/>
          <w:pgBorders>
            <w:top w:val="none" w:sz="0" w:space="0"/>
            <w:left w:val="none" w:sz="0" w:space="0"/>
            <w:bottom w:val="none" w:sz="0" w:space="0"/>
            <w:right w:val="none" w:sz="0" w:space="0"/>
          </w:pgBorders>
          <w:pgNumType w:fmt="decimal"/>
          <w:cols w:space="720" w:num="1"/>
          <w:docGrid w:linePitch="327" w:charSpace="0"/>
        </w:sectPr>
      </w:pPr>
    </w:p>
    <w:p w14:paraId="7FC12A7F">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highlight w:val="none"/>
        </w:rPr>
      </w:pPr>
      <w:bookmarkStart w:id="246" w:name="_Toc8908"/>
      <w:r>
        <w:rPr>
          <w:rFonts w:hint="eastAsia" w:ascii="宋体" w:hAnsi="宋体" w:eastAsia="宋体" w:cs="宋体"/>
          <w:b/>
          <w:snapToGrid w:val="0"/>
          <w:color w:val="auto"/>
          <w:highlight w:val="none"/>
        </w:rPr>
        <w:t>格式</w:t>
      </w:r>
      <w:r>
        <w:rPr>
          <w:rFonts w:hint="eastAsia" w:ascii="宋体" w:hAnsi="宋体" w:eastAsia="宋体" w:cs="宋体"/>
          <w:b/>
          <w:snapToGrid w:val="0"/>
          <w:color w:val="auto"/>
          <w:highlight w:val="none"/>
          <w:lang w:val="en-US" w:eastAsia="zh-CN"/>
        </w:rPr>
        <w:t>七</w:t>
      </w:r>
      <w:r>
        <w:rPr>
          <w:rFonts w:hint="eastAsia" w:ascii="宋体" w:hAnsi="宋体" w:eastAsia="宋体" w:cs="宋体"/>
          <w:b/>
          <w:snapToGrid w:val="0"/>
          <w:color w:val="auto"/>
          <w:highlight w:val="none"/>
        </w:rPr>
        <w:t xml:space="preserve"> </w:t>
      </w:r>
      <w:bookmarkEnd w:id="245"/>
      <w:r>
        <w:rPr>
          <w:rFonts w:hint="eastAsia" w:ascii="宋体" w:hAnsi="宋体" w:eastAsia="宋体" w:cs="宋体"/>
          <w:b/>
          <w:snapToGrid w:val="0"/>
          <w:color w:val="auto"/>
          <w:highlight w:val="none"/>
        </w:rPr>
        <w:t>投标人基本情况表</w:t>
      </w:r>
      <w:bookmarkEnd w:id="246"/>
    </w:p>
    <w:p w14:paraId="6C64DF32">
      <w:pPr>
        <w:pStyle w:val="51"/>
        <w:widowControl w:val="0"/>
        <w:wordWrap w:val="0"/>
        <w:adjustRightInd w:val="0"/>
        <w:snapToGrid w:val="0"/>
        <w:spacing w:before="260" w:after="260" w:line="400" w:lineRule="exact"/>
        <w:ind w:firstLine="0"/>
        <w:jc w:val="center"/>
        <w:rPr>
          <w:rFonts w:hint="eastAsia"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投标人基本情况表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58C3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276808C9">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投标人名称</w:t>
            </w:r>
          </w:p>
        </w:tc>
        <w:tc>
          <w:tcPr>
            <w:tcW w:w="7020" w:type="dxa"/>
            <w:gridSpan w:val="8"/>
            <w:noWrap w:val="0"/>
            <w:vAlign w:val="center"/>
          </w:tcPr>
          <w:p w14:paraId="05042252">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3F09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5FD0C270">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注册地址</w:t>
            </w:r>
          </w:p>
        </w:tc>
        <w:tc>
          <w:tcPr>
            <w:tcW w:w="3389" w:type="dxa"/>
            <w:gridSpan w:val="3"/>
            <w:noWrap w:val="0"/>
            <w:vAlign w:val="center"/>
          </w:tcPr>
          <w:p w14:paraId="6F39FF93">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246" w:type="dxa"/>
            <w:gridSpan w:val="2"/>
            <w:noWrap w:val="0"/>
            <w:vAlign w:val="center"/>
          </w:tcPr>
          <w:p w14:paraId="1FE08532">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邮政编码</w:t>
            </w:r>
          </w:p>
        </w:tc>
        <w:tc>
          <w:tcPr>
            <w:tcW w:w="2385" w:type="dxa"/>
            <w:gridSpan w:val="3"/>
            <w:noWrap w:val="0"/>
            <w:vAlign w:val="center"/>
          </w:tcPr>
          <w:p w14:paraId="19883892">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0616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noWrap w:val="0"/>
            <w:vAlign w:val="center"/>
          </w:tcPr>
          <w:p w14:paraId="3196D71A">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联系方式</w:t>
            </w:r>
          </w:p>
        </w:tc>
        <w:tc>
          <w:tcPr>
            <w:tcW w:w="897" w:type="dxa"/>
            <w:noWrap w:val="0"/>
            <w:vAlign w:val="center"/>
          </w:tcPr>
          <w:p w14:paraId="251891CA">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w:t>
            </w:r>
          </w:p>
        </w:tc>
        <w:tc>
          <w:tcPr>
            <w:tcW w:w="2492" w:type="dxa"/>
            <w:gridSpan w:val="2"/>
            <w:noWrap w:val="0"/>
            <w:vAlign w:val="center"/>
          </w:tcPr>
          <w:p w14:paraId="7025C618">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246" w:type="dxa"/>
            <w:gridSpan w:val="2"/>
            <w:noWrap w:val="0"/>
            <w:vAlign w:val="center"/>
          </w:tcPr>
          <w:p w14:paraId="71047EE4">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  话</w:t>
            </w:r>
          </w:p>
        </w:tc>
        <w:tc>
          <w:tcPr>
            <w:tcW w:w="2385" w:type="dxa"/>
            <w:gridSpan w:val="3"/>
            <w:noWrap w:val="0"/>
            <w:vAlign w:val="center"/>
          </w:tcPr>
          <w:p w14:paraId="5EBA54FE">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49E2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noWrap w:val="0"/>
            <w:vAlign w:val="center"/>
          </w:tcPr>
          <w:p w14:paraId="573C5BD2">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97" w:type="dxa"/>
            <w:noWrap w:val="0"/>
            <w:vAlign w:val="center"/>
          </w:tcPr>
          <w:p w14:paraId="1157C471">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传  真</w:t>
            </w:r>
          </w:p>
        </w:tc>
        <w:tc>
          <w:tcPr>
            <w:tcW w:w="2492" w:type="dxa"/>
            <w:gridSpan w:val="2"/>
            <w:noWrap w:val="0"/>
            <w:vAlign w:val="center"/>
          </w:tcPr>
          <w:p w14:paraId="08727900">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246" w:type="dxa"/>
            <w:gridSpan w:val="2"/>
            <w:noWrap w:val="0"/>
            <w:vAlign w:val="center"/>
          </w:tcPr>
          <w:p w14:paraId="22431D8E">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电子邮箱</w:t>
            </w:r>
          </w:p>
        </w:tc>
        <w:tc>
          <w:tcPr>
            <w:tcW w:w="2385" w:type="dxa"/>
            <w:gridSpan w:val="3"/>
            <w:noWrap w:val="0"/>
            <w:vAlign w:val="center"/>
          </w:tcPr>
          <w:p w14:paraId="7E266F81">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3370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07228259">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单位性质</w:t>
            </w:r>
          </w:p>
        </w:tc>
        <w:tc>
          <w:tcPr>
            <w:tcW w:w="7020" w:type="dxa"/>
            <w:gridSpan w:val="8"/>
            <w:noWrap w:val="0"/>
            <w:vAlign w:val="center"/>
          </w:tcPr>
          <w:p w14:paraId="7CE0C7E1">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64A6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7C50CAE4">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法定代表人</w:t>
            </w:r>
          </w:p>
        </w:tc>
        <w:tc>
          <w:tcPr>
            <w:tcW w:w="897" w:type="dxa"/>
            <w:noWrap w:val="0"/>
            <w:vAlign w:val="center"/>
          </w:tcPr>
          <w:p w14:paraId="6D1CA671">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1689" w:type="dxa"/>
            <w:noWrap w:val="0"/>
            <w:vAlign w:val="center"/>
          </w:tcPr>
          <w:p w14:paraId="6C63529A">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089" w:type="dxa"/>
            <w:gridSpan w:val="2"/>
            <w:noWrap w:val="0"/>
            <w:vAlign w:val="center"/>
          </w:tcPr>
          <w:p w14:paraId="66622C78">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技术职称</w:t>
            </w:r>
          </w:p>
        </w:tc>
        <w:tc>
          <w:tcPr>
            <w:tcW w:w="1220" w:type="dxa"/>
            <w:gridSpan w:val="2"/>
            <w:noWrap w:val="0"/>
            <w:vAlign w:val="center"/>
          </w:tcPr>
          <w:p w14:paraId="4B1EEBA9">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709" w:type="dxa"/>
            <w:noWrap w:val="0"/>
            <w:vAlign w:val="center"/>
          </w:tcPr>
          <w:p w14:paraId="2A8AAF6E">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电话</w:t>
            </w:r>
          </w:p>
        </w:tc>
        <w:tc>
          <w:tcPr>
            <w:tcW w:w="1416" w:type="dxa"/>
            <w:noWrap w:val="0"/>
            <w:vAlign w:val="center"/>
          </w:tcPr>
          <w:p w14:paraId="56C70177">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4C48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1E7E9E45">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成立时间</w:t>
            </w:r>
          </w:p>
        </w:tc>
        <w:tc>
          <w:tcPr>
            <w:tcW w:w="2586" w:type="dxa"/>
            <w:gridSpan w:val="2"/>
            <w:noWrap w:val="0"/>
            <w:vAlign w:val="center"/>
          </w:tcPr>
          <w:p w14:paraId="22E9B3C0">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4434" w:type="dxa"/>
            <w:gridSpan w:val="6"/>
            <w:noWrap w:val="0"/>
            <w:vAlign w:val="center"/>
          </w:tcPr>
          <w:p w14:paraId="761B58C5">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员工总人数（个）：</w:t>
            </w:r>
          </w:p>
        </w:tc>
      </w:tr>
      <w:tr w14:paraId="5C6E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485" w:type="dxa"/>
            <w:noWrap w:val="0"/>
            <w:vAlign w:val="center"/>
          </w:tcPr>
          <w:p w14:paraId="783D6EC9">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企业资质</w:t>
            </w:r>
          </w:p>
          <w:p w14:paraId="72ECDB5F">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类型和等级</w:t>
            </w:r>
          </w:p>
        </w:tc>
        <w:tc>
          <w:tcPr>
            <w:tcW w:w="2586" w:type="dxa"/>
            <w:gridSpan w:val="2"/>
            <w:noWrap w:val="0"/>
            <w:vAlign w:val="center"/>
          </w:tcPr>
          <w:p w14:paraId="35C32AF3">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089" w:type="dxa"/>
            <w:gridSpan w:val="2"/>
            <w:vMerge w:val="restart"/>
            <w:noWrap w:val="0"/>
            <w:vAlign w:val="center"/>
          </w:tcPr>
          <w:p w14:paraId="234699AD">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其中</w:t>
            </w:r>
          </w:p>
        </w:tc>
        <w:tc>
          <w:tcPr>
            <w:tcW w:w="1929" w:type="dxa"/>
            <w:gridSpan w:val="3"/>
            <w:noWrap w:val="0"/>
            <w:vAlign w:val="center"/>
          </w:tcPr>
          <w:p w14:paraId="34D92158">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416" w:type="dxa"/>
            <w:noWrap w:val="0"/>
            <w:vAlign w:val="center"/>
          </w:tcPr>
          <w:p w14:paraId="296DA3D2">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30A7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1485" w:type="dxa"/>
            <w:noWrap w:val="0"/>
            <w:vAlign w:val="center"/>
          </w:tcPr>
          <w:p w14:paraId="254EF8B1">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营业执照号</w:t>
            </w:r>
          </w:p>
        </w:tc>
        <w:tc>
          <w:tcPr>
            <w:tcW w:w="2586" w:type="dxa"/>
            <w:gridSpan w:val="2"/>
            <w:noWrap w:val="0"/>
            <w:vAlign w:val="center"/>
          </w:tcPr>
          <w:p w14:paraId="04ADCEF8">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089" w:type="dxa"/>
            <w:gridSpan w:val="2"/>
            <w:vMerge w:val="continue"/>
            <w:noWrap w:val="0"/>
            <w:vAlign w:val="center"/>
          </w:tcPr>
          <w:p w14:paraId="590EF2ED">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929" w:type="dxa"/>
            <w:gridSpan w:val="3"/>
            <w:noWrap w:val="0"/>
            <w:vAlign w:val="center"/>
          </w:tcPr>
          <w:p w14:paraId="4C14E823">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高级职称人员</w:t>
            </w:r>
          </w:p>
        </w:tc>
        <w:tc>
          <w:tcPr>
            <w:tcW w:w="1416" w:type="dxa"/>
            <w:noWrap w:val="0"/>
            <w:vAlign w:val="center"/>
          </w:tcPr>
          <w:p w14:paraId="68CE17C1">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2963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exact"/>
          <w:jc w:val="center"/>
        </w:trPr>
        <w:tc>
          <w:tcPr>
            <w:tcW w:w="1485" w:type="dxa"/>
            <w:noWrap w:val="0"/>
            <w:vAlign w:val="center"/>
          </w:tcPr>
          <w:p w14:paraId="6D63579E">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注册资金</w:t>
            </w:r>
          </w:p>
        </w:tc>
        <w:tc>
          <w:tcPr>
            <w:tcW w:w="2586" w:type="dxa"/>
            <w:gridSpan w:val="2"/>
            <w:noWrap w:val="0"/>
            <w:vAlign w:val="center"/>
          </w:tcPr>
          <w:p w14:paraId="608A3E14">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089" w:type="dxa"/>
            <w:gridSpan w:val="2"/>
            <w:vMerge w:val="continue"/>
            <w:noWrap w:val="0"/>
            <w:vAlign w:val="center"/>
          </w:tcPr>
          <w:p w14:paraId="5D17E63E">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929" w:type="dxa"/>
            <w:gridSpan w:val="3"/>
            <w:noWrap w:val="0"/>
            <w:vAlign w:val="center"/>
          </w:tcPr>
          <w:p w14:paraId="020FC1B9">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中级职称人员</w:t>
            </w:r>
          </w:p>
        </w:tc>
        <w:tc>
          <w:tcPr>
            <w:tcW w:w="1416" w:type="dxa"/>
            <w:noWrap w:val="0"/>
            <w:vAlign w:val="center"/>
          </w:tcPr>
          <w:p w14:paraId="26E67DB8">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2FB1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09922FAD">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基本账户</w:t>
            </w:r>
          </w:p>
          <w:p w14:paraId="03700749">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开户银行</w:t>
            </w:r>
          </w:p>
        </w:tc>
        <w:tc>
          <w:tcPr>
            <w:tcW w:w="2586" w:type="dxa"/>
            <w:gridSpan w:val="2"/>
            <w:noWrap w:val="0"/>
            <w:vAlign w:val="center"/>
          </w:tcPr>
          <w:p w14:paraId="24EC4A42">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089" w:type="dxa"/>
            <w:gridSpan w:val="2"/>
            <w:vMerge w:val="continue"/>
            <w:noWrap w:val="0"/>
            <w:vAlign w:val="center"/>
          </w:tcPr>
          <w:p w14:paraId="180AE8F1">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929" w:type="dxa"/>
            <w:gridSpan w:val="3"/>
            <w:noWrap w:val="0"/>
            <w:vAlign w:val="center"/>
          </w:tcPr>
          <w:p w14:paraId="725E6F7D">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初级职称人员</w:t>
            </w:r>
          </w:p>
        </w:tc>
        <w:tc>
          <w:tcPr>
            <w:tcW w:w="1416" w:type="dxa"/>
            <w:noWrap w:val="0"/>
            <w:vAlign w:val="center"/>
          </w:tcPr>
          <w:p w14:paraId="461C34F2">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2423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1485" w:type="dxa"/>
            <w:noWrap w:val="0"/>
            <w:vAlign w:val="center"/>
          </w:tcPr>
          <w:p w14:paraId="53877731">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基本账户</w:t>
            </w:r>
          </w:p>
          <w:p w14:paraId="1593736B">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银行账号</w:t>
            </w:r>
          </w:p>
        </w:tc>
        <w:tc>
          <w:tcPr>
            <w:tcW w:w="2586" w:type="dxa"/>
            <w:gridSpan w:val="2"/>
            <w:noWrap w:val="0"/>
            <w:vAlign w:val="center"/>
          </w:tcPr>
          <w:p w14:paraId="5FD6E112">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089" w:type="dxa"/>
            <w:gridSpan w:val="2"/>
            <w:vMerge w:val="continue"/>
            <w:noWrap w:val="0"/>
            <w:vAlign w:val="center"/>
          </w:tcPr>
          <w:p w14:paraId="7D3F0295">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929" w:type="dxa"/>
            <w:gridSpan w:val="3"/>
            <w:noWrap w:val="0"/>
            <w:vAlign w:val="center"/>
          </w:tcPr>
          <w:p w14:paraId="5167327D">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技术员</w:t>
            </w:r>
          </w:p>
        </w:tc>
        <w:tc>
          <w:tcPr>
            <w:tcW w:w="1416" w:type="dxa"/>
            <w:noWrap w:val="0"/>
            <w:vAlign w:val="center"/>
          </w:tcPr>
          <w:p w14:paraId="24B90EAA">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2A16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exact"/>
          <w:jc w:val="center"/>
        </w:trPr>
        <w:tc>
          <w:tcPr>
            <w:tcW w:w="1485" w:type="dxa"/>
            <w:noWrap w:val="0"/>
            <w:vAlign w:val="center"/>
          </w:tcPr>
          <w:p w14:paraId="59475471">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经营范围</w:t>
            </w:r>
          </w:p>
        </w:tc>
        <w:tc>
          <w:tcPr>
            <w:tcW w:w="7020" w:type="dxa"/>
            <w:gridSpan w:val="8"/>
            <w:noWrap w:val="0"/>
            <w:vAlign w:val="center"/>
          </w:tcPr>
          <w:p w14:paraId="328006B2">
            <w:pPr>
              <w:pStyle w:val="68"/>
              <w:keepNext w:val="0"/>
              <w:keepLines w:val="0"/>
              <w:suppressLineNumbers w:val="0"/>
              <w:wordWrap w:val="0"/>
              <w:adjustRightInd w:val="0"/>
              <w:snapToGrid w:val="0"/>
              <w:spacing w:before="0" w:beforeAutospacing="0" w:after="0" w:afterAutospacing="0"/>
              <w:ind w:left="0" w:right="0"/>
              <w:jc w:val="left"/>
              <w:rPr>
                <w:rFonts w:hint="eastAsia" w:ascii="宋体" w:hAnsi="宋体" w:eastAsia="宋体" w:cs="宋体"/>
                <w:snapToGrid w:val="0"/>
                <w:color w:val="auto"/>
                <w:kern w:val="0"/>
                <w:sz w:val="21"/>
                <w:szCs w:val="21"/>
                <w:highlight w:val="none"/>
              </w:rPr>
            </w:pPr>
          </w:p>
        </w:tc>
      </w:tr>
      <w:tr w14:paraId="7AF4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485" w:type="dxa"/>
            <w:noWrap w:val="0"/>
            <w:vAlign w:val="center"/>
          </w:tcPr>
          <w:p w14:paraId="493C2BE4">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关联企业情况</w:t>
            </w:r>
          </w:p>
        </w:tc>
        <w:tc>
          <w:tcPr>
            <w:tcW w:w="7020" w:type="dxa"/>
            <w:gridSpan w:val="8"/>
            <w:noWrap w:val="0"/>
            <w:vAlign w:val="center"/>
          </w:tcPr>
          <w:p w14:paraId="22048E16">
            <w:pPr>
              <w:pStyle w:val="68"/>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包括但不限于与投标人存在以下关系的不同单位：</w:t>
            </w:r>
          </w:p>
          <w:p w14:paraId="49D4592F">
            <w:pPr>
              <w:pStyle w:val="68"/>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1．法定代表人为同一人的。</w:t>
            </w:r>
          </w:p>
          <w:p w14:paraId="65979873">
            <w:pPr>
              <w:pStyle w:val="68"/>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2．存在控股、管理关系的。</w:t>
            </w:r>
          </w:p>
          <w:p w14:paraId="3E0AF8C5">
            <w:pPr>
              <w:pStyle w:val="68"/>
              <w:keepNext w:val="0"/>
              <w:keepLines w:val="0"/>
              <w:suppressLineNumbers w:val="0"/>
              <w:wordWrap w:val="0"/>
              <w:adjustRightInd w:val="0"/>
              <w:snapToGrid w:val="0"/>
              <w:spacing w:before="0" w:beforeAutospacing="0" w:after="0" w:afterAutospacing="0"/>
              <w:ind w:left="0" w:right="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3．主要人员相互任职的。</w:t>
            </w:r>
          </w:p>
        </w:tc>
      </w:tr>
      <w:tr w14:paraId="6140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485" w:type="dxa"/>
            <w:noWrap w:val="0"/>
            <w:vAlign w:val="center"/>
          </w:tcPr>
          <w:p w14:paraId="179B0E22">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c>
          <w:tcPr>
            <w:tcW w:w="7020" w:type="dxa"/>
            <w:gridSpan w:val="8"/>
            <w:noWrap w:val="0"/>
            <w:vAlign w:val="center"/>
          </w:tcPr>
          <w:p w14:paraId="3FC2DEED">
            <w:pPr>
              <w:pStyle w:val="68"/>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bl>
    <w:p w14:paraId="3F2F237F">
      <w:pPr>
        <w:pStyle w:val="68"/>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w:t>
      </w:r>
    </w:p>
    <w:p w14:paraId="2CA14AF1">
      <w:pPr>
        <w:pStyle w:val="68"/>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1．《投标人基本情况表》后应附以下资料：</w:t>
      </w:r>
    </w:p>
    <w:p w14:paraId="13B5D080">
      <w:pPr>
        <w:pStyle w:val="68"/>
        <w:wordWrap w:val="0"/>
        <w:adjustRightInd w:val="0"/>
        <w:snapToGrid w:val="0"/>
        <w:spacing w:line="40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（1）企业营业执照、资质证书、安全生产许可证的证书彩色扫描件；</w:t>
      </w:r>
      <w:r>
        <w:rPr>
          <w:rFonts w:hint="eastAsia" w:ascii="宋体" w:hAnsi="宋体" w:eastAsia="宋体" w:cs="宋体"/>
          <w:b/>
          <w:bCs/>
          <w:snapToGrid w:val="0"/>
          <w:color w:val="auto"/>
          <w:kern w:val="0"/>
          <w:sz w:val="21"/>
          <w:szCs w:val="21"/>
          <w:highlight w:val="none"/>
        </w:rPr>
        <w:t>（因推行电子证照，企业的营业执照、资质证书等可以提供电子证照。为实时掌握项目投标单位的是否具备企业安全生产条件，企业的安全生 产许可证需提供企业实时网页查询页，实时查询页的打印时间应在项目招标公告发布之日起至开标 前。企业的安全生产许可证实时网页查询路径：登录“ 中华人民共和国住房和城乡建设部 ”，进入“全国工程质量安全监管信息平台公共服务门户 ”版块，具体网址为：https://zlaq.mohurd.gov.cn，进入后点击“安全生产许可证信息”，输入企业名称和统一社会信用代码即可查询。如中标后，投标单位安全生产许可证发生被暂扣情形，需双方另行协商）</w:t>
      </w:r>
      <w:r>
        <w:rPr>
          <w:rFonts w:hint="eastAsia" w:ascii="宋体" w:hAnsi="宋体" w:eastAsia="宋体" w:cs="宋体"/>
          <w:snapToGrid w:val="0"/>
          <w:color w:val="auto"/>
          <w:kern w:val="0"/>
          <w:sz w:val="21"/>
          <w:szCs w:val="21"/>
          <w:highlight w:val="none"/>
          <w:lang w:eastAsia="zh-CN"/>
        </w:rPr>
        <w:t>；</w:t>
      </w:r>
    </w:p>
    <w:p w14:paraId="733FB722">
      <w:pPr>
        <w:pStyle w:val="68"/>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（2）“进粤企业和人员诚信信息登记平台”企业信息情况。（适用于省外建筑企业）；</w:t>
      </w:r>
    </w:p>
    <w:p w14:paraId="581A5EA4">
      <w:pPr>
        <w:pStyle w:val="68"/>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（3）《法人和非法人组织公共信用信息报告》（在“信用中国”网站企业查询界面中下载）。</w:t>
      </w:r>
    </w:p>
    <w:p w14:paraId="73BC9A83">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highlight w:val="none"/>
        </w:rPr>
      </w:pPr>
      <w:r>
        <w:rPr>
          <w:rFonts w:hint="eastAsia" w:ascii="宋体" w:hAnsi="宋体" w:eastAsia="宋体" w:cs="宋体"/>
          <w:b/>
          <w:snapToGrid w:val="0"/>
          <w:color w:val="auto"/>
          <w:sz w:val="21"/>
          <w:szCs w:val="21"/>
          <w:highlight w:val="none"/>
        </w:rPr>
        <w:br w:type="page"/>
      </w:r>
      <w:bookmarkStart w:id="247" w:name="_Toc25619"/>
      <w:r>
        <w:rPr>
          <w:rFonts w:hint="eastAsia" w:ascii="宋体" w:hAnsi="宋体" w:eastAsia="宋体" w:cs="宋体"/>
          <w:b/>
          <w:snapToGrid w:val="0"/>
          <w:color w:val="auto"/>
          <w:highlight w:val="none"/>
        </w:rPr>
        <w:t>格式</w:t>
      </w:r>
      <w:r>
        <w:rPr>
          <w:rFonts w:hint="eastAsia" w:ascii="宋体" w:hAnsi="宋体" w:eastAsia="宋体" w:cs="宋体"/>
          <w:b/>
          <w:snapToGrid w:val="0"/>
          <w:color w:val="auto"/>
          <w:highlight w:val="none"/>
          <w:lang w:val="en-US" w:eastAsia="zh-CN"/>
        </w:rPr>
        <w:t>八</w:t>
      </w:r>
      <w:r>
        <w:rPr>
          <w:rFonts w:hint="eastAsia" w:ascii="宋体" w:hAnsi="宋体" w:eastAsia="宋体" w:cs="宋体"/>
          <w:b/>
          <w:snapToGrid w:val="0"/>
          <w:color w:val="auto"/>
          <w:highlight w:val="none"/>
        </w:rPr>
        <w:t xml:space="preserve"> 项目经理简历表</w:t>
      </w:r>
      <w:bookmarkEnd w:id="247"/>
    </w:p>
    <w:p w14:paraId="69C70016">
      <w:pPr>
        <w:rPr>
          <w:rFonts w:hint="eastAsia" w:ascii="宋体" w:hAnsi="宋体" w:eastAsia="宋体" w:cs="宋体"/>
          <w:color w:val="auto"/>
          <w:highlight w:val="none"/>
        </w:rPr>
      </w:pPr>
    </w:p>
    <w:tbl>
      <w:tblPr>
        <w:tblStyle w:val="3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3BC50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9CACC1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0549494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4D3D013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42B95A21">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10FD9A3">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EAB734C">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7C604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9CF5CB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0F3B4828">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5B5609B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7CCCB53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7E851D1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73212A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2F7C3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808D53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360ABFE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399E9FF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11EE66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50E87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1CEDCFE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以项目经理身份参与过的主要业绩（已完工项目）</w:t>
            </w:r>
          </w:p>
        </w:tc>
      </w:tr>
      <w:tr w14:paraId="6E9DF6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BA6112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56BCFC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9EB696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65A93A5">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E2651A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BDDA91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40CF3E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AE1F75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A220D0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B5AB6EC">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2240B51">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367C93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CCD151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5E18E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A5F63AA">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D68C890">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014DDF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A09F0A1">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2D874E8">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F7CE0E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3AA978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BD8BE2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016A63A">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696B014">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DEBB4B5">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2F796C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A46BA4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66D6F9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71B1F80">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D06764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A1B2281">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26AB96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16424D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00FD1B0">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bl>
    <w:p w14:paraId="0F4684EB">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r>
        <w:rPr>
          <w:rFonts w:hint="eastAsia" w:ascii="宋体" w:hAnsi="宋体" w:eastAsia="宋体" w:cs="宋体"/>
          <w:b/>
          <w:snapToGrid w:val="0"/>
          <w:color w:val="auto"/>
          <w:kern w:val="0"/>
          <w:sz w:val="30"/>
          <w:highlight w:val="none"/>
        </w:rPr>
        <w:t>项目经理简历表</w:t>
      </w:r>
    </w:p>
    <w:p w14:paraId="0A925082">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3A5B5921">
      <w:pPr>
        <w:pStyle w:val="52"/>
        <w:wordWrap w:val="0"/>
        <w:adjustRightInd w:val="0"/>
        <w:snapToGrid w:val="0"/>
        <w:spacing w:line="440" w:lineRule="exact"/>
        <w:jc w:val="right"/>
        <w:rPr>
          <w:rFonts w:hint="eastAsia" w:ascii="宋体" w:hAnsi="宋体" w:eastAsia="宋体" w:cs="宋体"/>
          <w:snapToGrid w:val="0"/>
          <w:color w:val="auto"/>
          <w:kern w:val="0"/>
          <w:highlight w:val="none"/>
        </w:rPr>
      </w:pPr>
    </w:p>
    <w:p w14:paraId="0AF5DA54">
      <w:pPr>
        <w:pStyle w:val="52"/>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项目经理：</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704EAA32">
      <w:pPr>
        <w:pStyle w:val="52"/>
        <w:wordWrap w:val="0"/>
        <w:adjustRightInd w:val="0"/>
        <w:snapToGrid w:val="0"/>
        <w:spacing w:line="440" w:lineRule="exact"/>
        <w:jc w:val="right"/>
        <w:rPr>
          <w:rFonts w:hint="eastAsia" w:ascii="宋体" w:hAnsi="宋体" w:eastAsia="宋体" w:cs="宋体"/>
          <w:snapToGrid w:val="0"/>
          <w:color w:val="auto"/>
          <w:kern w:val="0"/>
          <w:highlight w:val="none"/>
        </w:rPr>
      </w:pPr>
    </w:p>
    <w:p w14:paraId="7DD10A23">
      <w:pPr>
        <w:pStyle w:val="52"/>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0BB60806">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498A8FD5">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说明：《项目经理简历表》后应附拟派项目经理以下资料：</w:t>
      </w:r>
    </w:p>
    <w:p w14:paraId="02096650">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341DBD9F">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 xml:space="preserve">   2．建造师电子注册证书（在使用有效期内的有效电子证书）彩色扫描件；</w:t>
      </w:r>
    </w:p>
    <w:p w14:paraId="565EC177">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3．B类安全生产考核合格证书</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或广东省建筑施工企业管理人员安全生产考核系统考核合格信息彩色扫描件；</w:t>
      </w:r>
    </w:p>
    <w:p w14:paraId="2CB9A7F8">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4．在本单位缴纳社保的证明（</w:t>
      </w:r>
      <w:r>
        <w:rPr>
          <w:rFonts w:hint="eastAsia" w:ascii="宋体" w:hAnsi="宋体" w:eastAsia="宋体" w:cs="宋体"/>
          <w:snapToGrid w:val="0"/>
          <w:color w:val="auto"/>
          <w:kern w:val="0"/>
          <w:sz w:val="21"/>
          <w:szCs w:val="21"/>
          <w:highlight w:val="none"/>
        </w:rPr>
        <w:t>投标截止</w:t>
      </w:r>
      <w:r>
        <w:rPr>
          <w:rFonts w:hint="eastAsia" w:ascii="宋体" w:hAnsi="宋体" w:eastAsia="宋体" w:cs="宋体"/>
          <w:snapToGrid w:val="0"/>
          <w:color w:val="auto"/>
          <w:kern w:val="0"/>
          <w:sz w:val="21"/>
          <w:szCs w:val="21"/>
          <w:highlight w:val="none"/>
          <w:lang w:val="en-US" w:eastAsia="zh-CN"/>
        </w:rPr>
        <w:t>时间</w:t>
      </w:r>
      <w:r>
        <w:rPr>
          <w:rFonts w:hint="eastAsia" w:ascii="宋体" w:hAnsi="宋体" w:eastAsia="宋体" w:cs="宋体"/>
          <w:snapToGrid w:val="0"/>
          <w:color w:val="auto"/>
          <w:kern w:val="0"/>
          <w:sz w:val="21"/>
          <w:szCs w:val="21"/>
          <w:highlight w:val="none"/>
        </w:rPr>
        <w:t>前连续</w:t>
      </w: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个月</w:t>
      </w:r>
      <w:r>
        <w:rPr>
          <w:rFonts w:hint="eastAsia" w:ascii="宋体" w:hAnsi="宋体" w:eastAsia="宋体" w:cs="宋体"/>
          <w:snapToGrid w:val="0"/>
          <w:color w:val="auto"/>
          <w:kern w:val="0"/>
          <w:sz w:val="21"/>
          <w:szCs w:val="21"/>
          <w:highlight w:val="none"/>
          <w:lang w:val="en-US" w:eastAsia="zh-CN"/>
        </w:rPr>
        <w:t>的社保证明</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。拟派项目经理为退休返聘人员无法提供社保证明的，提供退休证和劳动合同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4DBC2A11">
      <w:pPr>
        <w:wordWrap w:val="0"/>
        <w:adjustRightInd w:val="0"/>
        <w:snapToGrid w:val="0"/>
        <w:spacing w:line="400" w:lineRule="exact"/>
        <w:ind w:firstLine="210" w:firstLineChars="1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val="en-US" w:eastAsia="zh-CN"/>
        </w:rPr>
        <w:t>5．“进粤企业和人员诚信信息登记平台”个人（项目经理等）信息情况截图。（适用于省外建筑企业）。</w:t>
      </w:r>
    </w:p>
    <w:p w14:paraId="01C28C50">
      <w:pPr>
        <w:pStyle w:val="5"/>
        <w:ind w:firstLine="0"/>
        <w:jc w:val="both"/>
        <w:rPr>
          <w:rFonts w:hint="eastAsia" w:ascii="宋体" w:hAnsi="宋体" w:eastAsia="宋体" w:cs="宋体"/>
          <w:b/>
          <w:snapToGrid w:val="0"/>
          <w:color w:val="auto"/>
          <w:szCs w:val="22"/>
          <w:highlight w:val="none"/>
        </w:rPr>
      </w:pPr>
      <w:r>
        <w:rPr>
          <w:rFonts w:hint="eastAsia" w:ascii="宋体" w:hAnsi="宋体" w:eastAsia="宋体" w:cs="宋体"/>
          <w:b/>
          <w:snapToGrid w:val="0"/>
          <w:color w:val="auto"/>
          <w:sz w:val="30"/>
          <w:highlight w:val="none"/>
        </w:rPr>
        <w:br w:type="page"/>
      </w:r>
      <w:bookmarkStart w:id="248" w:name="_Toc30543"/>
      <w:r>
        <w:rPr>
          <w:rFonts w:hint="eastAsia" w:ascii="宋体" w:hAnsi="宋体" w:eastAsia="宋体" w:cs="宋体"/>
          <w:b/>
          <w:snapToGrid w:val="0"/>
          <w:color w:val="auto"/>
          <w:szCs w:val="22"/>
          <w:highlight w:val="none"/>
        </w:rPr>
        <w:t>格式</w:t>
      </w:r>
      <w:r>
        <w:rPr>
          <w:rFonts w:hint="eastAsia" w:ascii="宋体" w:hAnsi="宋体" w:eastAsia="宋体" w:cs="宋体"/>
          <w:b/>
          <w:snapToGrid w:val="0"/>
          <w:color w:val="auto"/>
          <w:szCs w:val="22"/>
          <w:highlight w:val="none"/>
          <w:lang w:val="en-US" w:eastAsia="zh-CN"/>
        </w:rPr>
        <w:t>九</w:t>
      </w:r>
      <w:r>
        <w:rPr>
          <w:rFonts w:hint="eastAsia" w:ascii="宋体" w:hAnsi="宋体" w:eastAsia="宋体" w:cs="宋体"/>
          <w:b/>
          <w:snapToGrid w:val="0"/>
          <w:color w:val="auto"/>
          <w:szCs w:val="22"/>
          <w:highlight w:val="none"/>
        </w:rPr>
        <w:t xml:space="preserve"> 项目经理任职声明</w:t>
      </w:r>
      <w:bookmarkEnd w:id="248"/>
    </w:p>
    <w:p w14:paraId="7B9F34AD">
      <w:pPr>
        <w:rPr>
          <w:rFonts w:hint="eastAsia" w:ascii="宋体" w:hAnsi="宋体" w:eastAsia="宋体" w:cs="宋体"/>
          <w:color w:val="auto"/>
          <w:highlight w:val="none"/>
        </w:rPr>
      </w:pPr>
    </w:p>
    <w:p w14:paraId="3B7B8B52">
      <w:pPr>
        <w:wordWrap w:val="0"/>
        <w:adjustRightInd w:val="0"/>
        <w:snapToGrid w:val="0"/>
        <w:spacing w:before="260" w:after="260" w:line="440" w:lineRule="exact"/>
        <w:jc w:val="center"/>
        <w:rPr>
          <w:rFonts w:hint="eastAsia" w:ascii="宋体" w:hAnsi="宋体" w:eastAsia="宋体" w:cs="宋体"/>
          <w:snapToGrid w:val="0"/>
          <w:color w:val="auto"/>
          <w:kern w:val="0"/>
          <w:szCs w:val="28"/>
          <w:highlight w:val="none"/>
        </w:rPr>
      </w:pPr>
      <w:r>
        <w:rPr>
          <w:rFonts w:hint="eastAsia" w:ascii="宋体" w:hAnsi="宋体" w:eastAsia="宋体" w:cs="宋体"/>
          <w:b/>
          <w:snapToGrid w:val="0"/>
          <w:color w:val="auto"/>
          <w:kern w:val="0"/>
          <w:sz w:val="30"/>
          <w:highlight w:val="none"/>
        </w:rPr>
        <w:t>项目经理任职声明</w:t>
      </w:r>
    </w:p>
    <w:p w14:paraId="3E2CD9C4">
      <w:pPr>
        <w:wordWrap w:val="0"/>
        <w:adjustRightInd w:val="0"/>
        <w:snapToGrid w:val="0"/>
        <w:spacing w:line="440" w:lineRule="exact"/>
        <w:jc w:val="center"/>
        <w:rPr>
          <w:rFonts w:hint="eastAsia" w:ascii="宋体" w:hAnsi="宋体" w:eastAsia="宋体" w:cs="宋体"/>
          <w:snapToGrid w:val="0"/>
          <w:color w:val="auto"/>
          <w:kern w:val="0"/>
          <w:szCs w:val="28"/>
          <w:highlight w:val="none"/>
        </w:rPr>
      </w:pPr>
    </w:p>
    <w:p w14:paraId="2FB1AFF0">
      <w:pPr>
        <w:wordWrap w:val="0"/>
        <w:adjustRightInd w:val="0"/>
        <w:snapToGrid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（招标人名称）：</w:t>
      </w:r>
    </w:p>
    <w:p w14:paraId="4AF423AB">
      <w:pPr>
        <w:wordWrap w:val="0"/>
        <w:adjustRightInd w:val="0"/>
        <w:snapToGrid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我方在此声明，我方拟派往</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（项目名称）的项目经理</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（项目经理姓名）现阶段没有担任任何在施（包括已中标未开工、已开工未竣工）建设工程项目的项目经理。</w:t>
      </w:r>
    </w:p>
    <w:p w14:paraId="40C0696F">
      <w:pPr>
        <w:wordWrap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我方保证上述信息的真实和准确，并愿意承担因我方就此弄虚作假所引起的一切法律后果。</w:t>
      </w:r>
    </w:p>
    <w:p w14:paraId="55884C76">
      <w:pPr>
        <w:wordWrap w:val="0"/>
        <w:adjustRightInd w:val="0"/>
        <w:snapToGrid w:val="0"/>
        <w:spacing w:line="440" w:lineRule="exact"/>
        <w:ind w:firstLine="48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w:t>
      </w:r>
    </w:p>
    <w:p w14:paraId="36937F5C">
      <w:pPr>
        <w:wordWrap w:val="0"/>
        <w:adjustRightInd w:val="0"/>
        <w:snapToGrid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特此承诺　　</w:t>
      </w:r>
    </w:p>
    <w:p w14:paraId="01105C93">
      <w:pPr>
        <w:wordWrap w:val="0"/>
        <w:adjustRightInd w:val="0"/>
        <w:snapToGrid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w:t>
      </w:r>
    </w:p>
    <w:p w14:paraId="12496613">
      <w:pPr>
        <w:wordWrap w:val="0"/>
        <w:adjustRightInd w:val="0"/>
        <w:snapToGrid w:val="0"/>
        <w:spacing w:line="44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w:t>
      </w:r>
    </w:p>
    <w:p w14:paraId="5621D442">
      <w:pPr>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（盖单位章）</w:t>
      </w:r>
    </w:p>
    <w:p w14:paraId="64BB266A">
      <w:pPr>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p>
    <w:p w14:paraId="3CB1E408">
      <w:pPr>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p>
    <w:p w14:paraId="4A617004">
      <w:pPr>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法定代表人或其委托代理人：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（签字或盖章）</w:t>
      </w:r>
    </w:p>
    <w:p w14:paraId="01D76FBF">
      <w:pPr>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p>
    <w:p w14:paraId="1205B359">
      <w:pPr>
        <w:wordWrap w:val="0"/>
        <w:adjustRightInd w:val="0"/>
        <w:snapToGrid w:val="0"/>
        <w:spacing w:line="44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173830CD">
      <w:pPr>
        <w:wordWrap w:val="0"/>
        <w:adjustRightInd w:val="0"/>
        <w:snapToGrid w:val="0"/>
        <w:spacing w:line="440" w:lineRule="exact"/>
        <w:rPr>
          <w:rFonts w:hint="eastAsia" w:ascii="宋体" w:hAnsi="宋体" w:eastAsia="宋体" w:cs="宋体"/>
          <w:snapToGrid w:val="0"/>
          <w:color w:val="auto"/>
          <w:kern w:val="0"/>
          <w:szCs w:val="28"/>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p w14:paraId="3E09078D">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highlight w:val="none"/>
        </w:rPr>
      </w:pPr>
      <w:bookmarkStart w:id="249" w:name="_Toc31511"/>
      <w:r>
        <w:rPr>
          <w:rFonts w:hint="eastAsia" w:ascii="宋体" w:hAnsi="宋体" w:eastAsia="宋体" w:cs="宋体"/>
          <w:b/>
          <w:snapToGrid w:val="0"/>
          <w:color w:val="auto"/>
          <w:highlight w:val="none"/>
        </w:rPr>
        <w:t>格式</w:t>
      </w:r>
      <w:r>
        <w:rPr>
          <w:rFonts w:hint="eastAsia" w:ascii="宋体" w:hAnsi="宋体" w:eastAsia="宋体" w:cs="宋体"/>
          <w:b/>
          <w:snapToGrid w:val="0"/>
          <w:color w:val="auto"/>
          <w:szCs w:val="22"/>
          <w:highlight w:val="none"/>
          <w:lang w:val="en-US" w:eastAsia="zh-CN"/>
        </w:rPr>
        <w:t>十</w:t>
      </w:r>
      <w:r>
        <w:rPr>
          <w:rFonts w:hint="eastAsia" w:ascii="宋体" w:hAnsi="宋体" w:eastAsia="宋体" w:cs="宋体"/>
          <w:b/>
          <w:snapToGrid w:val="0"/>
          <w:color w:val="auto"/>
          <w:highlight w:val="none"/>
        </w:rPr>
        <w:t xml:space="preserve"> 项目技术负责人简历表</w:t>
      </w:r>
      <w:bookmarkEnd w:id="249"/>
    </w:p>
    <w:p w14:paraId="13B3A81C">
      <w:pPr>
        <w:rPr>
          <w:rFonts w:hint="eastAsia" w:ascii="宋体" w:hAnsi="宋体" w:eastAsia="宋体" w:cs="宋体"/>
          <w:color w:val="auto"/>
          <w:highlight w:val="none"/>
        </w:rPr>
      </w:pPr>
    </w:p>
    <w:tbl>
      <w:tblPr>
        <w:tblStyle w:val="3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10BA1A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981783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451B455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5F93B96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0BC56F8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60765C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7B9319A">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12610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5271B10">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48E51476">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2D730908">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45014BA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C06FCA8">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C2C8F30">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70240C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5C7CE80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26ADF26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79A4E43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A0D549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0A81A6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534CAD9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以项目技术负责人身份参与过的主要业绩（已完工项目）</w:t>
            </w:r>
          </w:p>
        </w:tc>
      </w:tr>
      <w:tr w14:paraId="66182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B8495B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7C33E2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F8F1AD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9C815F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23C05E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27570B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456400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7C998C8">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0B2946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1D0CDE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02CEDF3">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CE5A966">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80023E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4154A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E903544">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4E22050">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9776DC4">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1A5F5F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091B135">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852D226">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6995F6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3808D14">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8475BC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DED667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B3DA69C">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40640B8">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00825C5">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743EA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DEF122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6D0E6A3">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515CA3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AA54C4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9F6E4A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C72F31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r w14:paraId="3E85C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B076D6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7E7CA1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FCB207A">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EE08A6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214D84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76E1B51">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r>
    </w:tbl>
    <w:p w14:paraId="4BC7650F">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r>
        <w:rPr>
          <w:rFonts w:hint="eastAsia" w:ascii="宋体" w:hAnsi="宋体" w:eastAsia="宋体" w:cs="宋体"/>
          <w:b/>
          <w:snapToGrid w:val="0"/>
          <w:color w:val="auto"/>
          <w:kern w:val="0"/>
          <w:sz w:val="30"/>
          <w:highlight w:val="none"/>
        </w:rPr>
        <w:t>项目技术负责人简历表</w:t>
      </w:r>
    </w:p>
    <w:p w14:paraId="04A36DBA">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3A05DCF3">
      <w:pPr>
        <w:pStyle w:val="52"/>
        <w:wordWrap w:val="0"/>
        <w:adjustRightInd w:val="0"/>
        <w:snapToGrid w:val="0"/>
        <w:spacing w:line="440" w:lineRule="exact"/>
        <w:jc w:val="right"/>
        <w:rPr>
          <w:rFonts w:hint="eastAsia" w:ascii="宋体" w:hAnsi="宋体" w:eastAsia="宋体" w:cs="宋体"/>
          <w:snapToGrid w:val="0"/>
          <w:color w:val="auto"/>
          <w:kern w:val="0"/>
          <w:highlight w:val="none"/>
        </w:rPr>
      </w:pPr>
    </w:p>
    <w:p w14:paraId="4616A66E">
      <w:pPr>
        <w:pStyle w:val="52"/>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项目技术负责人：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566769E5">
      <w:pPr>
        <w:pStyle w:val="52"/>
        <w:wordWrap w:val="0"/>
        <w:adjustRightInd w:val="0"/>
        <w:snapToGrid w:val="0"/>
        <w:spacing w:line="440" w:lineRule="exact"/>
        <w:jc w:val="right"/>
        <w:rPr>
          <w:rFonts w:hint="eastAsia" w:ascii="宋体" w:hAnsi="宋体" w:eastAsia="宋体" w:cs="宋体"/>
          <w:snapToGrid w:val="0"/>
          <w:color w:val="auto"/>
          <w:kern w:val="0"/>
          <w:highlight w:val="none"/>
        </w:rPr>
      </w:pPr>
    </w:p>
    <w:p w14:paraId="73EB70AF">
      <w:pPr>
        <w:pStyle w:val="52"/>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0DB52A48">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37D8058C">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说明：《项目技术负责人简历表》后应附拟派项目技术负责人以下资料：</w:t>
      </w:r>
    </w:p>
    <w:p w14:paraId="1830D9FF">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74636AE7">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2．职称证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4D466ED9">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3．在本单位缴纳社保的证明（</w:t>
      </w:r>
      <w:r>
        <w:rPr>
          <w:rFonts w:hint="eastAsia" w:ascii="宋体" w:hAnsi="宋体" w:eastAsia="宋体" w:cs="宋体"/>
          <w:snapToGrid w:val="0"/>
          <w:color w:val="auto"/>
          <w:kern w:val="0"/>
          <w:sz w:val="21"/>
          <w:szCs w:val="21"/>
          <w:highlight w:val="none"/>
        </w:rPr>
        <w:t>投标截止</w:t>
      </w:r>
      <w:r>
        <w:rPr>
          <w:rFonts w:hint="eastAsia" w:ascii="宋体" w:hAnsi="宋体" w:eastAsia="宋体" w:cs="宋体"/>
          <w:snapToGrid w:val="0"/>
          <w:color w:val="auto"/>
          <w:kern w:val="0"/>
          <w:sz w:val="21"/>
          <w:szCs w:val="21"/>
          <w:highlight w:val="none"/>
          <w:lang w:val="en-US" w:eastAsia="zh-CN"/>
        </w:rPr>
        <w:t>时间</w:t>
      </w:r>
      <w:r>
        <w:rPr>
          <w:rFonts w:hint="eastAsia" w:ascii="宋体" w:hAnsi="宋体" w:eastAsia="宋体" w:cs="宋体"/>
          <w:snapToGrid w:val="0"/>
          <w:color w:val="auto"/>
          <w:kern w:val="0"/>
          <w:sz w:val="21"/>
          <w:szCs w:val="21"/>
          <w:highlight w:val="none"/>
        </w:rPr>
        <w:t>前连续</w:t>
      </w: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个月</w:t>
      </w:r>
      <w:r>
        <w:rPr>
          <w:rFonts w:hint="eastAsia" w:ascii="宋体" w:hAnsi="宋体" w:eastAsia="宋体" w:cs="宋体"/>
          <w:snapToGrid w:val="0"/>
          <w:color w:val="auto"/>
          <w:kern w:val="0"/>
          <w:sz w:val="21"/>
          <w:szCs w:val="21"/>
          <w:highlight w:val="none"/>
          <w:lang w:val="en-US" w:eastAsia="zh-CN"/>
        </w:rPr>
        <w:t>的社保证明</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。拟派项目技术负责人为退休返聘人员无法提供社保证明的，提供退休证和劳动合同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10181EB8">
      <w:pPr>
        <w:wordWrap w:val="0"/>
        <w:adjustRightInd w:val="0"/>
        <w:snapToGrid w:val="0"/>
        <w:spacing w:line="400" w:lineRule="exact"/>
        <w:ind w:firstLine="210" w:firstLineChars="1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val="en-US" w:eastAsia="zh-CN"/>
        </w:rPr>
        <w:t>4．“进粤企业和人员诚信信息登记平台”个人（项目经理等）信息情况截图。（适用于省外建筑企业）。</w:t>
      </w:r>
    </w:p>
    <w:p w14:paraId="2F39D81A">
      <w:pPr>
        <w:pStyle w:val="51"/>
        <w:widowControl w:val="0"/>
        <w:wordWrap w:val="0"/>
        <w:adjustRightInd w:val="0"/>
        <w:snapToGrid w:val="0"/>
        <w:spacing w:line="400" w:lineRule="exact"/>
        <w:rPr>
          <w:rFonts w:hint="eastAsia" w:ascii="宋体" w:hAnsi="宋体" w:eastAsia="宋体" w:cs="宋体"/>
          <w:snapToGrid w:val="0"/>
          <w:color w:val="auto"/>
          <w:sz w:val="21"/>
          <w:szCs w:val="28"/>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bookmarkEnd w:id="230"/>
    <w:bookmarkEnd w:id="231"/>
    <w:p w14:paraId="37B6BE07">
      <w:pPr>
        <w:pStyle w:val="50"/>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bCs/>
          <w:snapToGrid w:val="0"/>
          <w:color w:val="auto"/>
          <w:szCs w:val="24"/>
          <w:highlight w:val="none"/>
        </w:rPr>
      </w:pPr>
      <w:bookmarkStart w:id="250" w:name="_Toc12087"/>
      <w:bookmarkStart w:id="251" w:name="_Toc200338098"/>
      <w:bookmarkStart w:id="252" w:name="_Toc8264"/>
      <w:r>
        <w:rPr>
          <w:rFonts w:hint="eastAsia" w:ascii="宋体" w:hAnsi="宋体" w:eastAsia="宋体" w:cs="宋体"/>
          <w:b/>
          <w:snapToGrid w:val="0"/>
          <w:color w:val="auto"/>
          <w:szCs w:val="22"/>
          <w:highlight w:val="none"/>
        </w:rPr>
        <w:t>格式</w:t>
      </w:r>
      <w:r>
        <w:rPr>
          <w:rFonts w:hint="eastAsia" w:ascii="宋体" w:hAnsi="宋体" w:eastAsia="宋体" w:cs="宋体"/>
          <w:b/>
          <w:snapToGrid w:val="0"/>
          <w:color w:val="auto"/>
          <w:highlight w:val="none"/>
        </w:rPr>
        <w:t>十</w:t>
      </w:r>
      <w:r>
        <w:rPr>
          <w:rFonts w:hint="eastAsia" w:ascii="宋体" w:hAnsi="宋体" w:eastAsia="宋体" w:cs="宋体"/>
          <w:b/>
          <w:snapToGrid w:val="0"/>
          <w:color w:val="auto"/>
          <w:highlight w:val="none"/>
          <w:lang w:val="en-US" w:eastAsia="zh-CN"/>
        </w:rPr>
        <w:t>一</w:t>
      </w:r>
      <w:r>
        <w:rPr>
          <w:rFonts w:hint="eastAsia" w:ascii="宋体" w:hAnsi="宋体" w:eastAsia="宋体" w:cs="宋体"/>
          <w:b/>
          <w:snapToGrid w:val="0"/>
          <w:color w:val="auto"/>
          <w:szCs w:val="22"/>
          <w:highlight w:val="none"/>
        </w:rPr>
        <w:t xml:space="preserve"> </w:t>
      </w:r>
      <w:bookmarkStart w:id="253" w:name="_Toc14261309"/>
      <w:bookmarkStart w:id="254" w:name="_Toc20506"/>
      <w:r>
        <w:rPr>
          <w:rFonts w:hint="eastAsia" w:ascii="宋体" w:hAnsi="宋体" w:eastAsia="宋体" w:cs="宋体"/>
          <w:b/>
          <w:snapToGrid w:val="0"/>
          <w:color w:val="auto"/>
          <w:highlight w:val="none"/>
        </w:rPr>
        <w:t>项目管理机构组成表</w:t>
      </w:r>
      <w:bookmarkEnd w:id="250"/>
      <w:bookmarkEnd w:id="253"/>
      <w:bookmarkEnd w:id="254"/>
    </w:p>
    <w:p w14:paraId="3179FFE2">
      <w:pPr>
        <w:wordWrap w:val="0"/>
        <w:adjustRightInd w:val="0"/>
        <w:snapToGrid w:val="0"/>
        <w:spacing w:before="260" w:after="260" w:line="440" w:lineRule="exact"/>
        <w:jc w:val="center"/>
        <w:outlineLvl w:val="2"/>
        <w:rPr>
          <w:rFonts w:hint="eastAsia" w:ascii="宋体" w:hAnsi="宋体" w:eastAsia="宋体" w:cs="宋体"/>
          <w:b/>
          <w:snapToGrid w:val="0"/>
          <w:color w:val="auto"/>
          <w:kern w:val="0"/>
          <w:highlight w:val="none"/>
        </w:rPr>
      </w:pPr>
      <w:bookmarkStart w:id="255" w:name="_Toc14261751"/>
      <w:r>
        <w:rPr>
          <w:rFonts w:hint="eastAsia" w:ascii="宋体" w:hAnsi="宋体" w:eastAsia="宋体" w:cs="宋体"/>
          <w:b/>
          <w:snapToGrid w:val="0"/>
          <w:color w:val="auto"/>
          <w:kern w:val="0"/>
          <w:sz w:val="30"/>
          <w:highlight w:val="none"/>
        </w:rPr>
        <w:t>项目管理机构组成表</w:t>
      </w:r>
      <w:bookmarkEnd w:id="255"/>
    </w:p>
    <w:tbl>
      <w:tblPr>
        <w:tblStyle w:val="32"/>
        <w:tblW w:w="89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14:paraId="288972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60" w:hRule="atLeast"/>
        </w:trPr>
        <w:tc>
          <w:tcPr>
            <w:tcW w:w="743" w:type="dxa"/>
            <w:tcBorders>
              <w:top w:val="single" w:color="auto" w:sz="6" w:space="0"/>
              <w:left w:val="single" w:color="auto" w:sz="6" w:space="0"/>
              <w:bottom w:val="single" w:color="auto" w:sz="6" w:space="0"/>
              <w:right w:val="single" w:color="auto" w:sz="6" w:space="0"/>
            </w:tcBorders>
            <w:noWrap w:val="0"/>
            <w:vAlign w:val="center"/>
          </w:tcPr>
          <w:p w14:paraId="39B9C88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2302F0A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职务</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BBC854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59020F7">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性别</w:t>
            </w:r>
          </w:p>
        </w:tc>
        <w:tc>
          <w:tcPr>
            <w:tcW w:w="817" w:type="dxa"/>
            <w:tcBorders>
              <w:top w:val="single" w:color="auto" w:sz="6" w:space="0"/>
              <w:left w:val="single" w:color="auto" w:sz="6" w:space="0"/>
              <w:bottom w:val="single" w:color="auto" w:sz="6" w:space="0"/>
              <w:right w:val="single" w:color="auto" w:sz="6" w:space="0"/>
            </w:tcBorders>
            <w:noWrap w:val="0"/>
            <w:vAlign w:val="center"/>
          </w:tcPr>
          <w:p w14:paraId="06ABF70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年龄</w:t>
            </w:r>
          </w:p>
        </w:tc>
        <w:tc>
          <w:tcPr>
            <w:tcW w:w="1538" w:type="dxa"/>
            <w:tcBorders>
              <w:top w:val="single" w:color="auto" w:sz="6" w:space="0"/>
              <w:left w:val="single" w:color="auto" w:sz="6" w:space="0"/>
              <w:bottom w:val="single" w:color="auto" w:sz="6" w:space="0"/>
              <w:right w:val="single" w:color="auto" w:sz="6" w:space="0"/>
            </w:tcBorders>
            <w:noWrap w:val="0"/>
            <w:vAlign w:val="center"/>
          </w:tcPr>
          <w:p w14:paraId="39EB40A1">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职称</w:t>
            </w: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0775FD3">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792487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3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32149966">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4B6FEA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631A9C0B">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23E9EADB">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6B531276">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12E3269">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FA33D64">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061AC6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1"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14D1DD3E">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5156EDB">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项目技术</w:t>
            </w:r>
          </w:p>
          <w:p w14:paraId="46C0A7B9">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负责人</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48604FCC">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14828057">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6DE1523">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7E10D159">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54DE944">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42CAA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3" w:hRule="exact"/>
        </w:trPr>
        <w:tc>
          <w:tcPr>
            <w:tcW w:w="743" w:type="dxa"/>
            <w:tcBorders>
              <w:top w:val="single" w:color="auto" w:sz="6" w:space="0"/>
              <w:left w:val="single" w:color="auto" w:sz="6" w:space="0"/>
              <w:right w:val="single" w:color="auto" w:sz="6" w:space="0"/>
            </w:tcBorders>
            <w:noWrap w:val="0"/>
            <w:vAlign w:val="center"/>
          </w:tcPr>
          <w:p w14:paraId="45FB6ABF">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421" w:type="dxa"/>
            <w:tcBorders>
              <w:top w:val="single" w:color="auto" w:sz="6" w:space="0"/>
              <w:left w:val="single" w:color="auto" w:sz="6" w:space="0"/>
              <w:right w:val="single" w:color="auto" w:sz="6" w:space="0"/>
            </w:tcBorders>
            <w:noWrap w:val="0"/>
            <w:vAlign w:val="center"/>
          </w:tcPr>
          <w:p w14:paraId="7FAC05F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专职安全员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1017EE6A">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4070742">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669B3BC9">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C3B315C">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2D1F326B">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0B3C80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68AF920C">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5627BDCD">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68F92D7">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78AF248">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5252EEE9">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BC681C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2924F7F3">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4F9F5C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05209C82">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7A169DF">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0DDF4369">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69F0AC17">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57FA8131">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C43A8F7">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32126661">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4D7AE1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0B81C0BD">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46190F38">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材料员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02E2AB2">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77F29015">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A4DFBBD">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5AB7DA8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90BE9A9">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25960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602598B5">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4ABAFA7E">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9DB6E82">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857B182">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1A2E78E6">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7A415166">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4D20228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22BCB5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1C1D6B78">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215AF2A1">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p>
        </w:tc>
        <w:tc>
          <w:tcPr>
            <w:tcW w:w="1355" w:type="dxa"/>
            <w:tcBorders>
              <w:top w:val="single" w:color="auto" w:sz="6" w:space="0"/>
              <w:left w:val="single" w:color="auto" w:sz="6" w:space="0"/>
              <w:bottom w:val="single" w:color="auto" w:sz="6" w:space="0"/>
              <w:right w:val="single" w:color="auto" w:sz="6" w:space="0"/>
            </w:tcBorders>
            <w:noWrap w:val="0"/>
            <w:vAlign w:val="center"/>
          </w:tcPr>
          <w:p w14:paraId="09554D48">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26EE2DC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0268BB8C">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1E6A5B01">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2323016">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r w14:paraId="73FC40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55A8E203">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421" w:type="dxa"/>
            <w:tcBorders>
              <w:top w:val="single" w:color="auto" w:sz="6" w:space="0"/>
              <w:left w:val="single" w:color="auto" w:sz="6" w:space="0"/>
              <w:bottom w:val="single" w:color="auto" w:sz="6" w:space="0"/>
              <w:right w:val="single" w:color="auto" w:sz="6" w:space="0"/>
            </w:tcBorders>
            <w:noWrap w:val="0"/>
            <w:vAlign w:val="center"/>
          </w:tcPr>
          <w:p w14:paraId="75AFE754">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46EE0871">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127A0E2">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00ECC74D">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48E0757F">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325B3230">
            <w:pPr>
              <w:keepNext w:val="0"/>
              <w:keepLines w:val="0"/>
              <w:suppressLineNumbers w:val="0"/>
              <w:wordWrap w:val="0"/>
              <w:adjustRightInd w:val="0"/>
              <w:snapToGrid w:val="0"/>
              <w:spacing w:before="0" w:beforeAutospacing="0" w:after="0" w:afterAutospacing="0"/>
              <w:ind w:left="0" w:right="0"/>
              <w:jc w:val="center"/>
              <w:rPr>
                <w:rFonts w:hint="eastAsia" w:ascii="宋体" w:hAnsi="宋体" w:eastAsia="宋体" w:cs="宋体"/>
                <w:snapToGrid w:val="0"/>
                <w:color w:val="auto"/>
                <w:kern w:val="0"/>
                <w:sz w:val="21"/>
                <w:szCs w:val="21"/>
                <w:highlight w:val="none"/>
              </w:rPr>
            </w:pPr>
          </w:p>
        </w:tc>
      </w:tr>
    </w:tbl>
    <w:p w14:paraId="225E4C37">
      <w:pPr>
        <w:pStyle w:val="51"/>
        <w:widowControl w:val="0"/>
        <w:wordWrap w:val="0"/>
        <w:adjustRightInd w:val="0"/>
        <w:snapToGrid w:val="0"/>
        <w:spacing w:line="400" w:lineRule="exact"/>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说明：</w:t>
      </w:r>
    </w:p>
    <w:p w14:paraId="0CF21D93">
      <w:pPr>
        <w:pStyle w:val="51"/>
        <w:widowControl w:val="0"/>
        <w:wordWrap w:val="0"/>
        <w:adjustRightInd w:val="0"/>
        <w:snapToGrid w:val="0"/>
        <w:spacing w:line="400" w:lineRule="exact"/>
        <w:rPr>
          <w:rFonts w:hint="eastAsia" w:ascii="宋体" w:hAnsi="宋体" w:eastAsia="宋体" w:cs="宋体"/>
          <w:snapToGrid w:val="0"/>
          <w:color w:val="auto"/>
          <w:sz w:val="21"/>
          <w:szCs w:val="28"/>
          <w:highlight w:val="none"/>
        </w:rPr>
      </w:pPr>
      <w:r>
        <w:rPr>
          <w:rFonts w:hint="eastAsia" w:ascii="宋体" w:hAnsi="宋体" w:eastAsia="宋体" w:cs="宋体"/>
          <w:snapToGrid w:val="0"/>
          <w:color w:val="auto"/>
          <w:sz w:val="21"/>
          <w:highlight w:val="none"/>
        </w:rPr>
        <w:t>1</w:t>
      </w:r>
      <w:r>
        <w:rPr>
          <w:rFonts w:hint="eastAsia" w:ascii="宋体" w:hAnsi="宋体" w:eastAsia="宋体" w:cs="宋体"/>
          <w:snapToGrid w:val="0"/>
          <w:color w:val="auto"/>
          <w:sz w:val="21"/>
          <w:szCs w:val="28"/>
          <w:highlight w:val="none"/>
        </w:rPr>
        <w:t>．</w:t>
      </w:r>
      <w:r>
        <w:rPr>
          <w:rFonts w:hint="eastAsia" w:ascii="宋体" w:hAnsi="宋体" w:eastAsia="宋体" w:cs="宋体"/>
          <w:snapToGrid w:val="0"/>
          <w:color w:val="auto"/>
          <w:sz w:val="21"/>
          <w:highlight w:val="none"/>
        </w:rPr>
        <w:t>《项目管理机构组成表》后应附表中拟派人员（项目经理、项目技术负责人除外）以下资料：</w:t>
      </w:r>
    </w:p>
    <w:p w14:paraId="3357C456">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190C1150">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lang w:eastAsia="zh-CN"/>
        </w:rPr>
      </w:pPr>
      <w:r>
        <w:rPr>
          <w:rFonts w:hint="eastAsia" w:ascii="宋体" w:hAnsi="宋体" w:eastAsia="宋体" w:cs="宋体"/>
          <w:snapToGrid w:val="0"/>
          <w:color w:val="auto"/>
          <w:kern w:val="0"/>
          <w:sz w:val="21"/>
          <w:szCs w:val="28"/>
          <w:highlight w:val="none"/>
        </w:rPr>
        <w:t>（2）职称证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如有</w:t>
      </w:r>
      <w:r>
        <w:rPr>
          <w:rFonts w:hint="eastAsia" w:ascii="宋体" w:hAnsi="宋体" w:eastAsia="宋体" w:cs="宋体"/>
          <w:snapToGrid w:val="0"/>
          <w:color w:val="auto"/>
          <w:kern w:val="0"/>
          <w:sz w:val="21"/>
          <w:szCs w:val="28"/>
          <w:highlight w:val="none"/>
          <w:lang w:eastAsia="zh-CN"/>
        </w:rPr>
        <w:t>）</w:t>
      </w:r>
    </w:p>
    <w:p w14:paraId="413433C4">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lang w:val="en-US" w:eastAsia="zh-CN"/>
        </w:rPr>
        <w:t>3</w:t>
      </w:r>
      <w:r>
        <w:rPr>
          <w:rFonts w:hint="eastAsia" w:ascii="宋体" w:hAnsi="宋体" w:eastAsia="宋体" w:cs="宋体"/>
          <w:snapToGrid w:val="0"/>
          <w:color w:val="auto"/>
          <w:kern w:val="0"/>
          <w:sz w:val="21"/>
          <w:szCs w:val="28"/>
          <w:highlight w:val="none"/>
          <w:lang w:eastAsia="zh-CN"/>
        </w:rPr>
        <w:t>）</w:t>
      </w:r>
      <w:r>
        <w:rPr>
          <w:rFonts w:hint="eastAsia" w:ascii="宋体" w:hAnsi="宋体" w:eastAsia="宋体" w:cs="宋体"/>
          <w:snapToGrid w:val="0"/>
          <w:color w:val="auto"/>
          <w:kern w:val="0"/>
          <w:sz w:val="21"/>
          <w:szCs w:val="28"/>
          <w:highlight w:val="none"/>
        </w:rPr>
        <w:t>在本单位缴纳社保的证明（</w:t>
      </w:r>
      <w:r>
        <w:rPr>
          <w:rFonts w:hint="eastAsia" w:ascii="宋体" w:hAnsi="宋体" w:eastAsia="宋体" w:cs="宋体"/>
          <w:snapToGrid w:val="0"/>
          <w:color w:val="auto"/>
          <w:kern w:val="0"/>
          <w:sz w:val="21"/>
          <w:szCs w:val="21"/>
          <w:highlight w:val="none"/>
        </w:rPr>
        <w:t>投标截止</w:t>
      </w:r>
      <w:r>
        <w:rPr>
          <w:rFonts w:hint="eastAsia" w:ascii="宋体" w:hAnsi="宋体" w:eastAsia="宋体" w:cs="宋体"/>
          <w:snapToGrid w:val="0"/>
          <w:color w:val="auto"/>
          <w:kern w:val="0"/>
          <w:sz w:val="21"/>
          <w:szCs w:val="21"/>
          <w:highlight w:val="none"/>
          <w:lang w:val="en-US" w:eastAsia="zh-CN"/>
        </w:rPr>
        <w:t>时间</w:t>
      </w:r>
      <w:r>
        <w:rPr>
          <w:rFonts w:hint="eastAsia" w:ascii="宋体" w:hAnsi="宋体" w:eastAsia="宋体" w:cs="宋体"/>
          <w:snapToGrid w:val="0"/>
          <w:color w:val="auto"/>
          <w:kern w:val="0"/>
          <w:sz w:val="21"/>
          <w:szCs w:val="21"/>
          <w:highlight w:val="none"/>
        </w:rPr>
        <w:t>前连续</w:t>
      </w:r>
      <w:r>
        <w:rPr>
          <w:rFonts w:hint="eastAsia" w:ascii="宋体" w:hAnsi="宋体" w:eastAsia="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rPr>
        <w:t>个月</w:t>
      </w:r>
      <w:r>
        <w:rPr>
          <w:rFonts w:hint="eastAsia" w:ascii="宋体" w:hAnsi="宋体" w:eastAsia="宋体" w:cs="宋体"/>
          <w:snapToGrid w:val="0"/>
          <w:color w:val="auto"/>
          <w:kern w:val="0"/>
          <w:sz w:val="21"/>
          <w:szCs w:val="21"/>
          <w:highlight w:val="none"/>
          <w:lang w:val="en-US" w:eastAsia="zh-CN"/>
        </w:rPr>
        <w:t>的社保证明</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。拟派人员为退休返聘人员无法提供社保证明的，提供退休证和劳动合同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bookmarkEnd w:id="251"/>
    <w:bookmarkEnd w:id="252"/>
    <w:p w14:paraId="6FC8EEFF">
      <w:pPr>
        <w:wordWrap w:val="0"/>
        <w:adjustRightInd w:val="0"/>
        <w:snapToGrid w:val="0"/>
        <w:spacing w:line="400" w:lineRule="exact"/>
        <w:ind w:firstLine="210" w:firstLineChars="100"/>
        <w:rPr>
          <w:rFonts w:hint="eastAsia" w:ascii="宋体" w:hAnsi="宋体" w:eastAsia="宋体" w:cs="宋体"/>
          <w:snapToGrid w:val="0"/>
          <w:color w:val="auto"/>
          <w:kern w:val="0"/>
          <w:sz w:val="21"/>
          <w:szCs w:val="28"/>
          <w:highlight w:val="none"/>
        </w:rPr>
      </w:pPr>
      <w:bookmarkStart w:id="256" w:name="_附件十：单项工程费汇总表"/>
      <w:bookmarkEnd w:id="256"/>
      <w:bookmarkStart w:id="257" w:name="_附件二十五：综合评审合理低价法"/>
      <w:bookmarkEnd w:id="257"/>
      <w:bookmarkStart w:id="258" w:name="_Hlt68774664"/>
      <w:bookmarkEnd w:id="258"/>
      <w:bookmarkStart w:id="259" w:name="_Hlt69116778"/>
      <w:bookmarkEnd w:id="259"/>
      <w:bookmarkStart w:id="260" w:name="_附件二十四：技术标提问单"/>
      <w:bookmarkEnd w:id="260"/>
      <w:r>
        <w:rPr>
          <w:rFonts w:hint="eastAsia" w:ascii="宋体" w:hAnsi="宋体" w:eastAsia="宋体" w:cs="宋体"/>
          <w:snapToGrid w:val="0"/>
          <w:color w:val="auto"/>
          <w:sz w:val="21"/>
          <w:highlight w:val="none"/>
          <w:lang w:eastAsia="zh-CN"/>
        </w:rPr>
        <w:t>（</w:t>
      </w:r>
      <w:r>
        <w:rPr>
          <w:rFonts w:hint="eastAsia" w:ascii="宋体" w:hAnsi="宋体" w:eastAsia="宋体" w:cs="宋体"/>
          <w:snapToGrid w:val="0"/>
          <w:color w:val="auto"/>
          <w:sz w:val="21"/>
          <w:highlight w:val="none"/>
          <w:lang w:val="en-US" w:eastAsia="zh-CN"/>
        </w:rPr>
        <w:t>4</w:t>
      </w:r>
      <w:r>
        <w:rPr>
          <w:rFonts w:hint="eastAsia" w:ascii="宋体" w:hAnsi="宋体" w:eastAsia="宋体" w:cs="宋体"/>
          <w:snapToGrid w:val="0"/>
          <w:color w:val="auto"/>
          <w:sz w:val="21"/>
          <w:highlight w:val="none"/>
          <w:lang w:eastAsia="zh-CN"/>
        </w:rPr>
        <w:t>）</w:t>
      </w:r>
      <w:r>
        <w:rPr>
          <w:rFonts w:hint="eastAsia" w:ascii="宋体" w:hAnsi="宋体" w:eastAsia="宋体" w:cs="宋体"/>
          <w:snapToGrid w:val="0"/>
          <w:color w:val="auto"/>
          <w:kern w:val="0"/>
          <w:sz w:val="21"/>
          <w:szCs w:val="28"/>
          <w:highlight w:val="none"/>
          <w:lang w:val="en-US" w:eastAsia="zh-CN"/>
        </w:rPr>
        <w:t>“进粤企业和人员诚信信息登记平台”个人（项目经理等）信息情况截图。（适用于省外建筑企业）。</w:t>
      </w:r>
    </w:p>
    <w:p w14:paraId="66FFD49F">
      <w:pPr>
        <w:keepNext w:val="0"/>
        <w:keepLines w:val="0"/>
        <w:widowControl/>
        <w:suppressLineNumbers w:val="0"/>
        <w:jc w:val="left"/>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 xml:space="preserve">    2．联合体投标的，《项目管理机构组成表》应包括联合体成员单位参与项目管理机构的人员，并提供以上所需资料。</w:t>
      </w:r>
    </w:p>
    <w:p w14:paraId="7C7D0094">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snapToGrid w:val="0"/>
          <w:color w:val="auto"/>
          <w:sz w:val="21"/>
          <w:highlight w:val="none"/>
        </w:rPr>
        <w:br w:type="page"/>
      </w:r>
      <w:bookmarkStart w:id="261" w:name="_Toc36804690"/>
      <w:r>
        <w:rPr>
          <w:rFonts w:hint="eastAsia" w:ascii="宋体" w:hAnsi="宋体" w:eastAsia="宋体" w:cs="宋体"/>
          <w:b/>
          <w:snapToGrid w:val="0"/>
          <w:color w:val="auto"/>
          <w:highlight w:val="none"/>
        </w:rPr>
        <w:t>格式十二 建造师查询页</w:t>
      </w:r>
      <w:r>
        <w:rPr>
          <w:rFonts w:hint="eastAsia" w:ascii="宋体" w:hAnsi="宋体" w:eastAsia="宋体" w:cs="宋体"/>
          <w:b/>
          <w:bCs/>
          <w:color w:val="auto"/>
          <w:kern w:val="0"/>
          <w:sz w:val="24"/>
          <w:szCs w:val="24"/>
          <w:highlight w:val="none"/>
          <w:lang w:val="en-US" w:eastAsia="zh-CN" w:bidi="ar"/>
        </w:rPr>
        <w:t>（有效期+建造师签字）</w:t>
      </w:r>
    </w:p>
    <w:p w14:paraId="50752C45">
      <w:pPr>
        <w:pStyle w:val="51"/>
        <w:widowControl w:val="0"/>
        <w:wordWrap w:val="0"/>
        <w:adjustRightInd w:val="0"/>
        <w:snapToGrid w:val="0"/>
        <w:spacing w:line="240" w:lineRule="auto"/>
        <w:ind w:firstLine="0"/>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 xml:space="preserve">    </w:t>
      </w:r>
      <w:r>
        <w:rPr>
          <w:rFonts w:hint="eastAsia" w:ascii="宋体" w:hAnsi="宋体" w:eastAsia="宋体" w:cs="宋体"/>
          <w:snapToGrid w:val="0"/>
          <w:color w:val="auto"/>
          <w:sz w:val="21"/>
          <w:highlight w:val="none"/>
        </w:rPr>
        <w:drawing>
          <wp:inline distT="0" distB="0" distL="114300" distR="114300">
            <wp:extent cx="5344160" cy="7471410"/>
            <wp:effectExtent l="0" t="0" r="8890" b="15240"/>
            <wp:docPr id="4" name="图片 14" descr="b7c3fa9a6b84aa75afaa6419d14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b7c3fa9a6b84aa75afaa6419d149817"/>
                    <pic:cNvPicPr>
                      <a:picLocks noChangeAspect="1"/>
                    </pic:cNvPicPr>
                  </pic:nvPicPr>
                  <pic:blipFill>
                    <a:blip r:embed="rId39"/>
                    <a:stretch>
                      <a:fillRect/>
                    </a:stretch>
                  </pic:blipFill>
                  <pic:spPr>
                    <a:xfrm>
                      <a:off x="0" y="0"/>
                      <a:ext cx="5344160" cy="7471410"/>
                    </a:xfrm>
                    <a:prstGeom prst="rect">
                      <a:avLst/>
                    </a:prstGeom>
                    <a:noFill/>
                    <a:ln>
                      <a:noFill/>
                    </a:ln>
                  </pic:spPr>
                </pic:pic>
              </a:graphicData>
            </a:graphic>
          </wp:inline>
        </w:drawing>
      </w:r>
    </w:p>
    <w:p w14:paraId="4CCD0474">
      <w:pPr>
        <w:pStyle w:val="51"/>
        <w:widowControl w:val="0"/>
        <w:wordWrap w:val="0"/>
        <w:adjustRightInd w:val="0"/>
        <w:snapToGrid w:val="0"/>
        <w:spacing w:line="240" w:lineRule="auto"/>
        <w:ind w:firstLine="0"/>
        <w:rPr>
          <w:rFonts w:hint="eastAsia" w:ascii="宋体" w:hAnsi="宋体" w:eastAsia="宋体" w:cs="宋体"/>
          <w:snapToGrid w:val="0"/>
          <w:color w:val="auto"/>
          <w:sz w:val="21"/>
          <w:highlight w:val="none"/>
        </w:rPr>
      </w:pPr>
    </w:p>
    <w:p w14:paraId="28D172E2">
      <w:pPr>
        <w:pStyle w:val="51"/>
        <w:widowControl w:val="0"/>
        <w:wordWrap w:val="0"/>
        <w:adjustRightInd w:val="0"/>
        <w:snapToGrid w:val="0"/>
        <w:spacing w:line="240" w:lineRule="auto"/>
        <w:ind w:firstLine="0"/>
        <w:rPr>
          <w:rFonts w:hint="eastAsia" w:ascii="宋体" w:hAnsi="宋体" w:eastAsia="宋体" w:cs="宋体"/>
          <w:snapToGrid w:val="0"/>
          <w:color w:val="auto"/>
          <w:sz w:val="21"/>
          <w:highlight w:val="none"/>
        </w:rPr>
      </w:pPr>
    </w:p>
    <w:p w14:paraId="12EE8B9F">
      <w:pPr>
        <w:pStyle w:val="51"/>
        <w:widowControl w:val="0"/>
        <w:wordWrap w:val="0"/>
        <w:adjustRightInd w:val="0"/>
        <w:snapToGrid w:val="0"/>
        <w:spacing w:line="240" w:lineRule="auto"/>
        <w:ind w:firstLine="0"/>
        <w:rPr>
          <w:rFonts w:hint="eastAsia" w:ascii="宋体" w:hAnsi="宋体" w:eastAsia="宋体" w:cs="宋体"/>
          <w:snapToGrid w:val="0"/>
          <w:color w:val="auto"/>
          <w:sz w:val="21"/>
          <w:highlight w:val="none"/>
        </w:rPr>
      </w:pPr>
    </w:p>
    <w:p w14:paraId="3E0B9180">
      <w:pPr>
        <w:pStyle w:val="51"/>
        <w:widowControl w:val="0"/>
        <w:wordWrap w:val="0"/>
        <w:adjustRightInd w:val="0"/>
        <w:snapToGrid w:val="0"/>
        <w:spacing w:line="240" w:lineRule="auto"/>
        <w:ind w:firstLine="482" w:firstLineChars="200"/>
        <w:rPr>
          <w:rFonts w:hint="eastAsia" w:ascii="宋体" w:hAnsi="宋体" w:eastAsia="宋体" w:cs="宋体"/>
          <w:b/>
          <w:bCs/>
          <w:snapToGrid w:val="0"/>
          <w:color w:val="auto"/>
          <w:sz w:val="24"/>
          <w:szCs w:val="24"/>
          <w:highlight w:val="none"/>
        </w:rPr>
      </w:pPr>
    </w:p>
    <w:p w14:paraId="416690AF">
      <w:pPr>
        <w:pStyle w:val="51"/>
        <w:widowControl w:val="0"/>
        <w:wordWrap w:val="0"/>
        <w:adjustRightInd w:val="0"/>
        <w:snapToGrid w:val="0"/>
        <w:spacing w:line="240" w:lineRule="auto"/>
        <w:ind w:firstLine="482" w:firstLineChars="200"/>
        <w:rPr>
          <w:rFonts w:hint="eastAsia" w:ascii="宋体" w:hAnsi="宋体" w:eastAsia="宋体" w:cs="宋体"/>
          <w:b/>
          <w:bCs/>
          <w:snapToGrid w:val="0"/>
          <w:color w:val="auto"/>
          <w:sz w:val="24"/>
          <w:szCs w:val="24"/>
          <w:highlight w:val="none"/>
        </w:rPr>
      </w:pPr>
    </w:p>
    <w:p w14:paraId="205A2DD9">
      <w:pPr>
        <w:pStyle w:val="51"/>
        <w:widowControl w:val="0"/>
        <w:wordWrap w:val="0"/>
        <w:adjustRightInd w:val="0"/>
        <w:snapToGrid w:val="0"/>
        <w:spacing w:line="240" w:lineRule="auto"/>
        <w:ind w:firstLine="0"/>
        <w:rPr>
          <w:rFonts w:hint="eastAsia" w:ascii="宋体" w:hAnsi="宋体" w:eastAsia="宋体" w:cs="宋体"/>
          <w:snapToGrid w:val="0"/>
          <w:color w:val="auto"/>
          <w:sz w:val="21"/>
          <w:highlight w:val="none"/>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r>
        <w:rPr>
          <w:rFonts w:hint="eastAsia" w:ascii="宋体" w:hAnsi="宋体" w:eastAsia="宋体" w:cs="宋体"/>
          <w:snapToGrid w:val="0"/>
          <w:color w:val="auto"/>
          <w:sz w:val="21"/>
          <w:highlight w:val="none"/>
        </w:rPr>
        <w:t xml:space="preserve">     </w:t>
      </w:r>
      <w:r>
        <w:rPr>
          <w:rFonts w:hint="eastAsia" w:ascii="宋体" w:hAnsi="宋体" w:eastAsia="宋体" w:cs="宋体"/>
          <w:color w:val="auto"/>
          <w:highlight w:val="none"/>
        </w:rPr>
        <w:drawing>
          <wp:inline distT="0" distB="0" distL="114300" distR="114300">
            <wp:extent cx="6188710" cy="6414135"/>
            <wp:effectExtent l="0" t="0" r="2540" b="5715"/>
            <wp:docPr id="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pic:cNvPicPr>
                      <a:picLocks noChangeAspect="1"/>
                    </pic:cNvPicPr>
                  </pic:nvPicPr>
                  <pic:blipFill>
                    <a:blip r:embed="rId40"/>
                    <a:stretch>
                      <a:fillRect/>
                    </a:stretch>
                  </pic:blipFill>
                  <pic:spPr>
                    <a:xfrm>
                      <a:off x="0" y="0"/>
                      <a:ext cx="6188710" cy="6414135"/>
                    </a:xfrm>
                    <a:prstGeom prst="rect">
                      <a:avLst/>
                    </a:prstGeom>
                    <a:noFill/>
                    <a:ln>
                      <a:noFill/>
                    </a:ln>
                  </pic:spPr>
                </pic:pic>
              </a:graphicData>
            </a:graphic>
          </wp:inline>
        </w:drawing>
      </w:r>
    </w:p>
    <w:p w14:paraId="022D6093">
      <w:pPr>
        <w:pStyle w:val="50"/>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snapToGrid w:val="0"/>
          <w:color w:val="auto"/>
          <w:highlight w:val="none"/>
        </w:rPr>
      </w:pPr>
      <w:r>
        <w:rPr>
          <w:rFonts w:hint="eastAsia" w:ascii="宋体" w:hAnsi="宋体" w:eastAsia="宋体" w:cs="宋体"/>
          <w:b/>
          <w:snapToGrid w:val="0"/>
          <w:color w:val="auto"/>
          <w:highlight w:val="none"/>
          <w:lang w:val="en-US" w:eastAsia="zh-CN"/>
        </w:rPr>
        <w:t xml:space="preserve"> </w:t>
      </w:r>
      <w:bookmarkStart w:id="262" w:name="_Toc11422"/>
      <w:r>
        <w:rPr>
          <w:rFonts w:hint="eastAsia" w:ascii="宋体" w:hAnsi="宋体" w:eastAsia="宋体" w:cs="宋体"/>
          <w:b/>
          <w:snapToGrid w:val="0"/>
          <w:color w:val="auto"/>
          <w:highlight w:val="none"/>
        </w:rPr>
        <w:t>格式十三</w:t>
      </w:r>
      <w:bookmarkEnd w:id="262"/>
    </w:p>
    <w:p w14:paraId="1331C1AA">
      <w:pPr>
        <w:spacing w:line="269" w:lineRule="auto"/>
        <w:rPr>
          <w:rFonts w:hint="eastAsia" w:ascii="宋体" w:hAnsi="宋体" w:eastAsia="宋体" w:cs="宋体"/>
          <w:color w:val="auto"/>
          <w:sz w:val="21"/>
          <w:highlight w:val="none"/>
        </w:rPr>
      </w:pPr>
    </w:p>
    <w:p w14:paraId="2B977B21">
      <w:pPr>
        <w:pStyle w:val="12"/>
        <w:spacing w:before="101" w:line="377" w:lineRule="auto"/>
        <w:ind w:left="3259" w:right="41" w:hanging="3213"/>
        <w:rPr>
          <w:rFonts w:hint="eastAsia" w:ascii="宋体" w:hAnsi="宋体" w:eastAsia="宋体" w:cs="宋体"/>
          <w:color w:val="auto"/>
          <w:sz w:val="28"/>
          <w:szCs w:val="28"/>
          <w:highlight w:val="none"/>
          <w:lang w:eastAsia="zh-CN"/>
        </w:rPr>
      </w:pPr>
      <w:r>
        <w:rPr>
          <w:rFonts w:hint="eastAsia" w:ascii="宋体" w:hAnsi="宋体" w:eastAsia="宋体" w:cs="宋体"/>
          <w:b/>
          <w:bCs/>
          <w:color w:val="auto"/>
          <w:spacing w:val="7"/>
          <w:sz w:val="28"/>
          <w:szCs w:val="28"/>
          <w:highlight w:val="none"/>
        </w:rPr>
        <w:t>危险性较大的分部分项工程清单及超过一定规模的危险性较大的</w:t>
      </w:r>
      <w:r>
        <w:rPr>
          <w:rFonts w:hint="eastAsia" w:ascii="宋体" w:hAnsi="宋体" w:eastAsia="宋体" w:cs="宋体"/>
          <w:b/>
          <w:bCs/>
          <w:color w:val="auto"/>
          <w:spacing w:val="5"/>
          <w:sz w:val="28"/>
          <w:szCs w:val="28"/>
          <w:highlight w:val="none"/>
        </w:rPr>
        <w:t>分部分项工程清单</w:t>
      </w:r>
      <w:r>
        <w:rPr>
          <w:rFonts w:hint="eastAsia" w:hAnsi="宋体" w:cs="宋体"/>
          <w:b/>
          <w:bCs/>
          <w:color w:val="auto"/>
          <w:spacing w:val="5"/>
          <w:sz w:val="28"/>
          <w:szCs w:val="28"/>
          <w:highlight w:val="none"/>
          <w:lang w:eastAsia="zh-CN"/>
        </w:rPr>
        <w:t>（</w:t>
      </w:r>
      <w:r>
        <w:rPr>
          <w:rFonts w:hint="eastAsia" w:hAnsi="宋体" w:cs="宋体"/>
          <w:b/>
          <w:bCs/>
          <w:color w:val="auto"/>
          <w:spacing w:val="5"/>
          <w:sz w:val="28"/>
          <w:szCs w:val="28"/>
          <w:highlight w:val="none"/>
          <w:lang w:val="en-US" w:eastAsia="zh-CN"/>
        </w:rPr>
        <w:t>本项目不适用</w:t>
      </w:r>
      <w:r>
        <w:rPr>
          <w:rFonts w:hint="eastAsia" w:hAnsi="宋体" w:cs="宋体"/>
          <w:b/>
          <w:bCs/>
          <w:color w:val="auto"/>
          <w:spacing w:val="5"/>
          <w:sz w:val="28"/>
          <w:szCs w:val="28"/>
          <w:highlight w:val="none"/>
          <w:lang w:eastAsia="zh-CN"/>
        </w:rPr>
        <w:t>）</w:t>
      </w:r>
    </w:p>
    <w:p w14:paraId="5C161208">
      <w:pPr>
        <w:pStyle w:val="12"/>
        <w:spacing w:before="6" w:line="326" w:lineRule="auto"/>
        <w:ind w:left="5" w:firstLine="492"/>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1、根据中华人民共和国住房和城乡建设部令第37号《危险性较大的分部分项工程</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2"/>
          <w:sz w:val="21"/>
          <w:szCs w:val="21"/>
          <w:highlight w:val="none"/>
        </w:rPr>
        <w:t>安全管理规定》（以下简称“37号文</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投标人在投标时须补充完善危大工程清单并明确相应的安全管理措施。</w:t>
      </w:r>
    </w:p>
    <w:p w14:paraId="3BF18099">
      <w:pPr>
        <w:pStyle w:val="12"/>
        <w:spacing w:before="208" w:line="326" w:lineRule="auto"/>
        <w:ind w:left="1" w:firstLine="481"/>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2、招标人根据设计文件的要求及37号文、粤建规范〔2019〕2号文的规定列出“危</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2"/>
          <w:sz w:val="21"/>
          <w:szCs w:val="21"/>
          <w:highlight w:val="none"/>
        </w:rPr>
        <w:t>险性较大的分部分项工程清单及超过一定规模的危</w:t>
      </w:r>
      <w:r>
        <w:rPr>
          <w:rFonts w:hint="eastAsia" w:ascii="宋体" w:hAnsi="宋体" w:eastAsia="宋体" w:cs="宋体"/>
          <w:color w:val="auto"/>
          <w:spacing w:val="-3"/>
          <w:sz w:val="21"/>
          <w:szCs w:val="21"/>
          <w:highlight w:val="none"/>
        </w:rPr>
        <w:t>险性较大的分部分项工程清单</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”中与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本招标项目相关的清单项，具体详见第5点“打</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”标识。</w:t>
      </w:r>
    </w:p>
    <w:p w14:paraId="317809E6">
      <w:pPr>
        <w:pStyle w:val="12"/>
        <w:spacing w:before="208" w:line="300" w:lineRule="auto"/>
        <w:ind w:left="3" w:right="72" w:firstLine="48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（1）投标单位同意建设单位在清单中标识的该</w:t>
      </w:r>
      <w:r>
        <w:rPr>
          <w:rFonts w:hint="eastAsia" w:ascii="宋体" w:hAnsi="宋体" w:eastAsia="宋体" w:cs="宋体"/>
          <w:color w:val="auto"/>
          <w:spacing w:val="-4"/>
          <w:sz w:val="21"/>
          <w:szCs w:val="21"/>
          <w:highlight w:val="none"/>
        </w:rPr>
        <w:t>项请在对应项打“</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”标识，并与</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投标文件中提供相应的安全管理措施。</w:t>
      </w:r>
    </w:p>
    <w:p w14:paraId="0D3975BB">
      <w:pPr>
        <w:pStyle w:val="12"/>
        <w:spacing w:before="206" w:line="300" w:lineRule="auto"/>
        <w:ind w:left="2" w:right="72" w:firstLine="48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（2）投标单位对清单中认为需要补充的该项请</w:t>
      </w:r>
      <w:r>
        <w:rPr>
          <w:rFonts w:hint="eastAsia" w:ascii="宋体" w:hAnsi="宋体" w:eastAsia="宋体" w:cs="宋体"/>
          <w:color w:val="auto"/>
          <w:spacing w:val="-4"/>
          <w:sz w:val="21"/>
          <w:szCs w:val="21"/>
          <w:highlight w:val="none"/>
        </w:rPr>
        <w:t>在对应项打“</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4"/>
          <w:sz w:val="21"/>
          <w:szCs w:val="21"/>
          <w:highlight w:val="none"/>
        </w:rPr>
        <w:t>”标识，并与投标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文件中提供相应的安全管理措施。</w:t>
      </w:r>
    </w:p>
    <w:p w14:paraId="64B5BEAC">
      <w:pPr>
        <w:pStyle w:val="12"/>
        <w:spacing w:before="208" w:line="300" w:lineRule="auto"/>
        <w:ind w:right="72" w:firstLine="492"/>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（3）投标单位不同意建设单位在清单中标识的该项请在对应项打“</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3"/>
          <w:sz w:val="21"/>
          <w:szCs w:val="21"/>
          <w:highlight w:val="none"/>
        </w:rPr>
        <w:t>”标识，并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在备注栏填上相关说明。</w:t>
      </w:r>
    </w:p>
    <w:p w14:paraId="0E20BBF1">
      <w:pPr>
        <w:pStyle w:val="12"/>
        <w:spacing w:before="210" w:line="370" w:lineRule="auto"/>
        <w:ind w:firstLine="484"/>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u w:val="single" w:color="auto"/>
        </w:rPr>
        <w:t>3、投标单位应当在投标时根据招标人提供的下述第5点清单，</w:t>
      </w:r>
      <w:r>
        <w:rPr>
          <w:rFonts w:hint="eastAsia" w:ascii="宋体" w:hAnsi="宋体" w:eastAsia="宋体" w:cs="宋体"/>
          <w:b/>
          <w:bCs/>
          <w:color w:val="auto"/>
          <w:spacing w:val="-5"/>
          <w:sz w:val="21"/>
          <w:szCs w:val="21"/>
          <w:highlight w:val="none"/>
          <w:u w:val="single" w:color="auto"/>
        </w:rPr>
        <w:t>在投标施工组织中回</w:t>
      </w:r>
      <w:r>
        <w:rPr>
          <w:rFonts w:hint="eastAsia" w:ascii="宋体" w:hAnsi="宋体" w:eastAsia="宋体" w:cs="宋体"/>
          <w:b/>
          <w:bCs/>
          <w:color w:val="auto"/>
          <w:spacing w:val="-4"/>
          <w:sz w:val="21"/>
          <w:szCs w:val="21"/>
          <w:highlight w:val="none"/>
          <w:u w:val="single" w:color="auto"/>
        </w:rPr>
        <w:t>应建设单位提供的危大工程清单，补充相应的安全管理措施。（为减轻标书编制</w:t>
      </w:r>
      <w:r>
        <w:rPr>
          <w:rFonts w:hint="eastAsia" w:ascii="宋体" w:hAnsi="宋体" w:eastAsia="宋体" w:cs="宋体"/>
          <w:b/>
          <w:bCs/>
          <w:color w:val="auto"/>
          <w:spacing w:val="-5"/>
          <w:sz w:val="21"/>
          <w:szCs w:val="21"/>
          <w:highlight w:val="none"/>
          <w:u w:val="single" w:color="auto"/>
        </w:rPr>
        <w:t>的工作</w:t>
      </w:r>
      <w:r>
        <w:rPr>
          <w:rFonts w:hint="eastAsia" w:ascii="宋体" w:hAnsi="宋体" w:eastAsia="宋体" w:cs="宋体"/>
          <w:b/>
          <w:bCs/>
          <w:color w:val="auto"/>
          <w:spacing w:val="-2"/>
          <w:sz w:val="21"/>
          <w:szCs w:val="21"/>
          <w:highlight w:val="none"/>
          <w:u w:val="single" w:color="auto"/>
        </w:rPr>
        <w:t>量，投标单位回应的危大工程清单该部分的页数应控制在3页内）</w:t>
      </w:r>
    </w:p>
    <w:p w14:paraId="5B0B1CCD">
      <w:pPr>
        <w:pStyle w:val="12"/>
        <w:spacing w:before="37" w:line="326" w:lineRule="auto"/>
        <w:ind w:left="1" w:firstLine="47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4、对于超过一定规模的危大工程，中标单位应当组织召开</w:t>
      </w:r>
      <w:r>
        <w:rPr>
          <w:rFonts w:hint="eastAsia" w:ascii="宋体" w:hAnsi="宋体" w:eastAsia="宋体" w:cs="宋体"/>
          <w:color w:val="auto"/>
          <w:spacing w:val="-1"/>
          <w:sz w:val="21"/>
          <w:szCs w:val="21"/>
          <w:highlight w:val="none"/>
        </w:rPr>
        <w:t>专家论证会对专项施工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方案进行论证。实行施工总承包的，由施工总承包单位组织召开专家论证会。专家论证</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
          <w:sz w:val="21"/>
          <w:szCs w:val="21"/>
          <w:highlight w:val="none"/>
        </w:rPr>
        <w:t>前专项施工方案应当通过施工总承包单位审核和总监理工程师审查。</w:t>
      </w:r>
    </w:p>
    <w:p w14:paraId="6AF3F067">
      <w:pPr>
        <w:pStyle w:val="12"/>
        <w:spacing w:before="205" w:line="301" w:lineRule="auto"/>
        <w:ind w:firstLine="48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5、危险性较大的分部分项工程清单及超过一</w:t>
      </w:r>
      <w:r>
        <w:rPr>
          <w:rFonts w:hint="eastAsia" w:ascii="宋体" w:hAnsi="宋体" w:eastAsia="宋体" w:cs="宋体"/>
          <w:color w:val="auto"/>
          <w:spacing w:val="1"/>
          <w:sz w:val="21"/>
          <w:szCs w:val="21"/>
          <w:highlight w:val="none"/>
        </w:rPr>
        <w:t>定规模的危险性较大的分部分项工程</w:t>
      </w:r>
      <w:r>
        <w:rPr>
          <w:rFonts w:hint="eastAsia" w:ascii="宋体" w:hAnsi="宋体" w:eastAsia="宋体" w:cs="宋体"/>
          <w:color w:val="auto"/>
          <w:spacing w:val="-4"/>
          <w:sz w:val="21"/>
          <w:szCs w:val="21"/>
          <w:highlight w:val="none"/>
        </w:rPr>
        <w:t>清单：</w:t>
      </w:r>
    </w:p>
    <w:p w14:paraId="244E5648">
      <w:pPr>
        <w:spacing w:line="79" w:lineRule="exact"/>
        <w:rPr>
          <w:rFonts w:hint="eastAsia" w:ascii="宋体" w:hAnsi="宋体" w:eastAsia="宋体" w:cs="宋体"/>
          <w:color w:val="auto"/>
          <w:sz w:val="21"/>
          <w:szCs w:val="21"/>
          <w:highlight w:val="none"/>
        </w:rPr>
      </w:pPr>
    </w:p>
    <w:tbl>
      <w:tblPr>
        <w:tblStyle w:val="164"/>
        <w:tblW w:w="94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
        <w:gridCol w:w="5535"/>
        <w:gridCol w:w="15"/>
        <w:gridCol w:w="8"/>
        <w:gridCol w:w="690"/>
        <w:gridCol w:w="125"/>
        <w:gridCol w:w="497"/>
        <w:gridCol w:w="17"/>
        <w:gridCol w:w="54"/>
        <w:gridCol w:w="691"/>
        <w:gridCol w:w="128"/>
        <w:gridCol w:w="475"/>
        <w:gridCol w:w="4"/>
        <w:gridCol w:w="85"/>
        <w:gridCol w:w="961"/>
        <w:gridCol w:w="15"/>
        <w:gridCol w:w="109"/>
      </w:tblGrid>
      <w:tr w14:paraId="699C9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09" w:type="dxa"/>
          <w:trHeight w:val="501" w:hRule="atLeast"/>
          <w:jc w:val="center"/>
        </w:trPr>
        <w:tc>
          <w:tcPr>
            <w:tcW w:w="5535" w:type="dxa"/>
            <w:noWrap w:val="0"/>
            <w:vAlign w:val="top"/>
          </w:tcPr>
          <w:p w14:paraId="7568C80D">
            <w:pPr>
              <w:pStyle w:val="163"/>
              <w:spacing w:before="132" w:line="220" w:lineRule="auto"/>
              <w:ind w:left="624"/>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一、危险性较大的分部分项工程清单</w:t>
            </w:r>
          </w:p>
        </w:tc>
        <w:tc>
          <w:tcPr>
            <w:tcW w:w="1352" w:type="dxa"/>
            <w:gridSpan w:val="6"/>
            <w:noWrap w:val="0"/>
            <w:vAlign w:val="top"/>
          </w:tcPr>
          <w:p w14:paraId="1794D27E">
            <w:pPr>
              <w:pStyle w:val="163"/>
              <w:spacing w:before="132" w:line="221" w:lineRule="auto"/>
              <w:ind w:left="20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建设单位</w:t>
            </w:r>
          </w:p>
        </w:tc>
        <w:tc>
          <w:tcPr>
            <w:tcW w:w="1352" w:type="dxa"/>
            <w:gridSpan w:val="5"/>
            <w:noWrap w:val="0"/>
            <w:vAlign w:val="top"/>
          </w:tcPr>
          <w:p w14:paraId="6183A1DA">
            <w:pPr>
              <w:pStyle w:val="163"/>
              <w:spacing w:before="132" w:line="221" w:lineRule="auto"/>
              <w:ind w:left="205"/>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1061" w:type="dxa"/>
            <w:gridSpan w:val="3"/>
            <w:noWrap w:val="0"/>
            <w:vAlign w:val="top"/>
          </w:tcPr>
          <w:p w14:paraId="138E3199">
            <w:pPr>
              <w:pStyle w:val="163"/>
              <w:spacing w:before="131" w:line="222" w:lineRule="auto"/>
              <w:ind w:left="3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14:paraId="01B69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09" w:type="dxa"/>
          <w:trHeight w:val="498" w:hRule="atLeast"/>
          <w:jc w:val="center"/>
        </w:trPr>
        <w:tc>
          <w:tcPr>
            <w:tcW w:w="5535" w:type="dxa"/>
            <w:noWrap w:val="0"/>
            <w:vAlign w:val="top"/>
          </w:tcPr>
          <w:p w14:paraId="48193C3C">
            <w:pPr>
              <w:pStyle w:val="163"/>
              <w:spacing w:before="130" w:line="221"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一、基坑支护</w:t>
            </w:r>
          </w:p>
        </w:tc>
        <w:tc>
          <w:tcPr>
            <w:tcW w:w="1352" w:type="dxa"/>
            <w:gridSpan w:val="6"/>
            <w:noWrap w:val="0"/>
            <w:vAlign w:val="top"/>
          </w:tcPr>
          <w:p w14:paraId="753169EC">
            <w:pPr>
              <w:pStyle w:val="163"/>
              <w:spacing w:before="130" w:line="223" w:lineRule="auto"/>
              <w:ind w:left="5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52" w:type="dxa"/>
            <w:gridSpan w:val="5"/>
            <w:noWrap w:val="0"/>
            <w:vAlign w:val="top"/>
          </w:tcPr>
          <w:p w14:paraId="51277CCC">
            <w:pPr>
              <w:pStyle w:val="163"/>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3"/>
            <w:noWrap w:val="0"/>
            <w:vAlign w:val="top"/>
          </w:tcPr>
          <w:p w14:paraId="45783714">
            <w:pPr>
              <w:rPr>
                <w:rFonts w:hint="eastAsia" w:ascii="宋体" w:hAnsi="宋体" w:eastAsia="宋体" w:cs="宋体"/>
                <w:color w:val="auto"/>
                <w:sz w:val="21"/>
                <w:szCs w:val="21"/>
                <w:highlight w:val="none"/>
              </w:rPr>
            </w:pPr>
          </w:p>
        </w:tc>
      </w:tr>
      <w:tr w14:paraId="03C08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09" w:type="dxa"/>
          <w:trHeight w:val="990" w:hRule="atLeast"/>
          <w:jc w:val="center"/>
        </w:trPr>
        <w:tc>
          <w:tcPr>
            <w:tcW w:w="5535" w:type="dxa"/>
            <w:noWrap w:val="0"/>
            <w:vAlign w:val="top"/>
          </w:tcPr>
          <w:p w14:paraId="67B5EE97">
            <w:pPr>
              <w:pStyle w:val="163"/>
              <w:spacing w:before="129" w:line="327" w:lineRule="auto"/>
              <w:ind w:left="135" w:right="68" w:hanging="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（一）开挖深度超过</w:t>
            </w:r>
            <w:r>
              <w:rPr>
                <w:rFonts w:hint="eastAsia" w:ascii="宋体" w:hAnsi="宋体" w:eastAsia="宋体" w:cs="宋体"/>
                <w:color w:val="auto"/>
                <w:spacing w:val="-29"/>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3m（含</w:t>
            </w:r>
            <w:r>
              <w:rPr>
                <w:rFonts w:hint="eastAsia" w:ascii="宋体" w:hAnsi="宋体" w:eastAsia="宋体" w:cs="宋体"/>
                <w:color w:val="auto"/>
                <w:spacing w:val="-46"/>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3m）的基坑（槽）</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的土方开挖、支护、降水工程。</w:t>
            </w:r>
          </w:p>
        </w:tc>
        <w:tc>
          <w:tcPr>
            <w:tcW w:w="1352" w:type="dxa"/>
            <w:gridSpan w:val="6"/>
            <w:noWrap w:val="0"/>
            <w:vAlign w:val="top"/>
          </w:tcPr>
          <w:p w14:paraId="555512AA">
            <w:pPr>
              <w:spacing w:line="296" w:lineRule="auto"/>
              <w:rPr>
                <w:rFonts w:hint="eastAsia" w:ascii="宋体" w:hAnsi="宋体" w:eastAsia="宋体" w:cs="宋体"/>
                <w:color w:val="auto"/>
                <w:sz w:val="21"/>
                <w:szCs w:val="21"/>
                <w:highlight w:val="none"/>
                <w:lang w:eastAsia="zh-CN"/>
              </w:rPr>
            </w:pPr>
          </w:p>
          <w:p w14:paraId="782D9C04">
            <w:pPr>
              <w:pStyle w:val="163"/>
              <w:spacing w:before="78" w:line="223" w:lineRule="auto"/>
              <w:ind w:left="396"/>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52" w:type="dxa"/>
            <w:gridSpan w:val="5"/>
            <w:noWrap w:val="0"/>
            <w:vAlign w:val="top"/>
          </w:tcPr>
          <w:p w14:paraId="5BAAF5D7">
            <w:pPr>
              <w:spacing w:line="296" w:lineRule="auto"/>
              <w:rPr>
                <w:rFonts w:hint="eastAsia" w:ascii="宋体" w:hAnsi="宋体" w:eastAsia="宋体" w:cs="宋体"/>
                <w:color w:val="auto"/>
                <w:sz w:val="21"/>
                <w:szCs w:val="21"/>
                <w:highlight w:val="none"/>
              </w:rPr>
            </w:pPr>
          </w:p>
          <w:p w14:paraId="29B4422D">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3"/>
            <w:noWrap w:val="0"/>
            <w:vAlign w:val="top"/>
          </w:tcPr>
          <w:p w14:paraId="29B9A615">
            <w:pPr>
              <w:rPr>
                <w:rFonts w:hint="eastAsia" w:ascii="宋体" w:hAnsi="宋体" w:eastAsia="宋体" w:cs="宋体"/>
                <w:color w:val="auto"/>
                <w:sz w:val="21"/>
                <w:szCs w:val="21"/>
                <w:highlight w:val="none"/>
              </w:rPr>
            </w:pPr>
          </w:p>
        </w:tc>
      </w:tr>
      <w:tr w14:paraId="06CE7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30" w:type="dxa"/>
          <w:wAfter w:w="109" w:type="dxa"/>
          <w:trHeight w:val="500" w:hRule="atLeast"/>
          <w:jc w:val="center"/>
        </w:trPr>
        <w:tc>
          <w:tcPr>
            <w:tcW w:w="5535" w:type="dxa"/>
            <w:noWrap w:val="0"/>
            <w:vAlign w:val="top"/>
          </w:tcPr>
          <w:p w14:paraId="017653D5">
            <w:pPr>
              <w:pStyle w:val="163"/>
              <w:spacing w:before="132"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（二）开挖深度虽未超过</w:t>
            </w:r>
            <w:r>
              <w:rPr>
                <w:rFonts w:hint="eastAsia" w:ascii="宋体" w:hAnsi="宋体" w:eastAsia="宋体" w:cs="宋体"/>
                <w:color w:val="auto"/>
                <w:spacing w:val="-30"/>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3m，但地质条件、周</w:t>
            </w:r>
          </w:p>
        </w:tc>
        <w:tc>
          <w:tcPr>
            <w:tcW w:w="1352" w:type="dxa"/>
            <w:gridSpan w:val="6"/>
            <w:noWrap w:val="0"/>
            <w:vAlign w:val="top"/>
          </w:tcPr>
          <w:p w14:paraId="65CC0D69">
            <w:pPr>
              <w:pStyle w:val="163"/>
              <w:spacing w:before="132"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52" w:type="dxa"/>
            <w:gridSpan w:val="5"/>
            <w:noWrap w:val="0"/>
            <w:vAlign w:val="top"/>
          </w:tcPr>
          <w:p w14:paraId="75BF7715">
            <w:pPr>
              <w:pStyle w:val="163"/>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61" w:type="dxa"/>
            <w:gridSpan w:val="3"/>
            <w:noWrap w:val="0"/>
            <w:vAlign w:val="top"/>
          </w:tcPr>
          <w:p w14:paraId="3AF92480">
            <w:pPr>
              <w:rPr>
                <w:rFonts w:hint="eastAsia" w:ascii="宋体" w:hAnsi="宋体" w:eastAsia="宋体" w:cs="宋体"/>
                <w:color w:val="auto"/>
                <w:sz w:val="21"/>
                <w:szCs w:val="21"/>
                <w:highlight w:val="none"/>
              </w:rPr>
            </w:pPr>
          </w:p>
        </w:tc>
      </w:tr>
      <w:tr w14:paraId="7518D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1050" w:hRule="atLeast"/>
          <w:jc w:val="center"/>
        </w:trPr>
        <w:tc>
          <w:tcPr>
            <w:tcW w:w="5550" w:type="dxa"/>
            <w:gridSpan w:val="2"/>
            <w:noWrap w:val="0"/>
            <w:vAlign w:val="top"/>
          </w:tcPr>
          <w:p w14:paraId="511860C6">
            <w:pPr>
              <w:pStyle w:val="163"/>
              <w:spacing w:before="130" w:line="346" w:lineRule="auto"/>
              <w:ind w:left="116" w:right="168" w:firstLine="21"/>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围环境和地下管线复杂，或影响毗邻建、构筑</w:t>
            </w:r>
            <w:r>
              <w:rPr>
                <w:rFonts w:hint="eastAsia" w:ascii="宋体" w:hAnsi="宋体" w:eastAsia="宋体" w:cs="宋体"/>
                <w:color w:val="auto"/>
                <w:spacing w:val="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物安全的基坑（槽）的土方开挖、支护、降水</w:t>
            </w:r>
            <w:r>
              <w:rPr>
                <w:rFonts w:hint="eastAsia" w:ascii="宋体" w:hAnsi="宋体" w:eastAsia="宋体" w:cs="宋体"/>
                <w:color w:val="auto"/>
                <w:spacing w:val="9"/>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工程。</w:t>
            </w:r>
          </w:p>
        </w:tc>
        <w:tc>
          <w:tcPr>
            <w:tcW w:w="1320" w:type="dxa"/>
            <w:gridSpan w:val="4"/>
            <w:noWrap w:val="0"/>
            <w:vAlign w:val="top"/>
          </w:tcPr>
          <w:p w14:paraId="7EC66107">
            <w:pPr>
              <w:rPr>
                <w:rFonts w:hint="eastAsia" w:ascii="宋体" w:hAnsi="宋体" w:eastAsia="宋体" w:cs="宋体"/>
                <w:color w:val="auto"/>
                <w:sz w:val="21"/>
                <w:szCs w:val="21"/>
                <w:highlight w:val="none"/>
                <w:lang w:eastAsia="zh-CN"/>
              </w:rPr>
            </w:pPr>
          </w:p>
        </w:tc>
        <w:tc>
          <w:tcPr>
            <w:tcW w:w="1365" w:type="dxa"/>
            <w:gridSpan w:val="5"/>
            <w:noWrap w:val="0"/>
            <w:vAlign w:val="top"/>
          </w:tcPr>
          <w:p w14:paraId="388DE14E">
            <w:pPr>
              <w:rPr>
                <w:rFonts w:hint="eastAsia" w:ascii="宋体" w:hAnsi="宋体" w:eastAsia="宋体" w:cs="宋体"/>
                <w:color w:val="auto"/>
                <w:sz w:val="21"/>
                <w:szCs w:val="21"/>
                <w:highlight w:val="none"/>
                <w:lang w:eastAsia="zh-CN"/>
              </w:rPr>
            </w:pPr>
          </w:p>
        </w:tc>
        <w:tc>
          <w:tcPr>
            <w:tcW w:w="1050" w:type="dxa"/>
            <w:gridSpan w:val="3"/>
            <w:noWrap w:val="0"/>
            <w:vAlign w:val="top"/>
          </w:tcPr>
          <w:p w14:paraId="099DE9F1">
            <w:pPr>
              <w:rPr>
                <w:rFonts w:hint="eastAsia" w:ascii="宋体" w:hAnsi="宋体" w:eastAsia="宋体" w:cs="宋体"/>
                <w:color w:val="auto"/>
                <w:sz w:val="21"/>
                <w:szCs w:val="21"/>
                <w:highlight w:val="none"/>
                <w:lang w:eastAsia="zh-CN"/>
              </w:rPr>
            </w:pPr>
          </w:p>
        </w:tc>
      </w:tr>
      <w:tr w14:paraId="64F69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498" w:hRule="atLeast"/>
          <w:jc w:val="center"/>
        </w:trPr>
        <w:tc>
          <w:tcPr>
            <w:tcW w:w="5550" w:type="dxa"/>
            <w:gridSpan w:val="2"/>
            <w:noWrap w:val="0"/>
            <w:vAlign w:val="top"/>
          </w:tcPr>
          <w:p w14:paraId="77C094A1">
            <w:pPr>
              <w:pStyle w:val="163"/>
              <w:spacing w:before="127" w:line="219" w:lineRule="auto"/>
              <w:ind w:left="12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二、模板工程及支撑体系</w:t>
            </w:r>
          </w:p>
        </w:tc>
        <w:tc>
          <w:tcPr>
            <w:tcW w:w="1320" w:type="dxa"/>
            <w:gridSpan w:val="4"/>
            <w:noWrap w:val="0"/>
            <w:vAlign w:val="top"/>
          </w:tcPr>
          <w:p w14:paraId="5FE51BA0">
            <w:pPr>
              <w:pStyle w:val="163"/>
              <w:spacing w:before="126"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2EDE62AD">
            <w:pPr>
              <w:pStyle w:val="163"/>
              <w:spacing w:before="126"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5011B2D1">
            <w:pPr>
              <w:rPr>
                <w:rFonts w:hint="eastAsia" w:ascii="宋体" w:hAnsi="宋体" w:eastAsia="宋体" w:cs="宋体"/>
                <w:color w:val="auto"/>
                <w:sz w:val="21"/>
                <w:szCs w:val="21"/>
                <w:highlight w:val="none"/>
              </w:rPr>
            </w:pPr>
          </w:p>
        </w:tc>
      </w:tr>
      <w:tr w14:paraId="7698A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991" w:hRule="atLeast"/>
          <w:jc w:val="center"/>
        </w:trPr>
        <w:tc>
          <w:tcPr>
            <w:tcW w:w="5550" w:type="dxa"/>
            <w:gridSpan w:val="2"/>
            <w:noWrap w:val="0"/>
            <w:vAlign w:val="top"/>
          </w:tcPr>
          <w:p w14:paraId="51B46B37">
            <w:pPr>
              <w:pStyle w:val="163"/>
              <w:spacing w:before="128" w:line="328" w:lineRule="auto"/>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6"/>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飞模、隧道模等工程。</w:t>
            </w:r>
          </w:p>
        </w:tc>
        <w:tc>
          <w:tcPr>
            <w:tcW w:w="1320" w:type="dxa"/>
            <w:gridSpan w:val="4"/>
            <w:noWrap w:val="0"/>
            <w:vAlign w:val="top"/>
          </w:tcPr>
          <w:p w14:paraId="400FC6F1">
            <w:pPr>
              <w:spacing w:line="295" w:lineRule="auto"/>
              <w:rPr>
                <w:rFonts w:hint="eastAsia" w:ascii="宋体" w:hAnsi="宋体" w:eastAsia="宋体" w:cs="宋体"/>
                <w:color w:val="auto"/>
                <w:sz w:val="21"/>
                <w:szCs w:val="21"/>
                <w:highlight w:val="none"/>
                <w:lang w:eastAsia="zh-CN"/>
              </w:rPr>
            </w:pPr>
          </w:p>
          <w:p w14:paraId="2BFDE218">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63B79B45">
            <w:pPr>
              <w:spacing w:line="295" w:lineRule="auto"/>
              <w:rPr>
                <w:rFonts w:hint="eastAsia" w:ascii="宋体" w:hAnsi="宋体" w:eastAsia="宋体" w:cs="宋体"/>
                <w:color w:val="auto"/>
                <w:sz w:val="21"/>
                <w:szCs w:val="21"/>
                <w:highlight w:val="none"/>
              </w:rPr>
            </w:pPr>
          </w:p>
          <w:p w14:paraId="785EFF54">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55965615">
            <w:pPr>
              <w:rPr>
                <w:rFonts w:hint="eastAsia" w:ascii="宋体" w:hAnsi="宋体" w:eastAsia="宋体" w:cs="宋体"/>
                <w:color w:val="auto"/>
                <w:sz w:val="21"/>
                <w:szCs w:val="21"/>
                <w:highlight w:val="none"/>
              </w:rPr>
            </w:pPr>
          </w:p>
        </w:tc>
      </w:tr>
      <w:tr w14:paraId="3C82F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2285" w:hRule="atLeast"/>
          <w:jc w:val="center"/>
        </w:trPr>
        <w:tc>
          <w:tcPr>
            <w:tcW w:w="5550" w:type="dxa"/>
            <w:gridSpan w:val="2"/>
            <w:noWrap w:val="0"/>
            <w:vAlign w:val="top"/>
          </w:tcPr>
          <w:p w14:paraId="583693E3">
            <w:pPr>
              <w:pStyle w:val="163"/>
              <w:spacing w:before="131" w:line="362" w:lineRule="auto"/>
              <w:ind w:left="115" w:right="10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（二）混凝土模板支撑工程：搭设高度</w:t>
            </w:r>
            <w:r>
              <w:rPr>
                <w:rFonts w:hint="eastAsia" w:ascii="宋体" w:hAnsi="宋体" w:eastAsia="宋体" w:cs="宋体"/>
                <w:color w:val="auto"/>
                <w:spacing w:val="-43"/>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及以</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上，或搭设跨度</w:t>
            </w:r>
            <w:r>
              <w:rPr>
                <w:rFonts w:hint="eastAsia" w:ascii="宋体" w:hAnsi="宋体" w:eastAsia="宋体" w:cs="宋体"/>
                <w:color w:val="auto"/>
                <w:spacing w:val="-33"/>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10m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0"/>
                <w:sz w:val="21"/>
                <w:szCs w:val="21"/>
                <w:highlight w:val="none"/>
                <w:lang w:eastAsia="zh-CN"/>
              </w:rPr>
              <w:t>及以上，或施工总荷</w:t>
            </w:r>
            <w:r>
              <w:rPr>
                <w:rFonts w:hint="eastAsia" w:ascii="宋体" w:hAnsi="宋体" w:eastAsia="宋体" w:cs="宋体"/>
                <w:color w:val="auto"/>
                <w:spacing w:val="-11"/>
                <w:sz w:val="21"/>
                <w:szCs w:val="21"/>
                <w:highlight w:val="none"/>
                <w:lang w:eastAsia="zh-CN"/>
              </w:rPr>
              <w:t>载（荷</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载效应基本组合的设计值，以下简称设计值）</w:t>
            </w:r>
            <w:r>
              <w:rPr>
                <w:rFonts w:hint="eastAsia" w:ascii="宋体" w:hAnsi="宋体" w:eastAsia="宋体" w:cs="宋体"/>
                <w:color w:val="auto"/>
                <w:spacing w:val="14"/>
                <w:sz w:val="21"/>
                <w:szCs w:val="21"/>
                <w:highlight w:val="none"/>
                <w:lang w:eastAsia="zh-CN"/>
              </w:rPr>
              <w:t xml:space="preserve"> </w:t>
            </w:r>
            <w:r>
              <w:rPr>
                <w:rFonts w:hint="eastAsia" w:ascii="宋体" w:hAnsi="宋体" w:eastAsia="宋体" w:cs="宋体"/>
                <w:color w:val="auto"/>
                <w:spacing w:val="-14"/>
                <w:sz w:val="21"/>
                <w:szCs w:val="21"/>
                <w:highlight w:val="none"/>
                <w:lang w:eastAsia="zh-CN"/>
              </w:rPr>
              <w:t>10kN/m2</w:t>
            </w:r>
            <w:r>
              <w:rPr>
                <w:rFonts w:hint="eastAsia" w:ascii="宋体" w:hAnsi="宋体" w:eastAsia="宋体" w:cs="宋体"/>
                <w:color w:val="auto"/>
                <w:spacing w:val="-35"/>
                <w:sz w:val="21"/>
                <w:szCs w:val="21"/>
                <w:highlight w:val="none"/>
                <w:lang w:eastAsia="zh-CN"/>
              </w:rPr>
              <w:t xml:space="preserve"> </w:t>
            </w:r>
            <w:r>
              <w:rPr>
                <w:rFonts w:hint="eastAsia" w:ascii="宋体" w:hAnsi="宋体" w:eastAsia="宋体" w:cs="宋体"/>
                <w:color w:val="auto"/>
                <w:spacing w:val="-14"/>
                <w:sz w:val="21"/>
                <w:szCs w:val="21"/>
                <w:highlight w:val="none"/>
                <w:lang w:eastAsia="zh-CN"/>
              </w:rPr>
              <w:t>及以上，或集中线荷载（设计值）15kN/m</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及以上，或高度大于支撑水平投影宽度且相对</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独立无联系构件的混凝土模板支撑工程。</w:t>
            </w:r>
          </w:p>
        </w:tc>
        <w:tc>
          <w:tcPr>
            <w:tcW w:w="1320" w:type="dxa"/>
            <w:gridSpan w:val="4"/>
            <w:noWrap w:val="0"/>
            <w:vAlign w:val="top"/>
          </w:tcPr>
          <w:p w14:paraId="5D24138C">
            <w:pPr>
              <w:spacing w:line="255" w:lineRule="auto"/>
              <w:rPr>
                <w:rFonts w:hint="eastAsia" w:ascii="宋体" w:hAnsi="宋体" w:eastAsia="宋体" w:cs="宋体"/>
                <w:color w:val="auto"/>
                <w:sz w:val="21"/>
                <w:szCs w:val="21"/>
                <w:highlight w:val="none"/>
                <w:lang w:eastAsia="zh-CN"/>
              </w:rPr>
            </w:pPr>
          </w:p>
          <w:p w14:paraId="27BE90A6">
            <w:pPr>
              <w:spacing w:line="255" w:lineRule="auto"/>
              <w:rPr>
                <w:rFonts w:hint="eastAsia" w:ascii="宋体" w:hAnsi="宋体" w:eastAsia="宋体" w:cs="宋体"/>
                <w:color w:val="auto"/>
                <w:sz w:val="21"/>
                <w:szCs w:val="21"/>
                <w:highlight w:val="none"/>
                <w:lang w:eastAsia="zh-CN"/>
              </w:rPr>
            </w:pPr>
          </w:p>
          <w:p w14:paraId="60F379A4">
            <w:pPr>
              <w:spacing w:line="255" w:lineRule="auto"/>
              <w:rPr>
                <w:rFonts w:hint="eastAsia" w:ascii="宋体" w:hAnsi="宋体" w:eastAsia="宋体" w:cs="宋体"/>
                <w:color w:val="auto"/>
                <w:sz w:val="21"/>
                <w:szCs w:val="21"/>
                <w:highlight w:val="none"/>
                <w:lang w:eastAsia="zh-CN"/>
              </w:rPr>
            </w:pPr>
          </w:p>
          <w:p w14:paraId="1EA58DF5">
            <w:pPr>
              <w:spacing w:line="255" w:lineRule="auto"/>
              <w:rPr>
                <w:rFonts w:hint="eastAsia" w:ascii="宋体" w:hAnsi="宋体" w:eastAsia="宋体" w:cs="宋体"/>
                <w:color w:val="auto"/>
                <w:sz w:val="21"/>
                <w:szCs w:val="21"/>
                <w:highlight w:val="none"/>
                <w:lang w:eastAsia="zh-CN"/>
              </w:rPr>
            </w:pPr>
          </w:p>
          <w:p w14:paraId="024031DF">
            <w:pPr>
              <w:spacing w:line="255" w:lineRule="auto"/>
              <w:rPr>
                <w:rFonts w:hint="eastAsia" w:ascii="宋体" w:hAnsi="宋体" w:eastAsia="宋体" w:cs="宋体"/>
                <w:color w:val="auto"/>
                <w:sz w:val="21"/>
                <w:szCs w:val="21"/>
                <w:highlight w:val="none"/>
                <w:lang w:eastAsia="zh-CN"/>
              </w:rPr>
            </w:pPr>
          </w:p>
          <w:p w14:paraId="108A8784">
            <w:pPr>
              <w:pStyle w:val="163"/>
              <w:spacing w:before="78"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4C462238">
            <w:pPr>
              <w:spacing w:line="255" w:lineRule="auto"/>
              <w:rPr>
                <w:rFonts w:hint="eastAsia" w:ascii="宋体" w:hAnsi="宋体" w:eastAsia="宋体" w:cs="宋体"/>
                <w:color w:val="auto"/>
                <w:sz w:val="21"/>
                <w:szCs w:val="21"/>
                <w:highlight w:val="none"/>
              </w:rPr>
            </w:pPr>
          </w:p>
          <w:p w14:paraId="717E60F3">
            <w:pPr>
              <w:spacing w:line="255" w:lineRule="auto"/>
              <w:rPr>
                <w:rFonts w:hint="eastAsia" w:ascii="宋体" w:hAnsi="宋体" w:eastAsia="宋体" w:cs="宋体"/>
                <w:color w:val="auto"/>
                <w:sz w:val="21"/>
                <w:szCs w:val="21"/>
                <w:highlight w:val="none"/>
              </w:rPr>
            </w:pPr>
          </w:p>
          <w:p w14:paraId="440644A3">
            <w:pPr>
              <w:spacing w:line="255" w:lineRule="auto"/>
              <w:rPr>
                <w:rFonts w:hint="eastAsia" w:ascii="宋体" w:hAnsi="宋体" w:eastAsia="宋体" w:cs="宋体"/>
                <w:color w:val="auto"/>
                <w:sz w:val="21"/>
                <w:szCs w:val="21"/>
                <w:highlight w:val="none"/>
              </w:rPr>
            </w:pPr>
          </w:p>
          <w:p w14:paraId="1B32CD81">
            <w:pPr>
              <w:spacing w:line="255" w:lineRule="auto"/>
              <w:rPr>
                <w:rFonts w:hint="eastAsia" w:ascii="宋体" w:hAnsi="宋体" w:eastAsia="宋体" w:cs="宋体"/>
                <w:color w:val="auto"/>
                <w:sz w:val="21"/>
                <w:szCs w:val="21"/>
                <w:highlight w:val="none"/>
              </w:rPr>
            </w:pPr>
          </w:p>
          <w:p w14:paraId="2313F48A">
            <w:pPr>
              <w:spacing w:line="255" w:lineRule="auto"/>
              <w:rPr>
                <w:rFonts w:hint="eastAsia" w:ascii="宋体" w:hAnsi="宋体" w:eastAsia="宋体" w:cs="宋体"/>
                <w:color w:val="auto"/>
                <w:sz w:val="21"/>
                <w:szCs w:val="21"/>
                <w:highlight w:val="none"/>
              </w:rPr>
            </w:pPr>
          </w:p>
          <w:p w14:paraId="0A1518D4">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728537D5">
            <w:pPr>
              <w:rPr>
                <w:rFonts w:hint="eastAsia" w:ascii="宋体" w:hAnsi="宋体" w:eastAsia="宋体" w:cs="宋体"/>
                <w:color w:val="auto"/>
                <w:sz w:val="21"/>
                <w:szCs w:val="21"/>
                <w:highlight w:val="none"/>
              </w:rPr>
            </w:pPr>
          </w:p>
        </w:tc>
      </w:tr>
      <w:tr w14:paraId="25AA7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717" w:hRule="atLeast"/>
          <w:jc w:val="center"/>
        </w:trPr>
        <w:tc>
          <w:tcPr>
            <w:tcW w:w="5550" w:type="dxa"/>
            <w:gridSpan w:val="2"/>
            <w:noWrap w:val="0"/>
            <w:vAlign w:val="top"/>
          </w:tcPr>
          <w:p w14:paraId="54572AB7">
            <w:pPr>
              <w:pStyle w:val="163"/>
              <w:spacing w:before="131" w:line="327"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支撑体系。</w:t>
            </w:r>
          </w:p>
        </w:tc>
        <w:tc>
          <w:tcPr>
            <w:tcW w:w="1320" w:type="dxa"/>
            <w:gridSpan w:val="4"/>
            <w:noWrap w:val="0"/>
            <w:vAlign w:val="top"/>
          </w:tcPr>
          <w:p w14:paraId="2A7777AD">
            <w:pPr>
              <w:spacing w:line="296" w:lineRule="auto"/>
              <w:rPr>
                <w:rFonts w:hint="eastAsia" w:ascii="宋体" w:hAnsi="宋体" w:eastAsia="宋体" w:cs="宋体"/>
                <w:color w:val="auto"/>
                <w:sz w:val="21"/>
                <w:szCs w:val="21"/>
                <w:highlight w:val="none"/>
                <w:lang w:eastAsia="zh-CN"/>
              </w:rPr>
            </w:pPr>
          </w:p>
          <w:p w14:paraId="23C11ABA">
            <w:pPr>
              <w:pStyle w:val="163"/>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54525405">
            <w:pPr>
              <w:spacing w:line="296" w:lineRule="auto"/>
              <w:rPr>
                <w:rFonts w:hint="eastAsia" w:ascii="宋体" w:hAnsi="宋体" w:eastAsia="宋体" w:cs="宋体"/>
                <w:color w:val="auto"/>
                <w:sz w:val="21"/>
                <w:szCs w:val="21"/>
                <w:highlight w:val="none"/>
              </w:rPr>
            </w:pPr>
          </w:p>
          <w:p w14:paraId="3294BF67">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5C8CC862">
            <w:pPr>
              <w:rPr>
                <w:rFonts w:hint="eastAsia" w:ascii="宋体" w:hAnsi="宋体" w:eastAsia="宋体" w:cs="宋体"/>
                <w:color w:val="auto"/>
                <w:sz w:val="21"/>
                <w:szCs w:val="21"/>
                <w:highlight w:val="none"/>
              </w:rPr>
            </w:pPr>
          </w:p>
        </w:tc>
      </w:tr>
      <w:tr w14:paraId="2E2877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499" w:hRule="atLeast"/>
          <w:jc w:val="center"/>
        </w:trPr>
        <w:tc>
          <w:tcPr>
            <w:tcW w:w="5550" w:type="dxa"/>
            <w:gridSpan w:val="2"/>
            <w:noWrap w:val="0"/>
            <w:vAlign w:val="top"/>
          </w:tcPr>
          <w:p w14:paraId="604B60D9">
            <w:pPr>
              <w:pStyle w:val="163"/>
              <w:spacing w:before="131" w:line="219" w:lineRule="auto"/>
              <w:ind w:left="35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三、起重吊装及起重机械安装拆卸工程</w:t>
            </w:r>
          </w:p>
        </w:tc>
        <w:tc>
          <w:tcPr>
            <w:tcW w:w="1320" w:type="dxa"/>
            <w:gridSpan w:val="4"/>
            <w:noWrap w:val="0"/>
            <w:vAlign w:val="top"/>
          </w:tcPr>
          <w:p w14:paraId="3FC9613A">
            <w:pPr>
              <w:pStyle w:val="163"/>
              <w:spacing w:before="13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7A3477BB">
            <w:pPr>
              <w:pStyle w:val="163"/>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44A5BCA1">
            <w:pPr>
              <w:rPr>
                <w:rFonts w:hint="eastAsia" w:ascii="宋体" w:hAnsi="宋体" w:eastAsia="宋体" w:cs="宋体"/>
                <w:color w:val="auto"/>
                <w:sz w:val="21"/>
                <w:szCs w:val="21"/>
                <w:highlight w:val="none"/>
              </w:rPr>
            </w:pPr>
          </w:p>
        </w:tc>
      </w:tr>
      <w:tr w14:paraId="6E6D1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991" w:hRule="atLeast"/>
          <w:jc w:val="center"/>
        </w:trPr>
        <w:tc>
          <w:tcPr>
            <w:tcW w:w="5550" w:type="dxa"/>
            <w:gridSpan w:val="2"/>
            <w:noWrap w:val="0"/>
            <w:vAlign w:val="top"/>
          </w:tcPr>
          <w:p w14:paraId="13307FE3">
            <w:pPr>
              <w:pStyle w:val="163"/>
              <w:spacing w:before="130" w:line="327" w:lineRule="auto"/>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吊重量在</w:t>
            </w:r>
            <w:r>
              <w:rPr>
                <w:rFonts w:hint="eastAsia" w:ascii="宋体" w:hAnsi="宋体" w:eastAsia="宋体" w:cs="宋体"/>
                <w:color w:val="auto"/>
                <w:spacing w:val="-32"/>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10kN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及以上的起重吊装工程。</w:t>
            </w:r>
          </w:p>
        </w:tc>
        <w:tc>
          <w:tcPr>
            <w:tcW w:w="1320" w:type="dxa"/>
            <w:gridSpan w:val="4"/>
            <w:noWrap w:val="0"/>
            <w:vAlign w:val="top"/>
          </w:tcPr>
          <w:p w14:paraId="5FB87C0C">
            <w:pPr>
              <w:spacing w:line="295" w:lineRule="auto"/>
              <w:rPr>
                <w:rFonts w:hint="eastAsia" w:ascii="宋体" w:hAnsi="宋体" w:eastAsia="宋体" w:cs="宋体"/>
                <w:color w:val="auto"/>
                <w:sz w:val="21"/>
                <w:szCs w:val="21"/>
                <w:highlight w:val="none"/>
                <w:lang w:eastAsia="zh-CN"/>
              </w:rPr>
            </w:pPr>
          </w:p>
          <w:p w14:paraId="7C69614B">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0BA6C02B">
            <w:pPr>
              <w:spacing w:line="295" w:lineRule="auto"/>
              <w:rPr>
                <w:rFonts w:hint="eastAsia" w:ascii="宋体" w:hAnsi="宋体" w:eastAsia="宋体" w:cs="宋体"/>
                <w:color w:val="auto"/>
                <w:sz w:val="21"/>
                <w:szCs w:val="21"/>
                <w:highlight w:val="none"/>
              </w:rPr>
            </w:pPr>
          </w:p>
          <w:p w14:paraId="24CF7CFC">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2D764E24">
            <w:pPr>
              <w:rPr>
                <w:rFonts w:hint="eastAsia" w:ascii="宋体" w:hAnsi="宋体" w:eastAsia="宋体" w:cs="宋体"/>
                <w:color w:val="auto"/>
                <w:sz w:val="21"/>
                <w:szCs w:val="21"/>
                <w:highlight w:val="none"/>
              </w:rPr>
            </w:pPr>
          </w:p>
        </w:tc>
      </w:tr>
      <w:tr w14:paraId="29B1F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498" w:hRule="atLeast"/>
          <w:jc w:val="center"/>
        </w:trPr>
        <w:tc>
          <w:tcPr>
            <w:tcW w:w="5550" w:type="dxa"/>
            <w:gridSpan w:val="2"/>
            <w:noWrap w:val="0"/>
            <w:vAlign w:val="top"/>
          </w:tcPr>
          <w:p w14:paraId="732AEA08">
            <w:pPr>
              <w:pStyle w:val="163"/>
              <w:spacing w:before="131"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（二）采用起重机械进行安装的工程。</w:t>
            </w:r>
          </w:p>
        </w:tc>
        <w:tc>
          <w:tcPr>
            <w:tcW w:w="1320" w:type="dxa"/>
            <w:gridSpan w:val="4"/>
            <w:noWrap w:val="0"/>
            <w:vAlign w:val="top"/>
          </w:tcPr>
          <w:p w14:paraId="20CD3CB6">
            <w:pPr>
              <w:pStyle w:val="163"/>
              <w:spacing w:before="130"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2387619B">
            <w:pPr>
              <w:pStyle w:val="163"/>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720822A8">
            <w:pPr>
              <w:rPr>
                <w:rFonts w:hint="eastAsia" w:ascii="宋体" w:hAnsi="宋体" w:eastAsia="宋体" w:cs="宋体"/>
                <w:color w:val="auto"/>
                <w:sz w:val="21"/>
                <w:szCs w:val="21"/>
                <w:highlight w:val="none"/>
              </w:rPr>
            </w:pPr>
          </w:p>
        </w:tc>
      </w:tr>
      <w:tr w14:paraId="5EE21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499" w:hRule="atLeast"/>
          <w:jc w:val="center"/>
        </w:trPr>
        <w:tc>
          <w:tcPr>
            <w:tcW w:w="5550" w:type="dxa"/>
            <w:gridSpan w:val="2"/>
            <w:noWrap w:val="0"/>
            <w:vAlign w:val="top"/>
          </w:tcPr>
          <w:p w14:paraId="59482247">
            <w:pPr>
              <w:pStyle w:val="163"/>
              <w:spacing w:before="132"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（三）起重机械安装和拆卸工程。</w:t>
            </w:r>
          </w:p>
        </w:tc>
        <w:tc>
          <w:tcPr>
            <w:tcW w:w="1320" w:type="dxa"/>
            <w:gridSpan w:val="4"/>
            <w:noWrap w:val="0"/>
            <w:vAlign w:val="top"/>
          </w:tcPr>
          <w:p w14:paraId="0D18CA01">
            <w:pPr>
              <w:pStyle w:val="163"/>
              <w:spacing w:before="131"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16B383EE">
            <w:pPr>
              <w:pStyle w:val="163"/>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3A991064">
            <w:pPr>
              <w:rPr>
                <w:rFonts w:hint="eastAsia" w:ascii="宋体" w:hAnsi="宋体" w:eastAsia="宋体" w:cs="宋体"/>
                <w:color w:val="auto"/>
                <w:sz w:val="21"/>
                <w:szCs w:val="21"/>
                <w:highlight w:val="none"/>
              </w:rPr>
            </w:pPr>
          </w:p>
        </w:tc>
      </w:tr>
      <w:tr w14:paraId="4B5DE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498" w:hRule="atLeast"/>
          <w:jc w:val="center"/>
        </w:trPr>
        <w:tc>
          <w:tcPr>
            <w:tcW w:w="5550" w:type="dxa"/>
            <w:gridSpan w:val="2"/>
            <w:noWrap w:val="0"/>
            <w:vAlign w:val="top"/>
          </w:tcPr>
          <w:p w14:paraId="00B83FCB">
            <w:pPr>
              <w:pStyle w:val="163"/>
              <w:spacing w:before="132" w:line="219" w:lineRule="auto"/>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1320" w:type="dxa"/>
            <w:gridSpan w:val="4"/>
            <w:noWrap w:val="0"/>
            <w:vAlign w:val="top"/>
          </w:tcPr>
          <w:p w14:paraId="2270F5DE">
            <w:pPr>
              <w:pStyle w:val="163"/>
              <w:spacing w:before="131" w:line="223"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4E3797DA">
            <w:pPr>
              <w:pStyle w:val="163"/>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1281BD6B">
            <w:pPr>
              <w:rPr>
                <w:rFonts w:hint="eastAsia" w:ascii="宋体" w:hAnsi="宋体" w:eastAsia="宋体" w:cs="宋体"/>
                <w:color w:val="auto"/>
                <w:sz w:val="21"/>
                <w:szCs w:val="21"/>
                <w:highlight w:val="none"/>
              </w:rPr>
            </w:pPr>
          </w:p>
        </w:tc>
      </w:tr>
      <w:tr w14:paraId="3B2C7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991" w:hRule="atLeast"/>
          <w:jc w:val="center"/>
        </w:trPr>
        <w:tc>
          <w:tcPr>
            <w:tcW w:w="5550" w:type="dxa"/>
            <w:gridSpan w:val="2"/>
            <w:noWrap w:val="0"/>
            <w:vAlign w:val="top"/>
          </w:tcPr>
          <w:p w14:paraId="5B5B6D27">
            <w:pPr>
              <w:pStyle w:val="163"/>
              <w:spacing w:before="133" w:line="326"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（一）搭设高度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24m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及以上的落地式钢管脚手</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架工程（包括采光井、电梯井脚手架）。</w:t>
            </w:r>
          </w:p>
        </w:tc>
        <w:tc>
          <w:tcPr>
            <w:tcW w:w="1320" w:type="dxa"/>
            <w:gridSpan w:val="4"/>
            <w:noWrap w:val="0"/>
            <w:vAlign w:val="top"/>
          </w:tcPr>
          <w:p w14:paraId="0E0DBD6A">
            <w:pPr>
              <w:spacing w:line="297" w:lineRule="auto"/>
              <w:rPr>
                <w:rFonts w:hint="eastAsia" w:ascii="宋体" w:hAnsi="宋体" w:eastAsia="宋体" w:cs="宋体"/>
                <w:color w:val="auto"/>
                <w:sz w:val="21"/>
                <w:szCs w:val="21"/>
                <w:highlight w:val="none"/>
                <w:lang w:eastAsia="zh-CN"/>
              </w:rPr>
            </w:pPr>
          </w:p>
          <w:p w14:paraId="46E64D31">
            <w:pPr>
              <w:pStyle w:val="163"/>
              <w:spacing w:before="78"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3"/>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54676F35">
            <w:pPr>
              <w:spacing w:line="297" w:lineRule="auto"/>
              <w:rPr>
                <w:rFonts w:hint="eastAsia" w:ascii="宋体" w:hAnsi="宋体" w:eastAsia="宋体" w:cs="宋体"/>
                <w:color w:val="auto"/>
                <w:sz w:val="21"/>
                <w:szCs w:val="21"/>
                <w:highlight w:val="none"/>
              </w:rPr>
            </w:pPr>
          </w:p>
          <w:p w14:paraId="3E4D0349">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5591AEEA">
            <w:pPr>
              <w:rPr>
                <w:rFonts w:hint="eastAsia" w:ascii="宋体" w:hAnsi="宋体" w:eastAsia="宋体" w:cs="宋体"/>
                <w:color w:val="auto"/>
                <w:sz w:val="21"/>
                <w:szCs w:val="21"/>
                <w:highlight w:val="none"/>
              </w:rPr>
            </w:pPr>
          </w:p>
        </w:tc>
      </w:tr>
      <w:tr w14:paraId="5CFEB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499" w:hRule="atLeast"/>
          <w:jc w:val="center"/>
        </w:trPr>
        <w:tc>
          <w:tcPr>
            <w:tcW w:w="5550" w:type="dxa"/>
            <w:gridSpan w:val="2"/>
            <w:noWrap w:val="0"/>
            <w:vAlign w:val="top"/>
          </w:tcPr>
          <w:p w14:paraId="1A96A3C6">
            <w:pPr>
              <w:pStyle w:val="163"/>
              <w:spacing w:before="133"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（二）附着式升降脚手架工程。</w:t>
            </w:r>
          </w:p>
        </w:tc>
        <w:tc>
          <w:tcPr>
            <w:tcW w:w="1320" w:type="dxa"/>
            <w:gridSpan w:val="4"/>
            <w:noWrap w:val="0"/>
            <w:vAlign w:val="top"/>
          </w:tcPr>
          <w:p w14:paraId="448BB1C2">
            <w:pPr>
              <w:pStyle w:val="163"/>
              <w:spacing w:before="132"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74D73F45">
            <w:pPr>
              <w:pStyle w:val="163"/>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76CC2E9D">
            <w:pPr>
              <w:rPr>
                <w:rFonts w:hint="eastAsia" w:ascii="宋体" w:hAnsi="宋体" w:eastAsia="宋体" w:cs="宋体"/>
                <w:color w:val="auto"/>
                <w:sz w:val="21"/>
                <w:szCs w:val="21"/>
                <w:highlight w:val="none"/>
              </w:rPr>
            </w:pPr>
          </w:p>
        </w:tc>
      </w:tr>
      <w:tr w14:paraId="196A9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498" w:hRule="atLeast"/>
          <w:jc w:val="center"/>
        </w:trPr>
        <w:tc>
          <w:tcPr>
            <w:tcW w:w="5550" w:type="dxa"/>
            <w:gridSpan w:val="2"/>
            <w:noWrap w:val="0"/>
            <w:vAlign w:val="top"/>
          </w:tcPr>
          <w:p w14:paraId="7B41C1D2">
            <w:pPr>
              <w:pStyle w:val="163"/>
              <w:spacing w:before="133"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（三）悬挑式脚手架工程。</w:t>
            </w:r>
          </w:p>
        </w:tc>
        <w:tc>
          <w:tcPr>
            <w:tcW w:w="1320" w:type="dxa"/>
            <w:gridSpan w:val="4"/>
            <w:noWrap w:val="0"/>
            <w:vAlign w:val="top"/>
          </w:tcPr>
          <w:p w14:paraId="1EE70272">
            <w:pPr>
              <w:pStyle w:val="163"/>
              <w:spacing w:before="132"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2B060909">
            <w:pPr>
              <w:pStyle w:val="163"/>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6F4F3BCE">
            <w:pPr>
              <w:rPr>
                <w:rFonts w:hint="eastAsia" w:ascii="宋体" w:hAnsi="宋体" w:eastAsia="宋体" w:cs="宋体"/>
                <w:color w:val="auto"/>
                <w:sz w:val="21"/>
                <w:szCs w:val="21"/>
                <w:highlight w:val="none"/>
              </w:rPr>
            </w:pPr>
          </w:p>
        </w:tc>
      </w:tr>
      <w:tr w14:paraId="1269F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499" w:hRule="atLeast"/>
          <w:jc w:val="center"/>
        </w:trPr>
        <w:tc>
          <w:tcPr>
            <w:tcW w:w="5550" w:type="dxa"/>
            <w:gridSpan w:val="2"/>
            <w:noWrap w:val="0"/>
            <w:vAlign w:val="top"/>
          </w:tcPr>
          <w:p w14:paraId="08AD6711">
            <w:pPr>
              <w:pStyle w:val="163"/>
              <w:spacing w:before="133"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（四）高处作业吊篮。</w:t>
            </w:r>
          </w:p>
        </w:tc>
        <w:tc>
          <w:tcPr>
            <w:tcW w:w="1320" w:type="dxa"/>
            <w:gridSpan w:val="4"/>
            <w:noWrap w:val="0"/>
            <w:vAlign w:val="top"/>
          </w:tcPr>
          <w:p w14:paraId="50CBBE34">
            <w:pPr>
              <w:pStyle w:val="163"/>
              <w:spacing w:before="133"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2824066B">
            <w:pPr>
              <w:pStyle w:val="163"/>
              <w:spacing w:before="133"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78317CE0">
            <w:pPr>
              <w:rPr>
                <w:rFonts w:hint="eastAsia" w:ascii="宋体" w:hAnsi="宋体" w:eastAsia="宋体" w:cs="宋体"/>
                <w:color w:val="auto"/>
                <w:sz w:val="21"/>
                <w:szCs w:val="21"/>
                <w:highlight w:val="none"/>
              </w:rPr>
            </w:pPr>
          </w:p>
        </w:tc>
      </w:tr>
      <w:tr w14:paraId="01614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498" w:hRule="atLeast"/>
          <w:jc w:val="center"/>
        </w:trPr>
        <w:tc>
          <w:tcPr>
            <w:tcW w:w="5550" w:type="dxa"/>
            <w:gridSpan w:val="2"/>
            <w:noWrap w:val="0"/>
            <w:vAlign w:val="top"/>
          </w:tcPr>
          <w:p w14:paraId="7AEF9172">
            <w:pPr>
              <w:pStyle w:val="163"/>
              <w:spacing w:before="131"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（五）卸料平台、操作平台工程。</w:t>
            </w:r>
          </w:p>
        </w:tc>
        <w:tc>
          <w:tcPr>
            <w:tcW w:w="1320" w:type="dxa"/>
            <w:gridSpan w:val="4"/>
            <w:noWrap w:val="0"/>
            <w:vAlign w:val="top"/>
          </w:tcPr>
          <w:p w14:paraId="07DCEE52">
            <w:pPr>
              <w:pStyle w:val="163"/>
              <w:spacing w:before="131" w:line="223" w:lineRule="auto"/>
              <w:ind w:left="24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4EEC3FD0">
            <w:pPr>
              <w:pStyle w:val="163"/>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2C957969">
            <w:pPr>
              <w:rPr>
                <w:rFonts w:hint="eastAsia" w:ascii="宋体" w:hAnsi="宋体" w:eastAsia="宋体" w:cs="宋体"/>
                <w:color w:val="auto"/>
                <w:sz w:val="21"/>
                <w:szCs w:val="21"/>
                <w:highlight w:val="none"/>
              </w:rPr>
            </w:pPr>
          </w:p>
        </w:tc>
      </w:tr>
      <w:tr w14:paraId="127FC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499" w:hRule="atLeast"/>
          <w:jc w:val="center"/>
        </w:trPr>
        <w:tc>
          <w:tcPr>
            <w:tcW w:w="5550" w:type="dxa"/>
            <w:gridSpan w:val="2"/>
            <w:noWrap w:val="0"/>
            <w:vAlign w:val="top"/>
          </w:tcPr>
          <w:p w14:paraId="4577DCA0">
            <w:pPr>
              <w:pStyle w:val="163"/>
              <w:spacing w:before="132"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（六）异型脚手架工程。</w:t>
            </w:r>
          </w:p>
        </w:tc>
        <w:tc>
          <w:tcPr>
            <w:tcW w:w="1320" w:type="dxa"/>
            <w:gridSpan w:val="4"/>
            <w:noWrap w:val="0"/>
            <w:vAlign w:val="top"/>
          </w:tcPr>
          <w:p w14:paraId="43FCB3B6">
            <w:pPr>
              <w:pStyle w:val="163"/>
              <w:spacing w:before="132"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2A63698D">
            <w:pPr>
              <w:pStyle w:val="163"/>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0AF415A0">
            <w:pPr>
              <w:rPr>
                <w:rFonts w:hint="eastAsia" w:ascii="宋体" w:hAnsi="宋体" w:eastAsia="宋体" w:cs="宋体"/>
                <w:color w:val="auto"/>
                <w:sz w:val="21"/>
                <w:szCs w:val="21"/>
                <w:highlight w:val="none"/>
              </w:rPr>
            </w:pPr>
          </w:p>
        </w:tc>
      </w:tr>
      <w:tr w14:paraId="463C3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500" w:hRule="atLeast"/>
          <w:jc w:val="center"/>
        </w:trPr>
        <w:tc>
          <w:tcPr>
            <w:tcW w:w="5550" w:type="dxa"/>
            <w:gridSpan w:val="2"/>
            <w:noWrap w:val="0"/>
            <w:vAlign w:val="top"/>
          </w:tcPr>
          <w:p w14:paraId="679E2935">
            <w:pPr>
              <w:pStyle w:val="163"/>
              <w:spacing w:before="132" w:line="220"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五、拆除工程</w:t>
            </w:r>
          </w:p>
        </w:tc>
        <w:tc>
          <w:tcPr>
            <w:tcW w:w="1320" w:type="dxa"/>
            <w:gridSpan w:val="4"/>
            <w:noWrap w:val="0"/>
            <w:vAlign w:val="top"/>
          </w:tcPr>
          <w:p w14:paraId="5A99DB28">
            <w:pPr>
              <w:pStyle w:val="163"/>
              <w:spacing w:before="132" w:line="223" w:lineRule="auto"/>
              <w:ind w:left="48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19"/>
                <w:w w:val="94"/>
                <w:sz w:val="21"/>
                <w:szCs w:val="21"/>
                <w:highlight w:val="none"/>
                <w:lang w:val="en-US" w:eastAsia="zh-CN"/>
              </w:rPr>
              <w:t xml:space="preserve">  </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1D4F8009">
            <w:pPr>
              <w:pStyle w:val="163"/>
              <w:spacing w:before="132"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576655CD">
            <w:pPr>
              <w:rPr>
                <w:rFonts w:hint="eastAsia" w:ascii="宋体" w:hAnsi="宋体" w:eastAsia="宋体" w:cs="宋体"/>
                <w:color w:val="auto"/>
                <w:sz w:val="21"/>
                <w:szCs w:val="21"/>
                <w:highlight w:val="none"/>
              </w:rPr>
            </w:pPr>
          </w:p>
        </w:tc>
      </w:tr>
      <w:tr w14:paraId="080A9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500" w:hRule="atLeast"/>
          <w:jc w:val="center"/>
        </w:trPr>
        <w:tc>
          <w:tcPr>
            <w:tcW w:w="5550" w:type="dxa"/>
            <w:gridSpan w:val="2"/>
            <w:noWrap w:val="0"/>
            <w:vAlign w:val="top"/>
          </w:tcPr>
          <w:p w14:paraId="6819A3DD">
            <w:pPr>
              <w:pStyle w:val="163"/>
              <w:spacing w:before="130" w:line="329" w:lineRule="auto"/>
              <w:ind w:left="117" w:leftChars="0" w:right="168" w:righ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1"/>
                <w:sz w:val="21"/>
                <w:szCs w:val="21"/>
                <w:highlight w:val="none"/>
                <w:lang w:eastAsia="zh-CN"/>
              </w:rPr>
              <w:t>可能影响行人、交通、电力设施、通讯设施或</w:t>
            </w:r>
            <w:r>
              <w:rPr>
                <w:rFonts w:hint="eastAsia" w:ascii="宋体" w:hAnsi="宋体" w:eastAsia="宋体" w:cs="宋体"/>
                <w:color w:val="auto"/>
                <w:spacing w:val="7"/>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其它建、构筑物安全的拆除工程。</w:t>
            </w:r>
          </w:p>
        </w:tc>
        <w:tc>
          <w:tcPr>
            <w:tcW w:w="1320" w:type="dxa"/>
            <w:gridSpan w:val="4"/>
            <w:noWrap w:val="0"/>
            <w:vAlign w:val="top"/>
          </w:tcPr>
          <w:p w14:paraId="41630A60">
            <w:pPr>
              <w:spacing w:line="298" w:lineRule="auto"/>
              <w:rPr>
                <w:rFonts w:hint="eastAsia" w:ascii="宋体" w:hAnsi="宋体" w:eastAsia="宋体" w:cs="宋体"/>
                <w:color w:val="auto"/>
                <w:sz w:val="21"/>
                <w:szCs w:val="21"/>
                <w:highlight w:val="none"/>
                <w:lang w:eastAsia="zh-CN"/>
              </w:rPr>
            </w:pPr>
          </w:p>
          <w:p w14:paraId="3C40241A">
            <w:pPr>
              <w:pStyle w:val="163"/>
              <w:spacing w:before="78" w:line="223" w:lineRule="auto"/>
              <w:ind w:left="305"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369F4118">
            <w:pPr>
              <w:spacing w:line="298" w:lineRule="auto"/>
              <w:rPr>
                <w:rFonts w:hint="eastAsia" w:ascii="宋体" w:hAnsi="宋体" w:eastAsia="宋体" w:cs="宋体"/>
                <w:color w:val="auto"/>
                <w:sz w:val="21"/>
                <w:szCs w:val="21"/>
                <w:highlight w:val="none"/>
              </w:rPr>
            </w:pPr>
          </w:p>
          <w:p w14:paraId="0999F42B">
            <w:pPr>
              <w:pStyle w:val="163"/>
              <w:spacing w:before="78" w:line="223" w:lineRule="auto"/>
              <w:ind w:left="367" w:leftChars="0"/>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7EC98BE0">
            <w:pPr>
              <w:rPr>
                <w:rFonts w:hint="eastAsia" w:ascii="宋体" w:hAnsi="宋体" w:eastAsia="宋体" w:cs="宋体"/>
                <w:color w:val="auto"/>
                <w:sz w:val="21"/>
                <w:szCs w:val="21"/>
                <w:highlight w:val="none"/>
              </w:rPr>
            </w:pPr>
          </w:p>
        </w:tc>
      </w:tr>
      <w:tr w14:paraId="6D34D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500" w:hRule="atLeast"/>
          <w:jc w:val="center"/>
        </w:trPr>
        <w:tc>
          <w:tcPr>
            <w:tcW w:w="5550" w:type="dxa"/>
            <w:gridSpan w:val="2"/>
            <w:noWrap w:val="0"/>
            <w:vAlign w:val="top"/>
          </w:tcPr>
          <w:p w14:paraId="2547E027">
            <w:pPr>
              <w:pStyle w:val="163"/>
              <w:spacing w:before="130" w:line="329" w:lineRule="auto"/>
              <w:ind w:left="117" w:leftChars="0" w:right="168" w:rightChars="0"/>
              <w:rPr>
                <w:rFonts w:hint="eastAsia" w:ascii="宋体" w:hAnsi="宋体" w:eastAsia="宋体" w:cs="宋体"/>
                <w:color w:val="auto"/>
                <w:spacing w:val="-1"/>
                <w:sz w:val="21"/>
                <w:szCs w:val="21"/>
                <w:highlight w:val="none"/>
                <w:lang w:eastAsia="zh-CN"/>
              </w:rPr>
            </w:pPr>
            <w:r>
              <w:rPr>
                <w:rFonts w:hint="eastAsia" w:ascii="宋体" w:hAnsi="宋体" w:eastAsia="宋体" w:cs="宋体"/>
                <w:color w:val="auto"/>
                <w:spacing w:val="-2"/>
                <w:sz w:val="21"/>
                <w:szCs w:val="21"/>
                <w:highlight w:val="none"/>
              </w:rPr>
              <w:t>六、暗挖工程</w:t>
            </w:r>
          </w:p>
        </w:tc>
        <w:tc>
          <w:tcPr>
            <w:tcW w:w="1320" w:type="dxa"/>
            <w:gridSpan w:val="4"/>
            <w:noWrap w:val="0"/>
            <w:vAlign w:val="top"/>
          </w:tcPr>
          <w:p w14:paraId="61E2E044">
            <w:pPr>
              <w:pStyle w:val="163"/>
              <w:spacing w:before="78" w:line="223" w:lineRule="auto"/>
              <w:ind w:left="305" w:leftChars="0"/>
              <w:rPr>
                <w:rFonts w:hint="eastAsia" w:ascii="宋体" w:hAnsi="宋体" w:eastAsia="宋体" w:cs="宋体"/>
                <w:color w:val="auto"/>
                <w:spacing w:val="-19"/>
                <w:w w:val="94"/>
                <w:sz w:val="21"/>
                <w:szCs w:val="21"/>
                <w:highlight w:val="none"/>
              </w:rPr>
            </w:pPr>
          </w:p>
        </w:tc>
        <w:tc>
          <w:tcPr>
            <w:tcW w:w="1365" w:type="dxa"/>
            <w:gridSpan w:val="5"/>
            <w:noWrap w:val="0"/>
            <w:vAlign w:val="top"/>
          </w:tcPr>
          <w:p w14:paraId="6E19B530">
            <w:pPr>
              <w:pStyle w:val="163"/>
              <w:spacing w:before="78" w:line="223" w:lineRule="auto"/>
              <w:ind w:left="367" w:leftChars="0"/>
              <w:rPr>
                <w:rFonts w:hint="eastAsia" w:ascii="宋体" w:hAnsi="宋体" w:eastAsia="宋体" w:cs="宋体"/>
                <w:color w:val="auto"/>
                <w:spacing w:val="-19"/>
                <w:w w:val="94"/>
                <w:sz w:val="21"/>
                <w:szCs w:val="21"/>
                <w:highlight w:val="none"/>
              </w:rPr>
            </w:pPr>
          </w:p>
        </w:tc>
        <w:tc>
          <w:tcPr>
            <w:tcW w:w="1050" w:type="dxa"/>
            <w:gridSpan w:val="3"/>
            <w:noWrap w:val="0"/>
            <w:vAlign w:val="top"/>
          </w:tcPr>
          <w:p w14:paraId="6263A102">
            <w:pPr>
              <w:rPr>
                <w:rFonts w:hint="eastAsia" w:ascii="宋体" w:hAnsi="宋体" w:eastAsia="宋体" w:cs="宋体"/>
                <w:color w:val="auto"/>
                <w:sz w:val="21"/>
                <w:szCs w:val="21"/>
                <w:highlight w:val="none"/>
              </w:rPr>
            </w:pPr>
          </w:p>
        </w:tc>
      </w:tr>
      <w:tr w14:paraId="33DE4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654" w:hRule="atLeast"/>
          <w:jc w:val="center"/>
        </w:trPr>
        <w:tc>
          <w:tcPr>
            <w:tcW w:w="5550" w:type="dxa"/>
            <w:gridSpan w:val="2"/>
            <w:noWrap w:val="0"/>
            <w:vAlign w:val="top"/>
          </w:tcPr>
          <w:p w14:paraId="16BABB1A">
            <w:pPr>
              <w:pStyle w:val="163"/>
              <w:spacing w:before="125" w:line="329" w:lineRule="auto"/>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室工程。</w:t>
            </w:r>
          </w:p>
        </w:tc>
        <w:tc>
          <w:tcPr>
            <w:tcW w:w="1320" w:type="dxa"/>
            <w:gridSpan w:val="4"/>
            <w:noWrap w:val="0"/>
            <w:vAlign w:val="top"/>
          </w:tcPr>
          <w:p w14:paraId="7D4D998D">
            <w:pPr>
              <w:spacing w:line="293" w:lineRule="auto"/>
              <w:rPr>
                <w:rFonts w:hint="eastAsia" w:ascii="宋体" w:hAnsi="宋体" w:eastAsia="宋体" w:cs="宋体"/>
                <w:color w:val="auto"/>
                <w:sz w:val="21"/>
                <w:szCs w:val="21"/>
                <w:highlight w:val="none"/>
                <w:lang w:eastAsia="zh-CN"/>
              </w:rPr>
            </w:pPr>
          </w:p>
          <w:p w14:paraId="7CA1DC8A">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7228C757">
            <w:pPr>
              <w:spacing w:line="293" w:lineRule="auto"/>
              <w:rPr>
                <w:rFonts w:hint="eastAsia" w:ascii="宋体" w:hAnsi="宋体" w:eastAsia="宋体" w:cs="宋体"/>
                <w:color w:val="auto"/>
                <w:sz w:val="21"/>
                <w:szCs w:val="21"/>
                <w:highlight w:val="none"/>
              </w:rPr>
            </w:pPr>
          </w:p>
          <w:p w14:paraId="14809B94">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44A99D27">
            <w:pPr>
              <w:rPr>
                <w:rFonts w:hint="eastAsia" w:ascii="宋体" w:hAnsi="宋体" w:eastAsia="宋体" w:cs="宋体"/>
                <w:color w:val="auto"/>
                <w:sz w:val="21"/>
                <w:szCs w:val="21"/>
                <w:highlight w:val="none"/>
              </w:rPr>
            </w:pPr>
          </w:p>
        </w:tc>
      </w:tr>
      <w:tr w14:paraId="0556D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331" w:hRule="atLeast"/>
          <w:jc w:val="center"/>
        </w:trPr>
        <w:tc>
          <w:tcPr>
            <w:tcW w:w="5550" w:type="dxa"/>
            <w:gridSpan w:val="2"/>
            <w:noWrap w:val="0"/>
            <w:vAlign w:val="top"/>
          </w:tcPr>
          <w:p w14:paraId="56F3B4FC">
            <w:pPr>
              <w:pStyle w:val="163"/>
              <w:spacing w:before="128" w:line="222"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七、其它</w:t>
            </w:r>
          </w:p>
        </w:tc>
        <w:tc>
          <w:tcPr>
            <w:tcW w:w="1320" w:type="dxa"/>
            <w:gridSpan w:val="4"/>
            <w:noWrap w:val="0"/>
            <w:vAlign w:val="top"/>
          </w:tcPr>
          <w:p w14:paraId="537115A5">
            <w:pPr>
              <w:pStyle w:val="163"/>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50D7D142">
            <w:pPr>
              <w:pStyle w:val="163"/>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7353A534">
            <w:pPr>
              <w:rPr>
                <w:rFonts w:hint="eastAsia" w:ascii="宋体" w:hAnsi="宋体" w:eastAsia="宋体" w:cs="宋体"/>
                <w:color w:val="auto"/>
                <w:sz w:val="21"/>
                <w:szCs w:val="21"/>
                <w:highlight w:val="none"/>
              </w:rPr>
            </w:pPr>
          </w:p>
        </w:tc>
      </w:tr>
      <w:tr w14:paraId="6C66F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331" w:hRule="atLeast"/>
          <w:jc w:val="center"/>
        </w:trPr>
        <w:tc>
          <w:tcPr>
            <w:tcW w:w="5550" w:type="dxa"/>
            <w:gridSpan w:val="2"/>
            <w:noWrap w:val="0"/>
            <w:vAlign w:val="top"/>
          </w:tcPr>
          <w:p w14:paraId="111F41AD">
            <w:pPr>
              <w:pStyle w:val="163"/>
              <w:spacing w:before="130"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（一）建筑幕墙安装工程。</w:t>
            </w:r>
          </w:p>
        </w:tc>
        <w:tc>
          <w:tcPr>
            <w:tcW w:w="1320" w:type="dxa"/>
            <w:gridSpan w:val="4"/>
            <w:noWrap w:val="0"/>
            <w:vAlign w:val="top"/>
          </w:tcPr>
          <w:p w14:paraId="245B489F">
            <w:pPr>
              <w:pStyle w:val="163"/>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3367E5E8">
            <w:pPr>
              <w:pStyle w:val="163"/>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78CB4873">
            <w:pPr>
              <w:rPr>
                <w:rFonts w:hint="eastAsia" w:ascii="宋体" w:hAnsi="宋体" w:eastAsia="宋体" w:cs="宋体"/>
                <w:color w:val="auto"/>
                <w:sz w:val="21"/>
                <w:szCs w:val="21"/>
                <w:highlight w:val="none"/>
              </w:rPr>
            </w:pPr>
          </w:p>
        </w:tc>
      </w:tr>
      <w:tr w14:paraId="54B95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331" w:hRule="atLeast"/>
          <w:jc w:val="center"/>
        </w:trPr>
        <w:tc>
          <w:tcPr>
            <w:tcW w:w="5550" w:type="dxa"/>
            <w:gridSpan w:val="2"/>
            <w:noWrap w:val="0"/>
            <w:vAlign w:val="top"/>
          </w:tcPr>
          <w:p w14:paraId="32396260">
            <w:pPr>
              <w:pStyle w:val="163"/>
              <w:spacing w:before="127" w:line="221"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（二）钢结构、网架和索膜结构安装工程。</w:t>
            </w:r>
          </w:p>
        </w:tc>
        <w:tc>
          <w:tcPr>
            <w:tcW w:w="1320" w:type="dxa"/>
            <w:gridSpan w:val="4"/>
            <w:noWrap w:val="0"/>
            <w:vAlign w:val="top"/>
          </w:tcPr>
          <w:p w14:paraId="79546406">
            <w:pPr>
              <w:pStyle w:val="163"/>
              <w:spacing w:before="127"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13EA2F44">
            <w:pPr>
              <w:pStyle w:val="163"/>
              <w:spacing w:before="127"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226EE009">
            <w:pPr>
              <w:rPr>
                <w:rFonts w:hint="eastAsia" w:ascii="宋体" w:hAnsi="宋体" w:eastAsia="宋体" w:cs="宋体"/>
                <w:color w:val="auto"/>
                <w:sz w:val="21"/>
                <w:szCs w:val="21"/>
                <w:highlight w:val="none"/>
              </w:rPr>
            </w:pPr>
          </w:p>
        </w:tc>
      </w:tr>
      <w:tr w14:paraId="0477C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331" w:hRule="atLeast"/>
          <w:jc w:val="center"/>
        </w:trPr>
        <w:tc>
          <w:tcPr>
            <w:tcW w:w="5550" w:type="dxa"/>
            <w:gridSpan w:val="2"/>
            <w:noWrap w:val="0"/>
            <w:vAlign w:val="top"/>
          </w:tcPr>
          <w:p w14:paraId="70B66C23">
            <w:pPr>
              <w:pStyle w:val="163"/>
              <w:spacing w:before="128"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（三）人工挖孔桩工程。</w:t>
            </w:r>
          </w:p>
        </w:tc>
        <w:tc>
          <w:tcPr>
            <w:tcW w:w="1320" w:type="dxa"/>
            <w:gridSpan w:val="4"/>
            <w:noWrap w:val="0"/>
            <w:vAlign w:val="top"/>
          </w:tcPr>
          <w:p w14:paraId="5B74A3B4">
            <w:pPr>
              <w:pStyle w:val="163"/>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41752E57">
            <w:pPr>
              <w:pStyle w:val="163"/>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120D40D7">
            <w:pPr>
              <w:rPr>
                <w:rFonts w:hint="eastAsia" w:ascii="宋体" w:hAnsi="宋体" w:eastAsia="宋体" w:cs="宋体"/>
                <w:color w:val="auto"/>
                <w:sz w:val="21"/>
                <w:szCs w:val="21"/>
                <w:highlight w:val="none"/>
              </w:rPr>
            </w:pPr>
          </w:p>
        </w:tc>
      </w:tr>
      <w:tr w14:paraId="209FF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331" w:hRule="atLeast"/>
          <w:jc w:val="center"/>
        </w:trPr>
        <w:tc>
          <w:tcPr>
            <w:tcW w:w="5550" w:type="dxa"/>
            <w:gridSpan w:val="2"/>
            <w:noWrap w:val="0"/>
            <w:vAlign w:val="top"/>
          </w:tcPr>
          <w:p w14:paraId="05CBF073">
            <w:pPr>
              <w:pStyle w:val="163"/>
              <w:spacing w:before="128"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1320" w:type="dxa"/>
            <w:gridSpan w:val="4"/>
            <w:noWrap w:val="0"/>
            <w:vAlign w:val="top"/>
          </w:tcPr>
          <w:p w14:paraId="44270FAD">
            <w:pPr>
              <w:pStyle w:val="163"/>
              <w:spacing w:before="12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5DCABE9C">
            <w:pPr>
              <w:pStyle w:val="163"/>
              <w:spacing w:before="12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46E6EAB0">
            <w:pPr>
              <w:rPr>
                <w:rFonts w:hint="eastAsia" w:ascii="宋体" w:hAnsi="宋体" w:eastAsia="宋体" w:cs="宋体"/>
                <w:color w:val="auto"/>
                <w:sz w:val="21"/>
                <w:szCs w:val="21"/>
                <w:highlight w:val="none"/>
              </w:rPr>
            </w:pPr>
          </w:p>
        </w:tc>
      </w:tr>
      <w:tr w14:paraId="50695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331" w:hRule="atLeast"/>
          <w:jc w:val="center"/>
        </w:trPr>
        <w:tc>
          <w:tcPr>
            <w:tcW w:w="5550" w:type="dxa"/>
            <w:gridSpan w:val="2"/>
            <w:noWrap w:val="0"/>
            <w:vAlign w:val="top"/>
          </w:tcPr>
          <w:p w14:paraId="609FB6C8">
            <w:pPr>
              <w:pStyle w:val="163"/>
              <w:spacing w:before="129"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（五）装配式建筑混凝土预制构件安装工程。</w:t>
            </w:r>
          </w:p>
        </w:tc>
        <w:tc>
          <w:tcPr>
            <w:tcW w:w="1320" w:type="dxa"/>
            <w:gridSpan w:val="4"/>
            <w:noWrap w:val="0"/>
            <w:vAlign w:val="top"/>
          </w:tcPr>
          <w:p w14:paraId="4AC7B1A7">
            <w:pPr>
              <w:pStyle w:val="163"/>
              <w:spacing w:before="12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0F34288E">
            <w:pPr>
              <w:pStyle w:val="163"/>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30A7803A">
            <w:pPr>
              <w:rPr>
                <w:rFonts w:hint="eastAsia" w:ascii="宋体" w:hAnsi="宋体" w:eastAsia="宋体" w:cs="宋体"/>
                <w:color w:val="auto"/>
                <w:sz w:val="21"/>
                <w:szCs w:val="21"/>
                <w:highlight w:val="none"/>
              </w:rPr>
            </w:pPr>
          </w:p>
        </w:tc>
      </w:tr>
      <w:tr w14:paraId="22688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978" w:hRule="atLeast"/>
          <w:jc w:val="center"/>
        </w:trPr>
        <w:tc>
          <w:tcPr>
            <w:tcW w:w="5550" w:type="dxa"/>
            <w:gridSpan w:val="2"/>
            <w:noWrap w:val="0"/>
            <w:vAlign w:val="top"/>
          </w:tcPr>
          <w:p w14:paraId="3EBA2716">
            <w:pPr>
              <w:pStyle w:val="163"/>
              <w:spacing w:before="128" w:line="345" w:lineRule="auto"/>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可能影响工程施工安全，尚无国家、行业及地</w:t>
            </w:r>
            <w:r>
              <w:rPr>
                <w:rFonts w:hint="eastAsia" w:ascii="宋体" w:hAnsi="宋体" w:eastAsia="宋体" w:cs="宋体"/>
                <w:color w:val="auto"/>
                <w:spacing w:val="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方技术标准的分部分项工程。</w:t>
            </w:r>
          </w:p>
        </w:tc>
        <w:tc>
          <w:tcPr>
            <w:tcW w:w="1320" w:type="dxa"/>
            <w:gridSpan w:val="4"/>
            <w:noWrap w:val="0"/>
            <w:vAlign w:val="top"/>
          </w:tcPr>
          <w:p w14:paraId="5852968F">
            <w:pPr>
              <w:spacing w:line="270" w:lineRule="auto"/>
              <w:rPr>
                <w:rFonts w:hint="eastAsia" w:ascii="宋体" w:hAnsi="宋体" w:eastAsia="宋体" w:cs="宋体"/>
                <w:color w:val="auto"/>
                <w:sz w:val="21"/>
                <w:szCs w:val="21"/>
                <w:highlight w:val="none"/>
                <w:lang w:eastAsia="zh-CN"/>
              </w:rPr>
            </w:pPr>
          </w:p>
          <w:p w14:paraId="6CCAC227">
            <w:pPr>
              <w:spacing w:line="270" w:lineRule="auto"/>
              <w:rPr>
                <w:rFonts w:hint="eastAsia" w:ascii="宋体" w:hAnsi="宋体" w:eastAsia="宋体" w:cs="宋体"/>
                <w:color w:val="auto"/>
                <w:sz w:val="21"/>
                <w:szCs w:val="21"/>
                <w:highlight w:val="none"/>
                <w:lang w:eastAsia="zh-CN"/>
              </w:rPr>
            </w:pPr>
          </w:p>
          <w:p w14:paraId="191CC7AC">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5E2B6FCA">
            <w:pPr>
              <w:spacing w:line="270" w:lineRule="auto"/>
              <w:rPr>
                <w:rFonts w:hint="eastAsia" w:ascii="宋体" w:hAnsi="宋体" w:eastAsia="宋体" w:cs="宋体"/>
                <w:color w:val="auto"/>
                <w:sz w:val="21"/>
                <w:szCs w:val="21"/>
                <w:highlight w:val="none"/>
              </w:rPr>
            </w:pPr>
          </w:p>
          <w:p w14:paraId="4DAEFBB0">
            <w:pPr>
              <w:spacing w:line="270" w:lineRule="auto"/>
              <w:rPr>
                <w:rFonts w:hint="eastAsia" w:ascii="宋体" w:hAnsi="宋体" w:eastAsia="宋体" w:cs="宋体"/>
                <w:color w:val="auto"/>
                <w:sz w:val="21"/>
                <w:szCs w:val="21"/>
                <w:highlight w:val="none"/>
              </w:rPr>
            </w:pPr>
          </w:p>
          <w:p w14:paraId="673C2C36">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54FA0841">
            <w:pPr>
              <w:rPr>
                <w:rFonts w:hint="eastAsia" w:ascii="宋体" w:hAnsi="宋体" w:eastAsia="宋体" w:cs="宋体"/>
                <w:color w:val="auto"/>
                <w:sz w:val="21"/>
                <w:szCs w:val="21"/>
                <w:highlight w:val="none"/>
              </w:rPr>
            </w:pPr>
          </w:p>
        </w:tc>
      </w:tr>
      <w:tr w14:paraId="0D2E7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Before w:val="1"/>
          <w:gridAfter w:val="2"/>
          <w:wBefore w:w="30" w:type="dxa"/>
          <w:wAfter w:w="124" w:type="dxa"/>
          <w:trHeight w:val="654" w:hRule="atLeast"/>
          <w:jc w:val="center"/>
        </w:trPr>
        <w:tc>
          <w:tcPr>
            <w:tcW w:w="5550" w:type="dxa"/>
            <w:gridSpan w:val="2"/>
            <w:noWrap w:val="0"/>
            <w:vAlign w:val="top"/>
          </w:tcPr>
          <w:p w14:paraId="01302166">
            <w:pPr>
              <w:pStyle w:val="163"/>
              <w:spacing w:before="130" w:line="327" w:lineRule="auto"/>
              <w:ind w:left="115" w:right="108" w:firstLine="4"/>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
                <w:sz w:val="21"/>
                <w:szCs w:val="21"/>
                <w:highlight w:val="none"/>
                <w:lang w:eastAsia="zh-CN"/>
              </w:rPr>
              <w:t>二、超过一定规模的危险性较大的分部分项工</w:t>
            </w:r>
            <w:r>
              <w:rPr>
                <w:rFonts w:hint="eastAsia" w:ascii="宋体" w:hAnsi="宋体" w:eastAsia="宋体" w:cs="宋体"/>
                <w:color w:val="auto"/>
                <w:spacing w:val="15"/>
                <w:sz w:val="21"/>
                <w:szCs w:val="21"/>
                <w:highlight w:val="none"/>
                <w:lang w:eastAsia="zh-CN"/>
              </w:rPr>
              <w:t xml:space="preserve"> </w:t>
            </w:r>
            <w:r>
              <w:rPr>
                <w:rFonts w:hint="eastAsia" w:ascii="宋体" w:hAnsi="宋体" w:eastAsia="宋体" w:cs="宋体"/>
                <w:b/>
                <w:bCs/>
                <w:color w:val="auto"/>
                <w:spacing w:val="-5"/>
                <w:sz w:val="21"/>
                <w:szCs w:val="21"/>
                <w:highlight w:val="none"/>
                <w:lang w:eastAsia="zh-CN"/>
              </w:rPr>
              <w:t>程清单</w:t>
            </w:r>
          </w:p>
        </w:tc>
        <w:tc>
          <w:tcPr>
            <w:tcW w:w="1320" w:type="dxa"/>
            <w:gridSpan w:val="4"/>
            <w:noWrap w:val="0"/>
            <w:vAlign w:val="top"/>
          </w:tcPr>
          <w:p w14:paraId="6DDEF1C5">
            <w:pPr>
              <w:spacing w:line="295" w:lineRule="auto"/>
              <w:rPr>
                <w:rFonts w:hint="eastAsia" w:ascii="宋体" w:hAnsi="宋体" w:eastAsia="宋体" w:cs="宋体"/>
                <w:color w:val="auto"/>
                <w:sz w:val="21"/>
                <w:szCs w:val="21"/>
                <w:highlight w:val="none"/>
                <w:lang w:eastAsia="zh-CN"/>
              </w:rPr>
            </w:pPr>
          </w:p>
          <w:p w14:paraId="32B9FBF0">
            <w:pPr>
              <w:pStyle w:val="163"/>
              <w:spacing w:before="78" w:line="221" w:lineRule="auto"/>
              <w:ind w:left="20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建设单位</w:t>
            </w:r>
          </w:p>
        </w:tc>
        <w:tc>
          <w:tcPr>
            <w:tcW w:w="1365" w:type="dxa"/>
            <w:gridSpan w:val="5"/>
            <w:noWrap w:val="0"/>
            <w:vAlign w:val="top"/>
          </w:tcPr>
          <w:p w14:paraId="0A3CE898">
            <w:pPr>
              <w:spacing w:line="295" w:lineRule="auto"/>
              <w:rPr>
                <w:rFonts w:hint="eastAsia" w:ascii="宋体" w:hAnsi="宋体" w:eastAsia="宋体" w:cs="宋体"/>
                <w:color w:val="auto"/>
                <w:sz w:val="21"/>
                <w:szCs w:val="21"/>
                <w:highlight w:val="none"/>
              </w:rPr>
            </w:pPr>
          </w:p>
          <w:p w14:paraId="55C78DA0">
            <w:pPr>
              <w:pStyle w:val="163"/>
              <w:spacing w:before="78" w:line="221" w:lineRule="auto"/>
              <w:ind w:left="119"/>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1050" w:type="dxa"/>
            <w:gridSpan w:val="3"/>
            <w:noWrap w:val="0"/>
            <w:vAlign w:val="top"/>
          </w:tcPr>
          <w:p w14:paraId="68B500A5">
            <w:pPr>
              <w:spacing w:line="295" w:lineRule="auto"/>
              <w:rPr>
                <w:rFonts w:hint="eastAsia" w:ascii="宋体" w:hAnsi="宋体" w:eastAsia="宋体" w:cs="宋体"/>
                <w:color w:val="auto"/>
                <w:sz w:val="21"/>
                <w:szCs w:val="21"/>
                <w:highlight w:val="none"/>
              </w:rPr>
            </w:pPr>
          </w:p>
          <w:p w14:paraId="7D108ED9">
            <w:pPr>
              <w:pStyle w:val="163"/>
              <w:spacing w:before="78" w:line="222" w:lineRule="auto"/>
              <w:ind w:left="3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14:paraId="2AEAB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331" w:hRule="atLeast"/>
          <w:jc w:val="center"/>
        </w:trPr>
        <w:tc>
          <w:tcPr>
            <w:tcW w:w="5550" w:type="dxa"/>
            <w:gridSpan w:val="2"/>
            <w:noWrap w:val="0"/>
            <w:vAlign w:val="top"/>
          </w:tcPr>
          <w:p w14:paraId="761025C3">
            <w:pPr>
              <w:pStyle w:val="163"/>
              <w:spacing w:before="130" w:line="221"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一、深基坑工程</w:t>
            </w:r>
          </w:p>
        </w:tc>
        <w:tc>
          <w:tcPr>
            <w:tcW w:w="1320" w:type="dxa"/>
            <w:gridSpan w:val="4"/>
            <w:noWrap w:val="0"/>
            <w:vAlign w:val="top"/>
          </w:tcPr>
          <w:p w14:paraId="271B6F76">
            <w:pPr>
              <w:pStyle w:val="163"/>
              <w:spacing w:before="130"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6DB4E851">
            <w:pPr>
              <w:pStyle w:val="163"/>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19BB9DCF">
            <w:pPr>
              <w:rPr>
                <w:rFonts w:hint="eastAsia" w:ascii="宋体" w:hAnsi="宋体" w:eastAsia="宋体" w:cs="宋体"/>
                <w:color w:val="auto"/>
                <w:sz w:val="21"/>
                <w:szCs w:val="21"/>
                <w:highlight w:val="none"/>
              </w:rPr>
            </w:pPr>
          </w:p>
        </w:tc>
      </w:tr>
      <w:tr w14:paraId="36C19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655" w:hRule="atLeast"/>
          <w:jc w:val="center"/>
        </w:trPr>
        <w:tc>
          <w:tcPr>
            <w:tcW w:w="5550" w:type="dxa"/>
            <w:gridSpan w:val="2"/>
            <w:noWrap w:val="0"/>
            <w:vAlign w:val="top"/>
          </w:tcPr>
          <w:p w14:paraId="34CFC4BB">
            <w:pPr>
              <w:pStyle w:val="163"/>
              <w:spacing w:before="131" w:line="327" w:lineRule="auto"/>
              <w:ind w:left="117" w:right="10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开挖深度超过</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5m（含</w:t>
            </w:r>
            <w:r>
              <w:rPr>
                <w:rFonts w:hint="eastAsia" w:ascii="宋体" w:hAnsi="宋体" w:eastAsia="宋体" w:cs="宋体"/>
                <w:color w:val="auto"/>
                <w:spacing w:val="-45"/>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5m）的基坑（槽）的土方</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开挖、支护、降水工程。</w:t>
            </w:r>
          </w:p>
        </w:tc>
        <w:tc>
          <w:tcPr>
            <w:tcW w:w="1320" w:type="dxa"/>
            <w:gridSpan w:val="4"/>
            <w:noWrap w:val="0"/>
            <w:vAlign w:val="top"/>
          </w:tcPr>
          <w:p w14:paraId="49ACEC92">
            <w:pPr>
              <w:spacing w:line="295" w:lineRule="auto"/>
              <w:rPr>
                <w:rFonts w:hint="eastAsia" w:ascii="宋体" w:hAnsi="宋体" w:eastAsia="宋体" w:cs="宋体"/>
                <w:color w:val="auto"/>
                <w:sz w:val="21"/>
                <w:szCs w:val="21"/>
                <w:highlight w:val="none"/>
                <w:lang w:eastAsia="zh-CN"/>
              </w:rPr>
            </w:pPr>
          </w:p>
          <w:p w14:paraId="1C7FC267">
            <w:pPr>
              <w:pStyle w:val="163"/>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290D2D07">
            <w:pPr>
              <w:spacing w:line="295" w:lineRule="auto"/>
              <w:rPr>
                <w:rFonts w:hint="eastAsia" w:ascii="宋体" w:hAnsi="宋体" w:eastAsia="宋体" w:cs="宋体"/>
                <w:color w:val="auto"/>
                <w:sz w:val="21"/>
                <w:szCs w:val="21"/>
                <w:highlight w:val="none"/>
              </w:rPr>
            </w:pPr>
          </w:p>
          <w:p w14:paraId="391F9D53">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7AB585F9">
            <w:pPr>
              <w:rPr>
                <w:rFonts w:hint="eastAsia" w:ascii="宋体" w:hAnsi="宋体" w:eastAsia="宋体" w:cs="宋体"/>
                <w:color w:val="auto"/>
                <w:sz w:val="21"/>
                <w:szCs w:val="21"/>
                <w:highlight w:val="none"/>
              </w:rPr>
            </w:pPr>
          </w:p>
        </w:tc>
      </w:tr>
      <w:tr w14:paraId="2EB3A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331" w:hRule="atLeast"/>
          <w:jc w:val="center"/>
        </w:trPr>
        <w:tc>
          <w:tcPr>
            <w:tcW w:w="5550" w:type="dxa"/>
            <w:gridSpan w:val="2"/>
            <w:noWrap w:val="0"/>
            <w:vAlign w:val="top"/>
          </w:tcPr>
          <w:p w14:paraId="5BDEECD6">
            <w:pPr>
              <w:pStyle w:val="163"/>
              <w:spacing w:before="130" w:line="219" w:lineRule="auto"/>
              <w:ind w:left="12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二、模板工程及支撑体系</w:t>
            </w:r>
          </w:p>
        </w:tc>
        <w:tc>
          <w:tcPr>
            <w:tcW w:w="1320" w:type="dxa"/>
            <w:gridSpan w:val="4"/>
            <w:noWrap w:val="0"/>
            <w:vAlign w:val="top"/>
          </w:tcPr>
          <w:p w14:paraId="2992BC16">
            <w:pPr>
              <w:pStyle w:val="163"/>
              <w:spacing w:before="129"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1F1398EE">
            <w:pPr>
              <w:pStyle w:val="163"/>
              <w:spacing w:before="12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2D98ADD6">
            <w:pPr>
              <w:rPr>
                <w:rFonts w:hint="eastAsia" w:ascii="宋体" w:hAnsi="宋体" w:eastAsia="宋体" w:cs="宋体"/>
                <w:color w:val="auto"/>
                <w:sz w:val="21"/>
                <w:szCs w:val="21"/>
                <w:highlight w:val="none"/>
              </w:rPr>
            </w:pPr>
          </w:p>
        </w:tc>
      </w:tr>
      <w:tr w14:paraId="7B4DD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655" w:hRule="atLeast"/>
          <w:jc w:val="center"/>
        </w:trPr>
        <w:tc>
          <w:tcPr>
            <w:tcW w:w="5550" w:type="dxa"/>
            <w:gridSpan w:val="2"/>
            <w:noWrap w:val="0"/>
            <w:vAlign w:val="top"/>
          </w:tcPr>
          <w:p w14:paraId="5E892F2A">
            <w:pPr>
              <w:pStyle w:val="163"/>
              <w:spacing w:before="131" w:line="327" w:lineRule="auto"/>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6"/>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飞模、隧道模等工程。</w:t>
            </w:r>
          </w:p>
        </w:tc>
        <w:tc>
          <w:tcPr>
            <w:tcW w:w="1320" w:type="dxa"/>
            <w:gridSpan w:val="4"/>
            <w:noWrap w:val="0"/>
            <w:vAlign w:val="top"/>
          </w:tcPr>
          <w:p w14:paraId="2BCA197A">
            <w:pPr>
              <w:spacing w:line="298" w:lineRule="auto"/>
              <w:rPr>
                <w:rFonts w:hint="eastAsia" w:ascii="宋体" w:hAnsi="宋体" w:eastAsia="宋体" w:cs="宋体"/>
                <w:color w:val="auto"/>
                <w:sz w:val="21"/>
                <w:szCs w:val="21"/>
                <w:highlight w:val="none"/>
                <w:lang w:eastAsia="zh-CN"/>
              </w:rPr>
            </w:pPr>
          </w:p>
          <w:p w14:paraId="0B85A1BE">
            <w:pPr>
              <w:pStyle w:val="163"/>
              <w:spacing w:before="78" w:line="223" w:lineRule="auto"/>
              <w:ind w:left="30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6D8B557A">
            <w:pPr>
              <w:spacing w:line="298" w:lineRule="auto"/>
              <w:rPr>
                <w:rFonts w:hint="eastAsia" w:ascii="宋体" w:hAnsi="宋体" w:eastAsia="宋体" w:cs="宋体"/>
                <w:color w:val="auto"/>
                <w:sz w:val="21"/>
                <w:szCs w:val="21"/>
                <w:highlight w:val="none"/>
              </w:rPr>
            </w:pPr>
          </w:p>
          <w:p w14:paraId="609BAA51">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73F8586D">
            <w:pPr>
              <w:rPr>
                <w:rFonts w:hint="eastAsia" w:ascii="宋体" w:hAnsi="宋体" w:eastAsia="宋体" w:cs="宋体"/>
                <w:color w:val="auto"/>
                <w:sz w:val="21"/>
                <w:szCs w:val="21"/>
                <w:highlight w:val="none"/>
              </w:rPr>
            </w:pPr>
          </w:p>
        </w:tc>
      </w:tr>
      <w:tr w14:paraId="02DEB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1302" w:hRule="atLeast"/>
          <w:jc w:val="center"/>
        </w:trPr>
        <w:tc>
          <w:tcPr>
            <w:tcW w:w="5550" w:type="dxa"/>
            <w:gridSpan w:val="2"/>
            <w:noWrap w:val="0"/>
            <w:vAlign w:val="top"/>
          </w:tcPr>
          <w:p w14:paraId="2A2FB0BA">
            <w:pPr>
              <w:pStyle w:val="163"/>
              <w:spacing w:before="132" w:line="353" w:lineRule="auto"/>
              <w:ind w:left="116" w:right="6" w:firstLine="11"/>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（二）混凝土模板支撑工程：搭设高度8m</w:t>
            </w:r>
            <w:r>
              <w:rPr>
                <w:rFonts w:hint="eastAsia" w:ascii="宋体" w:hAnsi="宋体" w:eastAsia="宋体" w:cs="宋体"/>
                <w:color w:val="auto"/>
                <w:spacing w:val="-3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上，或搭设跨度</w:t>
            </w:r>
            <w:r>
              <w:rPr>
                <w:rFonts w:hint="eastAsia" w:ascii="宋体" w:hAnsi="宋体" w:eastAsia="宋体" w:cs="宋体"/>
                <w:color w:val="auto"/>
                <w:spacing w:val="-15"/>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18m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及以上，或施工总荷载（设</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计值）15kN/m2</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1"/>
                <w:sz w:val="21"/>
                <w:szCs w:val="21"/>
                <w:highlight w:val="none"/>
                <w:lang w:eastAsia="zh-CN"/>
              </w:rPr>
              <w:t>及以上，或集中线荷载（设</w:t>
            </w:r>
            <w:r>
              <w:rPr>
                <w:rFonts w:hint="eastAsia" w:ascii="宋体" w:hAnsi="宋体" w:eastAsia="宋体" w:cs="宋体"/>
                <w:color w:val="auto"/>
                <w:spacing w:val="-12"/>
                <w:sz w:val="21"/>
                <w:szCs w:val="21"/>
                <w:highlight w:val="none"/>
                <w:lang w:eastAsia="zh-CN"/>
              </w:rPr>
              <w:t>计值）</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20kN/m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w:t>
            </w:r>
          </w:p>
        </w:tc>
        <w:tc>
          <w:tcPr>
            <w:tcW w:w="1320" w:type="dxa"/>
            <w:gridSpan w:val="4"/>
            <w:noWrap w:val="0"/>
            <w:vAlign w:val="top"/>
          </w:tcPr>
          <w:p w14:paraId="07512E4C">
            <w:pPr>
              <w:spacing w:line="262" w:lineRule="auto"/>
              <w:rPr>
                <w:rFonts w:hint="eastAsia" w:ascii="宋体" w:hAnsi="宋体" w:eastAsia="宋体" w:cs="宋体"/>
                <w:color w:val="auto"/>
                <w:sz w:val="21"/>
                <w:szCs w:val="21"/>
                <w:highlight w:val="none"/>
                <w:lang w:eastAsia="zh-CN"/>
              </w:rPr>
            </w:pPr>
          </w:p>
          <w:p w14:paraId="14303202">
            <w:pPr>
              <w:spacing w:line="263" w:lineRule="auto"/>
              <w:rPr>
                <w:rFonts w:hint="eastAsia" w:ascii="宋体" w:hAnsi="宋体" w:eastAsia="宋体" w:cs="宋体"/>
                <w:color w:val="auto"/>
                <w:sz w:val="21"/>
                <w:szCs w:val="21"/>
                <w:highlight w:val="none"/>
                <w:lang w:eastAsia="zh-CN"/>
              </w:rPr>
            </w:pPr>
          </w:p>
          <w:p w14:paraId="60FBBEDF">
            <w:pPr>
              <w:spacing w:line="263" w:lineRule="auto"/>
              <w:rPr>
                <w:rFonts w:hint="eastAsia" w:ascii="宋体" w:hAnsi="宋体" w:eastAsia="宋体" w:cs="宋体"/>
                <w:color w:val="auto"/>
                <w:sz w:val="21"/>
                <w:szCs w:val="21"/>
                <w:highlight w:val="none"/>
                <w:lang w:eastAsia="zh-CN"/>
              </w:rPr>
            </w:pPr>
          </w:p>
          <w:p w14:paraId="7E3D0367">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4EFFB156">
            <w:pPr>
              <w:spacing w:line="262" w:lineRule="auto"/>
              <w:rPr>
                <w:rFonts w:hint="eastAsia" w:ascii="宋体" w:hAnsi="宋体" w:eastAsia="宋体" w:cs="宋体"/>
                <w:color w:val="auto"/>
                <w:sz w:val="21"/>
                <w:szCs w:val="21"/>
                <w:highlight w:val="none"/>
              </w:rPr>
            </w:pPr>
          </w:p>
          <w:p w14:paraId="7E155068">
            <w:pPr>
              <w:spacing w:line="263" w:lineRule="auto"/>
              <w:rPr>
                <w:rFonts w:hint="eastAsia" w:ascii="宋体" w:hAnsi="宋体" w:eastAsia="宋体" w:cs="宋体"/>
                <w:color w:val="auto"/>
                <w:sz w:val="21"/>
                <w:szCs w:val="21"/>
                <w:highlight w:val="none"/>
              </w:rPr>
            </w:pPr>
          </w:p>
          <w:p w14:paraId="4EDF71A8">
            <w:pPr>
              <w:spacing w:line="263" w:lineRule="auto"/>
              <w:rPr>
                <w:rFonts w:hint="eastAsia" w:ascii="宋体" w:hAnsi="宋体" w:eastAsia="宋体" w:cs="宋体"/>
                <w:color w:val="auto"/>
                <w:sz w:val="21"/>
                <w:szCs w:val="21"/>
                <w:highlight w:val="none"/>
              </w:rPr>
            </w:pPr>
          </w:p>
          <w:p w14:paraId="320CD318">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0CCA7069">
            <w:pPr>
              <w:rPr>
                <w:rFonts w:hint="eastAsia" w:ascii="宋体" w:hAnsi="宋体" w:eastAsia="宋体" w:cs="宋体"/>
                <w:color w:val="auto"/>
                <w:sz w:val="21"/>
                <w:szCs w:val="21"/>
                <w:highlight w:val="none"/>
              </w:rPr>
            </w:pPr>
          </w:p>
        </w:tc>
      </w:tr>
      <w:tr w14:paraId="4A862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2"/>
          <w:wBefore w:w="30" w:type="dxa"/>
          <w:wAfter w:w="124" w:type="dxa"/>
          <w:trHeight w:val="656" w:hRule="atLeast"/>
          <w:jc w:val="center"/>
        </w:trPr>
        <w:tc>
          <w:tcPr>
            <w:tcW w:w="5550" w:type="dxa"/>
            <w:gridSpan w:val="2"/>
            <w:noWrap w:val="0"/>
            <w:vAlign w:val="top"/>
          </w:tcPr>
          <w:p w14:paraId="1EF4FC50">
            <w:pPr>
              <w:pStyle w:val="163"/>
              <w:spacing w:before="131" w:line="328"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支撑体系，承受单点集中荷载</w:t>
            </w:r>
            <w:r>
              <w:rPr>
                <w:rFonts w:hint="eastAsia" w:ascii="宋体" w:hAnsi="宋体" w:eastAsia="宋体" w:cs="宋体"/>
                <w:color w:val="auto"/>
                <w:spacing w:val="-40"/>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7kN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w:t>
            </w:r>
          </w:p>
        </w:tc>
        <w:tc>
          <w:tcPr>
            <w:tcW w:w="1320" w:type="dxa"/>
            <w:gridSpan w:val="4"/>
            <w:noWrap w:val="0"/>
            <w:vAlign w:val="top"/>
          </w:tcPr>
          <w:p w14:paraId="09FC680D">
            <w:pPr>
              <w:spacing w:line="299" w:lineRule="auto"/>
              <w:rPr>
                <w:rFonts w:hint="eastAsia" w:ascii="宋体" w:hAnsi="宋体" w:eastAsia="宋体" w:cs="宋体"/>
                <w:color w:val="auto"/>
                <w:sz w:val="21"/>
                <w:szCs w:val="21"/>
                <w:highlight w:val="none"/>
                <w:lang w:eastAsia="zh-CN"/>
              </w:rPr>
            </w:pPr>
          </w:p>
          <w:p w14:paraId="38922099">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365" w:type="dxa"/>
            <w:gridSpan w:val="5"/>
            <w:noWrap w:val="0"/>
            <w:vAlign w:val="top"/>
          </w:tcPr>
          <w:p w14:paraId="363E3899">
            <w:pPr>
              <w:spacing w:line="299" w:lineRule="auto"/>
              <w:rPr>
                <w:rFonts w:hint="eastAsia" w:ascii="宋体" w:hAnsi="宋体" w:eastAsia="宋体" w:cs="宋体"/>
                <w:color w:val="auto"/>
                <w:sz w:val="21"/>
                <w:szCs w:val="21"/>
                <w:highlight w:val="none"/>
              </w:rPr>
            </w:pPr>
          </w:p>
          <w:p w14:paraId="7D5F01F4">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1050" w:type="dxa"/>
            <w:gridSpan w:val="3"/>
            <w:noWrap w:val="0"/>
            <w:vAlign w:val="top"/>
          </w:tcPr>
          <w:p w14:paraId="4700C5EB">
            <w:pPr>
              <w:rPr>
                <w:rFonts w:hint="eastAsia" w:ascii="宋体" w:hAnsi="宋体" w:eastAsia="宋体" w:cs="宋体"/>
                <w:color w:val="auto"/>
                <w:sz w:val="21"/>
                <w:szCs w:val="21"/>
                <w:highlight w:val="none"/>
              </w:rPr>
            </w:pPr>
          </w:p>
        </w:tc>
      </w:tr>
      <w:tr w14:paraId="2E946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jc w:val="center"/>
        </w:trPr>
        <w:tc>
          <w:tcPr>
            <w:tcW w:w="5588" w:type="dxa"/>
            <w:gridSpan w:val="4"/>
            <w:noWrap w:val="0"/>
            <w:vAlign w:val="top"/>
          </w:tcPr>
          <w:p w14:paraId="1BE4670B">
            <w:pPr>
              <w:pStyle w:val="163"/>
              <w:spacing w:before="132" w:line="219" w:lineRule="auto"/>
              <w:ind w:left="356"/>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三、起重吊装及起重机械安装拆卸工程</w:t>
            </w:r>
          </w:p>
        </w:tc>
        <w:tc>
          <w:tcPr>
            <w:tcW w:w="690" w:type="dxa"/>
            <w:tcBorders>
              <w:right w:val="nil"/>
            </w:tcBorders>
            <w:noWrap w:val="0"/>
            <w:vAlign w:val="top"/>
          </w:tcPr>
          <w:p w14:paraId="4577137D">
            <w:pPr>
              <w:pStyle w:val="163"/>
              <w:spacing w:before="131"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532F6969">
            <w:pPr>
              <w:pStyle w:val="163"/>
              <w:spacing w:before="131" w:line="223" w:lineRule="auto"/>
              <w:ind w:left="19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1171E65B">
            <w:pPr>
              <w:pStyle w:val="163"/>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31E7799D">
            <w:pPr>
              <w:pStyle w:val="163"/>
              <w:spacing w:before="131"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58CE9C3E">
            <w:pPr>
              <w:rPr>
                <w:rFonts w:hint="eastAsia" w:ascii="宋体" w:hAnsi="宋体" w:eastAsia="宋体" w:cs="宋体"/>
                <w:color w:val="auto"/>
                <w:sz w:val="21"/>
                <w:szCs w:val="21"/>
                <w:highlight w:val="none"/>
              </w:rPr>
            </w:pPr>
          </w:p>
        </w:tc>
      </w:tr>
      <w:tr w14:paraId="2C281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5588" w:type="dxa"/>
            <w:gridSpan w:val="4"/>
            <w:noWrap w:val="0"/>
            <w:vAlign w:val="top"/>
          </w:tcPr>
          <w:p w14:paraId="3741A2E8">
            <w:pPr>
              <w:pStyle w:val="163"/>
              <w:spacing w:before="126" w:line="329" w:lineRule="auto"/>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吊重量在</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100kN</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及以上的起重吊装工程。</w:t>
            </w:r>
          </w:p>
        </w:tc>
        <w:tc>
          <w:tcPr>
            <w:tcW w:w="690" w:type="dxa"/>
            <w:tcBorders>
              <w:right w:val="nil"/>
            </w:tcBorders>
            <w:noWrap w:val="0"/>
            <w:vAlign w:val="top"/>
          </w:tcPr>
          <w:p w14:paraId="05B97CE7">
            <w:pPr>
              <w:spacing w:line="294" w:lineRule="auto"/>
              <w:rPr>
                <w:rFonts w:hint="eastAsia" w:ascii="宋体" w:hAnsi="宋体" w:eastAsia="宋体" w:cs="宋体"/>
                <w:color w:val="auto"/>
                <w:sz w:val="21"/>
                <w:szCs w:val="21"/>
                <w:highlight w:val="none"/>
                <w:lang w:eastAsia="zh-CN"/>
              </w:rPr>
            </w:pPr>
          </w:p>
          <w:p w14:paraId="47747CA1">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3061AEA2">
            <w:pPr>
              <w:spacing w:line="294" w:lineRule="auto"/>
              <w:rPr>
                <w:rFonts w:hint="eastAsia" w:ascii="宋体" w:hAnsi="宋体" w:eastAsia="宋体" w:cs="宋体"/>
                <w:color w:val="auto"/>
                <w:sz w:val="21"/>
                <w:szCs w:val="21"/>
                <w:highlight w:val="none"/>
              </w:rPr>
            </w:pPr>
          </w:p>
          <w:p w14:paraId="37017566">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30264DA0">
            <w:pPr>
              <w:spacing w:line="294" w:lineRule="auto"/>
              <w:rPr>
                <w:rFonts w:hint="eastAsia" w:ascii="宋体" w:hAnsi="宋体" w:eastAsia="宋体" w:cs="宋体"/>
                <w:color w:val="auto"/>
                <w:sz w:val="21"/>
                <w:szCs w:val="21"/>
                <w:highlight w:val="none"/>
              </w:rPr>
            </w:pPr>
          </w:p>
          <w:p w14:paraId="0CE0F57B">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7F656309">
            <w:pPr>
              <w:spacing w:line="294" w:lineRule="auto"/>
              <w:rPr>
                <w:rFonts w:hint="eastAsia" w:ascii="宋体" w:hAnsi="宋体" w:eastAsia="宋体" w:cs="宋体"/>
                <w:color w:val="auto"/>
                <w:sz w:val="21"/>
                <w:szCs w:val="21"/>
                <w:highlight w:val="none"/>
              </w:rPr>
            </w:pPr>
          </w:p>
          <w:p w14:paraId="37C83146">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46DA6759">
            <w:pPr>
              <w:rPr>
                <w:rFonts w:hint="eastAsia" w:ascii="宋体" w:hAnsi="宋体" w:eastAsia="宋体" w:cs="宋体"/>
                <w:color w:val="auto"/>
                <w:sz w:val="21"/>
                <w:szCs w:val="21"/>
                <w:highlight w:val="none"/>
              </w:rPr>
            </w:pPr>
          </w:p>
        </w:tc>
      </w:tr>
      <w:tr w14:paraId="5CB99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jc w:val="center"/>
        </w:trPr>
        <w:tc>
          <w:tcPr>
            <w:tcW w:w="5588" w:type="dxa"/>
            <w:gridSpan w:val="4"/>
            <w:noWrap w:val="0"/>
            <w:vAlign w:val="top"/>
          </w:tcPr>
          <w:p w14:paraId="61B9BBFD">
            <w:pPr>
              <w:pStyle w:val="163"/>
              <w:spacing w:before="128" w:line="345" w:lineRule="auto"/>
              <w:ind w:left="115" w:right="105" w:firstLine="1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（二）起重量</w:t>
            </w:r>
            <w:r>
              <w:rPr>
                <w:rFonts w:hint="eastAsia" w:ascii="宋体" w:hAnsi="宋体" w:eastAsia="宋体" w:cs="宋体"/>
                <w:color w:val="auto"/>
                <w:spacing w:val="-41"/>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300kN</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及以上，或搭设总高度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12"/>
                <w:sz w:val="21"/>
                <w:szCs w:val="21"/>
                <w:highlight w:val="none"/>
                <w:lang w:eastAsia="zh-CN"/>
              </w:rPr>
              <w:t>200m</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及以上，或搭设基础标高在</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200m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及以上的起重</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机械安装和拆卸工程。</w:t>
            </w:r>
          </w:p>
        </w:tc>
        <w:tc>
          <w:tcPr>
            <w:tcW w:w="690" w:type="dxa"/>
            <w:tcBorders>
              <w:right w:val="nil"/>
            </w:tcBorders>
            <w:noWrap w:val="0"/>
            <w:vAlign w:val="top"/>
          </w:tcPr>
          <w:p w14:paraId="03DDC6DE">
            <w:pPr>
              <w:spacing w:line="269" w:lineRule="auto"/>
              <w:rPr>
                <w:rFonts w:hint="eastAsia" w:ascii="宋体" w:hAnsi="宋体" w:eastAsia="宋体" w:cs="宋体"/>
                <w:color w:val="auto"/>
                <w:sz w:val="21"/>
                <w:szCs w:val="21"/>
                <w:highlight w:val="none"/>
                <w:lang w:eastAsia="zh-CN"/>
              </w:rPr>
            </w:pPr>
          </w:p>
          <w:p w14:paraId="728D4E7D">
            <w:pPr>
              <w:spacing w:line="270" w:lineRule="auto"/>
              <w:rPr>
                <w:rFonts w:hint="eastAsia" w:ascii="宋体" w:hAnsi="宋体" w:eastAsia="宋体" w:cs="宋体"/>
                <w:color w:val="auto"/>
                <w:sz w:val="21"/>
                <w:szCs w:val="21"/>
                <w:highlight w:val="none"/>
                <w:lang w:eastAsia="zh-CN"/>
              </w:rPr>
            </w:pPr>
          </w:p>
          <w:p w14:paraId="3F071D52">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594C0A5C">
            <w:pPr>
              <w:spacing w:line="269" w:lineRule="auto"/>
              <w:rPr>
                <w:rFonts w:hint="eastAsia" w:ascii="宋体" w:hAnsi="宋体" w:eastAsia="宋体" w:cs="宋体"/>
                <w:color w:val="auto"/>
                <w:sz w:val="21"/>
                <w:szCs w:val="21"/>
                <w:highlight w:val="none"/>
              </w:rPr>
            </w:pPr>
          </w:p>
          <w:p w14:paraId="66F6F29A">
            <w:pPr>
              <w:spacing w:line="270" w:lineRule="auto"/>
              <w:rPr>
                <w:rFonts w:hint="eastAsia" w:ascii="宋体" w:hAnsi="宋体" w:eastAsia="宋体" w:cs="宋体"/>
                <w:color w:val="auto"/>
                <w:sz w:val="21"/>
                <w:szCs w:val="21"/>
                <w:highlight w:val="none"/>
              </w:rPr>
            </w:pPr>
          </w:p>
          <w:p w14:paraId="50F8E1B0">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17CC9DD6">
            <w:pPr>
              <w:spacing w:line="269" w:lineRule="auto"/>
              <w:rPr>
                <w:rFonts w:hint="eastAsia" w:ascii="宋体" w:hAnsi="宋体" w:eastAsia="宋体" w:cs="宋体"/>
                <w:color w:val="auto"/>
                <w:sz w:val="21"/>
                <w:szCs w:val="21"/>
                <w:highlight w:val="none"/>
              </w:rPr>
            </w:pPr>
          </w:p>
          <w:p w14:paraId="46B1B4E2">
            <w:pPr>
              <w:spacing w:line="270" w:lineRule="auto"/>
              <w:rPr>
                <w:rFonts w:hint="eastAsia" w:ascii="宋体" w:hAnsi="宋体" w:eastAsia="宋体" w:cs="宋体"/>
                <w:color w:val="auto"/>
                <w:sz w:val="21"/>
                <w:szCs w:val="21"/>
                <w:highlight w:val="none"/>
              </w:rPr>
            </w:pPr>
          </w:p>
          <w:p w14:paraId="35C239A8">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1044577A">
            <w:pPr>
              <w:spacing w:line="269" w:lineRule="auto"/>
              <w:rPr>
                <w:rFonts w:hint="eastAsia" w:ascii="宋体" w:hAnsi="宋体" w:eastAsia="宋体" w:cs="宋体"/>
                <w:color w:val="auto"/>
                <w:sz w:val="21"/>
                <w:szCs w:val="21"/>
                <w:highlight w:val="none"/>
              </w:rPr>
            </w:pPr>
          </w:p>
          <w:p w14:paraId="4E5B3096">
            <w:pPr>
              <w:spacing w:line="270" w:lineRule="auto"/>
              <w:rPr>
                <w:rFonts w:hint="eastAsia" w:ascii="宋体" w:hAnsi="宋体" w:eastAsia="宋体" w:cs="宋体"/>
                <w:color w:val="auto"/>
                <w:sz w:val="21"/>
                <w:szCs w:val="21"/>
                <w:highlight w:val="none"/>
              </w:rPr>
            </w:pPr>
          </w:p>
          <w:p w14:paraId="6B21ED1C">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706F6FCA">
            <w:pPr>
              <w:rPr>
                <w:rFonts w:hint="eastAsia" w:ascii="宋体" w:hAnsi="宋体" w:eastAsia="宋体" w:cs="宋体"/>
                <w:color w:val="auto"/>
                <w:sz w:val="21"/>
                <w:szCs w:val="21"/>
                <w:highlight w:val="none"/>
              </w:rPr>
            </w:pPr>
          </w:p>
        </w:tc>
      </w:tr>
      <w:tr w14:paraId="6B16D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588" w:type="dxa"/>
            <w:gridSpan w:val="4"/>
            <w:noWrap w:val="0"/>
            <w:vAlign w:val="top"/>
          </w:tcPr>
          <w:p w14:paraId="1643FDE9">
            <w:pPr>
              <w:pStyle w:val="163"/>
              <w:spacing w:before="130" w:line="219" w:lineRule="auto"/>
              <w:ind w:left="13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四、脚手架工程</w:t>
            </w:r>
          </w:p>
        </w:tc>
        <w:tc>
          <w:tcPr>
            <w:tcW w:w="690" w:type="dxa"/>
            <w:tcBorders>
              <w:right w:val="nil"/>
            </w:tcBorders>
            <w:noWrap w:val="0"/>
            <w:vAlign w:val="top"/>
          </w:tcPr>
          <w:p w14:paraId="262F37D9">
            <w:pPr>
              <w:pStyle w:val="163"/>
              <w:spacing w:before="13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11BACCC0">
            <w:pPr>
              <w:pStyle w:val="163"/>
              <w:spacing w:before="130"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325A54C5">
            <w:pPr>
              <w:pStyle w:val="163"/>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407245EA">
            <w:pPr>
              <w:pStyle w:val="163"/>
              <w:spacing w:before="130"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5C2924D7">
            <w:pPr>
              <w:rPr>
                <w:rFonts w:hint="eastAsia" w:ascii="宋体" w:hAnsi="宋体" w:eastAsia="宋体" w:cs="宋体"/>
                <w:color w:val="auto"/>
                <w:sz w:val="21"/>
                <w:szCs w:val="21"/>
                <w:highlight w:val="none"/>
              </w:rPr>
            </w:pPr>
          </w:p>
        </w:tc>
      </w:tr>
      <w:tr w14:paraId="07001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5588" w:type="dxa"/>
            <w:gridSpan w:val="4"/>
            <w:noWrap w:val="0"/>
            <w:vAlign w:val="top"/>
          </w:tcPr>
          <w:p w14:paraId="164FFB9F">
            <w:pPr>
              <w:pStyle w:val="163"/>
              <w:spacing w:before="129" w:line="328"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（一）搭设高度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50m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及以上的落地式钢管脚手</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架工程。</w:t>
            </w:r>
          </w:p>
        </w:tc>
        <w:tc>
          <w:tcPr>
            <w:tcW w:w="690" w:type="dxa"/>
            <w:tcBorders>
              <w:right w:val="nil"/>
            </w:tcBorders>
            <w:noWrap w:val="0"/>
            <w:vAlign w:val="top"/>
          </w:tcPr>
          <w:p w14:paraId="4CE1DAF8">
            <w:pPr>
              <w:spacing w:line="295" w:lineRule="auto"/>
              <w:rPr>
                <w:rFonts w:hint="eastAsia" w:ascii="宋体" w:hAnsi="宋体" w:eastAsia="宋体" w:cs="宋体"/>
                <w:color w:val="auto"/>
                <w:sz w:val="21"/>
                <w:szCs w:val="21"/>
                <w:highlight w:val="none"/>
                <w:lang w:eastAsia="zh-CN"/>
              </w:rPr>
            </w:pPr>
          </w:p>
          <w:p w14:paraId="68EC7949">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7DBE8B8F">
            <w:pPr>
              <w:spacing w:line="295" w:lineRule="auto"/>
              <w:rPr>
                <w:rFonts w:hint="eastAsia" w:ascii="宋体" w:hAnsi="宋体" w:eastAsia="宋体" w:cs="宋体"/>
                <w:color w:val="auto"/>
                <w:sz w:val="21"/>
                <w:szCs w:val="21"/>
                <w:highlight w:val="none"/>
              </w:rPr>
            </w:pPr>
          </w:p>
          <w:p w14:paraId="773DCEE8">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3AFAFF03">
            <w:pPr>
              <w:spacing w:line="295" w:lineRule="auto"/>
              <w:rPr>
                <w:rFonts w:hint="eastAsia" w:ascii="宋体" w:hAnsi="宋体" w:eastAsia="宋体" w:cs="宋体"/>
                <w:color w:val="auto"/>
                <w:sz w:val="21"/>
                <w:szCs w:val="21"/>
                <w:highlight w:val="none"/>
              </w:rPr>
            </w:pPr>
          </w:p>
          <w:p w14:paraId="40D07C27">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5F3CFBB6">
            <w:pPr>
              <w:spacing w:line="295" w:lineRule="auto"/>
              <w:rPr>
                <w:rFonts w:hint="eastAsia" w:ascii="宋体" w:hAnsi="宋体" w:eastAsia="宋体" w:cs="宋体"/>
                <w:color w:val="auto"/>
                <w:sz w:val="21"/>
                <w:szCs w:val="21"/>
                <w:highlight w:val="none"/>
              </w:rPr>
            </w:pPr>
          </w:p>
          <w:p w14:paraId="38E55FB0">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4084B6AB">
            <w:pPr>
              <w:rPr>
                <w:rFonts w:hint="eastAsia" w:ascii="宋体" w:hAnsi="宋体" w:eastAsia="宋体" w:cs="宋体"/>
                <w:color w:val="auto"/>
                <w:sz w:val="21"/>
                <w:szCs w:val="21"/>
                <w:highlight w:val="none"/>
              </w:rPr>
            </w:pPr>
          </w:p>
        </w:tc>
      </w:tr>
      <w:tr w14:paraId="366EF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5588" w:type="dxa"/>
            <w:gridSpan w:val="4"/>
            <w:noWrap w:val="0"/>
            <w:vAlign w:val="top"/>
          </w:tcPr>
          <w:p w14:paraId="04CD3359">
            <w:pPr>
              <w:pStyle w:val="163"/>
              <w:spacing w:before="129" w:line="328" w:lineRule="auto"/>
              <w:ind w:left="116" w:right="105"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（二）提升高度在</w:t>
            </w:r>
            <w:r>
              <w:rPr>
                <w:rFonts w:hint="eastAsia" w:ascii="宋体" w:hAnsi="宋体" w:eastAsia="宋体" w:cs="宋体"/>
                <w:color w:val="auto"/>
                <w:spacing w:val="-16"/>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150m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6"/>
                <w:sz w:val="21"/>
                <w:szCs w:val="21"/>
                <w:highlight w:val="none"/>
                <w:lang w:eastAsia="zh-CN"/>
              </w:rPr>
              <w:t>及以上的附着式升降脚</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手架工程或附着式升降操作平台工程。</w:t>
            </w:r>
          </w:p>
        </w:tc>
        <w:tc>
          <w:tcPr>
            <w:tcW w:w="690" w:type="dxa"/>
            <w:tcBorders>
              <w:right w:val="nil"/>
            </w:tcBorders>
            <w:noWrap w:val="0"/>
            <w:vAlign w:val="top"/>
          </w:tcPr>
          <w:p w14:paraId="03944032">
            <w:pPr>
              <w:spacing w:line="294" w:lineRule="auto"/>
              <w:rPr>
                <w:rFonts w:hint="eastAsia" w:ascii="宋体" w:hAnsi="宋体" w:eastAsia="宋体" w:cs="宋体"/>
                <w:color w:val="auto"/>
                <w:sz w:val="21"/>
                <w:szCs w:val="21"/>
                <w:highlight w:val="none"/>
                <w:lang w:eastAsia="zh-CN"/>
              </w:rPr>
            </w:pPr>
          </w:p>
          <w:p w14:paraId="7C45EDF5">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770056EE">
            <w:pPr>
              <w:spacing w:line="294" w:lineRule="auto"/>
              <w:rPr>
                <w:rFonts w:hint="eastAsia" w:ascii="宋体" w:hAnsi="宋体" w:eastAsia="宋体" w:cs="宋体"/>
                <w:color w:val="auto"/>
                <w:sz w:val="21"/>
                <w:szCs w:val="21"/>
                <w:highlight w:val="none"/>
              </w:rPr>
            </w:pPr>
          </w:p>
          <w:p w14:paraId="66237622">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2A3AFBCD">
            <w:pPr>
              <w:spacing w:line="294" w:lineRule="auto"/>
              <w:rPr>
                <w:rFonts w:hint="eastAsia" w:ascii="宋体" w:hAnsi="宋体" w:eastAsia="宋体" w:cs="宋体"/>
                <w:color w:val="auto"/>
                <w:sz w:val="21"/>
                <w:szCs w:val="21"/>
                <w:highlight w:val="none"/>
              </w:rPr>
            </w:pPr>
          </w:p>
          <w:p w14:paraId="7C80F298">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556F9200">
            <w:pPr>
              <w:spacing w:line="294" w:lineRule="auto"/>
              <w:rPr>
                <w:rFonts w:hint="eastAsia" w:ascii="宋体" w:hAnsi="宋体" w:eastAsia="宋体" w:cs="宋体"/>
                <w:color w:val="auto"/>
                <w:sz w:val="21"/>
                <w:szCs w:val="21"/>
                <w:highlight w:val="none"/>
              </w:rPr>
            </w:pPr>
          </w:p>
          <w:p w14:paraId="0731DB5A">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619EC501">
            <w:pPr>
              <w:rPr>
                <w:rFonts w:hint="eastAsia" w:ascii="宋体" w:hAnsi="宋体" w:eastAsia="宋体" w:cs="宋体"/>
                <w:color w:val="auto"/>
                <w:sz w:val="21"/>
                <w:szCs w:val="21"/>
                <w:highlight w:val="none"/>
              </w:rPr>
            </w:pPr>
          </w:p>
        </w:tc>
      </w:tr>
      <w:tr w14:paraId="05CF1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5588" w:type="dxa"/>
            <w:gridSpan w:val="4"/>
            <w:noWrap w:val="0"/>
            <w:vAlign w:val="top"/>
          </w:tcPr>
          <w:p w14:paraId="4253E2D7">
            <w:pPr>
              <w:pStyle w:val="163"/>
              <w:spacing w:before="129" w:line="328"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（三）分段架体搭设高度</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20m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及以上的悬挑式</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脚手架工程。</w:t>
            </w:r>
          </w:p>
        </w:tc>
        <w:tc>
          <w:tcPr>
            <w:tcW w:w="690" w:type="dxa"/>
            <w:tcBorders>
              <w:right w:val="nil"/>
            </w:tcBorders>
            <w:noWrap w:val="0"/>
            <w:vAlign w:val="top"/>
          </w:tcPr>
          <w:p w14:paraId="6013D9F7">
            <w:pPr>
              <w:spacing w:line="295" w:lineRule="auto"/>
              <w:rPr>
                <w:rFonts w:hint="eastAsia" w:ascii="宋体" w:hAnsi="宋体" w:eastAsia="宋体" w:cs="宋体"/>
                <w:color w:val="auto"/>
                <w:sz w:val="21"/>
                <w:szCs w:val="21"/>
                <w:highlight w:val="none"/>
                <w:lang w:eastAsia="zh-CN"/>
              </w:rPr>
            </w:pPr>
          </w:p>
          <w:p w14:paraId="4098E8A7">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0C4BCF82">
            <w:pPr>
              <w:spacing w:line="295" w:lineRule="auto"/>
              <w:rPr>
                <w:rFonts w:hint="eastAsia" w:ascii="宋体" w:hAnsi="宋体" w:eastAsia="宋体" w:cs="宋体"/>
                <w:color w:val="auto"/>
                <w:sz w:val="21"/>
                <w:szCs w:val="21"/>
                <w:highlight w:val="none"/>
              </w:rPr>
            </w:pPr>
          </w:p>
          <w:p w14:paraId="6D570CC4">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1E52CBA3">
            <w:pPr>
              <w:spacing w:line="295" w:lineRule="auto"/>
              <w:rPr>
                <w:rFonts w:hint="eastAsia" w:ascii="宋体" w:hAnsi="宋体" w:eastAsia="宋体" w:cs="宋体"/>
                <w:color w:val="auto"/>
                <w:sz w:val="21"/>
                <w:szCs w:val="21"/>
                <w:highlight w:val="none"/>
              </w:rPr>
            </w:pPr>
          </w:p>
          <w:p w14:paraId="34251577">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7C25D58B">
            <w:pPr>
              <w:spacing w:line="295" w:lineRule="auto"/>
              <w:rPr>
                <w:rFonts w:hint="eastAsia" w:ascii="宋体" w:hAnsi="宋体" w:eastAsia="宋体" w:cs="宋体"/>
                <w:color w:val="auto"/>
                <w:sz w:val="21"/>
                <w:szCs w:val="21"/>
                <w:highlight w:val="none"/>
              </w:rPr>
            </w:pPr>
          </w:p>
          <w:p w14:paraId="20271223">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06DBD87C">
            <w:pPr>
              <w:rPr>
                <w:rFonts w:hint="eastAsia" w:ascii="宋体" w:hAnsi="宋体" w:eastAsia="宋体" w:cs="宋体"/>
                <w:color w:val="auto"/>
                <w:sz w:val="21"/>
                <w:szCs w:val="21"/>
                <w:highlight w:val="none"/>
              </w:rPr>
            </w:pPr>
          </w:p>
        </w:tc>
      </w:tr>
      <w:tr w14:paraId="09A274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5588" w:type="dxa"/>
            <w:gridSpan w:val="4"/>
            <w:noWrap w:val="0"/>
            <w:vAlign w:val="top"/>
          </w:tcPr>
          <w:p w14:paraId="6B1B0554">
            <w:pPr>
              <w:pStyle w:val="163"/>
              <w:spacing w:before="129" w:line="220"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五、拆除工程</w:t>
            </w:r>
          </w:p>
        </w:tc>
        <w:tc>
          <w:tcPr>
            <w:tcW w:w="690" w:type="dxa"/>
            <w:tcBorders>
              <w:right w:val="nil"/>
            </w:tcBorders>
            <w:noWrap w:val="0"/>
            <w:vAlign w:val="top"/>
          </w:tcPr>
          <w:p w14:paraId="5BADB1C1">
            <w:pPr>
              <w:pStyle w:val="163"/>
              <w:spacing w:before="156" w:line="223" w:lineRule="auto"/>
              <w:ind w:left="42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0D4122B1">
            <w:pPr>
              <w:pStyle w:val="163"/>
              <w:spacing w:before="156" w:line="223" w:lineRule="auto"/>
              <w:ind w:left="19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4C6212B3">
            <w:pPr>
              <w:pStyle w:val="163"/>
              <w:spacing w:before="156"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221F1717">
            <w:pPr>
              <w:pStyle w:val="163"/>
              <w:spacing w:before="156"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637DF0D8">
            <w:pPr>
              <w:rPr>
                <w:rFonts w:hint="eastAsia" w:ascii="宋体" w:hAnsi="宋体" w:eastAsia="宋体" w:cs="宋体"/>
                <w:color w:val="auto"/>
                <w:sz w:val="21"/>
                <w:szCs w:val="21"/>
                <w:highlight w:val="none"/>
              </w:rPr>
            </w:pPr>
          </w:p>
        </w:tc>
      </w:tr>
      <w:tr w14:paraId="13D1E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jc w:val="center"/>
        </w:trPr>
        <w:tc>
          <w:tcPr>
            <w:tcW w:w="5588" w:type="dxa"/>
            <w:gridSpan w:val="4"/>
            <w:noWrap w:val="0"/>
            <w:vAlign w:val="top"/>
          </w:tcPr>
          <w:p w14:paraId="10D31463">
            <w:pPr>
              <w:pStyle w:val="163"/>
              <w:spacing w:before="127" w:line="354"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（一）码头、桥梁、高架、烟囱、水塔或拆除</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中容易引起有毒有害气（液）体或粉尘扩散、</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易燃易爆事故发生的特殊建、构筑物的拆除工</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程。</w:t>
            </w:r>
          </w:p>
        </w:tc>
        <w:tc>
          <w:tcPr>
            <w:tcW w:w="690" w:type="dxa"/>
            <w:tcBorders>
              <w:right w:val="nil"/>
            </w:tcBorders>
            <w:noWrap w:val="0"/>
            <w:vAlign w:val="top"/>
          </w:tcPr>
          <w:p w14:paraId="3BD6B1BB">
            <w:pPr>
              <w:spacing w:line="261" w:lineRule="auto"/>
              <w:rPr>
                <w:rFonts w:hint="eastAsia" w:ascii="宋体" w:hAnsi="宋体" w:eastAsia="宋体" w:cs="宋体"/>
                <w:color w:val="auto"/>
                <w:sz w:val="21"/>
                <w:szCs w:val="21"/>
                <w:highlight w:val="none"/>
                <w:lang w:eastAsia="zh-CN"/>
              </w:rPr>
            </w:pPr>
          </w:p>
          <w:p w14:paraId="21D4D317">
            <w:pPr>
              <w:spacing w:line="261" w:lineRule="auto"/>
              <w:rPr>
                <w:rFonts w:hint="eastAsia" w:ascii="宋体" w:hAnsi="宋体" w:eastAsia="宋体" w:cs="宋体"/>
                <w:color w:val="auto"/>
                <w:sz w:val="21"/>
                <w:szCs w:val="21"/>
                <w:highlight w:val="none"/>
                <w:lang w:eastAsia="zh-CN"/>
              </w:rPr>
            </w:pPr>
          </w:p>
          <w:p w14:paraId="472B4C0D">
            <w:pPr>
              <w:spacing w:line="262" w:lineRule="auto"/>
              <w:rPr>
                <w:rFonts w:hint="eastAsia" w:ascii="宋体" w:hAnsi="宋体" w:eastAsia="宋体" w:cs="宋体"/>
                <w:color w:val="auto"/>
                <w:sz w:val="21"/>
                <w:szCs w:val="21"/>
                <w:highlight w:val="none"/>
                <w:lang w:eastAsia="zh-CN"/>
              </w:rPr>
            </w:pPr>
          </w:p>
          <w:p w14:paraId="4E87A453">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1E6DA78D">
            <w:pPr>
              <w:spacing w:line="261" w:lineRule="auto"/>
              <w:rPr>
                <w:rFonts w:hint="eastAsia" w:ascii="宋体" w:hAnsi="宋体" w:eastAsia="宋体" w:cs="宋体"/>
                <w:color w:val="auto"/>
                <w:sz w:val="21"/>
                <w:szCs w:val="21"/>
                <w:highlight w:val="none"/>
              </w:rPr>
            </w:pPr>
          </w:p>
          <w:p w14:paraId="613A6528">
            <w:pPr>
              <w:spacing w:line="261" w:lineRule="auto"/>
              <w:rPr>
                <w:rFonts w:hint="eastAsia" w:ascii="宋体" w:hAnsi="宋体" w:eastAsia="宋体" w:cs="宋体"/>
                <w:color w:val="auto"/>
                <w:sz w:val="21"/>
                <w:szCs w:val="21"/>
                <w:highlight w:val="none"/>
              </w:rPr>
            </w:pPr>
          </w:p>
          <w:p w14:paraId="20A5A825">
            <w:pPr>
              <w:spacing w:line="262" w:lineRule="auto"/>
              <w:rPr>
                <w:rFonts w:hint="eastAsia" w:ascii="宋体" w:hAnsi="宋体" w:eastAsia="宋体" w:cs="宋体"/>
                <w:color w:val="auto"/>
                <w:sz w:val="21"/>
                <w:szCs w:val="21"/>
                <w:highlight w:val="none"/>
              </w:rPr>
            </w:pPr>
          </w:p>
          <w:p w14:paraId="790D8FBF">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42316A10">
            <w:pPr>
              <w:spacing w:line="261" w:lineRule="auto"/>
              <w:rPr>
                <w:rFonts w:hint="eastAsia" w:ascii="宋体" w:hAnsi="宋体" w:eastAsia="宋体" w:cs="宋体"/>
                <w:color w:val="auto"/>
                <w:sz w:val="21"/>
                <w:szCs w:val="21"/>
                <w:highlight w:val="none"/>
              </w:rPr>
            </w:pPr>
          </w:p>
          <w:p w14:paraId="45CDCCB6">
            <w:pPr>
              <w:spacing w:line="261" w:lineRule="auto"/>
              <w:rPr>
                <w:rFonts w:hint="eastAsia" w:ascii="宋体" w:hAnsi="宋体" w:eastAsia="宋体" w:cs="宋体"/>
                <w:color w:val="auto"/>
                <w:sz w:val="21"/>
                <w:szCs w:val="21"/>
                <w:highlight w:val="none"/>
              </w:rPr>
            </w:pPr>
          </w:p>
          <w:p w14:paraId="012B9619">
            <w:pPr>
              <w:spacing w:line="262" w:lineRule="auto"/>
              <w:rPr>
                <w:rFonts w:hint="eastAsia" w:ascii="宋体" w:hAnsi="宋体" w:eastAsia="宋体" w:cs="宋体"/>
                <w:color w:val="auto"/>
                <w:sz w:val="21"/>
                <w:szCs w:val="21"/>
                <w:highlight w:val="none"/>
              </w:rPr>
            </w:pPr>
          </w:p>
          <w:p w14:paraId="564CEF84">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4F1EFBA0">
            <w:pPr>
              <w:spacing w:line="261" w:lineRule="auto"/>
              <w:rPr>
                <w:rFonts w:hint="eastAsia" w:ascii="宋体" w:hAnsi="宋体" w:eastAsia="宋体" w:cs="宋体"/>
                <w:color w:val="auto"/>
                <w:sz w:val="21"/>
                <w:szCs w:val="21"/>
                <w:highlight w:val="none"/>
              </w:rPr>
            </w:pPr>
          </w:p>
          <w:p w14:paraId="43AD341E">
            <w:pPr>
              <w:spacing w:line="261" w:lineRule="auto"/>
              <w:rPr>
                <w:rFonts w:hint="eastAsia" w:ascii="宋体" w:hAnsi="宋体" w:eastAsia="宋体" w:cs="宋体"/>
                <w:color w:val="auto"/>
                <w:sz w:val="21"/>
                <w:szCs w:val="21"/>
                <w:highlight w:val="none"/>
              </w:rPr>
            </w:pPr>
          </w:p>
          <w:p w14:paraId="4B532488">
            <w:pPr>
              <w:spacing w:line="262" w:lineRule="auto"/>
              <w:rPr>
                <w:rFonts w:hint="eastAsia" w:ascii="宋体" w:hAnsi="宋体" w:eastAsia="宋体" w:cs="宋体"/>
                <w:color w:val="auto"/>
                <w:sz w:val="21"/>
                <w:szCs w:val="21"/>
                <w:highlight w:val="none"/>
              </w:rPr>
            </w:pPr>
          </w:p>
          <w:p w14:paraId="67BF2502">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0520B037">
            <w:pPr>
              <w:rPr>
                <w:rFonts w:hint="eastAsia" w:ascii="宋体" w:hAnsi="宋体" w:eastAsia="宋体" w:cs="宋体"/>
                <w:color w:val="auto"/>
                <w:sz w:val="21"/>
                <w:szCs w:val="21"/>
                <w:highlight w:val="none"/>
              </w:rPr>
            </w:pPr>
          </w:p>
        </w:tc>
      </w:tr>
      <w:tr w14:paraId="54921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jc w:val="center"/>
        </w:trPr>
        <w:tc>
          <w:tcPr>
            <w:tcW w:w="5588" w:type="dxa"/>
            <w:gridSpan w:val="4"/>
            <w:noWrap w:val="0"/>
            <w:vAlign w:val="top"/>
          </w:tcPr>
          <w:p w14:paraId="50E613E8">
            <w:pPr>
              <w:pStyle w:val="163"/>
              <w:spacing w:before="130" w:line="327"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（二）文物保护建筑、优秀历史建筑或历史文</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化风貌区影响范围内的拆除工程。</w:t>
            </w:r>
          </w:p>
        </w:tc>
        <w:tc>
          <w:tcPr>
            <w:tcW w:w="690" w:type="dxa"/>
            <w:tcBorders>
              <w:right w:val="nil"/>
            </w:tcBorders>
            <w:noWrap w:val="0"/>
            <w:vAlign w:val="top"/>
          </w:tcPr>
          <w:p w14:paraId="1E6E9795">
            <w:pPr>
              <w:spacing w:line="295" w:lineRule="auto"/>
              <w:rPr>
                <w:rFonts w:hint="eastAsia" w:ascii="宋体" w:hAnsi="宋体" w:eastAsia="宋体" w:cs="宋体"/>
                <w:color w:val="auto"/>
                <w:sz w:val="21"/>
                <w:szCs w:val="21"/>
                <w:highlight w:val="none"/>
                <w:lang w:eastAsia="zh-CN"/>
              </w:rPr>
            </w:pPr>
          </w:p>
          <w:p w14:paraId="59CD0507">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640BAC6F">
            <w:pPr>
              <w:spacing w:line="295" w:lineRule="auto"/>
              <w:rPr>
                <w:rFonts w:hint="eastAsia" w:ascii="宋体" w:hAnsi="宋体" w:eastAsia="宋体" w:cs="宋体"/>
                <w:color w:val="auto"/>
                <w:sz w:val="21"/>
                <w:szCs w:val="21"/>
                <w:highlight w:val="none"/>
              </w:rPr>
            </w:pPr>
          </w:p>
          <w:p w14:paraId="0FF60AEE">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518FF5C9">
            <w:pPr>
              <w:spacing w:line="295" w:lineRule="auto"/>
              <w:rPr>
                <w:rFonts w:hint="eastAsia" w:ascii="宋体" w:hAnsi="宋体" w:eastAsia="宋体" w:cs="宋体"/>
                <w:color w:val="auto"/>
                <w:sz w:val="21"/>
                <w:szCs w:val="21"/>
                <w:highlight w:val="none"/>
              </w:rPr>
            </w:pPr>
          </w:p>
          <w:p w14:paraId="655A641B">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017D5BB8">
            <w:pPr>
              <w:spacing w:line="295" w:lineRule="auto"/>
              <w:rPr>
                <w:rFonts w:hint="eastAsia" w:ascii="宋体" w:hAnsi="宋体" w:eastAsia="宋体" w:cs="宋体"/>
                <w:color w:val="auto"/>
                <w:sz w:val="21"/>
                <w:szCs w:val="21"/>
                <w:highlight w:val="none"/>
              </w:rPr>
            </w:pPr>
          </w:p>
          <w:p w14:paraId="4F56E260">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4CB2E62E">
            <w:pPr>
              <w:rPr>
                <w:rFonts w:hint="eastAsia" w:ascii="宋体" w:hAnsi="宋体" w:eastAsia="宋体" w:cs="宋体"/>
                <w:color w:val="auto"/>
                <w:sz w:val="21"/>
                <w:szCs w:val="21"/>
                <w:highlight w:val="none"/>
              </w:rPr>
            </w:pPr>
          </w:p>
        </w:tc>
      </w:tr>
      <w:tr w14:paraId="7FC41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5588" w:type="dxa"/>
            <w:gridSpan w:val="4"/>
            <w:noWrap w:val="0"/>
            <w:vAlign w:val="top"/>
          </w:tcPr>
          <w:p w14:paraId="5D414258">
            <w:pPr>
              <w:pStyle w:val="163"/>
              <w:spacing w:before="130" w:line="221" w:lineRule="auto"/>
              <w:ind w:left="11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六、暗挖工程</w:t>
            </w:r>
          </w:p>
        </w:tc>
        <w:tc>
          <w:tcPr>
            <w:tcW w:w="690" w:type="dxa"/>
            <w:tcBorders>
              <w:right w:val="nil"/>
            </w:tcBorders>
            <w:noWrap w:val="0"/>
            <w:vAlign w:val="top"/>
          </w:tcPr>
          <w:p w14:paraId="375AB76C">
            <w:pPr>
              <w:pStyle w:val="163"/>
              <w:spacing w:before="139"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6942401A">
            <w:pPr>
              <w:pStyle w:val="163"/>
              <w:spacing w:before="139"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46C359E6">
            <w:pPr>
              <w:pStyle w:val="163"/>
              <w:spacing w:before="139"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50485090">
            <w:pPr>
              <w:pStyle w:val="163"/>
              <w:spacing w:before="139"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63311904">
            <w:pPr>
              <w:rPr>
                <w:rFonts w:hint="eastAsia" w:ascii="宋体" w:hAnsi="宋体" w:eastAsia="宋体" w:cs="宋体"/>
                <w:color w:val="auto"/>
                <w:sz w:val="21"/>
                <w:szCs w:val="21"/>
                <w:highlight w:val="none"/>
              </w:rPr>
            </w:pPr>
          </w:p>
        </w:tc>
      </w:tr>
      <w:tr w14:paraId="46E85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jc w:val="center"/>
        </w:trPr>
        <w:tc>
          <w:tcPr>
            <w:tcW w:w="5588" w:type="dxa"/>
            <w:gridSpan w:val="4"/>
            <w:noWrap w:val="0"/>
            <w:vAlign w:val="top"/>
          </w:tcPr>
          <w:p w14:paraId="12EA3A2B">
            <w:pPr>
              <w:pStyle w:val="163"/>
              <w:spacing w:before="130" w:line="327" w:lineRule="auto"/>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10"/>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室工程。</w:t>
            </w:r>
          </w:p>
        </w:tc>
        <w:tc>
          <w:tcPr>
            <w:tcW w:w="690" w:type="dxa"/>
            <w:tcBorders>
              <w:right w:val="nil"/>
            </w:tcBorders>
            <w:noWrap w:val="0"/>
            <w:vAlign w:val="top"/>
          </w:tcPr>
          <w:p w14:paraId="6706D7D8">
            <w:pPr>
              <w:spacing w:line="297" w:lineRule="auto"/>
              <w:rPr>
                <w:rFonts w:hint="eastAsia" w:ascii="宋体" w:hAnsi="宋体" w:eastAsia="宋体" w:cs="宋体"/>
                <w:color w:val="auto"/>
                <w:sz w:val="21"/>
                <w:szCs w:val="21"/>
                <w:highlight w:val="none"/>
                <w:lang w:eastAsia="zh-CN"/>
              </w:rPr>
            </w:pPr>
          </w:p>
          <w:p w14:paraId="09864646">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0C26B400">
            <w:pPr>
              <w:spacing w:line="297" w:lineRule="auto"/>
              <w:rPr>
                <w:rFonts w:hint="eastAsia" w:ascii="宋体" w:hAnsi="宋体" w:eastAsia="宋体" w:cs="宋体"/>
                <w:color w:val="auto"/>
                <w:sz w:val="21"/>
                <w:szCs w:val="21"/>
                <w:highlight w:val="none"/>
              </w:rPr>
            </w:pPr>
          </w:p>
          <w:p w14:paraId="6D04EC6A">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2DAC3C7A">
            <w:pPr>
              <w:spacing w:line="297" w:lineRule="auto"/>
              <w:rPr>
                <w:rFonts w:hint="eastAsia" w:ascii="宋体" w:hAnsi="宋体" w:eastAsia="宋体" w:cs="宋体"/>
                <w:color w:val="auto"/>
                <w:sz w:val="21"/>
                <w:szCs w:val="21"/>
                <w:highlight w:val="none"/>
              </w:rPr>
            </w:pPr>
          </w:p>
          <w:p w14:paraId="49EFD745">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367B4312">
            <w:pPr>
              <w:spacing w:line="297" w:lineRule="auto"/>
              <w:rPr>
                <w:rFonts w:hint="eastAsia" w:ascii="宋体" w:hAnsi="宋体" w:eastAsia="宋体" w:cs="宋体"/>
                <w:color w:val="auto"/>
                <w:sz w:val="21"/>
                <w:szCs w:val="21"/>
                <w:highlight w:val="none"/>
              </w:rPr>
            </w:pPr>
          </w:p>
          <w:p w14:paraId="34BE649D">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7B3387B0">
            <w:pPr>
              <w:rPr>
                <w:rFonts w:hint="eastAsia" w:ascii="宋体" w:hAnsi="宋体" w:eastAsia="宋体" w:cs="宋体"/>
                <w:color w:val="auto"/>
                <w:sz w:val="21"/>
                <w:szCs w:val="21"/>
                <w:highlight w:val="none"/>
              </w:rPr>
            </w:pPr>
          </w:p>
        </w:tc>
      </w:tr>
      <w:tr w14:paraId="2BCBD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5588" w:type="dxa"/>
            <w:gridSpan w:val="4"/>
            <w:noWrap w:val="0"/>
            <w:vAlign w:val="top"/>
          </w:tcPr>
          <w:p w14:paraId="53B7F6FD">
            <w:pPr>
              <w:pStyle w:val="163"/>
              <w:spacing w:before="130" w:line="222" w:lineRule="auto"/>
              <w:ind w:left="115"/>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七、其它</w:t>
            </w:r>
          </w:p>
        </w:tc>
        <w:tc>
          <w:tcPr>
            <w:tcW w:w="690" w:type="dxa"/>
            <w:tcBorders>
              <w:right w:val="nil"/>
            </w:tcBorders>
            <w:noWrap w:val="0"/>
            <w:vAlign w:val="top"/>
          </w:tcPr>
          <w:p w14:paraId="47338ED4">
            <w:pPr>
              <w:pStyle w:val="163"/>
              <w:spacing w:before="130"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77452818">
            <w:pPr>
              <w:pStyle w:val="163"/>
              <w:spacing w:before="130"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028AC56B">
            <w:pPr>
              <w:pStyle w:val="163"/>
              <w:spacing w:before="130"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6EE6730E">
            <w:pPr>
              <w:pStyle w:val="163"/>
              <w:spacing w:before="130"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4736E57A">
            <w:pPr>
              <w:rPr>
                <w:rFonts w:hint="eastAsia" w:ascii="宋体" w:hAnsi="宋体" w:eastAsia="宋体" w:cs="宋体"/>
                <w:color w:val="auto"/>
                <w:sz w:val="21"/>
                <w:szCs w:val="21"/>
                <w:highlight w:val="none"/>
              </w:rPr>
            </w:pPr>
          </w:p>
        </w:tc>
      </w:tr>
      <w:tr w14:paraId="2F94F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jc w:val="center"/>
        </w:trPr>
        <w:tc>
          <w:tcPr>
            <w:tcW w:w="5588" w:type="dxa"/>
            <w:gridSpan w:val="4"/>
            <w:noWrap w:val="0"/>
            <w:vAlign w:val="top"/>
          </w:tcPr>
          <w:p w14:paraId="281391D9">
            <w:pPr>
              <w:pStyle w:val="163"/>
              <w:spacing w:before="131" w:line="327"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（一）施工高度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50m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及以上的建筑幕墙安装工</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程。</w:t>
            </w:r>
          </w:p>
        </w:tc>
        <w:tc>
          <w:tcPr>
            <w:tcW w:w="690" w:type="dxa"/>
            <w:tcBorders>
              <w:right w:val="nil"/>
            </w:tcBorders>
            <w:noWrap w:val="0"/>
            <w:vAlign w:val="top"/>
          </w:tcPr>
          <w:p w14:paraId="06C58984">
            <w:pPr>
              <w:spacing w:line="298" w:lineRule="auto"/>
              <w:rPr>
                <w:rFonts w:hint="eastAsia" w:ascii="宋体" w:hAnsi="宋体" w:eastAsia="宋体" w:cs="宋体"/>
                <w:color w:val="auto"/>
                <w:sz w:val="21"/>
                <w:szCs w:val="21"/>
                <w:highlight w:val="none"/>
                <w:lang w:eastAsia="zh-CN"/>
              </w:rPr>
            </w:pPr>
          </w:p>
          <w:p w14:paraId="589C94E6">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1AA2DE77">
            <w:pPr>
              <w:spacing w:line="298" w:lineRule="auto"/>
              <w:rPr>
                <w:rFonts w:hint="eastAsia" w:ascii="宋体" w:hAnsi="宋体" w:eastAsia="宋体" w:cs="宋体"/>
                <w:color w:val="auto"/>
                <w:sz w:val="21"/>
                <w:szCs w:val="21"/>
                <w:highlight w:val="none"/>
              </w:rPr>
            </w:pPr>
          </w:p>
          <w:p w14:paraId="7FF48572">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1969FAFC">
            <w:pPr>
              <w:spacing w:line="298" w:lineRule="auto"/>
              <w:rPr>
                <w:rFonts w:hint="eastAsia" w:ascii="宋体" w:hAnsi="宋体" w:eastAsia="宋体" w:cs="宋体"/>
                <w:color w:val="auto"/>
                <w:sz w:val="21"/>
                <w:szCs w:val="21"/>
                <w:highlight w:val="none"/>
              </w:rPr>
            </w:pPr>
          </w:p>
          <w:p w14:paraId="3A7DF0E9">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658F0025">
            <w:pPr>
              <w:spacing w:line="298" w:lineRule="auto"/>
              <w:rPr>
                <w:rFonts w:hint="eastAsia" w:ascii="宋体" w:hAnsi="宋体" w:eastAsia="宋体" w:cs="宋体"/>
                <w:color w:val="auto"/>
                <w:sz w:val="21"/>
                <w:szCs w:val="21"/>
                <w:highlight w:val="none"/>
              </w:rPr>
            </w:pPr>
          </w:p>
          <w:p w14:paraId="2DDDCE3E">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4590CBA3">
            <w:pPr>
              <w:rPr>
                <w:rFonts w:hint="eastAsia" w:ascii="宋体" w:hAnsi="宋体" w:eastAsia="宋体" w:cs="宋体"/>
                <w:color w:val="auto"/>
                <w:sz w:val="21"/>
                <w:szCs w:val="21"/>
                <w:highlight w:val="none"/>
              </w:rPr>
            </w:pPr>
          </w:p>
        </w:tc>
      </w:tr>
      <w:tr w14:paraId="079B0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jc w:val="center"/>
        </w:trPr>
        <w:tc>
          <w:tcPr>
            <w:tcW w:w="5588" w:type="dxa"/>
            <w:gridSpan w:val="4"/>
            <w:noWrap w:val="0"/>
            <w:vAlign w:val="top"/>
          </w:tcPr>
          <w:p w14:paraId="0345FA8E">
            <w:pPr>
              <w:pStyle w:val="163"/>
              <w:spacing w:before="133" w:line="327" w:lineRule="auto"/>
              <w:ind w:left="116" w:right="168"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（二）跨度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36m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及以上的钢结构安装工程，或</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跨度</w:t>
            </w:r>
            <w:r>
              <w:rPr>
                <w:rFonts w:hint="eastAsia" w:ascii="宋体" w:hAnsi="宋体" w:eastAsia="宋体" w:cs="宋体"/>
                <w:color w:val="auto"/>
                <w:spacing w:val="-37"/>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60m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2"/>
                <w:sz w:val="21"/>
                <w:szCs w:val="21"/>
                <w:highlight w:val="none"/>
                <w:lang w:eastAsia="zh-CN"/>
              </w:rPr>
              <w:t>及以上的网架和索膜结构安装工程。</w:t>
            </w:r>
          </w:p>
        </w:tc>
        <w:tc>
          <w:tcPr>
            <w:tcW w:w="690" w:type="dxa"/>
            <w:tcBorders>
              <w:right w:val="nil"/>
            </w:tcBorders>
            <w:noWrap w:val="0"/>
            <w:vAlign w:val="top"/>
          </w:tcPr>
          <w:p w14:paraId="0EA7F0B5">
            <w:pPr>
              <w:spacing w:line="297" w:lineRule="auto"/>
              <w:rPr>
                <w:rFonts w:hint="eastAsia" w:ascii="宋体" w:hAnsi="宋体" w:eastAsia="宋体" w:cs="宋体"/>
                <w:color w:val="auto"/>
                <w:sz w:val="21"/>
                <w:szCs w:val="21"/>
                <w:highlight w:val="none"/>
                <w:lang w:eastAsia="zh-CN"/>
              </w:rPr>
            </w:pPr>
          </w:p>
          <w:p w14:paraId="28A1E19D">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3" w:type="dxa"/>
            <w:gridSpan w:val="4"/>
            <w:tcBorders>
              <w:left w:val="nil"/>
            </w:tcBorders>
            <w:noWrap w:val="0"/>
            <w:vAlign w:val="top"/>
          </w:tcPr>
          <w:p w14:paraId="42C3A8CE">
            <w:pPr>
              <w:spacing w:line="297" w:lineRule="auto"/>
              <w:rPr>
                <w:rFonts w:hint="eastAsia" w:ascii="宋体" w:hAnsi="宋体" w:eastAsia="宋体" w:cs="宋体"/>
                <w:color w:val="auto"/>
                <w:sz w:val="21"/>
                <w:szCs w:val="21"/>
                <w:highlight w:val="none"/>
              </w:rPr>
            </w:pPr>
          </w:p>
          <w:p w14:paraId="55BC2093">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1" w:type="dxa"/>
            <w:tcBorders>
              <w:right w:val="nil"/>
            </w:tcBorders>
            <w:noWrap w:val="0"/>
            <w:vAlign w:val="top"/>
          </w:tcPr>
          <w:p w14:paraId="4F31E689">
            <w:pPr>
              <w:spacing w:line="297" w:lineRule="auto"/>
              <w:rPr>
                <w:rFonts w:hint="eastAsia" w:ascii="宋体" w:hAnsi="宋体" w:eastAsia="宋体" w:cs="宋体"/>
                <w:color w:val="auto"/>
                <w:sz w:val="21"/>
                <w:szCs w:val="21"/>
                <w:highlight w:val="none"/>
              </w:rPr>
            </w:pPr>
          </w:p>
          <w:p w14:paraId="2C8CDBD2">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692" w:type="dxa"/>
            <w:gridSpan w:val="4"/>
            <w:tcBorders>
              <w:left w:val="nil"/>
            </w:tcBorders>
            <w:noWrap w:val="0"/>
            <w:vAlign w:val="top"/>
          </w:tcPr>
          <w:p w14:paraId="4542A11C">
            <w:pPr>
              <w:spacing w:line="297" w:lineRule="auto"/>
              <w:rPr>
                <w:rFonts w:hint="eastAsia" w:ascii="宋体" w:hAnsi="宋体" w:eastAsia="宋体" w:cs="宋体"/>
                <w:color w:val="auto"/>
                <w:sz w:val="21"/>
                <w:szCs w:val="21"/>
                <w:highlight w:val="none"/>
              </w:rPr>
            </w:pPr>
          </w:p>
          <w:p w14:paraId="6A60C13A">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33BF49A3">
            <w:pPr>
              <w:rPr>
                <w:rFonts w:hint="eastAsia" w:ascii="宋体" w:hAnsi="宋体" w:eastAsia="宋体" w:cs="宋体"/>
                <w:color w:val="auto"/>
                <w:sz w:val="21"/>
                <w:szCs w:val="21"/>
                <w:highlight w:val="none"/>
              </w:rPr>
            </w:pPr>
          </w:p>
        </w:tc>
      </w:tr>
      <w:tr w14:paraId="013BE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5588" w:type="dxa"/>
            <w:gridSpan w:val="4"/>
            <w:noWrap w:val="0"/>
            <w:vAlign w:val="top"/>
          </w:tcPr>
          <w:p w14:paraId="333B246F">
            <w:pPr>
              <w:pStyle w:val="163"/>
              <w:spacing w:before="131" w:line="220" w:lineRule="auto"/>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（三）开挖深度</w:t>
            </w:r>
            <w:r>
              <w:rPr>
                <w:rFonts w:hint="eastAsia" w:ascii="宋体" w:hAnsi="宋体" w:eastAsia="宋体" w:cs="宋体"/>
                <w:color w:val="auto"/>
                <w:spacing w:val="-33"/>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16m</w:t>
            </w:r>
            <w:r>
              <w:rPr>
                <w:rFonts w:hint="eastAsia" w:ascii="宋体" w:hAnsi="宋体" w:eastAsia="宋体" w:cs="宋体"/>
                <w:color w:val="auto"/>
                <w:spacing w:val="-52"/>
                <w:sz w:val="21"/>
                <w:szCs w:val="21"/>
                <w:highlight w:val="none"/>
                <w:lang w:eastAsia="zh-CN"/>
              </w:rPr>
              <w:t xml:space="preserve"> </w:t>
            </w:r>
            <w:r>
              <w:rPr>
                <w:rFonts w:hint="eastAsia" w:ascii="宋体" w:hAnsi="宋体" w:eastAsia="宋体" w:cs="宋体"/>
                <w:color w:val="auto"/>
                <w:spacing w:val="-7"/>
                <w:sz w:val="21"/>
                <w:szCs w:val="21"/>
                <w:highlight w:val="none"/>
                <w:lang w:eastAsia="zh-CN"/>
              </w:rPr>
              <w:t>及以上的人工挖孔桩工程。</w:t>
            </w:r>
          </w:p>
        </w:tc>
        <w:tc>
          <w:tcPr>
            <w:tcW w:w="815" w:type="dxa"/>
            <w:gridSpan w:val="2"/>
            <w:tcBorders>
              <w:right w:val="nil"/>
            </w:tcBorders>
            <w:noWrap w:val="0"/>
            <w:vAlign w:val="top"/>
          </w:tcPr>
          <w:p w14:paraId="640E791E">
            <w:pPr>
              <w:pStyle w:val="163"/>
              <w:spacing w:before="131"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68" w:type="dxa"/>
            <w:gridSpan w:val="3"/>
            <w:tcBorders>
              <w:left w:val="nil"/>
            </w:tcBorders>
            <w:noWrap w:val="0"/>
            <w:vAlign w:val="top"/>
          </w:tcPr>
          <w:p w14:paraId="17021024">
            <w:pPr>
              <w:pStyle w:val="163"/>
              <w:spacing w:before="131"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19" w:type="dxa"/>
            <w:gridSpan w:val="2"/>
            <w:tcBorders>
              <w:right w:val="nil"/>
            </w:tcBorders>
            <w:noWrap w:val="0"/>
            <w:vAlign w:val="top"/>
          </w:tcPr>
          <w:p w14:paraId="48B0D52E">
            <w:pPr>
              <w:pStyle w:val="163"/>
              <w:spacing w:before="13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64" w:type="dxa"/>
            <w:gridSpan w:val="3"/>
            <w:tcBorders>
              <w:left w:val="nil"/>
            </w:tcBorders>
            <w:noWrap w:val="0"/>
            <w:vAlign w:val="top"/>
          </w:tcPr>
          <w:p w14:paraId="0771E16B">
            <w:pPr>
              <w:pStyle w:val="163"/>
              <w:spacing w:before="131"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76B7D516">
            <w:pPr>
              <w:rPr>
                <w:rFonts w:hint="eastAsia" w:ascii="宋体" w:hAnsi="宋体" w:eastAsia="宋体" w:cs="宋体"/>
                <w:color w:val="auto"/>
                <w:sz w:val="21"/>
                <w:szCs w:val="21"/>
                <w:highlight w:val="none"/>
              </w:rPr>
            </w:pPr>
          </w:p>
        </w:tc>
      </w:tr>
      <w:tr w14:paraId="42E0D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jc w:val="center"/>
        </w:trPr>
        <w:tc>
          <w:tcPr>
            <w:tcW w:w="5588" w:type="dxa"/>
            <w:gridSpan w:val="4"/>
            <w:noWrap w:val="0"/>
            <w:vAlign w:val="top"/>
          </w:tcPr>
          <w:p w14:paraId="362315D8">
            <w:pPr>
              <w:pStyle w:val="163"/>
              <w:spacing w:before="127"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815" w:type="dxa"/>
            <w:gridSpan w:val="2"/>
            <w:tcBorders>
              <w:right w:val="nil"/>
            </w:tcBorders>
            <w:noWrap w:val="0"/>
            <w:vAlign w:val="top"/>
          </w:tcPr>
          <w:p w14:paraId="1B2900A4">
            <w:pPr>
              <w:pStyle w:val="163"/>
              <w:spacing w:before="161"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68" w:type="dxa"/>
            <w:gridSpan w:val="3"/>
            <w:tcBorders>
              <w:left w:val="nil"/>
            </w:tcBorders>
            <w:noWrap w:val="0"/>
            <w:vAlign w:val="top"/>
          </w:tcPr>
          <w:p w14:paraId="67D72B7A">
            <w:pPr>
              <w:pStyle w:val="163"/>
              <w:spacing w:before="161"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19" w:type="dxa"/>
            <w:gridSpan w:val="2"/>
            <w:tcBorders>
              <w:right w:val="nil"/>
            </w:tcBorders>
            <w:noWrap w:val="0"/>
            <w:vAlign w:val="top"/>
          </w:tcPr>
          <w:p w14:paraId="3153E7FB">
            <w:pPr>
              <w:pStyle w:val="163"/>
              <w:spacing w:before="161"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64" w:type="dxa"/>
            <w:gridSpan w:val="3"/>
            <w:tcBorders>
              <w:left w:val="nil"/>
            </w:tcBorders>
            <w:noWrap w:val="0"/>
            <w:vAlign w:val="top"/>
          </w:tcPr>
          <w:p w14:paraId="44FECC44">
            <w:pPr>
              <w:pStyle w:val="163"/>
              <w:spacing w:before="161"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084E7E9C">
            <w:pPr>
              <w:rPr>
                <w:rFonts w:hint="eastAsia" w:ascii="宋体" w:hAnsi="宋体" w:eastAsia="宋体" w:cs="宋体"/>
                <w:color w:val="auto"/>
                <w:sz w:val="21"/>
                <w:szCs w:val="21"/>
                <w:highlight w:val="none"/>
              </w:rPr>
            </w:pPr>
          </w:p>
        </w:tc>
      </w:tr>
      <w:tr w14:paraId="65392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5588" w:type="dxa"/>
            <w:gridSpan w:val="4"/>
            <w:noWrap w:val="0"/>
            <w:vAlign w:val="top"/>
          </w:tcPr>
          <w:p w14:paraId="57691C9E">
            <w:pPr>
              <w:pStyle w:val="163"/>
              <w:spacing w:before="129" w:line="327" w:lineRule="auto"/>
              <w:ind w:left="115" w:right="2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（五）重量</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1000kN及以上的大型结构整体顶升、</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平移、转体等施工工艺。</w:t>
            </w:r>
          </w:p>
        </w:tc>
        <w:tc>
          <w:tcPr>
            <w:tcW w:w="815" w:type="dxa"/>
            <w:gridSpan w:val="2"/>
            <w:tcBorders>
              <w:right w:val="nil"/>
            </w:tcBorders>
            <w:noWrap w:val="0"/>
            <w:vAlign w:val="top"/>
          </w:tcPr>
          <w:p w14:paraId="446E61F9">
            <w:pPr>
              <w:spacing w:line="294" w:lineRule="auto"/>
              <w:rPr>
                <w:rFonts w:hint="eastAsia" w:ascii="宋体" w:hAnsi="宋体" w:eastAsia="宋体" w:cs="宋体"/>
                <w:color w:val="auto"/>
                <w:sz w:val="21"/>
                <w:szCs w:val="21"/>
                <w:highlight w:val="none"/>
                <w:lang w:eastAsia="zh-CN"/>
              </w:rPr>
            </w:pPr>
          </w:p>
          <w:p w14:paraId="0A7E8523">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68" w:type="dxa"/>
            <w:gridSpan w:val="3"/>
            <w:tcBorders>
              <w:left w:val="nil"/>
            </w:tcBorders>
            <w:noWrap w:val="0"/>
            <w:vAlign w:val="top"/>
          </w:tcPr>
          <w:p w14:paraId="017B6F27">
            <w:pPr>
              <w:spacing w:line="294" w:lineRule="auto"/>
              <w:rPr>
                <w:rFonts w:hint="eastAsia" w:ascii="宋体" w:hAnsi="宋体" w:eastAsia="宋体" w:cs="宋体"/>
                <w:color w:val="auto"/>
                <w:sz w:val="21"/>
                <w:szCs w:val="21"/>
                <w:highlight w:val="none"/>
              </w:rPr>
            </w:pPr>
          </w:p>
          <w:p w14:paraId="267DD1BE">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19" w:type="dxa"/>
            <w:gridSpan w:val="2"/>
            <w:tcBorders>
              <w:right w:val="nil"/>
            </w:tcBorders>
            <w:noWrap w:val="0"/>
            <w:vAlign w:val="top"/>
          </w:tcPr>
          <w:p w14:paraId="3F96AC34">
            <w:pPr>
              <w:spacing w:line="294" w:lineRule="auto"/>
              <w:rPr>
                <w:rFonts w:hint="eastAsia" w:ascii="宋体" w:hAnsi="宋体" w:eastAsia="宋体" w:cs="宋体"/>
                <w:color w:val="auto"/>
                <w:sz w:val="21"/>
                <w:szCs w:val="21"/>
                <w:highlight w:val="none"/>
              </w:rPr>
            </w:pPr>
          </w:p>
          <w:p w14:paraId="17BB85AA">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64" w:type="dxa"/>
            <w:gridSpan w:val="3"/>
            <w:tcBorders>
              <w:left w:val="nil"/>
            </w:tcBorders>
            <w:noWrap w:val="0"/>
            <w:vAlign w:val="top"/>
          </w:tcPr>
          <w:p w14:paraId="5FFCF3F2">
            <w:pPr>
              <w:spacing w:line="294" w:lineRule="auto"/>
              <w:rPr>
                <w:rFonts w:hint="eastAsia" w:ascii="宋体" w:hAnsi="宋体" w:eastAsia="宋体" w:cs="宋体"/>
                <w:color w:val="auto"/>
                <w:sz w:val="21"/>
                <w:szCs w:val="21"/>
                <w:highlight w:val="none"/>
              </w:rPr>
            </w:pPr>
          </w:p>
          <w:p w14:paraId="06780C09">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0F3BCCA6">
            <w:pPr>
              <w:rPr>
                <w:rFonts w:hint="eastAsia" w:ascii="宋体" w:hAnsi="宋体" w:eastAsia="宋体" w:cs="宋体"/>
                <w:color w:val="auto"/>
                <w:sz w:val="21"/>
                <w:szCs w:val="21"/>
                <w:highlight w:val="none"/>
              </w:rPr>
            </w:pPr>
          </w:p>
        </w:tc>
      </w:tr>
      <w:tr w14:paraId="57F94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jc w:val="center"/>
        </w:trPr>
        <w:tc>
          <w:tcPr>
            <w:tcW w:w="5588" w:type="dxa"/>
            <w:gridSpan w:val="4"/>
            <w:noWrap w:val="0"/>
            <w:vAlign w:val="top"/>
          </w:tcPr>
          <w:p w14:paraId="2FC5ADC5">
            <w:pPr>
              <w:pStyle w:val="163"/>
              <w:spacing w:before="128" w:line="346" w:lineRule="auto"/>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可能影响工程施工安全，尚无国家、行业及地</w:t>
            </w:r>
            <w:r>
              <w:rPr>
                <w:rFonts w:hint="eastAsia" w:ascii="宋体" w:hAnsi="宋体" w:eastAsia="宋体" w:cs="宋体"/>
                <w:color w:val="auto"/>
                <w:spacing w:val="8"/>
                <w:sz w:val="21"/>
                <w:szCs w:val="21"/>
                <w:highlight w:val="none"/>
                <w:lang w:eastAsia="zh-CN"/>
              </w:rPr>
              <w:t xml:space="preserve"> </w:t>
            </w:r>
            <w:r>
              <w:rPr>
                <w:rFonts w:hint="eastAsia" w:ascii="宋体" w:hAnsi="宋体" w:eastAsia="宋体" w:cs="宋体"/>
                <w:color w:val="auto"/>
                <w:spacing w:val="-1"/>
                <w:sz w:val="21"/>
                <w:szCs w:val="21"/>
                <w:highlight w:val="none"/>
                <w:lang w:eastAsia="zh-CN"/>
              </w:rPr>
              <w:t>方技术标准的分部分项工程。</w:t>
            </w:r>
          </w:p>
        </w:tc>
        <w:tc>
          <w:tcPr>
            <w:tcW w:w="815" w:type="dxa"/>
            <w:gridSpan w:val="2"/>
            <w:tcBorders>
              <w:right w:val="nil"/>
            </w:tcBorders>
            <w:noWrap w:val="0"/>
            <w:vAlign w:val="top"/>
          </w:tcPr>
          <w:p w14:paraId="521A9D43">
            <w:pPr>
              <w:spacing w:line="271" w:lineRule="auto"/>
              <w:rPr>
                <w:rFonts w:hint="eastAsia" w:ascii="宋体" w:hAnsi="宋体" w:eastAsia="宋体" w:cs="宋体"/>
                <w:color w:val="auto"/>
                <w:sz w:val="21"/>
                <w:szCs w:val="21"/>
                <w:highlight w:val="none"/>
                <w:lang w:eastAsia="zh-CN"/>
              </w:rPr>
            </w:pPr>
          </w:p>
          <w:p w14:paraId="6004F4BC">
            <w:pPr>
              <w:spacing w:line="272" w:lineRule="auto"/>
              <w:rPr>
                <w:rFonts w:hint="eastAsia" w:ascii="宋体" w:hAnsi="宋体" w:eastAsia="宋体" w:cs="宋体"/>
                <w:color w:val="auto"/>
                <w:sz w:val="21"/>
                <w:szCs w:val="21"/>
                <w:highlight w:val="none"/>
                <w:lang w:eastAsia="zh-CN"/>
              </w:rPr>
            </w:pPr>
          </w:p>
          <w:p w14:paraId="7DF1DA11">
            <w:pPr>
              <w:pStyle w:val="163"/>
              <w:spacing w:before="78" w:line="223" w:lineRule="auto"/>
              <w:ind w:left="36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68" w:type="dxa"/>
            <w:gridSpan w:val="3"/>
            <w:tcBorders>
              <w:left w:val="nil"/>
            </w:tcBorders>
            <w:noWrap w:val="0"/>
            <w:vAlign w:val="top"/>
          </w:tcPr>
          <w:p w14:paraId="58337BC5">
            <w:pPr>
              <w:spacing w:line="271" w:lineRule="auto"/>
              <w:rPr>
                <w:rFonts w:hint="eastAsia" w:ascii="宋体" w:hAnsi="宋体" w:eastAsia="宋体" w:cs="宋体"/>
                <w:color w:val="auto"/>
                <w:sz w:val="21"/>
                <w:szCs w:val="21"/>
                <w:highlight w:val="none"/>
              </w:rPr>
            </w:pPr>
          </w:p>
          <w:p w14:paraId="317B5E5F">
            <w:pPr>
              <w:spacing w:line="272" w:lineRule="auto"/>
              <w:rPr>
                <w:rFonts w:hint="eastAsia" w:ascii="宋体" w:hAnsi="宋体" w:eastAsia="宋体" w:cs="宋体"/>
                <w:color w:val="auto"/>
                <w:sz w:val="21"/>
                <w:szCs w:val="21"/>
                <w:highlight w:val="none"/>
              </w:rPr>
            </w:pPr>
          </w:p>
          <w:p w14:paraId="44008B39">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819" w:type="dxa"/>
            <w:gridSpan w:val="2"/>
            <w:tcBorders>
              <w:right w:val="nil"/>
            </w:tcBorders>
            <w:noWrap w:val="0"/>
            <w:vAlign w:val="top"/>
          </w:tcPr>
          <w:p w14:paraId="1AF69DBE">
            <w:pPr>
              <w:spacing w:line="271" w:lineRule="auto"/>
              <w:rPr>
                <w:rFonts w:hint="eastAsia" w:ascii="宋体" w:hAnsi="宋体" w:eastAsia="宋体" w:cs="宋体"/>
                <w:color w:val="auto"/>
                <w:sz w:val="21"/>
                <w:szCs w:val="21"/>
                <w:highlight w:val="none"/>
              </w:rPr>
            </w:pPr>
          </w:p>
          <w:p w14:paraId="07465349">
            <w:pPr>
              <w:spacing w:line="272" w:lineRule="auto"/>
              <w:rPr>
                <w:rFonts w:hint="eastAsia" w:ascii="宋体" w:hAnsi="宋体" w:eastAsia="宋体" w:cs="宋体"/>
                <w:color w:val="auto"/>
                <w:sz w:val="21"/>
                <w:szCs w:val="21"/>
                <w:highlight w:val="none"/>
              </w:rPr>
            </w:pPr>
          </w:p>
          <w:p w14:paraId="7F4D3C08">
            <w:pPr>
              <w:pStyle w:val="163"/>
              <w:spacing w:before="78" w:line="223" w:lineRule="auto"/>
              <w:ind w:left="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64" w:type="dxa"/>
            <w:gridSpan w:val="3"/>
            <w:tcBorders>
              <w:left w:val="nil"/>
            </w:tcBorders>
            <w:noWrap w:val="0"/>
            <w:vAlign w:val="top"/>
          </w:tcPr>
          <w:p w14:paraId="324B3683">
            <w:pPr>
              <w:spacing w:line="271" w:lineRule="auto"/>
              <w:rPr>
                <w:rFonts w:hint="eastAsia" w:ascii="宋体" w:hAnsi="宋体" w:eastAsia="宋体" w:cs="宋体"/>
                <w:color w:val="auto"/>
                <w:sz w:val="21"/>
                <w:szCs w:val="21"/>
                <w:highlight w:val="none"/>
              </w:rPr>
            </w:pPr>
          </w:p>
          <w:p w14:paraId="5E94E324">
            <w:pPr>
              <w:spacing w:line="272" w:lineRule="auto"/>
              <w:rPr>
                <w:rFonts w:hint="eastAsia" w:ascii="宋体" w:hAnsi="宋体" w:eastAsia="宋体" w:cs="宋体"/>
                <w:color w:val="auto"/>
                <w:sz w:val="21"/>
                <w:szCs w:val="21"/>
                <w:highlight w:val="none"/>
              </w:rPr>
            </w:pPr>
          </w:p>
          <w:p w14:paraId="4CFCFEEB">
            <w:pPr>
              <w:pStyle w:val="163"/>
              <w:spacing w:before="78" w:line="223" w:lineRule="auto"/>
              <w:ind w:left="2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85" w:type="dxa"/>
            <w:gridSpan w:val="3"/>
            <w:noWrap w:val="0"/>
            <w:vAlign w:val="top"/>
          </w:tcPr>
          <w:p w14:paraId="59575003">
            <w:pPr>
              <w:rPr>
                <w:rFonts w:hint="eastAsia" w:ascii="宋体" w:hAnsi="宋体" w:eastAsia="宋体" w:cs="宋体"/>
                <w:color w:val="auto"/>
                <w:sz w:val="21"/>
                <w:szCs w:val="21"/>
                <w:highlight w:val="none"/>
              </w:rPr>
            </w:pPr>
          </w:p>
        </w:tc>
      </w:tr>
    </w:tbl>
    <w:p w14:paraId="66BDE3D6">
      <w:pPr>
        <w:spacing w:line="289" w:lineRule="auto"/>
        <w:rPr>
          <w:rFonts w:hint="eastAsia" w:ascii="宋体" w:hAnsi="宋体" w:eastAsia="宋体" w:cs="宋体"/>
          <w:color w:val="auto"/>
          <w:sz w:val="21"/>
          <w:highlight w:val="none"/>
        </w:rPr>
      </w:pPr>
    </w:p>
    <w:p w14:paraId="3782E786">
      <w:pPr>
        <w:pStyle w:val="12"/>
        <w:spacing w:before="62" w:line="469" w:lineRule="auto"/>
        <w:ind w:firstLine="13"/>
        <w:jc w:val="both"/>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备注：1.根据《危险性较大的分部分项工程安全管理</w:t>
      </w:r>
      <w:r>
        <w:rPr>
          <w:rFonts w:hint="eastAsia" w:ascii="宋体" w:hAnsi="宋体" w:eastAsia="宋体" w:cs="宋体"/>
          <w:color w:val="auto"/>
          <w:spacing w:val="9"/>
          <w:sz w:val="18"/>
          <w:szCs w:val="18"/>
          <w:highlight w:val="none"/>
        </w:rPr>
        <w:t>规定》，该《危险性较大的分部分项工程清单及超</w:t>
      </w:r>
      <w:r>
        <w:rPr>
          <w:rFonts w:hint="eastAsia" w:ascii="宋体" w:hAnsi="宋体" w:eastAsia="宋体" w:cs="宋体"/>
          <w:color w:val="auto"/>
          <w:sz w:val="18"/>
          <w:szCs w:val="18"/>
          <w:highlight w:val="none"/>
        </w:rPr>
        <w:t xml:space="preserve"> </w:t>
      </w:r>
      <w:r>
        <w:rPr>
          <w:rFonts w:hint="eastAsia" w:ascii="宋体" w:hAnsi="宋体" w:eastAsia="宋体" w:cs="宋体"/>
          <w:color w:val="auto"/>
          <w:spacing w:val="9"/>
          <w:sz w:val="18"/>
          <w:szCs w:val="18"/>
          <w:highlight w:val="none"/>
        </w:rPr>
        <w:t>过一定规模的危险性较大的分部分项工程清单》应由</w:t>
      </w:r>
      <w:r>
        <w:rPr>
          <w:rFonts w:hint="eastAsia" w:ascii="宋体" w:hAnsi="宋体" w:eastAsia="宋体" w:cs="宋体"/>
          <w:b/>
          <w:bCs/>
          <w:color w:val="auto"/>
          <w:spacing w:val="9"/>
          <w:sz w:val="18"/>
          <w:szCs w:val="18"/>
          <w:highlight w:val="none"/>
        </w:rPr>
        <w:t>建设单位</w:t>
      </w:r>
      <w:r>
        <w:rPr>
          <w:rFonts w:hint="eastAsia" w:ascii="宋体" w:hAnsi="宋体" w:eastAsia="宋体" w:cs="宋体"/>
          <w:color w:val="auto"/>
          <w:spacing w:val="9"/>
          <w:sz w:val="18"/>
          <w:szCs w:val="18"/>
          <w:highlight w:val="none"/>
        </w:rPr>
        <w:t xml:space="preserve"> 组织勘察、设计等单位</w:t>
      </w:r>
      <w:r>
        <w:rPr>
          <w:rFonts w:hint="eastAsia" w:ascii="宋体" w:hAnsi="宋体" w:eastAsia="宋体" w:cs="宋体"/>
          <w:b/>
          <w:bCs/>
          <w:color w:val="auto"/>
          <w:spacing w:val="9"/>
          <w:sz w:val="18"/>
          <w:szCs w:val="18"/>
          <w:highlight w:val="none"/>
        </w:rPr>
        <w:t>在招标文件</w:t>
      </w:r>
      <w:r>
        <w:rPr>
          <w:rFonts w:hint="eastAsia" w:ascii="宋体" w:hAnsi="宋体" w:eastAsia="宋体" w:cs="宋体"/>
          <w:color w:val="auto"/>
          <w:spacing w:val="8"/>
          <w:sz w:val="18"/>
          <w:szCs w:val="18"/>
          <w:highlight w:val="none"/>
        </w:rPr>
        <w:t>中先行</w:t>
      </w:r>
      <w:r>
        <w:rPr>
          <w:rFonts w:hint="eastAsia" w:ascii="宋体" w:hAnsi="宋体" w:eastAsia="宋体" w:cs="宋体"/>
          <w:color w:val="auto"/>
          <w:sz w:val="18"/>
          <w:szCs w:val="18"/>
          <w:highlight w:val="none"/>
        </w:rPr>
        <w:t xml:space="preserve"> </w:t>
      </w:r>
      <w:r>
        <w:rPr>
          <w:rFonts w:hint="eastAsia" w:ascii="宋体" w:hAnsi="宋体" w:eastAsia="宋体" w:cs="宋体"/>
          <w:color w:val="auto"/>
          <w:spacing w:val="5"/>
          <w:sz w:val="18"/>
          <w:szCs w:val="18"/>
          <w:highlight w:val="none"/>
        </w:rPr>
        <w:t>“勾选（对应项打“</w:t>
      </w:r>
      <w:r>
        <w:rPr>
          <w:rFonts w:hint="eastAsia" w:ascii="宋体" w:hAnsi="宋体" w:eastAsia="宋体" w:cs="宋体"/>
          <w:color w:val="auto"/>
          <w:spacing w:val="-31"/>
          <w:sz w:val="18"/>
          <w:szCs w:val="18"/>
          <w:highlight w:val="none"/>
        </w:rPr>
        <w:t xml:space="preserve"> </w:t>
      </w:r>
      <w:r>
        <w:rPr>
          <w:rFonts w:hint="eastAsia" w:ascii="宋体" w:hAnsi="宋体" w:eastAsia="宋体" w:cs="宋体"/>
          <w:color w:val="auto"/>
          <w:spacing w:val="5"/>
          <w:sz w:val="18"/>
          <w:szCs w:val="18"/>
          <w:highlight w:val="none"/>
        </w:rPr>
        <w:t>√</w:t>
      </w:r>
      <w:r>
        <w:rPr>
          <w:rFonts w:hint="eastAsia" w:ascii="宋体" w:hAnsi="宋体" w:eastAsia="宋体" w:cs="宋体"/>
          <w:color w:val="auto"/>
          <w:spacing w:val="-66"/>
          <w:sz w:val="18"/>
          <w:szCs w:val="18"/>
          <w:highlight w:val="none"/>
        </w:rPr>
        <w:t xml:space="preserve"> </w:t>
      </w:r>
      <w:r>
        <w:rPr>
          <w:rFonts w:hint="eastAsia" w:ascii="宋体" w:hAnsi="宋体" w:eastAsia="宋体" w:cs="宋体"/>
          <w:color w:val="auto"/>
          <w:spacing w:val="5"/>
          <w:sz w:val="18"/>
          <w:szCs w:val="18"/>
          <w:highlight w:val="none"/>
        </w:rPr>
        <w:t>”标识）</w:t>
      </w:r>
      <w:r>
        <w:rPr>
          <w:rFonts w:hint="eastAsia" w:ascii="宋体" w:hAnsi="宋体" w:eastAsia="宋体" w:cs="宋体"/>
          <w:color w:val="auto"/>
          <w:spacing w:val="-57"/>
          <w:sz w:val="18"/>
          <w:szCs w:val="18"/>
          <w:highlight w:val="none"/>
        </w:rPr>
        <w:t xml:space="preserve"> </w:t>
      </w:r>
      <w:r>
        <w:rPr>
          <w:rFonts w:hint="eastAsia" w:ascii="宋体" w:hAnsi="宋体" w:eastAsia="宋体" w:cs="宋体"/>
          <w:color w:val="auto"/>
          <w:spacing w:val="5"/>
          <w:sz w:val="18"/>
          <w:szCs w:val="18"/>
          <w:highlight w:val="none"/>
        </w:rPr>
        <w:t>”危险性较大的分部分项工程。</w:t>
      </w:r>
    </w:p>
    <w:p w14:paraId="5823571A">
      <w:pPr>
        <w:pStyle w:val="12"/>
        <w:spacing w:before="32" w:line="469" w:lineRule="auto"/>
        <w:ind w:left="11" w:firstLine="554"/>
        <w:jc w:val="both"/>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2.该《危险性较大的分部分项工程清单及超过一定规模的危险性较</w:t>
      </w:r>
      <w:r>
        <w:rPr>
          <w:rFonts w:hint="eastAsia" w:ascii="宋体" w:hAnsi="宋体" w:eastAsia="宋体" w:cs="宋体"/>
          <w:color w:val="auto"/>
          <w:spacing w:val="7"/>
          <w:sz w:val="18"/>
          <w:szCs w:val="18"/>
          <w:highlight w:val="none"/>
        </w:rPr>
        <w:t>大的分部分项工程清单》在办理</w:t>
      </w:r>
      <w:r>
        <w:rPr>
          <w:rFonts w:hint="eastAsia" w:ascii="宋体" w:hAnsi="宋体" w:eastAsia="宋体" w:cs="宋体"/>
          <w:color w:val="auto"/>
          <w:sz w:val="18"/>
          <w:szCs w:val="18"/>
          <w:highlight w:val="none"/>
        </w:rPr>
        <w:t xml:space="preserve"> </w:t>
      </w:r>
      <w:r>
        <w:rPr>
          <w:rFonts w:hint="eastAsia" w:ascii="宋体" w:hAnsi="宋体" w:eastAsia="宋体" w:cs="宋体"/>
          <w:color w:val="auto"/>
          <w:spacing w:val="10"/>
          <w:sz w:val="18"/>
          <w:szCs w:val="18"/>
          <w:highlight w:val="none"/>
        </w:rPr>
        <w:t>建设项目施工许可时必须提供，且各地建设行政主管部门可按照《广东省建设工</w:t>
      </w:r>
      <w:r>
        <w:rPr>
          <w:rFonts w:hint="eastAsia" w:ascii="宋体" w:hAnsi="宋体" w:eastAsia="宋体" w:cs="宋体"/>
          <w:color w:val="auto"/>
          <w:spacing w:val="9"/>
          <w:sz w:val="18"/>
          <w:szCs w:val="18"/>
          <w:highlight w:val="none"/>
        </w:rPr>
        <w:t>程项目招标中标后监督</w:t>
      </w:r>
      <w:r>
        <w:rPr>
          <w:rFonts w:hint="eastAsia" w:ascii="宋体" w:hAnsi="宋体" w:eastAsia="宋体" w:cs="宋体"/>
          <w:color w:val="auto"/>
          <w:sz w:val="18"/>
          <w:szCs w:val="18"/>
          <w:highlight w:val="none"/>
        </w:rPr>
        <w:t xml:space="preserve"> </w:t>
      </w:r>
      <w:r>
        <w:rPr>
          <w:rFonts w:hint="eastAsia" w:ascii="宋体" w:hAnsi="宋体" w:eastAsia="宋体" w:cs="宋体"/>
          <w:color w:val="auto"/>
          <w:spacing w:val="8"/>
          <w:sz w:val="18"/>
          <w:szCs w:val="18"/>
          <w:highlight w:val="none"/>
        </w:rPr>
        <w:t>检查办法》相关规定开展检查。</w:t>
      </w:r>
    </w:p>
    <w:p w14:paraId="14A9A933">
      <w:pPr>
        <w:pStyle w:val="50"/>
        <w:keepNext w:val="0"/>
        <w:keepLines w:val="0"/>
        <w:widowControl w:val="0"/>
        <w:wordWrap w:val="0"/>
        <w:adjustRightInd w:val="0"/>
        <w:snapToGrid w:val="0"/>
        <w:spacing w:before="0" w:after="0" w:line="240" w:lineRule="auto"/>
        <w:ind w:left="2998" w:leftChars="15" w:hanging="2962" w:hangingChars="1496"/>
        <w:jc w:val="both"/>
        <w:rPr>
          <w:rFonts w:hint="eastAsia" w:ascii="宋体" w:hAnsi="宋体" w:eastAsia="宋体" w:cs="宋体"/>
          <w:color w:val="auto"/>
          <w:spacing w:val="8"/>
          <w:sz w:val="18"/>
          <w:szCs w:val="18"/>
          <w:highlight w:val="none"/>
        </w:rPr>
      </w:pPr>
      <w:bookmarkStart w:id="263" w:name="_Toc7813"/>
      <w:r>
        <w:rPr>
          <w:rFonts w:hint="eastAsia" w:ascii="宋体" w:hAnsi="宋体" w:eastAsia="宋体" w:cs="宋体"/>
          <w:color w:val="auto"/>
          <w:spacing w:val="9"/>
          <w:sz w:val="18"/>
          <w:szCs w:val="18"/>
          <w:highlight w:val="none"/>
        </w:rPr>
        <w:t>3.如果需要（如需要通过计算编制专项方案，或者需要专家论证</w:t>
      </w:r>
      <w:r>
        <w:rPr>
          <w:rFonts w:hint="eastAsia" w:ascii="宋体" w:hAnsi="宋体" w:eastAsia="宋体" w:cs="宋体"/>
          <w:color w:val="auto"/>
          <w:spacing w:val="15"/>
          <w:sz w:val="18"/>
          <w:szCs w:val="18"/>
          <w:highlight w:val="none"/>
        </w:rPr>
        <w:t>），</w:t>
      </w:r>
      <w:r>
        <w:rPr>
          <w:rFonts w:hint="eastAsia" w:ascii="宋体" w:hAnsi="宋体" w:eastAsia="宋体" w:cs="宋体"/>
          <w:color w:val="auto"/>
          <w:spacing w:val="9"/>
          <w:sz w:val="18"/>
          <w:szCs w:val="18"/>
          <w:highlight w:val="none"/>
        </w:rPr>
        <w:t>可中</w:t>
      </w:r>
      <w:r>
        <w:rPr>
          <w:rFonts w:hint="eastAsia" w:ascii="宋体" w:hAnsi="宋体" w:eastAsia="宋体" w:cs="宋体"/>
          <w:color w:val="auto"/>
          <w:spacing w:val="8"/>
          <w:sz w:val="18"/>
          <w:szCs w:val="18"/>
          <w:highlight w:val="none"/>
        </w:rPr>
        <w:t>标后提供详细版。</w:t>
      </w:r>
      <w:bookmarkEnd w:id="263"/>
    </w:p>
    <w:p w14:paraId="44D7F710">
      <w:pPr>
        <w:pStyle w:val="50"/>
        <w:keepNext w:val="0"/>
        <w:keepLines w:val="0"/>
        <w:widowControl w:val="0"/>
        <w:wordWrap w:val="0"/>
        <w:adjustRightInd w:val="0"/>
        <w:snapToGrid w:val="0"/>
        <w:spacing w:before="0" w:after="0" w:line="240" w:lineRule="auto"/>
        <w:ind w:left="2968" w:leftChars="15" w:hanging="2932" w:hangingChars="1496"/>
        <w:jc w:val="both"/>
        <w:rPr>
          <w:rFonts w:hint="eastAsia" w:ascii="宋体" w:hAnsi="宋体" w:eastAsia="宋体" w:cs="宋体"/>
          <w:color w:val="auto"/>
          <w:spacing w:val="8"/>
          <w:sz w:val="18"/>
          <w:szCs w:val="18"/>
          <w:highlight w:val="none"/>
        </w:rPr>
      </w:pPr>
    </w:p>
    <w:p w14:paraId="2E0DAFC5">
      <w:pPr>
        <w:pStyle w:val="50"/>
        <w:keepNext w:val="0"/>
        <w:keepLines w:val="0"/>
        <w:widowControl w:val="0"/>
        <w:wordWrap w:val="0"/>
        <w:adjustRightInd w:val="0"/>
        <w:snapToGrid w:val="0"/>
        <w:spacing w:before="0" w:after="0" w:line="240" w:lineRule="auto"/>
        <w:ind w:left="3117" w:leftChars="15" w:hanging="3081" w:hangingChars="1496"/>
        <w:jc w:val="both"/>
        <w:rPr>
          <w:rFonts w:hint="eastAsia" w:ascii="宋体" w:hAnsi="宋体" w:eastAsia="宋体" w:cs="宋体"/>
          <w:color w:val="auto"/>
          <w:spacing w:val="8"/>
          <w:sz w:val="19"/>
          <w:szCs w:val="19"/>
          <w:highlight w:val="none"/>
          <w:lang w:eastAsia="zh-CN"/>
        </w:rPr>
      </w:pPr>
    </w:p>
    <w:p w14:paraId="5F3D8FC1">
      <w:pPr>
        <w:pStyle w:val="51"/>
        <w:rPr>
          <w:rFonts w:hint="eastAsia" w:ascii="宋体" w:hAnsi="宋体" w:eastAsia="宋体" w:cs="宋体"/>
          <w:color w:val="auto"/>
          <w:spacing w:val="8"/>
          <w:sz w:val="19"/>
          <w:szCs w:val="19"/>
          <w:highlight w:val="none"/>
          <w:lang w:eastAsia="zh-CN"/>
        </w:rPr>
      </w:pPr>
    </w:p>
    <w:p w14:paraId="546D4316">
      <w:pPr>
        <w:pStyle w:val="51"/>
        <w:rPr>
          <w:rFonts w:hint="eastAsia" w:ascii="宋体" w:hAnsi="宋体" w:eastAsia="宋体" w:cs="宋体"/>
          <w:color w:val="auto"/>
          <w:spacing w:val="8"/>
          <w:sz w:val="19"/>
          <w:szCs w:val="19"/>
          <w:highlight w:val="none"/>
          <w:lang w:eastAsia="zh-CN"/>
        </w:rPr>
      </w:pPr>
    </w:p>
    <w:p w14:paraId="4168F0BB">
      <w:pPr>
        <w:pStyle w:val="51"/>
        <w:rPr>
          <w:rFonts w:hint="eastAsia" w:ascii="宋体" w:hAnsi="宋体" w:eastAsia="宋体" w:cs="宋体"/>
          <w:color w:val="auto"/>
          <w:spacing w:val="8"/>
          <w:sz w:val="19"/>
          <w:szCs w:val="19"/>
          <w:highlight w:val="none"/>
          <w:lang w:eastAsia="zh-CN"/>
        </w:rPr>
      </w:pPr>
    </w:p>
    <w:p w14:paraId="1D06CD5E">
      <w:pPr>
        <w:pStyle w:val="51"/>
        <w:rPr>
          <w:rFonts w:hint="eastAsia" w:ascii="宋体" w:hAnsi="宋体" w:eastAsia="宋体" w:cs="宋体"/>
          <w:color w:val="auto"/>
          <w:spacing w:val="8"/>
          <w:sz w:val="19"/>
          <w:szCs w:val="19"/>
          <w:highlight w:val="none"/>
          <w:lang w:eastAsia="zh-CN"/>
        </w:rPr>
      </w:pPr>
    </w:p>
    <w:p w14:paraId="43513B66">
      <w:pPr>
        <w:pStyle w:val="51"/>
        <w:rPr>
          <w:rFonts w:hint="eastAsia" w:ascii="宋体" w:hAnsi="宋体" w:eastAsia="宋体" w:cs="宋体"/>
          <w:color w:val="auto"/>
          <w:spacing w:val="8"/>
          <w:sz w:val="19"/>
          <w:szCs w:val="19"/>
          <w:highlight w:val="none"/>
          <w:lang w:eastAsia="zh-CN"/>
        </w:rPr>
      </w:pPr>
    </w:p>
    <w:p w14:paraId="274546D6">
      <w:pPr>
        <w:pStyle w:val="50"/>
        <w:bidi w:val="0"/>
        <w:jc w:val="left"/>
        <w:rPr>
          <w:rFonts w:hint="eastAsia" w:ascii="宋体" w:hAnsi="宋体" w:eastAsia="宋体" w:cs="宋体"/>
          <w:b/>
          <w:bCs/>
          <w:color w:val="auto"/>
          <w:highlight w:val="none"/>
        </w:rPr>
      </w:pPr>
      <w:bookmarkStart w:id="264" w:name="_Toc9264"/>
      <w:r>
        <w:rPr>
          <w:rFonts w:hint="eastAsia" w:ascii="宋体" w:hAnsi="宋体" w:eastAsia="宋体" w:cs="宋体"/>
          <w:b/>
          <w:bCs/>
          <w:color w:val="auto"/>
          <w:highlight w:val="none"/>
          <w:lang w:val="en-US" w:eastAsia="zh-CN"/>
        </w:rPr>
        <w:t>格式十四</w:t>
      </w:r>
      <w:bookmarkEnd w:id="264"/>
    </w:p>
    <w:bookmarkEnd w:id="261"/>
    <w:p w14:paraId="57D77CAF">
      <w:pPr>
        <w:spacing w:line="244" w:lineRule="auto"/>
        <w:rPr>
          <w:rFonts w:hint="eastAsia" w:ascii="宋体" w:hAnsi="宋体" w:eastAsia="宋体" w:cs="宋体"/>
          <w:color w:val="auto"/>
          <w:sz w:val="21"/>
          <w:highlight w:val="none"/>
        </w:rPr>
      </w:pPr>
    </w:p>
    <w:p w14:paraId="4F02BF54">
      <w:pPr>
        <w:pStyle w:val="12"/>
        <w:spacing w:before="140" w:line="604" w:lineRule="exact"/>
        <w:ind w:left="2338"/>
        <w:rPr>
          <w:rFonts w:hint="eastAsia" w:ascii="宋体" w:hAnsi="宋体" w:eastAsia="宋体" w:cs="宋体"/>
          <w:color w:val="auto"/>
          <w:sz w:val="36"/>
          <w:szCs w:val="36"/>
          <w:highlight w:val="none"/>
        </w:rPr>
      </w:pPr>
      <w:r>
        <w:rPr>
          <w:rFonts w:hint="eastAsia" w:ascii="宋体" w:hAnsi="宋体" w:eastAsia="宋体" w:cs="宋体"/>
          <w:b/>
          <w:bCs/>
          <w:color w:val="auto"/>
          <w:spacing w:val="4"/>
          <w:position w:val="3"/>
          <w:sz w:val="36"/>
          <w:szCs w:val="36"/>
          <w:highlight w:val="none"/>
        </w:rPr>
        <w:t>投标保证金信用承诺函</w:t>
      </w:r>
    </w:p>
    <w:p w14:paraId="6EFC8882">
      <w:pPr>
        <w:spacing w:line="408" w:lineRule="auto"/>
        <w:rPr>
          <w:rFonts w:hint="eastAsia" w:ascii="宋体" w:hAnsi="宋体" w:eastAsia="宋体" w:cs="宋体"/>
          <w:color w:val="auto"/>
          <w:sz w:val="21"/>
          <w:highlight w:val="none"/>
        </w:rPr>
      </w:pPr>
    </w:p>
    <w:p w14:paraId="63D98FCC">
      <w:pPr>
        <w:pStyle w:val="12"/>
        <w:spacing w:before="101" w:line="360" w:lineRule="auto"/>
        <w:ind w:left="3" w:firstLine="965"/>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一、</w:t>
      </w:r>
      <w:r>
        <w:rPr>
          <w:rFonts w:hint="eastAsia" w:ascii="宋体" w:hAnsi="宋体" w:eastAsia="宋体" w:cs="宋体"/>
          <w:color w:val="auto"/>
          <w:spacing w:val="7"/>
          <w:sz w:val="21"/>
          <w:szCs w:val="21"/>
          <w:highlight w:val="none"/>
        </w:rPr>
        <w:t>我单位参加</w:t>
      </w:r>
      <w:r>
        <w:rPr>
          <w:rFonts w:hint="eastAsia" w:ascii="宋体" w:hAnsi="宋体" w:eastAsia="宋体" w:cs="宋体"/>
          <w:color w:val="auto"/>
          <w:spacing w:val="7"/>
          <w:sz w:val="21"/>
          <w:szCs w:val="21"/>
          <w:highlight w:val="none"/>
          <w:u w:val="single" w:color="auto"/>
        </w:rPr>
        <w:t xml:space="preserve">  （工程项目名称）  </w:t>
      </w:r>
      <w:r>
        <w:rPr>
          <w:rFonts w:hint="eastAsia" w:ascii="宋体" w:hAnsi="宋体" w:eastAsia="宋体" w:cs="宋体"/>
          <w:color w:val="auto"/>
          <w:spacing w:val="-116"/>
          <w:sz w:val="21"/>
          <w:szCs w:val="21"/>
          <w:highlight w:val="none"/>
        </w:rPr>
        <w:t xml:space="preserve"> </w:t>
      </w:r>
      <w:r>
        <w:rPr>
          <w:rFonts w:hint="eastAsia" w:ascii="宋体" w:hAnsi="宋体" w:eastAsia="宋体" w:cs="宋体"/>
          <w:color w:val="auto"/>
          <w:spacing w:val="7"/>
          <w:sz w:val="21"/>
          <w:szCs w:val="21"/>
          <w:highlight w:val="none"/>
        </w:rPr>
        <w:t>的投标活动，</w:t>
      </w:r>
      <w:r>
        <w:rPr>
          <w:rFonts w:hint="eastAsia" w:ascii="宋体" w:hAnsi="宋体" w:eastAsia="宋体" w:cs="宋体"/>
          <w:color w:val="auto"/>
          <w:spacing w:val="6"/>
          <w:sz w:val="21"/>
          <w:szCs w:val="21"/>
          <w:highlight w:val="none"/>
        </w:rPr>
        <w:t>现承</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9"/>
          <w:sz w:val="21"/>
          <w:szCs w:val="21"/>
          <w:highlight w:val="none"/>
        </w:rPr>
        <w:t>诺：将严格按照法律法规规定参与交易活动，按照招标文件要求</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9"/>
          <w:sz w:val="21"/>
          <w:szCs w:val="21"/>
          <w:highlight w:val="none"/>
        </w:rPr>
        <w:t>依法履行投标人义务；我方若出现违反《中华人民共和国招标投</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9"/>
          <w:sz w:val="21"/>
          <w:szCs w:val="21"/>
          <w:highlight w:val="none"/>
        </w:rPr>
        <w:t>标法》、《中华人民共和国招标投标法实施条例》、《电子招标</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9"/>
          <w:sz w:val="21"/>
          <w:szCs w:val="21"/>
          <w:highlight w:val="none"/>
        </w:rPr>
        <w:t>投标办法》等有关法律法规的行为，将于投标有效期内全额付清</w:t>
      </w:r>
      <w:r>
        <w:rPr>
          <w:rFonts w:hint="eastAsia" w:ascii="宋体" w:hAnsi="宋体" w:eastAsia="宋体" w:cs="宋体"/>
          <w:color w:val="auto"/>
          <w:spacing w:val="13"/>
          <w:sz w:val="21"/>
          <w:szCs w:val="21"/>
          <w:highlight w:val="none"/>
        </w:rPr>
        <w:t xml:space="preserve"> </w:t>
      </w:r>
      <w:r>
        <w:rPr>
          <w:rFonts w:hint="eastAsia" w:ascii="宋体" w:hAnsi="宋体" w:eastAsia="宋体" w:cs="宋体"/>
          <w:color w:val="auto"/>
          <w:spacing w:val="7"/>
          <w:sz w:val="21"/>
          <w:szCs w:val="21"/>
          <w:highlight w:val="none"/>
        </w:rPr>
        <w:t>招标文件规定的投标保证金</w:t>
      </w:r>
      <w:r>
        <w:rPr>
          <w:rFonts w:hint="eastAsia" w:ascii="宋体" w:hAnsi="宋体" w:eastAsia="宋体" w:cs="宋体"/>
          <w:color w:val="auto"/>
          <w:spacing w:val="-153"/>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38"/>
          <w:sz w:val="21"/>
          <w:szCs w:val="21"/>
          <w:highlight w:val="none"/>
        </w:rPr>
        <w:t xml:space="preserve"> </w:t>
      </w:r>
      <w:r>
        <w:rPr>
          <w:rFonts w:hint="eastAsia" w:ascii="宋体" w:hAnsi="宋体" w:eastAsia="宋体" w:cs="宋体"/>
          <w:color w:val="auto"/>
          <w:spacing w:val="7"/>
          <w:sz w:val="21"/>
          <w:szCs w:val="21"/>
          <w:highlight w:val="none"/>
        </w:rPr>
        <w:t>元。</w:t>
      </w:r>
    </w:p>
    <w:p w14:paraId="7D2FB967">
      <w:pPr>
        <w:pStyle w:val="12"/>
        <w:spacing w:before="48" w:line="360" w:lineRule="auto"/>
        <w:ind w:left="1" w:firstLine="647"/>
        <w:jc w:val="both"/>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二、至投标文件提交当天，本公司无严重不良信用记录或存</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9"/>
          <w:sz w:val="21"/>
          <w:szCs w:val="21"/>
          <w:highlight w:val="none"/>
        </w:rPr>
        <w:t>在曾作出虚假承诺的情形，且不属于韶关市建筑市场信用管理平</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5"/>
          <w:sz w:val="21"/>
          <w:szCs w:val="21"/>
          <w:highlight w:val="none"/>
        </w:rPr>
        <w:t>台公布的信用等级为</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5"/>
          <w:sz w:val="21"/>
          <w:szCs w:val="21"/>
          <w:highlight w:val="none"/>
        </w:rPr>
        <w:t>B</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级、C</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级、D</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5"/>
          <w:sz w:val="21"/>
          <w:szCs w:val="21"/>
          <w:highlight w:val="none"/>
        </w:rPr>
        <w:t>级的企业。</w:t>
      </w:r>
    </w:p>
    <w:p w14:paraId="14C8ADBF">
      <w:pPr>
        <w:pStyle w:val="12"/>
        <w:spacing w:before="52" w:line="360" w:lineRule="auto"/>
        <w:ind w:left="6" w:right="2" w:firstLine="63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 xml:space="preserve">本企业对以上承诺和声明负责。如有虚假，愿接受行政主管 </w:t>
      </w:r>
      <w:r>
        <w:rPr>
          <w:rFonts w:hint="eastAsia" w:ascii="宋体" w:hAnsi="宋体" w:eastAsia="宋体" w:cs="宋体"/>
          <w:color w:val="auto"/>
          <w:spacing w:val="8"/>
          <w:sz w:val="21"/>
          <w:szCs w:val="21"/>
          <w:highlight w:val="none"/>
        </w:rPr>
        <w:t>部门作出的处罚，并承担以下后果：</w:t>
      </w:r>
    </w:p>
    <w:p w14:paraId="3C05C4C8">
      <w:pPr>
        <w:pStyle w:val="12"/>
        <w:spacing w:before="48" w:line="360"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（一）取消本单位在本项目中的投标资格或中标资格；</w:t>
      </w:r>
    </w:p>
    <w:p w14:paraId="6EA89DF7">
      <w:pPr>
        <w:pStyle w:val="12"/>
        <w:spacing w:before="64" w:line="360"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（二）将本单位不良行为纳入信用信息管理系统；</w:t>
      </w:r>
    </w:p>
    <w:p w14:paraId="6B067B64">
      <w:pPr>
        <w:pStyle w:val="12"/>
        <w:spacing w:before="60" w:line="360" w:lineRule="auto"/>
        <w:ind w:left="41" w:right="2" w:firstLine="61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（三）主动在产生不良行为所在的各县（市、区）行</w:t>
      </w:r>
      <w:r>
        <w:rPr>
          <w:rFonts w:hint="eastAsia" w:ascii="宋体" w:hAnsi="宋体" w:eastAsia="宋体" w:cs="宋体"/>
          <w:color w:val="auto"/>
          <w:spacing w:val="8"/>
          <w:sz w:val="21"/>
          <w:szCs w:val="21"/>
          <w:highlight w:val="none"/>
        </w:rPr>
        <w:t>政区域</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6"/>
          <w:sz w:val="21"/>
          <w:szCs w:val="21"/>
          <w:highlight w:val="none"/>
        </w:rPr>
        <w:t>内不参加房建市政工程项目的投标活动一年；</w:t>
      </w:r>
    </w:p>
    <w:p w14:paraId="17EA63A2">
      <w:pPr>
        <w:pStyle w:val="12"/>
        <w:spacing w:before="64" w:line="360" w:lineRule="auto"/>
        <w:ind w:left="656"/>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（四）应付的赔偿责任和相应法律责任。</w:t>
      </w:r>
    </w:p>
    <w:p w14:paraId="2556F628">
      <w:pPr>
        <w:spacing w:line="360" w:lineRule="auto"/>
        <w:rPr>
          <w:rFonts w:hint="eastAsia" w:ascii="宋体" w:hAnsi="宋体" w:eastAsia="宋体" w:cs="宋体"/>
          <w:color w:val="auto"/>
          <w:sz w:val="21"/>
          <w:szCs w:val="21"/>
          <w:highlight w:val="none"/>
        </w:rPr>
      </w:pPr>
    </w:p>
    <w:p w14:paraId="60516EEF">
      <w:pPr>
        <w:pStyle w:val="12"/>
        <w:spacing w:before="101" w:line="360" w:lineRule="auto"/>
        <w:ind w:left="845"/>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单位名称（公章</w:t>
      </w:r>
      <w:r>
        <w:rPr>
          <w:rFonts w:hint="eastAsia" w:ascii="宋体" w:hAnsi="宋体" w:eastAsia="宋体" w:cs="宋体"/>
          <w:color w:val="auto"/>
          <w:spacing w:val="1"/>
          <w:sz w:val="21"/>
          <w:szCs w:val="21"/>
          <w:highlight w:val="none"/>
        </w:rPr>
        <w:t>）：</w:t>
      </w:r>
    </w:p>
    <w:p w14:paraId="0F625244">
      <w:pPr>
        <w:spacing w:line="360" w:lineRule="auto"/>
        <w:rPr>
          <w:rFonts w:hint="eastAsia" w:ascii="宋体" w:hAnsi="宋体" w:eastAsia="宋体" w:cs="宋体"/>
          <w:color w:val="auto"/>
          <w:sz w:val="21"/>
          <w:szCs w:val="21"/>
          <w:highlight w:val="none"/>
        </w:rPr>
      </w:pPr>
    </w:p>
    <w:p w14:paraId="305BF561">
      <w:pPr>
        <w:pStyle w:val="12"/>
        <w:spacing w:before="101" w:line="360" w:lineRule="auto"/>
        <w:ind w:left="85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统一社会信用代码：</w:t>
      </w:r>
    </w:p>
    <w:p w14:paraId="7561AC96">
      <w:pPr>
        <w:spacing w:line="360" w:lineRule="auto"/>
        <w:rPr>
          <w:rFonts w:hint="eastAsia" w:ascii="宋体" w:hAnsi="宋体" w:eastAsia="宋体" w:cs="宋体"/>
          <w:color w:val="auto"/>
          <w:sz w:val="21"/>
          <w:szCs w:val="21"/>
          <w:highlight w:val="none"/>
        </w:rPr>
      </w:pPr>
    </w:p>
    <w:p w14:paraId="1484E1DE">
      <w:pPr>
        <w:pStyle w:val="12"/>
        <w:spacing w:before="101" w:line="360" w:lineRule="auto"/>
        <w:ind w:left="844" w:right="50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法定代表人（签字</w:t>
      </w:r>
      <w:r>
        <w:rPr>
          <w:rFonts w:hint="eastAsia" w:ascii="宋体" w:hAnsi="宋体" w:eastAsia="宋体" w:cs="宋体"/>
          <w:color w:val="auto"/>
          <w:spacing w:val="-29"/>
          <w:sz w:val="21"/>
          <w:szCs w:val="21"/>
          <w:highlight w:val="none"/>
        </w:rPr>
        <w:t>）：</w:t>
      </w:r>
      <w:r>
        <w:rPr>
          <w:rFonts w:hint="eastAsia" w:ascii="宋体" w:hAnsi="宋体" w:eastAsia="宋体" w:cs="宋体"/>
          <w:color w:val="auto"/>
          <w:sz w:val="21"/>
          <w:szCs w:val="21"/>
          <w:highlight w:val="none"/>
        </w:rPr>
        <w:t xml:space="preserve"> </w:t>
      </w:r>
    </w:p>
    <w:p w14:paraId="492966C8">
      <w:pPr>
        <w:pStyle w:val="12"/>
        <w:spacing w:before="101" w:line="360" w:lineRule="auto"/>
        <w:ind w:left="844" w:right="50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年</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6"/>
          <w:sz w:val="21"/>
          <w:szCs w:val="21"/>
          <w:highlight w:val="none"/>
        </w:rPr>
        <w:t>月</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6"/>
          <w:sz w:val="21"/>
          <w:szCs w:val="21"/>
          <w:highlight w:val="none"/>
        </w:rPr>
        <w:t>日</w:t>
      </w:r>
    </w:p>
    <w:p w14:paraId="6BA3AE89">
      <w:pPr>
        <w:spacing w:line="543" w:lineRule="auto"/>
        <w:rPr>
          <w:rFonts w:hint="eastAsia" w:ascii="宋体" w:hAnsi="宋体" w:eastAsia="宋体" w:cs="宋体"/>
          <w:color w:val="auto"/>
          <w:highlight w:val="none"/>
        </w:rPr>
        <w:sectPr>
          <w:footerReference r:id="rId11" w:type="default"/>
          <w:pgSz w:w="11906" w:h="16839"/>
          <w:pgMar w:top="1234" w:right="1528" w:bottom="1203" w:left="1425" w:header="0" w:footer="1023" w:gutter="0"/>
          <w:pgBorders>
            <w:top w:val="none" w:sz="0" w:space="0"/>
            <w:left w:val="none" w:sz="0" w:space="0"/>
            <w:bottom w:val="none" w:sz="0" w:space="0"/>
            <w:right w:val="none" w:sz="0" w:space="0"/>
          </w:pgBorders>
          <w:pgNumType w:fmt="decimal"/>
          <w:cols w:space="720" w:num="1"/>
        </w:sectPr>
      </w:pPr>
    </w:p>
    <w:p w14:paraId="117F79DE">
      <w:pPr>
        <w:pStyle w:val="12"/>
        <w:spacing w:before="163" w:line="220" w:lineRule="auto"/>
        <w:ind w:left="68"/>
        <w:outlineLvl w:val="1"/>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5"/>
          <w:sz w:val="24"/>
          <w:szCs w:val="24"/>
          <w:highlight w:val="none"/>
        </w:rPr>
        <w:t>格式十五</w:t>
      </w:r>
      <w:r>
        <w:rPr>
          <w:rFonts w:hint="eastAsia" w:ascii="宋体" w:hAnsi="宋体" w:eastAsia="宋体" w:cs="宋体"/>
          <w:b/>
          <w:bCs/>
          <w:color w:val="auto"/>
          <w:spacing w:val="-5"/>
          <w:sz w:val="24"/>
          <w:szCs w:val="24"/>
          <w:highlight w:val="none"/>
          <w:lang w:eastAsia="zh-CN"/>
        </w:rPr>
        <w:t>（</w:t>
      </w:r>
      <w:r>
        <w:rPr>
          <w:rFonts w:hint="eastAsia" w:ascii="宋体" w:hAnsi="宋体" w:eastAsia="宋体" w:cs="宋体"/>
          <w:b/>
          <w:bCs/>
          <w:color w:val="auto"/>
          <w:spacing w:val="-5"/>
          <w:sz w:val="24"/>
          <w:szCs w:val="24"/>
          <w:highlight w:val="none"/>
          <w:lang w:val="en-US" w:eastAsia="zh-CN"/>
        </w:rPr>
        <w:t>本项目不适用</w:t>
      </w:r>
      <w:r>
        <w:rPr>
          <w:rFonts w:hint="eastAsia" w:ascii="宋体" w:hAnsi="宋体" w:eastAsia="宋体" w:cs="宋体"/>
          <w:b/>
          <w:bCs/>
          <w:color w:val="auto"/>
          <w:spacing w:val="-5"/>
          <w:sz w:val="24"/>
          <w:szCs w:val="24"/>
          <w:highlight w:val="none"/>
          <w:lang w:eastAsia="zh-CN"/>
        </w:rPr>
        <w:t>）</w:t>
      </w:r>
    </w:p>
    <w:p w14:paraId="7596B931">
      <w:pPr>
        <w:pStyle w:val="12"/>
        <w:spacing w:before="272" w:line="221" w:lineRule="auto"/>
        <w:ind w:left="66"/>
        <w:jc w:val="center"/>
        <w:rPr>
          <w:rFonts w:hint="eastAsia" w:ascii="宋体" w:hAnsi="宋体" w:eastAsia="宋体" w:cs="宋体"/>
          <w:color w:val="auto"/>
          <w:sz w:val="43"/>
          <w:szCs w:val="43"/>
          <w:highlight w:val="none"/>
        </w:rPr>
      </w:pPr>
      <w:r>
        <w:rPr>
          <w:rFonts w:hint="eastAsia" w:ascii="宋体" w:hAnsi="宋体" w:eastAsia="宋体" w:cs="宋体"/>
          <w:b/>
          <w:bCs/>
          <w:color w:val="auto"/>
          <w:spacing w:val="-3"/>
          <w:sz w:val="36"/>
          <w:szCs w:val="36"/>
          <w:highlight w:val="none"/>
        </w:rPr>
        <w:t>企业参与“百千万工程”结对帮扶相关情况说明</w:t>
      </w:r>
    </w:p>
    <w:p w14:paraId="25B189DB">
      <w:pPr>
        <w:spacing w:line="367" w:lineRule="auto"/>
        <w:rPr>
          <w:rFonts w:hint="eastAsia" w:ascii="宋体" w:hAnsi="宋体" w:eastAsia="宋体" w:cs="宋体"/>
          <w:color w:val="auto"/>
          <w:sz w:val="21"/>
          <w:highlight w:val="none"/>
        </w:rPr>
      </w:pPr>
    </w:p>
    <w:p w14:paraId="3EF79EF6">
      <w:pPr>
        <w:pStyle w:val="12"/>
        <w:spacing w:before="100" w:line="360" w:lineRule="auto"/>
        <w:ind w:left="76" w:right="122" w:firstLine="640"/>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一、</w:t>
      </w:r>
      <w:r>
        <w:rPr>
          <w:rFonts w:hint="eastAsia" w:ascii="宋体" w:hAnsi="宋体" w:eastAsia="宋体" w:cs="宋体"/>
          <w:color w:val="auto"/>
          <w:spacing w:val="2"/>
          <w:sz w:val="21"/>
          <w:szCs w:val="21"/>
          <w:highlight w:val="none"/>
        </w:rPr>
        <w:t>我单位参加结对帮扶的</w:t>
      </w:r>
      <w:r>
        <w:rPr>
          <w:rFonts w:hint="eastAsia" w:ascii="宋体" w:hAnsi="宋体" w:eastAsia="宋体" w:cs="宋体"/>
          <w:color w:val="auto"/>
          <w:spacing w:val="127"/>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（工程项目名称）</w:t>
      </w:r>
      <w:r>
        <w:rPr>
          <w:rFonts w:hint="eastAsia" w:ascii="宋体" w:hAnsi="宋体" w:eastAsia="宋体" w:cs="宋体"/>
          <w:color w:val="auto"/>
          <w:spacing w:val="121"/>
          <w:sz w:val="21"/>
          <w:szCs w:val="21"/>
          <w:highlight w:val="none"/>
          <w:u w:val="single" w:color="auto"/>
        </w:rPr>
        <w:t xml:space="preserve"> </w:t>
      </w:r>
      <w:r>
        <w:rPr>
          <w:rFonts w:hint="eastAsia" w:ascii="宋体" w:hAnsi="宋体" w:eastAsia="宋体" w:cs="宋体"/>
          <w:color w:val="auto"/>
          <w:spacing w:val="-108"/>
          <w:sz w:val="21"/>
          <w:szCs w:val="21"/>
          <w:highlight w:val="none"/>
        </w:rPr>
        <w:t xml:space="preserve"> </w:t>
      </w:r>
      <w:r>
        <w:rPr>
          <w:rFonts w:hint="eastAsia" w:ascii="宋体" w:hAnsi="宋体" w:eastAsia="宋体" w:cs="宋体"/>
          <w:color w:val="auto"/>
          <w:spacing w:val="2"/>
          <w:sz w:val="21"/>
          <w:szCs w:val="21"/>
          <w:highlight w:val="none"/>
        </w:rPr>
        <w:t>已录入“全</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省百千万工程</w:t>
      </w:r>
      <w:r>
        <w:rPr>
          <w:rFonts w:hint="eastAsia" w:ascii="宋体" w:hAnsi="宋体" w:eastAsia="宋体" w:cs="宋体"/>
          <w:color w:val="auto"/>
          <w:spacing w:val="-109"/>
          <w:sz w:val="21"/>
          <w:szCs w:val="21"/>
          <w:highlight w:val="none"/>
        </w:rPr>
        <w:t xml:space="preserve"> </w:t>
      </w:r>
      <w:r>
        <w:rPr>
          <w:rFonts w:hint="eastAsia" w:ascii="宋体" w:hAnsi="宋体" w:eastAsia="宋体" w:cs="宋体"/>
          <w:color w:val="auto"/>
          <w:spacing w:val="7"/>
          <w:sz w:val="21"/>
          <w:szCs w:val="21"/>
          <w:highlight w:val="none"/>
        </w:rPr>
        <w:t>”建筑业企业与乡镇结对帮扶项目信息库。</w:t>
      </w:r>
    </w:p>
    <w:p w14:paraId="39213EE6">
      <w:pPr>
        <w:pStyle w:val="12"/>
        <w:spacing w:before="57" w:line="360" w:lineRule="auto"/>
        <w:ind w:left="68" w:right="122" w:firstLine="648"/>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二、该项目已于</w:t>
      </w:r>
      <w:r>
        <w:rPr>
          <w:rFonts w:hint="eastAsia" w:ascii="宋体" w:hAnsi="宋体" w:eastAsia="宋体" w:cs="宋体"/>
          <w:color w:val="auto"/>
          <w:spacing w:val="-155"/>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42"/>
          <w:sz w:val="21"/>
          <w:szCs w:val="21"/>
          <w:highlight w:val="none"/>
        </w:rPr>
        <w:t xml:space="preserve"> </w:t>
      </w:r>
      <w:r>
        <w:rPr>
          <w:rFonts w:hint="eastAsia" w:ascii="宋体" w:hAnsi="宋体" w:eastAsia="宋体" w:cs="宋体"/>
          <w:color w:val="auto"/>
          <w:spacing w:val="2"/>
          <w:sz w:val="21"/>
          <w:szCs w:val="21"/>
          <w:highlight w:val="none"/>
        </w:rPr>
        <w:t>年</w:t>
      </w:r>
      <w:r>
        <w:rPr>
          <w:rFonts w:hint="eastAsia" w:ascii="宋体" w:hAnsi="宋体" w:eastAsia="宋体" w:cs="宋体"/>
          <w:color w:val="auto"/>
          <w:spacing w:val="-153"/>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34"/>
          <w:sz w:val="21"/>
          <w:szCs w:val="21"/>
          <w:highlight w:val="none"/>
        </w:rPr>
        <w:t xml:space="preserve"> </w:t>
      </w:r>
      <w:r>
        <w:rPr>
          <w:rFonts w:hint="eastAsia" w:ascii="宋体" w:hAnsi="宋体" w:eastAsia="宋体" w:cs="宋体"/>
          <w:color w:val="auto"/>
          <w:spacing w:val="2"/>
          <w:sz w:val="21"/>
          <w:szCs w:val="21"/>
          <w:highlight w:val="none"/>
        </w:rPr>
        <w:t>月</w:t>
      </w:r>
      <w:r>
        <w:rPr>
          <w:rFonts w:hint="eastAsia" w:ascii="宋体" w:hAnsi="宋体" w:eastAsia="宋体" w:cs="宋体"/>
          <w:color w:val="auto"/>
          <w:spacing w:val="2"/>
          <w:sz w:val="21"/>
          <w:szCs w:val="21"/>
          <w:highlight w:val="none"/>
          <w:u w:val="single" w:color="auto"/>
        </w:rPr>
        <w:t xml:space="preserve">    </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2"/>
          <w:sz w:val="21"/>
          <w:szCs w:val="21"/>
          <w:highlight w:val="none"/>
        </w:rPr>
        <w:t>日开工，已经累计公益帮</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 xml:space="preserve">扶资金金额累达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135"/>
          <w:sz w:val="21"/>
          <w:szCs w:val="21"/>
          <w:highlight w:val="none"/>
        </w:rPr>
        <w:t xml:space="preserve"> </w:t>
      </w:r>
      <w:r>
        <w:rPr>
          <w:rFonts w:hint="eastAsia" w:ascii="宋体" w:hAnsi="宋体" w:eastAsia="宋体" w:cs="宋体"/>
          <w:color w:val="auto"/>
          <w:spacing w:val="5"/>
          <w:sz w:val="21"/>
          <w:szCs w:val="21"/>
          <w:highlight w:val="none"/>
        </w:rPr>
        <w:t xml:space="preserve">万元。目前，该项目  </w:t>
      </w:r>
      <w:r>
        <w:rPr>
          <w:rFonts w:hint="eastAsia" w:ascii="宋体" w:hAnsi="宋体" w:eastAsia="宋体" w:cs="宋体"/>
          <w:color w:val="auto"/>
          <w:spacing w:val="-107"/>
          <w:sz w:val="21"/>
          <w:szCs w:val="21"/>
          <w:highlight w:val="none"/>
          <w:u w:val="single" w:color="auto"/>
        </w:rPr>
        <w:t xml:space="preserve"> </w:t>
      </w:r>
      <w:r>
        <w:rPr>
          <w:rFonts w:hint="eastAsia" w:ascii="宋体" w:hAnsi="宋体" w:eastAsia="宋体" w:cs="宋体"/>
          <w:color w:val="auto"/>
          <w:spacing w:val="5"/>
          <w:sz w:val="21"/>
          <w:szCs w:val="21"/>
          <w:highlight w:val="none"/>
          <w:u w:val="single" w:color="auto"/>
        </w:rPr>
        <w:t>已</w:t>
      </w:r>
      <w:r>
        <w:rPr>
          <w:rFonts w:hint="eastAsia" w:ascii="宋体" w:hAnsi="宋体" w:eastAsia="宋体" w:cs="宋体"/>
          <w:color w:val="auto"/>
          <w:spacing w:val="4"/>
          <w:sz w:val="21"/>
          <w:szCs w:val="21"/>
          <w:highlight w:val="none"/>
          <w:u w:val="single" w:color="auto"/>
        </w:rPr>
        <w:t>完工/在招标公示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u w:val="single" w:color="auto"/>
        </w:rPr>
        <w:t>前完工</w:t>
      </w:r>
      <w:r>
        <w:rPr>
          <w:rFonts w:hint="eastAsia" w:ascii="宋体" w:hAnsi="宋体" w:eastAsia="宋体" w:cs="宋体"/>
          <w:color w:val="auto"/>
          <w:spacing w:val="7"/>
          <w:sz w:val="21"/>
          <w:szCs w:val="21"/>
          <w:highlight w:val="none"/>
          <w:u w:val="single" w:color="000000"/>
        </w:rPr>
        <w:t xml:space="preserve">  </w:t>
      </w:r>
      <w:r>
        <w:rPr>
          <w:rFonts w:hint="eastAsia" w:ascii="宋体" w:hAnsi="宋体" w:eastAsia="宋体" w:cs="宋体"/>
          <w:color w:val="auto"/>
          <w:spacing w:val="7"/>
          <w:sz w:val="21"/>
          <w:szCs w:val="21"/>
          <w:highlight w:val="none"/>
          <w:u w:val="single" w:color="auto"/>
        </w:rPr>
        <w:t>，</w:t>
      </w:r>
      <w:r>
        <w:rPr>
          <w:rFonts w:hint="eastAsia" w:ascii="宋体" w:hAnsi="宋体" w:eastAsia="宋体" w:cs="宋体"/>
          <w:color w:val="auto"/>
          <w:spacing w:val="7"/>
          <w:sz w:val="21"/>
          <w:szCs w:val="21"/>
          <w:highlight w:val="none"/>
        </w:rPr>
        <w:t>并附有</w:t>
      </w:r>
      <w:r>
        <w:rPr>
          <w:rFonts w:hint="eastAsia" w:ascii="宋体" w:hAnsi="宋体" w:eastAsia="宋体" w:cs="宋体"/>
          <w:color w:val="auto"/>
          <w:spacing w:val="7"/>
          <w:sz w:val="21"/>
          <w:szCs w:val="21"/>
          <w:highlight w:val="none"/>
          <w:u w:val="single" w:color="000000"/>
        </w:rPr>
        <w:t xml:space="preserve">       </w:t>
      </w:r>
      <w:r>
        <w:rPr>
          <w:rFonts w:hint="eastAsia" w:ascii="宋体" w:hAnsi="宋体" w:eastAsia="宋体" w:cs="宋体"/>
          <w:color w:val="auto"/>
          <w:spacing w:val="7"/>
          <w:sz w:val="21"/>
          <w:szCs w:val="21"/>
          <w:highlight w:val="none"/>
          <w:u w:val="single" w:color="auto"/>
        </w:rPr>
        <w:t>（帮扶金额+项目完工）</w:t>
      </w:r>
      <w:r>
        <w:rPr>
          <w:rFonts w:hint="eastAsia" w:ascii="宋体" w:hAnsi="宋体" w:eastAsia="宋体" w:cs="宋体"/>
          <w:color w:val="auto"/>
          <w:spacing w:val="7"/>
          <w:sz w:val="21"/>
          <w:szCs w:val="21"/>
          <w:highlight w:val="none"/>
          <w:u w:val="single" w:color="000000"/>
        </w:rPr>
        <w:t xml:space="preserve">  </w:t>
      </w:r>
      <w:r>
        <w:rPr>
          <w:rFonts w:hint="eastAsia" w:ascii="宋体" w:hAnsi="宋体" w:eastAsia="宋体" w:cs="宋体"/>
          <w:color w:val="auto"/>
          <w:spacing w:val="-125"/>
          <w:sz w:val="21"/>
          <w:szCs w:val="21"/>
          <w:highlight w:val="none"/>
        </w:rPr>
        <w:t xml:space="preserve"> </w:t>
      </w:r>
      <w:r>
        <w:rPr>
          <w:rFonts w:hint="eastAsia" w:ascii="宋体" w:hAnsi="宋体" w:eastAsia="宋体" w:cs="宋体"/>
          <w:color w:val="auto"/>
          <w:spacing w:val="7"/>
          <w:sz w:val="21"/>
          <w:szCs w:val="21"/>
          <w:highlight w:val="none"/>
        </w:rPr>
        <w:t>资料佐证为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rPr>
        <w:t>证。</w:t>
      </w:r>
    </w:p>
    <w:p w14:paraId="292222CB">
      <w:pPr>
        <w:pStyle w:val="12"/>
        <w:spacing w:before="46" w:line="360" w:lineRule="auto"/>
        <w:ind w:left="70" w:right="232" w:firstLine="64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三、至投标文件提交当天，本公司无严重不良信用记录或存</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8"/>
          <w:sz w:val="21"/>
          <w:szCs w:val="21"/>
          <w:highlight w:val="none"/>
        </w:rPr>
        <w:t>在曾作出虚假承诺的情形。</w:t>
      </w:r>
    </w:p>
    <w:p w14:paraId="52048D53">
      <w:pPr>
        <w:pStyle w:val="12"/>
        <w:spacing w:before="60" w:line="360" w:lineRule="auto"/>
        <w:ind w:left="76" w:right="235" w:firstLine="636"/>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 xml:space="preserve">本企业对以上情况说明、情况承诺负责。如有虚假，愿接受 </w:t>
      </w:r>
      <w:r>
        <w:rPr>
          <w:rFonts w:hint="eastAsia" w:ascii="宋体" w:hAnsi="宋体" w:eastAsia="宋体" w:cs="宋体"/>
          <w:color w:val="auto"/>
          <w:spacing w:val="8"/>
          <w:sz w:val="21"/>
          <w:szCs w:val="21"/>
          <w:highlight w:val="none"/>
        </w:rPr>
        <w:t>行政主管部门作出的处罚，并承担以下后果：</w:t>
      </w:r>
    </w:p>
    <w:p w14:paraId="0C00548D">
      <w:pPr>
        <w:pStyle w:val="12"/>
        <w:spacing w:before="46" w:line="360" w:lineRule="auto"/>
        <w:ind w:left="72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（一）取消本单位在本项目中的投标资格或中标资格；</w:t>
      </w:r>
    </w:p>
    <w:p w14:paraId="31D94A57">
      <w:pPr>
        <w:pStyle w:val="12"/>
        <w:spacing w:before="61" w:line="360" w:lineRule="auto"/>
        <w:ind w:left="913" w:right="1592" w:hanging="188"/>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（二）将本单位不良行为纳入信用信息管理系统；</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7"/>
          <w:sz w:val="21"/>
          <w:szCs w:val="21"/>
          <w:highlight w:val="none"/>
        </w:rPr>
        <w:t>单位名称（公章</w:t>
      </w:r>
      <w:r>
        <w:rPr>
          <w:rFonts w:hint="eastAsia" w:ascii="宋体" w:hAnsi="宋体" w:eastAsia="宋体" w:cs="宋体"/>
          <w:color w:val="auto"/>
          <w:spacing w:val="1"/>
          <w:sz w:val="21"/>
          <w:szCs w:val="21"/>
          <w:highlight w:val="none"/>
        </w:rPr>
        <w:t>）：</w:t>
      </w:r>
    </w:p>
    <w:p w14:paraId="71A213A3">
      <w:pPr>
        <w:spacing w:line="360" w:lineRule="auto"/>
        <w:rPr>
          <w:rFonts w:hint="eastAsia" w:ascii="宋体" w:hAnsi="宋体" w:eastAsia="宋体" w:cs="宋体"/>
          <w:color w:val="auto"/>
          <w:sz w:val="21"/>
          <w:szCs w:val="21"/>
          <w:highlight w:val="none"/>
        </w:rPr>
      </w:pPr>
    </w:p>
    <w:p w14:paraId="7D95C8C2">
      <w:pPr>
        <w:pStyle w:val="12"/>
        <w:spacing w:before="101" w:line="360" w:lineRule="auto"/>
        <w:ind w:left="919"/>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统一社会信用代码：</w:t>
      </w:r>
    </w:p>
    <w:p w14:paraId="734C78CD">
      <w:pPr>
        <w:pStyle w:val="12"/>
        <w:spacing w:before="22" w:line="360" w:lineRule="auto"/>
        <w:ind w:left="679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anchor distT="0" distB="0" distL="0" distR="0" simplePos="0" relativeHeight="251659264" behindDoc="1" locked="0" layoutInCell="1" allowOverlap="1">
            <wp:simplePos x="0" y="0"/>
            <wp:positionH relativeFrom="column">
              <wp:posOffset>-124460</wp:posOffset>
            </wp:positionH>
            <wp:positionV relativeFrom="paragraph">
              <wp:posOffset>182245</wp:posOffset>
            </wp:positionV>
            <wp:extent cx="5875655" cy="3385820"/>
            <wp:effectExtent l="0" t="0" r="10795" b="5080"/>
            <wp:wrapNone/>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41"/>
                    <a:stretch>
                      <a:fillRect/>
                    </a:stretch>
                  </pic:blipFill>
                  <pic:spPr>
                    <a:xfrm>
                      <a:off x="0" y="0"/>
                      <a:ext cx="5875655" cy="3385820"/>
                    </a:xfrm>
                    <a:prstGeom prst="rect">
                      <a:avLst/>
                    </a:prstGeom>
                    <a:noFill/>
                    <a:ln>
                      <a:noFill/>
                    </a:ln>
                  </pic:spPr>
                </pic:pic>
              </a:graphicData>
            </a:graphic>
          </wp:anchor>
        </w:drawing>
      </w:r>
      <w:r>
        <w:rPr>
          <w:rFonts w:hint="eastAsia" w:ascii="宋体" w:hAnsi="宋体" w:eastAsia="宋体" w:cs="宋体"/>
          <w:color w:val="auto"/>
          <w:spacing w:val="-6"/>
          <w:sz w:val="21"/>
          <w:szCs w:val="21"/>
          <w:highlight w:val="none"/>
        </w:rPr>
        <w:t>年</w:t>
      </w:r>
      <w:r>
        <w:rPr>
          <w:rFonts w:hint="eastAsia" w:ascii="宋体" w:hAnsi="宋体" w:eastAsia="宋体" w:cs="宋体"/>
          <w:color w:val="auto"/>
          <w:spacing w:val="12"/>
          <w:sz w:val="21"/>
          <w:szCs w:val="21"/>
          <w:highlight w:val="none"/>
        </w:rPr>
        <w:t xml:space="preserve">   </w:t>
      </w:r>
      <w:r>
        <w:rPr>
          <w:rFonts w:hint="eastAsia" w:ascii="宋体" w:hAnsi="宋体" w:eastAsia="宋体" w:cs="宋体"/>
          <w:color w:val="auto"/>
          <w:spacing w:val="-6"/>
          <w:sz w:val="21"/>
          <w:szCs w:val="21"/>
          <w:highlight w:val="none"/>
        </w:rPr>
        <w:t>月</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6"/>
          <w:sz w:val="21"/>
          <w:szCs w:val="21"/>
          <w:highlight w:val="none"/>
        </w:rPr>
        <w:t>日</w:t>
      </w:r>
    </w:p>
    <w:p w14:paraId="4E7D7EFE">
      <w:pPr>
        <w:pStyle w:val="12"/>
        <w:spacing w:before="85" w:line="360" w:lineRule="auto"/>
        <w:ind w:left="68" w:right="554" w:firstLine="645"/>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属地住建部门对项目金额、项目是否录入省信息库的核实</w:t>
      </w:r>
    </w:p>
    <w:p w14:paraId="72171714">
      <w:pPr>
        <w:pStyle w:val="12"/>
        <w:spacing w:before="85" w:line="360" w:lineRule="auto"/>
        <w:ind w:left="68" w:right="554" w:firstLine="64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情况</w:t>
      </w:r>
      <w:r>
        <w:rPr>
          <w:rFonts w:hint="eastAsia" w:ascii="宋体" w:hAnsi="宋体" w:eastAsia="宋体" w:cs="宋体"/>
          <w:color w:val="auto"/>
          <w:spacing w:val="-13"/>
          <w:sz w:val="21"/>
          <w:szCs w:val="21"/>
          <w:highlight w:val="none"/>
        </w:rPr>
        <w:t>：（</w:t>
      </w:r>
      <w:r>
        <w:rPr>
          <w:rFonts w:hint="eastAsia" w:ascii="宋体" w:hAnsi="宋体" w:eastAsia="宋体" w:cs="宋体"/>
          <w:color w:val="auto"/>
          <w:spacing w:val="9"/>
          <w:sz w:val="21"/>
          <w:szCs w:val="21"/>
          <w:highlight w:val="none"/>
        </w:rPr>
        <w:t>以下在框内打“</w:t>
      </w:r>
      <w:r>
        <w:rPr>
          <w:rFonts w:hint="eastAsia" w:ascii="宋体" w:hAnsi="宋体" w:eastAsia="宋体" w:cs="宋体"/>
          <w:color w:val="auto"/>
          <w:spacing w:val="-113"/>
          <w:sz w:val="21"/>
          <w:szCs w:val="21"/>
          <w:highlight w:val="none"/>
        </w:rPr>
        <w:t xml:space="preserve"> </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113"/>
          <w:sz w:val="21"/>
          <w:szCs w:val="21"/>
          <w:highlight w:val="none"/>
        </w:rPr>
        <w:t xml:space="preserve"> </w:t>
      </w:r>
      <w:r>
        <w:rPr>
          <w:rFonts w:hint="eastAsia" w:ascii="宋体" w:hAnsi="宋体" w:eastAsia="宋体" w:cs="宋体"/>
          <w:color w:val="auto"/>
          <w:spacing w:val="9"/>
          <w:sz w:val="21"/>
          <w:szCs w:val="21"/>
          <w:highlight w:val="none"/>
        </w:rPr>
        <w:t>”)</w:t>
      </w:r>
    </w:p>
    <w:p w14:paraId="527B8826">
      <w:pPr>
        <w:spacing w:line="360" w:lineRule="auto"/>
        <w:rPr>
          <w:rFonts w:hint="eastAsia" w:ascii="宋体" w:hAnsi="宋体" w:eastAsia="宋体" w:cs="宋体"/>
          <w:color w:val="auto"/>
          <w:sz w:val="21"/>
          <w:szCs w:val="21"/>
          <w:highlight w:val="none"/>
        </w:rPr>
      </w:pPr>
    </w:p>
    <w:p w14:paraId="7C424FE5">
      <w:pPr>
        <w:pStyle w:val="12"/>
        <w:spacing w:before="134" w:line="360" w:lineRule="auto"/>
        <w:ind w:left="76"/>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□金额与完成情况均属实，在信息系统可查</w:t>
      </w:r>
    </w:p>
    <w:p w14:paraId="4A61D6F9">
      <w:pPr>
        <w:pStyle w:val="12"/>
        <w:spacing w:before="35" w:line="360" w:lineRule="auto"/>
        <w:ind w:left="76"/>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□仅金额属实</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22"/>
          <w:sz w:val="21"/>
          <w:szCs w:val="21"/>
          <w:highlight w:val="none"/>
        </w:rPr>
        <w:t>□仅完工情况属实</w:t>
      </w:r>
    </w:p>
    <w:p w14:paraId="692613E6">
      <w:pPr>
        <w:pStyle w:val="12"/>
        <w:spacing w:before="81" w:line="360" w:lineRule="auto"/>
        <w:ind w:left="76"/>
        <w:outlineLvl w:val="1"/>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□均与实际情况有出入</w:t>
      </w:r>
    </w:p>
    <w:p w14:paraId="78CB31B2">
      <w:pPr>
        <w:spacing w:line="360" w:lineRule="auto"/>
        <w:rPr>
          <w:rFonts w:hint="eastAsia" w:ascii="宋体" w:hAnsi="宋体" w:eastAsia="宋体" w:cs="宋体"/>
          <w:color w:val="auto"/>
          <w:sz w:val="21"/>
          <w:szCs w:val="21"/>
          <w:highlight w:val="none"/>
        </w:rPr>
      </w:pPr>
    </w:p>
    <w:p w14:paraId="2D75EF2B">
      <w:pPr>
        <w:pStyle w:val="12"/>
        <w:spacing w:before="101" w:line="360" w:lineRule="auto"/>
        <w:ind w:left="49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住建部门办理咨询电话：</w:t>
      </w:r>
    </w:p>
    <w:p w14:paraId="7F7D7B6A">
      <w:pPr>
        <w:spacing w:line="36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（如无法核实为公开有效住建部门的办公电话，视为无效）</w:t>
      </w:r>
    </w:p>
    <w:p w14:paraId="7E7331AC">
      <w:pPr>
        <w:keepNext w:val="0"/>
        <w:keepLines w:val="0"/>
        <w:widowControl/>
        <w:suppressLineNumbers w:val="0"/>
        <w:spacing w:line="360" w:lineRule="auto"/>
        <w:jc w:val="left"/>
        <w:rPr>
          <w:rFonts w:hint="eastAsia" w:ascii="宋体" w:hAnsi="宋体" w:eastAsia="宋体" w:cs="宋体"/>
          <w:b/>
          <w:bCs/>
          <w:color w:val="auto"/>
          <w:kern w:val="0"/>
          <w:sz w:val="21"/>
          <w:szCs w:val="21"/>
          <w:highlight w:val="none"/>
          <w:lang w:val="en-US" w:eastAsia="zh-CN" w:bidi="ar"/>
        </w:rPr>
      </w:pPr>
    </w:p>
    <w:p w14:paraId="3C7750D1">
      <w:pPr>
        <w:keepNext w:val="0"/>
        <w:keepLines w:val="0"/>
        <w:widowControl/>
        <w:suppressLineNumbers w:val="0"/>
        <w:spacing w:line="360" w:lineRule="auto"/>
        <w:jc w:val="left"/>
        <w:rPr>
          <w:rFonts w:hint="eastAsia" w:ascii="宋体" w:hAnsi="宋体" w:eastAsia="宋体" w:cs="宋体"/>
          <w:b/>
          <w:bCs/>
          <w:color w:val="auto"/>
          <w:kern w:val="0"/>
          <w:sz w:val="21"/>
          <w:szCs w:val="21"/>
          <w:highlight w:val="none"/>
          <w:lang w:val="en-US" w:eastAsia="zh-CN" w:bidi="ar"/>
        </w:rPr>
      </w:pPr>
    </w:p>
    <w:p w14:paraId="5A9B497D">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357CB87C">
      <w:pPr>
        <w:pStyle w:val="5"/>
        <w:bidi w:val="0"/>
        <w:jc w:val="left"/>
        <w:rPr>
          <w:rFonts w:hint="eastAsia" w:ascii="宋体" w:hAnsi="宋体" w:eastAsia="宋体" w:cs="宋体"/>
          <w:b/>
          <w:bCs/>
          <w:color w:val="auto"/>
          <w:highlight w:val="none"/>
        </w:rPr>
      </w:pPr>
      <w:bookmarkStart w:id="265" w:name="_Toc29695"/>
      <w:r>
        <w:rPr>
          <w:rFonts w:hint="eastAsia" w:ascii="宋体" w:hAnsi="宋体" w:eastAsia="宋体" w:cs="宋体"/>
          <w:b/>
          <w:bCs/>
          <w:color w:val="auto"/>
          <w:highlight w:val="none"/>
          <w:lang w:val="en-US" w:eastAsia="zh-CN"/>
        </w:rPr>
        <w:t>格式十六 原件一览表</w:t>
      </w:r>
      <w:bookmarkEnd w:id="265"/>
    </w:p>
    <w:tbl>
      <w:tblPr>
        <w:tblStyle w:val="32"/>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13E2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000000" w:fill="FFFFFF"/>
            <w:noWrap w:val="0"/>
            <w:tcMar>
              <w:left w:w="108" w:type="dxa"/>
              <w:right w:w="108" w:type="dxa"/>
            </w:tcMar>
            <w:vAlign w:val="center"/>
          </w:tcPr>
          <w:p w14:paraId="6A065EE1">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r>
              <w:rPr>
                <w:rFonts w:hint="eastAsia" w:ascii="宋体" w:hAnsi="宋体" w:eastAsia="宋体" w:cs="宋体"/>
                <w:b/>
                <w:color w:val="auto"/>
                <w:szCs w:val="20"/>
                <w:highlight w:val="none"/>
              </w:rPr>
              <w:t>原件一览表</w:t>
            </w:r>
          </w:p>
        </w:tc>
      </w:tr>
      <w:tr w14:paraId="73E1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28776CBD">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工程名称</w:t>
            </w:r>
          </w:p>
        </w:tc>
        <w:tc>
          <w:tcPr>
            <w:tcW w:w="6809" w:type="dxa"/>
            <w:gridSpan w:val="5"/>
            <w:shd w:val="clear" w:color="000000" w:fill="FFFFFF"/>
            <w:noWrap w:val="0"/>
            <w:tcMar>
              <w:left w:w="108" w:type="dxa"/>
              <w:right w:w="108" w:type="dxa"/>
            </w:tcMar>
            <w:vAlign w:val="center"/>
          </w:tcPr>
          <w:p w14:paraId="2C8C30AC">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w:t>
            </w:r>
          </w:p>
        </w:tc>
      </w:tr>
      <w:tr w14:paraId="650C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52392445">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投标人名称                (请务必填写单位全称)</w:t>
            </w:r>
          </w:p>
        </w:tc>
        <w:tc>
          <w:tcPr>
            <w:tcW w:w="6809" w:type="dxa"/>
            <w:gridSpan w:val="5"/>
            <w:shd w:val="clear" w:color="000000" w:fill="FFFFFF"/>
            <w:noWrap w:val="0"/>
            <w:tcMar>
              <w:left w:w="108" w:type="dxa"/>
              <w:right w:w="108" w:type="dxa"/>
            </w:tcMar>
            <w:vAlign w:val="center"/>
          </w:tcPr>
          <w:p w14:paraId="0478274A">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r>
      <w:tr w14:paraId="286B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63401FFF">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投标人法定代表人或其</w:t>
            </w:r>
          </w:p>
          <w:p w14:paraId="18B12224">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委托代理人签名</w:t>
            </w:r>
          </w:p>
        </w:tc>
        <w:tc>
          <w:tcPr>
            <w:tcW w:w="3527" w:type="dxa"/>
            <w:gridSpan w:val="2"/>
            <w:shd w:val="clear" w:color="000000" w:fill="FFFFFF"/>
            <w:noWrap w:val="0"/>
            <w:tcMar>
              <w:left w:w="108" w:type="dxa"/>
              <w:right w:w="108" w:type="dxa"/>
            </w:tcMar>
            <w:vAlign w:val="center"/>
          </w:tcPr>
          <w:p w14:paraId="5500E647">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c>
          <w:tcPr>
            <w:tcW w:w="754" w:type="dxa"/>
            <w:shd w:val="clear" w:color="000000" w:fill="FFFFFF"/>
            <w:noWrap w:val="0"/>
            <w:tcMar>
              <w:left w:w="108" w:type="dxa"/>
              <w:right w:w="108" w:type="dxa"/>
            </w:tcMar>
            <w:vAlign w:val="center"/>
          </w:tcPr>
          <w:p w14:paraId="2173BB6B">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手机号码</w:t>
            </w:r>
          </w:p>
        </w:tc>
        <w:tc>
          <w:tcPr>
            <w:tcW w:w="2528" w:type="dxa"/>
            <w:gridSpan w:val="2"/>
            <w:shd w:val="clear" w:color="000000" w:fill="FFFFFF"/>
            <w:noWrap w:val="0"/>
            <w:tcMar>
              <w:left w:w="108" w:type="dxa"/>
              <w:right w:w="108" w:type="dxa"/>
            </w:tcMar>
            <w:vAlign w:val="center"/>
          </w:tcPr>
          <w:p w14:paraId="37D2284B">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w:t>
            </w:r>
          </w:p>
        </w:tc>
      </w:tr>
      <w:tr w14:paraId="7339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000000" w:fill="FFFFFF"/>
            <w:noWrap w:val="0"/>
            <w:tcMar>
              <w:left w:w="108" w:type="dxa"/>
              <w:right w:w="108" w:type="dxa"/>
            </w:tcMar>
            <w:vAlign w:val="center"/>
          </w:tcPr>
          <w:p w14:paraId="409782D7">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递交的证明材料原件如下：</w:t>
            </w:r>
          </w:p>
        </w:tc>
      </w:tr>
      <w:tr w14:paraId="026C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FFFFFF"/>
            <w:noWrap w:val="0"/>
            <w:tcMar>
              <w:left w:w="108" w:type="dxa"/>
              <w:right w:w="108" w:type="dxa"/>
            </w:tcMar>
            <w:vAlign w:val="center"/>
          </w:tcPr>
          <w:p w14:paraId="2DC4342E">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5125" w:type="dxa"/>
            <w:gridSpan w:val="4"/>
            <w:shd w:val="clear" w:color="auto" w:fill="FFFFFF"/>
            <w:noWrap w:val="0"/>
            <w:tcMar>
              <w:left w:w="108" w:type="dxa"/>
              <w:right w:w="108" w:type="dxa"/>
            </w:tcMar>
            <w:vAlign w:val="center"/>
          </w:tcPr>
          <w:p w14:paraId="7EB0C40A">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证明材料原件名称</w:t>
            </w:r>
          </w:p>
        </w:tc>
        <w:tc>
          <w:tcPr>
            <w:tcW w:w="1712" w:type="dxa"/>
            <w:gridSpan w:val="2"/>
            <w:shd w:val="clear" w:color="auto" w:fill="FFFFFF"/>
            <w:noWrap w:val="0"/>
            <w:tcMar>
              <w:left w:w="108" w:type="dxa"/>
              <w:right w:w="108" w:type="dxa"/>
            </w:tcMar>
            <w:vAlign w:val="center"/>
          </w:tcPr>
          <w:p w14:paraId="3DFC6F80">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单位</w:t>
            </w:r>
          </w:p>
        </w:tc>
        <w:tc>
          <w:tcPr>
            <w:tcW w:w="1570" w:type="dxa"/>
            <w:shd w:val="clear" w:color="auto" w:fill="FFFFFF"/>
            <w:noWrap w:val="0"/>
            <w:tcMar>
              <w:left w:w="108" w:type="dxa"/>
              <w:right w:w="108" w:type="dxa"/>
            </w:tcMar>
            <w:vAlign w:val="center"/>
          </w:tcPr>
          <w:p w14:paraId="2EFCB1A1">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数量</w:t>
            </w:r>
          </w:p>
        </w:tc>
      </w:tr>
      <w:tr w14:paraId="3F72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3201824C">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1</w:t>
            </w:r>
          </w:p>
        </w:tc>
        <w:tc>
          <w:tcPr>
            <w:tcW w:w="5125" w:type="dxa"/>
            <w:gridSpan w:val="4"/>
            <w:shd w:val="clear" w:color="000000" w:fill="FFFFFF"/>
            <w:noWrap w:val="0"/>
            <w:tcMar>
              <w:left w:w="108" w:type="dxa"/>
              <w:right w:w="108" w:type="dxa"/>
            </w:tcMar>
            <w:vAlign w:val="center"/>
          </w:tcPr>
          <w:p w14:paraId="6AA53085">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712" w:type="dxa"/>
            <w:gridSpan w:val="2"/>
            <w:shd w:val="clear" w:color="000000" w:fill="FFFFFF"/>
            <w:noWrap w:val="0"/>
            <w:tcMar>
              <w:left w:w="108" w:type="dxa"/>
              <w:right w:w="108" w:type="dxa"/>
            </w:tcMar>
            <w:vAlign w:val="center"/>
          </w:tcPr>
          <w:p w14:paraId="780D12C8">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570" w:type="dxa"/>
            <w:shd w:val="clear" w:color="000000" w:fill="FFFFFF"/>
            <w:noWrap w:val="0"/>
            <w:tcMar>
              <w:left w:w="108" w:type="dxa"/>
              <w:right w:w="108" w:type="dxa"/>
            </w:tcMar>
            <w:vAlign w:val="center"/>
          </w:tcPr>
          <w:p w14:paraId="050C38B2">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　</w:t>
            </w:r>
          </w:p>
        </w:tc>
      </w:tr>
      <w:tr w14:paraId="0D58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3385C1EC">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2</w:t>
            </w:r>
          </w:p>
        </w:tc>
        <w:tc>
          <w:tcPr>
            <w:tcW w:w="5125" w:type="dxa"/>
            <w:gridSpan w:val="4"/>
            <w:shd w:val="clear" w:color="000000" w:fill="FFFFFF"/>
            <w:noWrap w:val="0"/>
            <w:tcMar>
              <w:left w:w="108" w:type="dxa"/>
              <w:right w:w="108" w:type="dxa"/>
            </w:tcMar>
            <w:vAlign w:val="center"/>
          </w:tcPr>
          <w:p w14:paraId="4AFB4D62">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712" w:type="dxa"/>
            <w:gridSpan w:val="2"/>
            <w:shd w:val="clear" w:color="000000" w:fill="FFFFFF"/>
            <w:noWrap w:val="0"/>
            <w:tcMar>
              <w:left w:w="108" w:type="dxa"/>
              <w:right w:w="108" w:type="dxa"/>
            </w:tcMar>
            <w:vAlign w:val="center"/>
          </w:tcPr>
          <w:p w14:paraId="62D60092">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570" w:type="dxa"/>
            <w:shd w:val="clear" w:color="000000" w:fill="FFFFFF"/>
            <w:noWrap w:val="0"/>
            <w:tcMar>
              <w:left w:w="108" w:type="dxa"/>
              <w:right w:w="108" w:type="dxa"/>
            </w:tcMar>
            <w:vAlign w:val="center"/>
          </w:tcPr>
          <w:p w14:paraId="735B583D">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13DE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3CB6EF4F">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3</w:t>
            </w:r>
          </w:p>
        </w:tc>
        <w:tc>
          <w:tcPr>
            <w:tcW w:w="5125" w:type="dxa"/>
            <w:gridSpan w:val="4"/>
            <w:shd w:val="clear" w:color="000000" w:fill="FFFFFF"/>
            <w:noWrap w:val="0"/>
            <w:tcMar>
              <w:left w:w="108" w:type="dxa"/>
              <w:right w:w="108" w:type="dxa"/>
            </w:tcMar>
            <w:vAlign w:val="center"/>
          </w:tcPr>
          <w:p w14:paraId="6F156147">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712" w:type="dxa"/>
            <w:gridSpan w:val="2"/>
            <w:shd w:val="clear" w:color="000000" w:fill="FFFFFF"/>
            <w:noWrap w:val="0"/>
            <w:tcMar>
              <w:left w:w="108" w:type="dxa"/>
              <w:right w:w="108" w:type="dxa"/>
            </w:tcMar>
            <w:vAlign w:val="center"/>
          </w:tcPr>
          <w:p w14:paraId="76ABD62A">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570" w:type="dxa"/>
            <w:shd w:val="clear" w:color="000000" w:fill="FFFFFF"/>
            <w:noWrap w:val="0"/>
            <w:tcMar>
              <w:left w:w="108" w:type="dxa"/>
              <w:right w:w="108" w:type="dxa"/>
            </w:tcMar>
            <w:vAlign w:val="center"/>
          </w:tcPr>
          <w:p w14:paraId="2E84CBC4">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314A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1E7DEAA0">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w:t>
            </w:r>
          </w:p>
        </w:tc>
        <w:tc>
          <w:tcPr>
            <w:tcW w:w="5125" w:type="dxa"/>
            <w:gridSpan w:val="4"/>
            <w:shd w:val="clear" w:color="000000" w:fill="FFFFFF"/>
            <w:noWrap w:val="0"/>
            <w:tcMar>
              <w:left w:w="108" w:type="dxa"/>
              <w:right w:w="108" w:type="dxa"/>
            </w:tcMar>
            <w:vAlign w:val="center"/>
          </w:tcPr>
          <w:p w14:paraId="314267B8">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712" w:type="dxa"/>
            <w:gridSpan w:val="2"/>
            <w:shd w:val="clear" w:color="000000" w:fill="FFFFFF"/>
            <w:noWrap w:val="0"/>
            <w:tcMar>
              <w:left w:w="108" w:type="dxa"/>
              <w:right w:w="108" w:type="dxa"/>
            </w:tcMar>
            <w:vAlign w:val="center"/>
          </w:tcPr>
          <w:p w14:paraId="49259B02">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570" w:type="dxa"/>
            <w:shd w:val="clear" w:color="000000" w:fill="FFFFFF"/>
            <w:noWrap w:val="0"/>
            <w:tcMar>
              <w:left w:w="108" w:type="dxa"/>
              <w:right w:w="108" w:type="dxa"/>
            </w:tcMar>
            <w:vAlign w:val="center"/>
          </w:tcPr>
          <w:p w14:paraId="19817AC7">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　</w:t>
            </w:r>
          </w:p>
        </w:tc>
      </w:tr>
      <w:tr w14:paraId="47A0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shd w:val="clear" w:color="auto" w:fill="FFFFFF"/>
            <w:noWrap w:val="0"/>
            <w:tcMar>
              <w:left w:w="108" w:type="dxa"/>
              <w:right w:w="108" w:type="dxa"/>
            </w:tcMar>
            <w:vAlign w:val="center"/>
          </w:tcPr>
          <w:p w14:paraId="03455C48">
            <w:pPr>
              <w:keepNext w:val="0"/>
              <w:keepLines w:val="0"/>
              <w:suppressLineNumbers w:val="0"/>
              <w:spacing w:before="0" w:beforeAutospacing="0" w:after="0" w:afterAutospacing="0"/>
              <w:ind w:left="8" w:right="0" w:hanging="94"/>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注意：</w:t>
            </w:r>
          </w:p>
        </w:tc>
        <w:tc>
          <w:tcPr>
            <w:tcW w:w="8407" w:type="dxa"/>
            <w:gridSpan w:val="7"/>
            <w:shd w:val="clear" w:color="auto" w:fill="FFFFFF"/>
            <w:noWrap w:val="0"/>
            <w:tcMar>
              <w:left w:w="108" w:type="dxa"/>
              <w:right w:w="108" w:type="dxa"/>
            </w:tcMar>
            <w:vAlign w:val="center"/>
          </w:tcPr>
          <w:p w14:paraId="517DBB34">
            <w:pPr>
              <w:keepNext w:val="0"/>
              <w:keepLines w:val="0"/>
              <w:suppressLineNumbers w:val="0"/>
              <w:spacing w:before="0" w:beforeAutospacing="0" w:after="0" w:afterAutospacing="0"/>
              <w:ind w:left="0" w:right="0" w:firstLine="48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3DD0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shd w:val="clear" w:color="000000" w:fill="FFFFFF"/>
            <w:noWrap w:val="0"/>
            <w:tcMar>
              <w:left w:w="108" w:type="dxa"/>
              <w:right w:w="108" w:type="dxa"/>
            </w:tcMar>
            <w:vAlign w:val="center"/>
          </w:tcPr>
          <w:p w14:paraId="03CF0841">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p w14:paraId="7079F06D">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接收原件经办人(招标代理)：</w:t>
            </w:r>
          </w:p>
        </w:tc>
        <w:tc>
          <w:tcPr>
            <w:tcW w:w="1994" w:type="dxa"/>
            <w:gridSpan w:val="2"/>
            <w:shd w:val="clear" w:color="000000" w:fill="FFFFFF"/>
            <w:noWrap w:val="0"/>
            <w:tcMar>
              <w:left w:w="108" w:type="dxa"/>
              <w:right w:w="108" w:type="dxa"/>
            </w:tcMar>
            <w:vAlign w:val="center"/>
          </w:tcPr>
          <w:p w14:paraId="56EECA0E">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25" w:type="dxa"/>
            <w:shd w:val="clear" w:color="000000" w:fill="FFFFFF"/>
            <w:noWrap w:val="0"/>
            <w:tcMar>
              <w:left w:w="108" w:type="dxa"/>
              <w:right w:w="108" w:type="dxa"/>
            </w:tcMar>
            <w:vAlign w:val="center"/>
          </w:tcPr>
          <w:p w14:paraId="56752760">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接收时间：</w:t>
            </w:r>
          </w:p>
        </w:tc>
        <w:tc>
          <w:tcPr>
            <w:tcW w:w="3282" w:type="dxa"/>
            <w:gridSpan w:val="3"/>
            <w:shd w:val="clear" w:color="000000" w:fill="FFFFFF"/>
            <w:noWrap w:val="0"/>
            <w:tcMar>
              <w:left w:w="108" w:type="dxa"/>
              <w:right w:w="108" w:type="dxa"/>
            </w:tcMar>
            <w:vAlign w:val="center"/>
          </w:tcPr>
          <w:p w14:paraId="510BFE7D">
            <w:pPr>
              <w:keepNext w:val="0"/>
              <w:keepLines w:val="0"/>
              <w:suppressLineNumbers w:val="0"/>
              <w:spacing w:before="0" w:beforeAutospacing="0" w:after="0" w:afterAutospacing="0"/>
              <w:ind w:left="0" w:right="0" w:firstLine="600" w:firstLineChars="300"/>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年   月   日   时  分</w:t>
            </w:r>
          </w:p>
        </w:tc>
      </w:tr>
      <w:tr w14:paraId="759F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000000" w:fill="FFFFFF"/>
            <w:noWrap w:val="0"/>
            <w:tcMar>
              <w:left w:w="108" w:type="dxa"/>
              <w:right w:w="108" w:type="dxa"/>
            </w:tcMar>
            <w:vAlign w:val="center"/>
          </w:tcPr>
          <w:p w14:paraId="062BE7C2">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退还原件接收人(投标人)：</w:t>
            </w:r>
          </w:p>
        </w:tc>
        <w:tc>
          <w:tcPr>
            <w:tcW w:w="1994" w:type="dxa"/>
            <w:gridSpan w:val="2"/>
            <w:shd w:val="clear" w:color="000000" w:fill="FFFFFF"/>
            <w:noWrap w:val="0"/>
            <w:tcMar>
              <w:left w:w="108" w:type="dxa"/>
              <w:right w:w="108" w:type="dxa"/>
            </w:tcMar>
            <w:vAlign w:val="center"/>
          </w:tcPr>
          <w:p w14:paraId="34DE2B01">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p>
        </w:tc>
        <w:tc>
          <w:tcPr>
            <w:tcW w:w="1625" w:type="dxa"/>
            <w:shd w:val="clear" w:color="000000" w:fill="FFFFFF"/>
            <w:noWrap w:val="0"/>
            <w:tcMar>
              <w:left w:w="108" w:type="dxa"/>
              <w:right w:w="108" w:type="dxa"/>
            </w:tcMar>
            <w:vAlign w:val="center"/>
          </w:tcPr>
          <w:p w14:paraId="28FAF49E">
            <w:pPr>
              <w:keepNext w:val="0"/>
              <w:keepLines w:val="0"/>
              <w:suppressLineNumbers w:val="0"/>
              <w:spacing w:before="0" w:beforeAutospacing="0" w:after="0" w:afterAutospacing="0"/>
              <w:ind w:left="0" w:right="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退还时间：</w:t>
            </w:r>
          </w:p>
        </w:tc>
        <w:tc>
          <w:tcPr>
            <w:tcW w:w="3282" w:type="dxa"/>
            <w:gridSpan w:val="3"/>
            <w:shd w:val="clear" w:color="000000" w:fill="FFFFFF"/>
            <w:noWrap w:val="0"/>
            <w:tcMar>
              <w:left w:w="108" w:type="dxa"/>
              <w:right w:w="108" w:type="dxa"/>
            </w:tcMar>
            <w:vAlign w:val="center"/>
          </w:tcPr>
          <w:p w14:paraId="4C18F859">
            <w:pPr>
              <w:keepNext w:val="0"/>
              <w:keepLines w:val="0"/>
              <w:suppressLineNumbers w:val="0"/>
              <w:spacing w:before="0" w:beforeAutospacing="0" w:after="0" w:afterAutospacing="0"/>
              <w:ind w:left="0" w:right="0" w:firstLine="600" w:firstLineChars="300"/>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年   月   日   时   分</w:t>
            </w:r>
          </w:p>
        </w:tc>
      </w:tr>
    </w:tbl>
    <w:p w14:paraId="1CAADDD2">
      <w:pPr>
        <w:pStyle w:val="51"/>
        <w:widowControl w:val="0"/>
        <w:wordWrap w:val="0"/>
        <w:adjustRightInd w:val="0"/>
        <w:snapToGrid w:val="0"/>
        <w:spacing w:line="400" w:lineRule="exact"/>
        <w:rPr>
          <w:rFonts w:hint="eastAsia" w:ascii="宋体" w:hAnsi="宋体" w:eastAsia="宋体" w:cs="宋体"/>
          <w:snapToGrid w:val="0"/>
          <w:color w:val="auto"/>
          <w:sz w:val="21"/>
          <w:highlight w:val="none"/>
        </w:rPr>
        <w:sectPr>
          <w:footerReference r:id="rId12"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pPr>
    </w:p>
    <w:bookmarkEnd w:id="8"/>
    <w:bookmarkEnd w:id="232"/>
    <w:bookmarkEnd w:id="233"/>
    <w:p w14:paraId="280FF027">
      <w:pPr>
        <w:pStyle w:val="3"/>
        <w:wordWrap w:val="0"/>
        <w:autoSpaceDE/>
        <w:autoSpaceDN/>
        <w:snapToGrid w:val="0"/>
        <w:spacing w:line="440" w:lineRule="exact"/>
        <w:jc w:val="center"/>
        <w:rPr>
          <w:rFonts w:hint="eastAsia" w:ascii="宋体" w:hAnsi="宋体" w:eastAsia="宋体" w:cs="宋体"/>
          <w:b/>
          <w:snapToGrid w:val="0"/>
          <w:color w:val="auto"/>
          <w:sz w:val="24"/>
          <w:highlight w:val="none"/>
        </w:rPr>
      </w:pPr>
      <w:bookmarkStart w:id="266" w:name="_Hlt87793582"/>
      <w:bookmarkEnd w:id="266"/>
      <w:bookmarkStart w:id="267" w:name="_附件二十一：土建工程、电气工程、给排水工程工程清单项目费汇总表"/>
      <w:bookmarkEnd w:id="267"/>
      <w:bookmarkStart w:id="268" w:name="_附件十六：措施项目清单计价表"/>
      <w:bookmarkEnd w:id="268"/>
      <w:bookmarkStart w:id="269" w:name="_Hlt87783244"/>
      <w:bookmarkEnd w:id="269"/>
      <w:bookmarkStart w:id="270" w:name="_Toc13722"/>
      <w:bookmarkStart w:id="271" w:name="_Toc18769"/>
      <w:bookmarkStart w:id="272" w:name="_Toc132687128"/>
      <w:bookmarkStart w:id="273" w:name="_Toc142468134"/>
      <w:bookmarkStart w:id="274" w:name="_Toc137444778"/>
      <w:bookmarkStart w:id="275" w:name="_Toc133160683"/>
      <w:bookmarkStart w:id="276" w:name="_Toc78794873"/>
      <w:bookmarkStart w:id="277" w:name="_Toc133815902"/>
      <w:r>
        <w:rPr>
          <w:rFonts w:hint="eastAsia" w:ascii="宋体" w:hAnsi="宋体" w:eastAsia="宋体" w:cs="宋体"/>
          <w:b/>
          <w:snapToGrid w:val="0"/>
          <w:color w:val="auto"/>
          <w:sz w:val="24"/>
          <w:highlight w:val="none"/>
        </w:rPr>
        <w:t>第七章 建设工程施工合同</w:t>
      </w:r>
      <w:bookmarkEnd w:id="270"/>
      <w:bookmarkEnd w:id="271"/>
      <w:bookmarkEnd w:id="272"/>
      <w:bookmarkEnd w:id="273"/>
      <w:bookmarkEnd w:id="274"/>
      <w:bookmarkEnd w:id="275"/>
    </w:p>
    <w:p w14:paraId="1EF2B662">
      <w:pPr>
        <w:wordWrap w:val="0"/>
        <w:adjustRightInd w:val="0"/>
        <w:snapToGrid w:val="0"/>
        <w:spacing w:line="440" w:lineRule="exact"/>
        <w:rPr>
          <w:rFonts w:hint="eastAsia" w:ascii="宋体" w:hAnsi="宋体" w:eastAsia="宋体" w:cs="宋体"/>
          <w:snapToGrid w:val="0"/>
          <w:color w:val="auto"/>
          <w:kern w:val="0"/>
          <w:highlight w:val="none"/>
        </w:rPr>
      </w:pPr>
    </w:p>
    <w:p w14:paraId="41EFB92D">
      <w:pPr>
        <w:wordWrap w:val="0"/>
        <w:adjustRightInd w:val="0"/>
        <w:snapToGrid w:val="0"/>
        <w:spacing w:line="440" w:lineRule="exac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（略），</w:t>
      </w:r>
      <w:bookmarkEnd w:id="276"/>
      <w:bookmarkEnd w:id="277"/>
      <w:r>
        <w:rPr>
          <w:rFonts w:hint="eastAsia" w:ascii="宋体" w:hAnsi="宋体" w:eastAsia="宋体" w:cs="宋体"/>
          <w:snapToGrid w:val="0"/>
          <w:color w:val="auto"/>
          <w:kern w:val="0"/>
          <w:highlight w:val="none"/>
        </w:rPr>
        <w:t>按《广东省建设工程标准施工合同》（2009年版）或《建设工程施工合同（示范文本）》（GF—2017—0201）执行。</w:t>
      </w:r>
      <w:bookmarkEnd w:id="0"/>
    </w:p>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decimal"/>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5EA17">
    <w:pPr>
      <w:pStyle w:val="20"/>
      <w:pBdr>
        <w:between w:val="none" w:color="auto" w:sz="0" w:space="0"/>
      </w:pBdr>
      <w:rPr>
        <w:rFonts w:hint="eastAsia"/>
      </w:rPr>
    </w:pPr>
  </w:p>
  <w:p w14:paraId="256FC74A">
    <w:pPr>
      <w:pStyle w:val="20"/>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CCD64">
    <w:pPr>
      <w:pStyle w:val="20"/>
      <w:pBdr>
        <w:between w:val="none" w:color="auto" w:sz="0" w:space="0"/>
      </w:pBdr>
      <w:rPr>
        <w:rFonts w:hint="eastAsia"/>
      </w:rPr>
    </w:pPr>
  </w:p>
  <w:p w14:paraId="1871CEC9">
    <w:pPr>
      <w:pStyle w:val="20"/>
      <w:pBdr>
        <w:between w:val="none" w:color="auto" w:sz="0" w:space="0"/>
      </w:pBd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1E303">
    <w:pPr>
      <w:pStyle w:val="20"/>
      <w:pBdr>
        <w:between w:val="none" w:color="auto" w:sz="0" w:space="0"/>
      </w:pBdr>
      <w:rPr>
        <w:rFonts w:hint="eastAsia"/>
      </w:rPr>
    </w:pPr>
  </w:p>
  <w:p w14:paraId="299A581F">
    <w:pPr>
      <w:pStyle w:val="20"/>
      <w:pBdr>
        <w:between w:val="none" w:color="auto" w:sz="0" w:space="0"/>
      </w:pBd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ACB87">
    <w:pPr>
      <w:pStyle w:val="20"/>
      <w:pBdr>
        <w:between w:val="none" w:color="auto" w:sz="0" w:space="0"/>
      </w:pBdr>
      <w:rPr>
        <w:rFonts w:hint="eastAsia"/>
      </w:rPr>
    </w:pPr>
  </w:p>
  <w:p w14:paraId="6F9CDB10">
    <w:pPr>
      <w:pStyle w:val="20"/>
      <w:pBdr>
        <w:between w:val="none" w:color="auto" w:sz="0" w:space="0"/>
      </w:pBdr>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FDF1B">
    <w:pPr>
      <w:pStyle w:val="20"/>
      <w:pBdr>
        <w:between w:val="none" w:color="auto" w:sz="0"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4E3770">
                          <w:pPr>
                            <w:pStyle w:val="20"/>
                            <w:rPr>
                              <w:rFonts w:hint="eastAsia"/>
                            </w:rPr>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8</w:t>
                          </w:r>
                          <w:r>
                            <w:rPr>
                              <w:rFonts w:ascii="Times New Roman"/>
                              <w:sz w:val="21"/>
                            </w:rPr>
                            <w:fldChar w:fldCharType="end"/>
                          </w:r>
                          <w:r>
                            <w:rPr>
                              <w:rFonts w:hint="eastAsia" w:ascii="Times New Roman"/>
                              <w:sz w:val="21"/>
                            </w:rPr>
                            <w:t>—</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iEUYN4BAAC+AwAADgAAAGRycy9lMm9Eb2MueG1srVPNjtMwEL4j8Q6W&#10;7zTZIq2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yaMycsDfz8/dv5x6/zz6/s&#10;Z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eIRRg3gEAAL4DAAAOAAAAAAAA&#10;AAEAIAAAAB4BAABkcnMvZTJvRG9jLnhtbFBLBQYAAAAABgAGAFkBAABuBQAAAAA=&#10;">
              <v:fill on="f" focussize="0,0"/>
              <v:stroke on="f"/>
              <v:imagedata o:title=""/>
              <o:lock v:ext="edit" aspectratio="f"/>
              <v:textbox inset="0mm,0mm,0mm,0mm" style="mso-fit-shape-to-text:t;">
                <w:txbxContent>
                  <w:p w14:paraId="154E3770">
                    <w:pPr>
                      <w:pStyle w:val="20"/>
                      <w:rPr>
                        <w:rFonts w:hint="eastAsia"/>
                      </w:rPr>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8</w:t>
                    </w:r>
                    <w:r>
                      <w:rPr>
                        <w:rFonts w:ascii="Times New Roman"/>
                        <w:sz w:val="21"/>
                      </w:rPr>
                      <w:fldChar w:fldCharType="end"/>
                    </w:r>
                    <w:r>
                      <w:rPr>
                        <w:rFonts w:hint="eastAsia" w:ascii="Times New Roman"/>
                        <w:sz w:val="21"/>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2FF99">
    <w:pPr>
      <w:pStyle w:val="12"/>
      <w:spacing w:line="173" w:lineRule="auto"/>
      <w:ind w:left="4412"/>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5ABB67">
                          <w:pPr>
                            <w:pStyle w:val="20"/>
                          </w:pPr>
                          <w:r>
                            <w:fldChar w:fldCharType="begin"/>
                          </w:r>
                          <w:r>
                            <w:instrText xml:space="preserve"> PAGE  \* MERGEFORMAT </w:instrText>
                          </w:r>
                          <w:r>
                            <w:fldChar w:fldCharType="separate"/>
                          </w:r>
                          <w:r>
                            <w:t>74</w:t>
                          </w:r>
                          <w:r>
                            <w:fldChar w:fldCharType="end"/>
                          </w:r>
                        </w:p>
                      </w:txbxContent>
                    </wps:txbx>
                    <wps:bodyPr vert="horz" wrap="none" lIns="0" tIns="0" rIns="0" bIns="0" anchor="t" anchorCtr="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KMBH4d8BAADBAwAADgAAAAAA&#10;AAABACAAAAAeAQAAZHJzL2Uyb0RvYy54bWxQSwUGAAAAAAYABgBZAQAAbwUAAAAA&#10;">
              <v:fill on="f" focussize="0,0"/>
              <v:stroke on="f"/>
              <v:imagedata o:title=""/>
              <o:lock v:ext="edit" aspectratio="f"/>
              <v:textbox inset="0mm,0mm,0mm,0mm" style="mso-fit-shape-to-text:t;">
                <w:txbxContent>
                  <w:p w14:paraId="3A5ABB67">
                    <w:pPr>
                      <w:pStyle w:val="20"/>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8BD8A">
    <w:pPr>
      <w:pStyle w:val="12"/>
      <w:spacing w:line="173" w:lineRule="auto"/>
      <w:ind w:left="4310"/>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D86862">
                          <w:pPr>
                            <w:pStyle w:val="20"/>
                          </w:pPr>
                          <w:r>
                            <w:fldChar w:fldCharType="begin"/>
                          </w:r>
                          <w:r>
                            <w:instrText xml:space="preserve"> PAGE  \* MERGEFORMAT </w:instrText>
                          </w:r>
                          <w:r>
                            <w:fldChar w:fldCharType="separate"/>
                          </w:r>
                          <w:r>
                            <w:t>80</w:t>
                          </w:r>
                          <w:r>
                            <w:fldChar w:fldCharType="end"/>
                          </w:r>
                        </w:p>
                      </w:txbxContent>
                    </wps:txbx>
                    <wps:bodyPr vert="horz" wrap="none" lIns="0" tIns="0" rIns="0" bIns="0" anchor="t" anchorCtr="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za0GS98BAADBAwAADgAAAAAA&#10;AAABACAAAAAeAQAAZHJzL2Uyb0RvYy54bWxQSwUGAAAAAAYABgBZAQAAbwUAAAAA&#10;">
              <v:fill on="f" focussize="0,0"/>
              <v:stroke on="f"/>
              <v:imagedata o:title=""/>
              <o:lock v:ext="edit" aspectratio="f"/>
              <v:textbox inset="0mm,0mm,0mm,0mm" style="mso-fit-shape-to-text:t;">
                <w:txbxContent>
                  <w:p w14:paraId="48D86862">
                    <w:pPr>
                      <w:pStyle w:val="20"/>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71E22">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6C8BAA"/>
    <w:multiLevelType w:val="singleLevel"/>
    <w:tmpl w:val="DE6C8BAA"/>
    <w:lvl w:ilvl="0" w:tentative="0">
      <w:start w:val="1"/>
      <w:numFmt w:val="decimal"/>
      <w:lvlText w:val="(%1)"/>
      <w:lvlJc w:val="left"/>
      <w:pPr>
        <w:tabs>
          <w:tab w:val="left" w:pos="420"/>
        </w:tabs>
        <w:ind w:left="845" w:hanging="425"/>
      </w:pPr>
      <w:rPr>
        <w:rFonts w:hint="default"/>
      </w:rPr>
    </w:lvl>
  </w:abstractNum>
  <w:abstractNum w:abstractNumId="1">
    <w:nsid w:val="EF148FC0"/>
    <w:multiLevelType w:val="singleLevel"/>
    <w:tmpl w:val="EF148FC0"/>
    <w:lvl w:ilvl="0" w:tentative="0">
      <w:start w:val="1"/>
      <w:numFmt w:val="decimal"/>
      <w:suff w:val="nothing"/>
      <w:lvlText w:val="（%1）"/>
      <w:lvlJc w:val="left"/>
    </w:lvl>
  </w:abstractNum>
  <w:abstractNum w:abstractNumId="2">
    <w:nsid w:val="1340181E"/>
    <w:multiLevelType w:val="singleLevel"/>
    <w:tmpl w:val="1340181E"/>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5NjRiNzAwMTFkNDRmYWQ0NmE2MjVkNTc0ZDM0MDIifQ=="/>
    <w:docVar w:name="KSO_WPS_MARK_KEY" w:val="5406b781-61dd-4eb1-8b6d-144f89f40a72"/>
  </w:docVars>
  <w:rsids>
    <w:rsidRoot w:val="00172A27"/>
    <w:rsid w:val="00006921"/>
    <w:rsid w:val="00010CCB"/>
    <w:rsid w:val="00015E56"/>
    <w:rsid w:val="000314B8"/>
    <w:rsid w:val="00034711"/>
    <w:rsid w:val="000377FF"/>
    <w:rsid w:val="0005386E"/>
    <w:rsid w:val="0005780D"/>
    <w:rsid w:val="0005796C"/>
    <w:rsid w:val="0007457B"/>
    <w:rsid w:val="0008085C"/>
    <w:rsid w:val="0009655D"/>
    <w:rsid w:val="000A12CA"/>
    <w:rsid w:val="000D15E5"/>
    <w:rsid w:val="000D1F10"/>
    <w:rsid w:val="000D546A"/>
    <w:rsid w:val="000E28E9"/>
    <w:rsid w:val="000F2D62"/>
    <w:rsid w:val="000F7E59"/>
    <w:rsid w:val="0010362E"/>
    <w:rsid w:val="00125918"/>
    <w:rsid w:val="00136054"/>
    <w:rsid w:val="00136B78"/>
    <w:rsid w:val="00153A59"/>
    <w:rsid w:val="001570FF"/>
    <w:rsid w:val="00163AB6"/>
    <w:rsid w:val="00164221"/>
    <w:rsid w:val="0017330E"/>
    <w:rsid w:val="001771BA"/>
    <w:rsid w:val="001826FC"/>
    <w:rsid w:val="00183B1B"/>
    <w:rsid w:val="00185EE3"/>
    <w:rsid w:val="00192D13"/>
    <w:rsid w:val="001A1C4C"/>
    <w:rsid w:val="001A2DEE"/>
    <w:rsid w:val="001C4DEF"/>
    <w:rsid w:val="001C6DB0"/>
    <w:rsid w:val="001D7CB4"/>
    <w:rsid w:val="001E344C"/>
    <w:rsid w:val="001F068C"/>
    <w:rsid w:val="001F074D"/>
    <w:rsid w:val="001F6521"/>
    <w:rsid w:val="0022181C"/>
    <w:rsid w:val="002249C7"/>
    <w:rsid w:val="00225417"/>
    <w:rsid w:val="00227479"/>
    <w:rsid w:val="0023250C"/>
    <w:rsid w:val="00235F28"/>
    <w:rsid w:val="00263D61"/>
    <w:rsid w:val="00264D48"/>
    <w:rsid w:val="00267886"/>
    <w:rsid w:val="00276C62"/>
    <w:rsid w:val="002855A3"/>
    <w:rsid w:val="002862B2"/>
    <w:rsid w:val="002863AF"/>
    <w:rsid w:val="00293756"/>
    <w:rsid w:val="00294AB7"/>
    <w:rsid w:val="002A79FF"/>
    <w:rsid w:val="002C1FF1"/>
    <w:rsid w:val="002D00B9"/>
    <w:rsid w:val="002D2485"/>
    <w:rsid w:val="002F4E7D"/>
    <w:rsid w:val="002F718A"/>
    <w:rsid w:val="00301C8F"/>
    <w:rsid w:val="00301EC1"/>
    <w:rsid w:val="00311519"/>
    <w:rsid w:val="0031568E"/>
    <w:rsid w:val="00323D3F"/>
    <w:rsid w:val="00333293"/>
    <w:rsid w:val="00351550"/>
    <w:rsid w:val="0036122D"/>
    <w:rsid w:val="00362B0C"/>
    <w:rsid w:val="003649F1"/>
    <w:rsid w:val="00376B7E"/>
    <w:rsid w:val="00380B16"/>
    <w:rsid w:val="00381E68"/>
    <w:rsid w:val="0038580B"/>
    <w:rsid w:val="00390544"/>
    <w:rsid w:val="00393D4F"/>
    <w:rsid w:val="00395786"/>
    <w:rsid w:val="003A1FEA"/>
    <w:rsid w:val="003A2D53"/>
    <w:rsid w:val="003B11B7"/>
    <w:rsid w:val="003B62E9"/>
    <w:rsid w:val="003D1E57"/>
    <w:rsid w:val="003E3FEC"/>
    <w:rsid w:val="003F03FB"/>
    <w:rsid w:val="00402239"/>
    <w:rsid w:val="0042584C"/>
    <w:rsid w:val="00446F88"/>
    <w:rsid w:val="004535CA"/>
    <w:rsid w:val="00463509"/>
    <w:rsid w:val="0046559D"/>
    <w:rsid w:val="0047077C"/>
    <w:rsid w:val="00482A16"/>
    <w:rsid w:val="0048481A"/>
    <w:rsid w:val="004970A7"/>
    <w:rsid w:val="004A677C"/>
    <w:rsid w:val="004B2342"/>
    <w:rsid w:val="004B5A38"/>
    <w:rsid w:val="004C41C3"/>
    <w:rsid w:val="004D269F"/>
    <w:rsid w:val="004D46F2"/>
    <w:rsid w:val="004E1040"/>
    <w:rsid w:val="004E2B19"/>
    <w:rsid w:val="004F1C4C"/>
    <w:rsid w:val="004F6F3A"/>
    <w:rsid w:val="00506917"/>
    <w:rsid w:val="0051291B"/>
    <w:rsid w:val="00513F81"/>
    <w:rsid w:val="00517E0C"/>
    <w:rsid w:val="00521772"/>
    <w:rsid w:val="0052614B"/>
    <w:rsid w:val="00544A9B"/>
    <w:rsid w:val="00545102"/>
    <w:rsid w:val="00556210"/>
    <w:rsid w:val="00567725"/>
    <w:rsid w:val="00567C3D"/>
    <w:rsid w:val="00574067"/>
    <w:rsid w:val="00595105"/>
    <w:rsid w:val="00595AD5"/>
    <w:rsid w:val="005B6298"/>
    <w:rsid w:val="005C38BB"/>
    <w:rsid w:val="005C78AB"/>
    <w:rsid w:val="005D1297"/>
    <w:rsid w:val="005D3D18"/>
    <w:rsid w:val="005F49B1"/>
    <w:rsid w:val="006018DB"/>
    <w:rsid w:val="00602EFD"/>
    <w:rsid w:val="006301E6"/>
    <w:rsid w:val="0064126C"/>
    <w:rsid w:val="0065676B"/>
    <w:rsid w:val="00656A17"/>
    <w:rsid w:val="0066269A"/>
    <w:rsid w:val="00671305"/>
    <w:rsid w:val="006738BC"/>
    <w:rsid w:val="006932B4"/>
    <w:rsid w:val="006952DC"/>
    <w:rsid w:val="006960C7"/>
    <w:rsid w:val="006976C6"/>
    <w:rsid w:val="006B2673"/>
    <w:rsid w:val="006B52D3"/>
    <w:rsid w:val="006B5E29"/>
    <w:rsid w:val="006E11F3"/>
    <w:rsid w:val="006E1381"/>
    <w:rsid w:val="006E5700"/>
    <w:rsid w:val="00702236"/>
    <w:rsid w:val="007076DD"/>
    <w:rsid w:val="00710CA6"/>
    <w:rsid w:val="00710EAD"/>
    <w:rsid w:val="00714018"/>
    <w:rsid w:val="00725B42"/>
    <w:rsid w:val="00730B44"/>
    <w:rsid w:val="00732E95"/>
    <w:rsid w:val="00734E87"/>
    <w:rsid w:val="0075292C"/>
    <w:rsid w:val="007542F0"/>
    <w:rsid w:val="00756DD4"/>
    <w:rsid w:val="00764F86"/>
    <w:rsid w:val="007921E3"/>
    <w:rsid w:val="00795977"/>
    <w:rsid w:val="007A72E4"/>
    <w:rsid w:val="007C08AE"/>
    <w:rsid w:val="007D4AE1"/>
    <w:rsid w:val="007E2CF6"/>
    <w:rsid w:val="007E5C27"/>
    <w:rsid w:val="007E5F04"/>
    <w:rsid w:val="00801332"/>
    <w:rsid w:val="008115E0"/>
    <w:rsid w:val="00812179"/>
    <w:rsid w:val="00816FD9"/>
    <w:rsid w:val="00822355"/>
    <w:rsid w:val="0083236B"/>
    <w:rsid w:val="008355BB"/>
    <w:rsid w:val="008536D9"/>
    <w:rsid w:val="0086783C"/>
    <w:rsid w:val="00890999"/>
    <w:rsid w:val="00891B38"/>
    <w:rsid w:val="00892011"/>
    <w:rsid w:val="00894559"/>
    <w:rsid w:val="00895E01"/>
    <w:rsid w:val="008A2C08"/>
    <w:rsid w:val="008B38AD"/>
    <w:rsid w:val="008B74C5"/>
    <w:rsid w:val="008C2357"/>
    <w:rsid w:val="008C569A"/>
    <w:rsid w:val="00901200"/>
    <w:rsid w:val="0091104F"/>
    <w:rsid w:val="00914815"/>
    <w:rsid w:val="00930425"/>
    <w:rsid w:val="00933156"/>
    <w:rsid w:val="00933438"/>
    <w:rsid w:val="00952243"/>
    <w:rsid w:val="00955F82"/>
    <w:rsid w:val="00966F87"/>
    <w:rsid w:val="00996E82"/>
    <w:rsid w:val="009A69A3"/>
    <w:rsid w:val="009B6E07"/>
    <w:rsid w:val="009C6614"/>
    <w:rsid w:val="009D377E"/>
    <w:rsid w:val="009E6836"/>
    <w:rsid w:val="009E76A2"/>
    <w:rsid w:val="009F1329"/>
    <w:rsid w:val="009F1850"/>
    <w:rsid w:val="009F3671"/>
    <w:rsid w:val="009F5419"/>
    <w:rsid w:val="00A12C43"/>
    <w:rsid w:val="00A16D96"/>
    <w:rsid w:val="00A369EC"/>
    <w:rsid w:val="00A3772A"/>
    <w:rsid w:val="00A437D9"/>
    <w:rsid w:val="00A53195"/>
    <w:rsid w:val="00A56089"/>
    <w:rsid w:val="00A64FEC"/>
    <w:rsid w:val="00AA1D05"/>
    <w:rsid w:val="00AA29DC"/>
    <w:rsid w:val="00AA5932"/>
    <w:rsid w:val="00AA72E1"/>
    <w:rsid w:val="00AB4108"/>
    <w:rsid w:val="00AD224C"/>
    <w:rsid w:val="00AD4431"/>
    <w:rsid w:val="00AE2E53"/>
    <w:rsid w:val="00B07850"/>
    <w:rsid w:val="00B10822"/>
    <w:rsid w:val="00B12F4A"/>
    <w:rsid w:val="00B169D0"/>
    <w:rsid w:val="00B21501"/>
    <w:rsid w:val="00B231B8"/>
    <w:rsid w:val="00B366A2"/>
    <w:rsid w:val="00B367B2"/>
    <w:rsid w:val="00B43975"/>
    <w:rsid w:val="00B47E80"/>
    <w:rsid w:val="00B56163"/>
    <w:rsid w:val="00B72DBC"/>
    <w:rsid w:val="00B90AAE"/>
    <w:rsid w:val="00B920D0"/>
    <w:rsid w:val="00B978AC"/>
    <w:rsid w:val="00BB1317"/>
    <w:rsid w:val="00BB1886"/>
    <w:rsid w:val="00BC440B"/>
    <w:rsid w:val="00BC60F6"/>
    <w:rsid w:val="00BD0358"/>
    <w:rsid w:val="00BD5B06"/>
    <w:rsid w:val="00BD6AE2"/>
    <w:rsid w:val="00BD7F84"/>
    <w:rsid w:val="00BE5C8C"/>
    <w:rsid w:val="00BF277F"/>
    <w:rsid w:val="00C02117"/>
    <w:rsid w:val="00C26139"/>
    <w:rsid w:val="00C31C70"/>
    <w:rsid w:val="00C33C76"/>
    <w:rsid w:val="00C412DD"/>
    <w:rsid w:val="00C665AA"/>
    <w:rsid w:val="00C763E3"/>
    <w:rsid w:val="00C76DEA"/>
    <w:rsid w:val="00C7788A"/>
    <w:rsid w:val="00C80B9C"/>
    <w:rsid w:val="00C953E5"/>
    <w:rsid w:val="00CA5E71"/>
    <w:rsid w:val="00CC4C7B"/>
    <w:rsid w:val="00CC649A"/>
    <w:rsid w:val="00CE0746"/>
    <w:rsid w:val="00CE0D72"/>
    <w:rsid w:val="00CE2F75"/>
    <w:rsid w:val="00CE635D"/>
    <w:rsid w:val="00CF2D8A"/>
    <w:rsid w:val="00D04C39"/>
    <w:rsid w:val="00D14754"/>
    <w:rsid w:val="00D243E6"/>
    <w:rsid w:val="00D36FB2"/>
    <w:rsid w:val="00D52AC5"/>
    <w:rsid w:val="00D52D73"/>
    <w:rsid w:val="00D66103"/>
    <w:rsid w:val="00D75995"/>
    <w:rsid w:val="00D93397"/>
    <w:rsid w:val="00DA681E"/>
    <w:rsid w:val="00DB30DA"/>
    <w:rsid w:val="00DC1CC1"/>
    <w:rsid w:val="00DE229A"/>
    <w:rsid w:val="00DE5C06"/>
    <w:rsid w:val="00DF021E"/>
    <w:rsid w:val="00DF53FB"/>
    <w:rsid w:val="00E11591"/>
    <w:rsid w:val="00E34CA6"/>
    <w:rsid w:val="00E56A64"/>
    <w:rsid w:val="00E63AD0"/>
    <w:rsid w:val="00E66CCC"/>
    <w:rsid w:val="00E72878"/>
    <w:rsid w:val="00E73BBB"/>
    <w:rsid w:val="00E85E5F"/>
    <w:rsid w:val="00E90466"/>
    <w:rsid w:val="00E90A3F"/>
    <w:rsid w:val="00E96F3C"/>
    <w:rsid w:val="00EA2C19"/>
    <w:rsid w:val="00EB317E"/>
    <w:rsid w:val="00EC7BCB"/>
    <w:rsid w:val="00ED2B1C"/>
    <w:rsid w:val="00ED6907"/>
    <w:rsid w:val="00EE546A"/>
    <w:rsid w:val="00EE558B"/>
    <w:rsid w:val="00EE62B0"/>
    <w:rsid w:val="00EF5B2C"/>
    <w:rsid w:val="00F002EF"/>
    <w:rsid w:val="00F005B0"/>
    <w:rsid w:val="00F03E68"/>
    <w:rsid w:val="00F11671"/>
    <w:rsid w:val="00F15911"/>
    <w:rsid w:val="00F25C20"/>
    <w:rsid w:val="00F25FF7"/>
    <w:rsid w:val="00F26195"/>
    <w:rsid w:val="00F40EF3"/>
    <w:rsid w:val="00F427A8"/>
    <w:rsid w:val="00F535DC"/>
    <w:rsid w:val="00F57EF4"/>
    <w:rsid w:val="00F60961"/>
    <w:rsid w:val="00F623D1"/>
    <w:rsid w:val="00F62414"/>
    <w:rsid w:val="00F7284B"/>
    <w:rsid w:val="00F77BA0"/>
    <w:rsid w:val="00FA443F"/>
    <w:rsid w:val="00FA4C31"/>
    <w:rsid w:val="00FB2A12"/>
    <w:rsid w:val="00FB44C7"/>
    <w:rsid w:val="00FD73D1"/>
    <w:rsid w:val="00FE0B48"/>
    <w:rsid w:val="00FF7221"/>
    <w:rsid w:val="012F5F9F"/>
    <w:rsid w:val="013D4B60"/>
    <w:rsid w:val="014852B3"/>
    <w:rsid w:val="01521C8D"/>
    <w:rsid w:val="01B744BC"/>
    <w:rsid w:val="01F64D0F"/>
    <w:rsid w:val="020D672F"/>
    <w:rsid w:val="020F3A4E"/>
    <w:rsid w:val="021763A5"/>
    <w:rsid w:val="02206548"/>
    <w:rsid w:val="02413F92"/>
    <w:rsid w:val="02452E2F"/>
    <w:rsid w:val="024D4964"/>
    <w:rsid w:val="02510197"/>
    <w:rsid w:val="025C5729"/>
    <w:rsid w:val="025D08EA"/>
    <w:rsid w:val="025F0B06"/>
    <w:rsid w:val="0261487E"/>
    <w:rsid w:val="026A733D"/>
    <w:rsid w:val="027345B1"/>
    <w:rsid w:val="02741D48"/>
    <w:rsid w:val="02867E41"/>
    <w:rsid w:val="0298759E"/>
    <w:rsid w:val="02AB78A7"/>
    <w:rsid w:val="02B669B3"/>
    <w:rsid w:val="02C1531D"/>
    <w:rsid w:val="02C646E1"/>
    <w:rsid w:val="02C8702D"/>
    <w:rsid w:val="02CE0900"/>
    <w:rsid w:val="02D37D10"/>
    <w:rsid w:val="02D45050"/>
    <w:rsid w:val="02FA082F"/>
    <w:rsid w:val="02FC3A4F"/>
    <w:rsid w:val="030D2310"/>
    <w:rsid w:val="030F40DA"/>
    <w:rsid w:val="03161FDB"/>
    <w:rsid w:val="03394EB3"/>
    <w:rsid w:val="033C2BF5"/>
    <w:rsid w:val="03655BEF"/>
    <w:rsid w:val="03685798"/>
    <w:rsid w:val="037D56E7"/>
    <w:rsid w:val="037F570A"/>
    <w:rsid w:val="0385058C"/>
    <w:rsid w:val="0396186A"/>
    <w:rsid w:val="039E553D"/>
    <w:rsid w:val="03B80F4C"/>
    <w:rsid w:val="03C7644B"/>
    <w:rsid w:val="03C926DB"/>
    <w:rsid w:val="03D17609"/>
    <w:rsid w:val="03E012B9"/>
    <w:rsid w:val="03E43CB3"/>
    <w:rsid w:val="0405071D"/>
    <w:rsid w:val="04123FCF"/>
    <w:rsid w:val="041F550B"/>
    <w:rsid w:val="04293179"/>
    <w:rsid w:val="043F299D"/>
    <w:rsid w:val="04444720"/>
    <w:rsid w:val="04510C3E"/>
    <w:rsid w:val="046E3819"/>
    <w:rsid w:val="04712583"/>
    <w:rsid w:val="04735682"/>
    <w:rsid w:val="04833A42"/>
    <w:rsid w:val="049727D9"/>
    <w:rsid w:val="04A132BF"/>
    <w:rsid w:val="04AC58D1"/>
    <w:rsid w:val="04B65BFF"/>
    <w:rsid w:val="04B66406"/>
    <w:rsid w:val="04B67437"/>
    <w:rsid w:val="04C45905"/>
    <w:rsid w:val="04E4662A"/>
    <w:rsid w:val="04E4744C"/>
    <w:rsid w:val="04F608B2"/>
    <w:rsid w:val="05011888"/>
    <w:rsid w:val="05307B81"/>
    <w:rsid w:val="05391C88"/>
    <w:rsid w:val="05394859"/>
    <w:rsid w:val="054144F3"/>
    <w:rsid w:val="054773B2"/>
    <w:rsid w:val="05510E42"/>
    <w:rsid w:val="058A1779"/>
    <w:rsid w:val="058B2A80"/>
    <w:rsid w:val="058B39C0"/>
    <w:rsid w:val="05940AC6"/>
    <w:rsid w:val="05BE78F1"/>
    <w:rsid w:val="05EA7308"/>
    <w:rsid w:val="060672AA"/>
    <w:rsid w:val="060A7835"/>
    <w:rsid w:val="06185B1B"/>
    <w:rsid w:val="061D11AE"/>
    <w:rsid w:val="06237E7A"/>
    <w:rsid w:val="062F48FB"/>
    <w:rsid w:val="06316315"/>
    <w:rsid w:val="063E138D"/>
    <w:rsid w:val="06510766"/>
    <w:rsid w:val="067F1F30"/>
    <w:rsid w:val="069468A4"/>
    <w:rsid w:val="069C7CC4"/>
    <w:rsid w:val="069D39AB"/>
    <w:rsid w:val="06A82522"/>
    <w:rsid w:val="06F25270"/>
    <w:rsid w:val="06FA7516"/>
    <w:rsid w:val="06FE6B3F"/>
    <w:rsid w:val="07041C7C"/>
    <w:rsid w:val="0734706C"/>
    <w:rsid w:val="07453808"/>
    <w:rsid w:val="07546B18"/>
    <w:rsid w:val="07577FFE"/>
    <w:rsid w:val="07691ADF"/>
    <w:rsid w:val="077B5E33"/>
    <w:rsid w:val="078B7CA7"/>
    <w:rsid w:val="07AC0F1E"/>
    <w:rsid w:val="07AD5E6F"/>
    <w:rsid w:val="07BE4EA8"/>
    <w:rsid w:val="07C37441"/>
    <w:rsid w:val="07C815C0"/>
    <w:rsid w:val="07DC4E6E"/>
    <w:rsid w:val="08033CE1"/>
    <w:rsid w:val="0817488F"/>
    <w:rsid w:val="083D5445"/>
    <w:rsid w:val="08803584"/>
    <w:rsid w:val="08921BCB"/>
    <w:rsid w:val="089361D5"/>
    <w:rsid w:val="08A90D2D"/>
    <w:rsid w:val="08C031F9"/>
    <w:rsid w:val="08C6543B"/>
    <w:rsid w:val="08CC67C9"/>
    <w:rsid w:val="08D4742C"/>
    <w:rsid w:val="08D90D42"/>
    <w:rsid w:val="08E9737B"/>
    <w:rsid w:val="08EC4AC7"/>
    <w:rsid w:val="08F03FAE"/>
    <w:rsid w:val="08F617A6"/>
    <w:rsid w:val="091E5277"/>
    <w:rsid w:val="093C74AB"/>
    <w:rsid w:val="093D6230"/>
    <w:rsid w:val="0949606C"/>
    <w:rsid w:val="09570789"/>
    <w:rsid w:val="095E11E4"/>
    <w:rsid w:val="09615AD9"/>
    <w:rsid w:val="096B1B3E"/>
    <w:rsid w:val="098D5F59"/>
    <w:rsid w:val="098E148D"/>
    <w:rsid w:val="098F4F14"/>
    <w:rsid w:val="0999054F"/>
    <w:rsid w:val="09A94C90"/>
    <w:rsid w:val="09C63218"/>
    <w:rsid w:val="09D41DD9"/>
    <w:rsid w:val="09DC2A3C"/>
    <w:rsid w:val="09EF6C13"/>
    <w:rsid w:val="09F233E0"/>
    <w:rsid w:val="09F54ACE"/>
    <w:rsid w:val="0A0202F6"/>
    <w:rsid w:val="0A133D15"/>
    <w:rsid w:val="0A2148F3"/>
    <w:rsid w:val="0A6E1445"/>
    <w:rsid w:val="0A7B04A7"/>
    <w:rsid w:val="0AA2300B"/>
    <w:rsid w:val="0AA2487E"/>
    <w:rsid w:val="0AB5205F"/>
    <w:rsid w:val="0AB81647"/>
    <w:rsid w:val="0AC12435"/>
    <w:rsid w:val="0AD465EA"/>
    <w:rsid w:val="0AD83203"/>
    <w:rsid w:val="0AFD442C"/>
    <w:rsid w:val="0AFF69E2"/>
    <w:rsid w:val="0B02415E"/>
    <w:rsid w:val="0B2B77D7"/>
    <w:rsid w:val="0B331175"/>
    <w:rsid w:val="0B340E2A"/>
    <w:rsid w:val="0B4D02CB"/>
    <w:rsid w:val="0B4D1E43"/>
    <w:rsid w:val="0B6C693E"/>
    <w:rsid w:val="0B6D4294"/>
    <w:rsid w:val="0B753148"/>
    <w:rsid w:val="0B7C6295"/>
    <w:rsid w:val="0B80317D"/>
    <w:rsid w:val="0B854B37"/>
    <w:rsid w:val="0B8A2AEF"/>
    <w:rsid w:val="0BAE20F3"/>
    <w:rsid w:val="0BE46EF4"/>
    <w:rsid w:val="0BF64AAA"/>
    <w:rsid w:val="0C144857"/>
    <w:rsid w:val="0C322DE7"/>
    <w:rsid w:val="0C4B060E"/>
    <w:rsid w:val="0C982D80"/>
    <w:rsid w:val="0CA66118"/>
    <w:rsid w:val="0CCA681E"/>
    <w:rsid w:val="0CD65E68"/>
    <w:rsid w:val="0CDD645F"/>
    <w:rsid w:val="0CF62528"/>
    <w:rsid w:val="0CF92DA9"/>
    <w:rsid w:val="0D030F2A"/>
    <w:rsid w:val="0D071C91"/>
    <w:rsid w:val="0D1F2138"/>
    <w:rsid w:val="0D2B54E5"/>
    <w:rsid w:val="0D3D7A50"/>
    <w:rsid w:val="0D67261F"/>
    <w:rsid w:val="0D6D57CC"/>
    <w:rsid w:val="0D6E5682"/>
    <w:rsid w:val="0D731029"/>
    <w:rsid w:val="0D731E36"/>
    <w:rsid w:val="0D9C3CB1"/>
    <w:rsid w:val="0D9E19E1"/>
    <w:rsid w:val="0DA87805"/>
    <w:rsid w:val="0DD1346B"/>
    <w:rsid w:val="0DEF71E2"/>
    <w:rsid w:val="0DF13E42"/>
    <w:rsid w:val="0E100F06"/>
    <w:rsid w:val="0E2055ED"/>
    <w:rsid w:val="0E274C11"/>
    <w:rsid w:val="0E356BBF"/>
    <w:rsid w:val="0E4532A6"/>
    <w:rsid w:val="0E7800E2"/>
    <w:rsid w:val="0E854758"/>
    <w:rsid w:val="0E8A6F0A"/>
    <w:rsid w:val="0E935DA8"/>
    <w:rsid w:val="0E941B37"/>
    <w:rsid w:val="0EA35D42"/>
    <w:rsid w:val="0EA446B7"/>
    <w:rsid w:val="0EB164FB"/>
    <w:rsid w:val="0EC71F0D"/>
    <w:rsid w:val="0EC87A33"/>
    <w:rsid w:val="0F09767D"/>
    <w:rsid w:val="0F1215C0"/>
    <w:rsid w:val="0F2B249C"/>
    <w:rsid w:val="0F2F5DDB"/>
    <w:rsid w:val="0F421053"/>
    <w:rsid w:val="0FB00067"/>
    <w:rsid w:val="0FC95B16"/>
    <w:rsid w:val="100B1C9B"/>
    <w:rsid w:val="101F18D4"/>
    <w:rsid w:val="101F62D2"/>
    <w:rsid w:val="1020556E"/>
    <w:rsid w:val="10222AAB"/>
    <w:rsid w:val="103730D8"/>
    <w:rsid w:val="10443C07"/>
    <w:rsid w:val="104D0532"/>
    <w:rsid w:val="105C5090"/>
    <w:rsid w:val="106B25BC"/>
    <w:rsid w:val="106E1424"/>
    <w:rsid w:val="10790776"/>
    <w:rsid w:val="107C1DC6"/>
    <w:rsid w:val="109E0A4B"/>
    <w:rsid w:val="10B74BB8"/>
    <w:rsid w:val="10B77596"/>
    <w:rsid w:val="10BB0323"/>
    <w:rsid w:val="10BB15FD"/>
    <w:rsid w:val="10CA5BFB"/>
    <w:rsid w:val="10DF5DAE"/>
    <w:rsid w:val="10E943BC"/>
    <w:rsid w:val="10F44B0F"/>
    <w:rsid w:val="11164AC7"/>
    <w:rsid w:val="11276C93"/>
    <w:rsid w:val="112A6877"/>
    <w:rsid w:val="11300476"/>
    <w:rsid w:val="11376E85"/>
    <w:rsid w:val="116E48C1"/>
    <w:rsid w:val="118C3979"/>
    <w:rsid w:val="11904F17"/>
    <w:rsid w:val="11A04D52"/>
    <w:rsid w:val="11D712DE"/>
    <w:rsid w:val="11D86190"/>
    <w:rsid w:val="11DC7D88"/>
    <w:rsid w:val="11DE78FE"/>
    <w:rsid w:val="11E903EC"/>
    <w:rsid w:val="11F34DC7"/>
    <w:rsid w:val="11F45158"/>
    <w:rsid w:val="11FD6A42"/>
    <w:rsid w:val="121C256F"/>
    <w:rsid w:val="121E0096"/>
    <w:rsid w:val="122C5E9E"/>
    <w:rsid w:val="12391A0C"/>
    <w:rsid w:val="12394ECF"/>
    <w:rsid w:val="12533B59"/>
    <w:rsid w:val="12616494"/>
    <w:rsid w:val="126C21DF"/>
    <w:rsid w:val="127939E4"/>
    <w:rsid w:val="127B1484"/>
    <w:rsid w:val="128C58AA"/>
    <w:rsid w:val="12915FF3"/>
    <w:rsid w:val="12AD2AF0"/>
    <w:rsid w:val="12C16C73"/>
    <w:rsid w:val="12CB4FE7"/>
    <w:rsid w:val="12D0521D"/>
    <w:rsid w:val="12E557AD"/>
    <w:rsid w:val="12FB5A27"/>
    <w:rsid w:val="12FC0EC6"/>
    <w:rsid w:val="12FE596B"/>
    <w:rsid w:val="130A23C8"/>
    <w:rsid w:val="13127F57"/>
    <w:rsid w:val="132A4B18"/>
    <w:rsid w:val="132B3175"/>
    <w:rsid w:val="1337179D"/>
    <w:rsid w:val="1360063D"/>
    <w:rsid w:val="139D1B20"/>
    <w:rsid w:val="13B81E24"/>
    <w:rsid w:val="13DA7FEC"/>
    <w:rsid w:val="13DD64DB"/>
    <w:rsid w:val="13E64BE3"/>
    <w:rsid w:val="13E937C1"/>
    <w:rsid w:val="13F4466D"/>
    <w:rsid w:val="13FA068E"/>
    <w:rsid w:val="14015284"/>
    <w:rsid w:val="143306DA"/>
    <w:rsid w:val="1433594E"/>
    <w:rsid w:val="144B0EEA"/>
    <w:rsid w:val="144E085B"/>
    <w:rsid w:val="14634486"/>
    <w:rsid w:val="14C12F5A"/>
    <w:rsid w:val="14D54EA7"/>
    <w:rsid w:val="14DE3B0C"/>
    <w:rsid w:val="15063063"/>
    <w:rsid w:val="15095086"/>
    <w:rsid w:val="150C0BC9"/>
    <w:rsid w:val="150D619F"/>
    <w:rsid w:val="15145780"/>
    <w:rsid w:val="151716F1"/>
    <w:rsid w:val="15307C91"/>
    <w:rsid w:val="153E683D"/>
    <w:rsid w:val="155040DA"/>
    <w:rsid w:val="15510782"/>
    <w:rsid w:val="155618F4"/>
    <w:rsid w:val="155C20CC"/>
    <w:rsid w:val="156F2272"/>
    <w:rsid w:val="15742B32"/>
    <w:rsid w:val="157D476C"/>
    <w:rsid w:val="159B7A44"/>
    <w:rsid w:val="15A02F9E"/>
    <w:rsid w:val="15A81C39"/>
    <w:rsid w:val="15A86031"/>
    <w:rsid w:val="15AA0BCE"/>
    <w:rsid w:val="15AD4F58"/>
    <w:rsid w:val="15B919A7"/>
    <w:rsid w:val="15BF68E5"/>
    <w:rsid w:val="15DE18EA"/>
    <w:rsid w:val="15E05662"/>
    <w:rsid w:val="15EC61EC"/>
    <w:rsid w:val="15FB47EE"/>
    <w:rsid w:val="15FC582E"/>
    <w:rsid w:val="16044DA3"/>
    <w:rsid w:val="160C50E2"/>
    <w:rsid w:val="161A0B74"/>
    <w:rsid w:val="161A5018"/>
    <w:rsid w:val="162C76A8"/>
    <w:rsid w:val="162F6A93"/>
    <w:rsid w:val="163D3B32"/>
    <w:rsid w:val="1642631D"/>
    <w:rsid w:val="164A33C1"/>
    <w:rsid w:val="1657373C"/>
    <w:rsid w:val="16650FCC"/>
    <w:rsid w:val="16B97005"/>
    <w:rsid w:val="16BC1C2B"/>
    <w:rsid w:val="16F31B99"/>
    <w:rsid w:val="16F947A3"/>
    <w:rsid w:val="170B2BB3"/>
    <w:rsid w:val="170B670F"/>
    <w:rsid w:val="171B1048"/>
    <w:rsid w:val="17357EFF"/>
    <w:rsid w:val="173914CE"/>
    <w:rsid w:val="174D31CB"/>
    <w:rsid w:val="17520357"/>
    <w:rsid w:val="17577BA6"/>
    <w:rsid w:val="175C5EEA"/>
    <w:rsid w:val="1766179B"/>
    <w:rsid w:val="176D55AB"/>
    <w:rsid w:val="177469AA"/>
    <w:rsid w:val="17757778"/>
    <w:rsid w:val="178951F6"/>
    <w:rsid w:val="17982698"/>
    <w:rsid w:val="17A54DB5"/>
    <w:rsid w:val="17BD3EAD"/>
    <w:rsid w:val="17C05D68"/>
    <w:rsid w:val="17CA0DBC"/>
    <w:rsid w:val="17DC4103"/>
    <w:rsid w:val="17F302D4"/>
    <w:rsid w:val="18041ADC"/>
    <w:rsid w:val="18086D78"/>
    <w:rsid w:val="181206AC"/>
    <w:rsid w:val="18152392"/>
    <w:rsid w:val="182F467F"/>
    <w:rsid w:val="18714C97"/>
    <w:rsid w:val="18980476"/>
    <w:rsid w:val="189A2440"/>
    <w:rsid w:val="18A46C1D"/>
    <w:rsid w:val="18BA7315"/>
    <w:rsid w:val="18BF29A5"/>
    <w:rsid w:val="19006747"/>
    <w:rsid w:val="19273FE1"/>
    <w:rsid w:val="192E141F"/>
    <w:rsid w:val="193006AE"/>
    <w:rsid w:val="193E4FEB"/>
    <w:rsid w:val="19414684"/>
    <w:rsid w:val="19486528"/>
    <w:rsid w:val="196071E6"/>
    <w:rsid w:val="196137FE"/>
    <w:rsid w:val="197467ED"/>
    <w:rsid w:val="19A60971"/>
    <w:rsid w:val="19A7152D"/>
    <w:rsid w:val="19B94EEB"/>
    <w:rsid w:val="19BC24BE"/>
    <w:rsid w:val="19CE23A1"/>
    <w:rsid w:val="19D94F07"/>
    <w:rsid w:val="19F63373"/>
    <w:rsid w:val="19FE2ED9"/>
    <w:rsid w:val="1A06721D"/>
    <w:rsid w:val="1A141D7E"/>
    <w:rsid w:val="1A206C5A"/>
    <w:rsid w:val="1A237796"/>
    <w:rsid w:val="1A343E7C"/>
    <w:rsid w:val="1A52318F"/>
    <w:rsid w:val="1A622931"/>
    <w:rsid w:val="1A845156"/>
    <w:rsid w:val="1A8567D8"/>
    <w:rsid w:val="1A9E2296"/>
    <w:rsid w:val="1AC11F06"/>
    <w:rsid w:val="1AD503F2"/>
    <w:rsid w:val="1AE34C8B"/>
    <w:rsid w:val="1AE41750"/>
    <w:rsid w:val="1AE45BF4"/>
    <w:rsid w:val="1AFC643F"/>
    <w:rsid w:val="1B032591"/>
    <w:rsid w:val="1B216501"/>
    <w:rsid w:val="1B2C7181"/>
    <w:rsid w:val="1B4458CE"/>
    <w:rsid w:val="1B47292F"/>
    <w:rsid w:val="1B4B17D0"/>
    <w:rsid w:val="1B560317"/>
    <w:rsid w:val="1B572DF5"/>
    <w:rsid w:val="1B7841D6"/>
    <w:rsid w:val="1B8A054A"/>
    <w:rsid w:val="1B8F0DBD"/>
    <w:rsid w:val="1B940FF4"/>
    <w:rsid w:val="1BAE3FEC"/>
    <w:rsid w:val="1BC337E2"/>
    <w:rsid w:val="1BCC513E"/>
    <w:rsid w:val="1BD82A24"/>
    <w:rsid w:val="1BE25C3C"/>
    <w:rsid w:val="1BE834C2"/>
    <w:rsid w:val="1C134CDA"/>
    <w:rsid w:val="1C27171E"/>
    <w:rsid w:val="1C5635D6"/>
    <w:rsid w:val="1C632B00"/>
    <w:rsid w:val="1C6E39C8"/>
    <w:rsid w:val="1C777F35"/>
    <w:rsid w:val="1C821221"/>
    <w:rsid w:val="1C884156"/>
    <w:rsid w:val="1C8C6544"/>
    <w:rsid w:val="1C9014C4"/>
    <w:rsid w:val="1C99656B"/>
    <w:rsid w:val="1CA63EE2"/>
    <w:rsid w:val="1CAF2190"/>
    <w:rsid w:val="1CB22C28"/>
    <w:rsid w:val="1CB66E37"/>
    <w:rsid w:val="1CD13F56"/>
    <w:rsid w:val="1CD4252E"/>
    <w:rsid w:val="1CF85987"/>
    <w:rsid w:val="1CFE7331"/>
    <w:rsid w:val="1D091942"/>
    <w:rsid w:val="1D183933"/>
    <w:rsid w:val="1D2422D8"/>
    <w:rsid w:val="1D2B18B9"/>
    <w:rsid w:val="1D2D45D6"/>
    <w:rsid w:val="1D372B2F"/>
    <w:rsid w:val="1D5D57EA"/>
    <w:rsid w:val="1D5F5A06"/>
    <w:rsid w:val="1D651914"/>
    <w:rsid w:val="1D7768AC"/>
    <w:rsid w:val="1D84721B"/>
    <w:rsid w:val="1D9A44D4"/>
    <w:rsid w:val="1D9C3C7D"/>
    <w:rsid w:val="1DB00664"/>
    <w:rsid w:val="1DB23D88"/>
    <w:rsid w:val="1DCF3037"/>
    <w:rsid w:val="1DE12B25"/>
    <w:rsid w:val="1DE739B1"/>
    <w:rsid w:val="1E0824BB"/>
    <w:rsid w:val="1E093135"/>
    <w:rsid w:val="1E0A7720"/>
    <w:rsid w:val="1E1D1A9A"/>
    <w:rsid w:val="1E285DF8"/>
    <w:rsid w:val="1E34479D"/>
    <w:rsid w:val="1E3D7AF5"/>
    <w:rsid w:val="1E40779C"/>
    <w:rsid w:val="1E42510C"/>
    <w:rsid w:val="1E430E84"/>
    <w:rsid w:val="1E544859"/>
    <w:rsid w:val="1E605592"/>
    <w:rsid w:val="1E71154D"/>
    <w:rsid w:val="1E8B277B"/>
    <w:rsid w:val="1EBB0A1A"/>
    <w:rsid w:val="1EBF49AE"/>
    <w:rsid w:val="1ECB6291"/>
    <w:rsid w:val="1ED657E9"/>
    <w:rsid w:val="1EE34542"/>
    <w:rsid w:val="1EE84794"/>
    <w:rsid w:val="1EEE7608"/>
    <w:rsid w:val="1EEF4FE6"/>
    <w:rsid w:val="1EF246FE"/>
    <w:rsid w:val="1F4810AA"/>
    <w:rsid w:val="1F4C5B16"/>
    <w:rsid w:val="1F5922CD"/>
    <w:rsid w:val="1F687563"/>
    <w:rsid w:val="1F6C410E"/>
    <w:rsid w:val="1F743AB3"/>
    <w:rsid w:val="1F777D30"/>
    <w:rsid w:val="1F8B34B5"/>
    <w:rsid w:val="1F8F25D3"/>
    <w:rsid w:val="1F925C1F"/>
    <w:rsid w:val="1FAD1DF2"/>
    <w:rsid w:val="1FBE70DB"/>
    <w:rsid w:val="1FC35DD8"/>
    <w:rsid w:val="1FC451B0"/>
    <w:rsid w:val="1FD21008"/>
    <w:rsid w:val="1FD46825"/>
    <w:rsid w:val="1FE1565E"/>
    <w:rsid w:val="1FE55804"/>
    <w:rsid w:val="20174376"/>
    <w:rsid w:val="20565B51"/>
    <w:rsid w:val="207E43F5"/>
    <w:rsid w:val="20980C49"/>
    <w:rsid w:val="209C3893"/>
    <w:rsid w:val="209D09C2"/>
    <w:rsid w:val="209F6845"/>
    <w:rsid w:val="20A83220"/>
    <w:rsid w:val="20B83463"/>
    <w:rsid w:val="20D12947"/>
    <w:rsid w:val="20E00C0C"/>
    <w:rsid w:val="20F326ED"/>
    <w:rsid w:val="20F546B7"/>
    <w:rsid w:val="21107C40"/>
    <w:rsid w:val="212C3E51"/>
    <w:rsid w:val="21577120"/>
    <w:rsid w:val="215D5774"/>
    <w:rsid w:val="215E7BD2"/>
    <w:rsid w:val="21725380"/>
    <w:rsid w:val="217F6677"/>
    <w:rsid w:val="21911C5F"/>
    <w:rsid w:val="21995F88"/>
    <w:rsid w:val="21A47E8B"/>
    <w:rsid w:val="21AA6424"/>
    <w:rsid w:val="21AD23F1"/>
    <w:rsid w:val="21BF2393"/>
    <w:rsid w:val="21C36628"/>
    <w:rsid w:val="21CF4F08"/>
    <w:rsid w:val="21CF5E55"/>
    <w:rsid w:val="21D7200F"/>
    <w:rsid w:val="21DD2DD3"/>
    <w:rsid w:val="21EA7433"/>
    <w:rsid w:val="22043A54"/>
    <w:rsid w:val="220D77DF"/>
    <w:rsid w:val="22276649"/>
    <w:rsid w:val="222B6F1F"/>
    <w:rsid w:val="22343B5B"/>
    <w:rsid w:val="2237586F"/>
    <w:rsid w:val="224156DA"/>
    <w:rsid w:val="225D16DD"/>
    <w:rsid w:val="225F3B86"/>
    <w:rsid w:val="228E765A"/>
    <w:rsid w:val="22910410"/>
    <w:rsid w:val="2292483A"/>
    <w:rsid w:val="229323DA"/>
    <w:rsid w:val="229E0D7F"/>
    <w:rsid w:val="22A719E1"/>
    <w:rsid w:val="22A83BA6"/>
    <w:rsid w:val="22B92079"/>
    <w:rsid w:val="22B95D7B"/>
    <w:rsid w:val="22BA5BB9"/>
    <w:rsid w:val="22C95B68"/>
    <w:rsid w:val="22C97BAA"/>
    <w:rsid w:val="22D63F48"/>
    <w:rsid w:val="22EB0197"/>
    <w:rsid w:val="22F64A11"/>
    <w:rsid w:val="22F91688"/>
    <w:rsid w:val="230D312E"/>
    <w:rsid w:val="23112243"/>
    <w:rsid w:val="23122CD3"/>
    <w:rsid w:val="231D38A1"/>
    <w:rsid w:val="231F5BEC"/>
    <w:rsid w:val="2342170A"/>
    <w:rsid w:val="23462790"/>
    <w:rsid w:val="235658BD"/>
    <w:rsid w:val="23861A54"/>
    <w:rsid w:val="238735C1"/>
    <w:rsid w:val="23942038"/>
    <w:rsid w:val="23A221A9"/>
    <w:rsid w:val="23A44173"/>
    <w:rsid w:val="23C97FB5"/>
    <w:rsid w:val="23D70CD9"/>
    <w:rsid w:val="23D87252"/>
    <w:rsid w:val="23D9206E"/>
    <w:rsid w:val="23ED1F50"/>
    <w:rsid w:val="23F956E8"/>
    <w:rsid w:val="240158B3"/>
    <w:rsid w:val="24106766"/>
    <w:rsid w:val="241428B0"/>
    <w:rsid w:val="241B2D6A"/>
    <w:rsid w:val="24207E76"/>
    <w:rsid w:val="242E481E"/>
    <w:rsid w:val="24366B2C"/>
    <w:rsid w:val="244020ED"/>
    <w:rsid w:val="244119C2"/>
    <w:rsid w:val="24526F1A"/>
    <w:rsid w:val="248C610B"/>
    <w:rsid w:val="24903B4B"/>
    <w:rsid w:val="24981C2E"/>
    <w:rsid w:val="24B04CEA"/>
    <w:rsid w:val="24D02157"/>
    <w:rsid w:val="24E30A76"/>
    <w:rsid w:val="24E80A3B"/>
    <w:rsid w:val="250A64F6"/>
    <w:rsid w:val="25140E84"/>
    <w:rsid w:val="25241607"/>
    <w:rsid w:val="252E435D"/>
    <w:rsid w:val="25370C3F"/>
    <w:rsid w:val="25382796"/>
    <w:rsid w:val="25401C79"/>
    <w:rsid w:val="25442635"/>
    <w:rsid w:val="25876437"/>
    <w:rsid w:val="259854F1"/>
    <w:rsid w:val="25B22907"/>
    <w:rsid w:val="25C603D0"/>
    <w:rsid w:val="25C64874"/>
    <w:rsid w:val="25C87034"/>
    <w:rsid w:val="25CC175F"/>
    <w:rsid w:val="25E116AE"/>
    <w:rsid w:val="26003524"/>
    <w:rsid w:val="26170C2C"/>
    <w:rsid w:val="262477ED"/>
    <w:rsid w:val="263267B5"/>
    <w:rsid w:val="263E265D"/>
    <w:rsid w:val="264309A4"/>
    <w:rsid w:val="264878F2"/>
    <w:rsid w:val="26526878"/>
    <w:rsid w:val="2689097A"/>
    <w:rsid w:val="268C5BA2"/>
    <w:rsid w:val="268D7140"/>
    <w:rsid w:val="269B7AAF"/>
    <w:rsid w:val="26A51C87"/>
    <w:rsid w:val="26AB5818"/>
    <w:rsid w:val="26AF5308"/>
    <w:rsid w:val="26B32C7C"/>
    <w:rsid w:val="26B71092"/>
    <w:rsid w:val="26CD1C32"/>
    <w:rsid w:val="26E57DE5"/>
    <w:rsid w:val="26F21C37"/>
    <w:rsid w:val="26F70C60"/>
    <w:rsid w:val="26FE5773"/>
    <w:rsid w:val="270D4F4B"/>
    <w:rsid w:val="27167DF1"/>
    <w:rsid w:val="27223D2C"/>
    <w:rsid w:val="27433CA3"/>
    <w:rsid w:val="2756709E"/>
    <w:rsid w:val="275B723E"/>
    <w:rsid w:val="27745DC1"/>
    <w:rsid w:val="277D6583"/>
    <w:rsid w:val="27876979"/>
    <w:rsid w:val="278E18C5"/>
    <w:rsid w:val="27953CD4"/>
    <w:rsid w:val="27A6171B"/>
    <w:rsid w:val="27BC3E74"/>
    <w:rsid w:val="27D72D69"/>
    <w:rsid w:val="27EB3161"/>
    <w:rsid w:val="27F44B65"/>
    <w:rsid w:val="27F57EC6"/>
    <w:rsid w:val="2818040A"/>
    <w:rsid w:val="28212283"/>
    <w:rsid w:val="28297863"/>
    <w:rsid w:val="283759EF"/>
    <w:rsid w:val="286D547B"/>
    <w:rsid w:val="286E4D4F"/>
    <w:rsid w:val="286E77F1"/>
    <w:rsid w:val="28801672"/>
    <w:rsid w:val="28907E2F"/>
    <w:rsid w:val="289B3D96"/>
    <w:rsid w:val="28A30E9D"/>
    <w:rsid w:val="28AD1D1C"/>
    <w:rsid w:val="28B766F6"/>
    <w:rsid w:val="28B9421C"/>
    <w:rsid w:val="28C52BEF"/>
    <w:rsid w:val="28E868B0"/>
    <w:rsid w:val="2904106A"/>
    <w:rsid w:val="290675CB"/>
    <w:rsid w:val="293B2649"/>
    <w:rsid w:val="297A4C65"/>
    <w:rsid w:val="297B25AB"/>
    <w:rsid w:val="299E3F33"/>
    <w:rsid w:val="29B05FE4"/>
    <w:rsid w:val="29CB06AB"/>
    <w:rsid w:val="29CC325C"/>
    <w:rsid w:val="29CF1CF2"/>
    <w:rsid w:val="29DA3E5D"/>
    <w:rsid w:val="29EC75F6"/>
    <w:rsid w:val="2A0A1F23"/>
    <w:rsid w:val="2A0C65CE"/>
    <w:rsid w:val="2A151926"/>
    <w:rsid w:val="2A293624"/>
    <w:rsid w:val="2A3B330C"/>
    <w:rsid w:val="2A3E4113"/>
    <w:rsid w:val="2A415DDF"/>
    <w:rsid w:val="2A44045E"/>
    <w:rsid w:val="2A647349"/>
    <w:rsid w:val="2A6814B3"/>
    <w:rsid w:val="2A691C72"/>
    <w:rsid w:val="2A6D3510"/>
    <w:rsid w:val="2A6D5557"/>
    <w:rsid w:val="2A9225F7"/>
    <w:rsid w:val="2A9C5D8A"/>
    <w:rsid w:val="2A9E6157"/>
    <w:rsid w:val="2AAC43C2"/>
    <w:rsid w:val="2ABF2FC9"/>
    <w:rsid w:val="2AC1385C"/>
    <w:rsid w:val="2AC46DE2"/>
    <w:rsid w:val="2AC86999"/>
    <w:rsid w:val="2AD71DEF"/>
    <w:rsid w:val="2AEA4B61"/>
    <w:rsid w:val="2AF05EF0"/>
    <w:rsid w:val="2AFD0DEF"/>
    <w:rsid w:val="2B135F32"/>
    <w:rsid w:val="2B175A83"/>
    <w:rsid w:val="2B241421"/>
    <w:rsid w:val="2B294870"/>
    <w:rsid w:val="2B297BFC"/>
    <w:rsid w:val="2B2A6A19"/>
    <w:rsid w:val="2B3048A5"/>
    <w:rsid w:val="2B3D3A9E"/>
    <w:rsid w:val="2B717030"/>
    <w:rsid w:val="2B7E174D"/>
    <w:rsid w:val="2B8D65EF"/>
    <w:rsid w:val="2B9810D6"/>
    <w:rsid w:val="2BA02CE9"/>
    <w:rsid w:val="2BA40600"/>
    <w:rsid w:val="2BAF3065"/>
    <w:rsid w:val="2BB84C5F"/>
    <w:rsid w:val="2BF92433"/>
    <w:rsid w:val="2C0C1E73"/>
    <w:rsid w:val="2C155E48"/>
    <w:rsid w:val="2C166562"/>
    <w:rsid w:val="2C251BC9"/>
    <w:rsid w:val="2C2F601E"/>
    <w:rsid w:val="2C300C99"/>
    <w:rsid w:val="2C324B08"/>
    <w:rsid w:val="2C347E5B"/>
    <w:rsid w:val="2C37168F"/>
    <w:rsid w:val="2C3F712F"/>
    <w:rsid w:val="2C4860D2"/>
    <w:rsid w:val="2C497995"/>
    <w:rsid w:val="2C4F30B2"/>
    <w:rsid w:val="2C5C71C1"/>
    <w:rsid w:val="2C5F332D"/>
    <w:rsid w:val="2C695F59"/>
    <w:rsid w:val="2C6C27BD"/>
    <w:rsid w:val="2C724190"/>
    <w:rsid w:val="2C7A658C"/>
    <w:rsid w:val="2C842D93"/>
    <w:rsid w:val="2C9D1721"/>
    <w:rsid w:val="2CA3146B"/>
    <w:rsid w:val="2CAB3D9A"/>
    <w:rsid w:val="2CB83B81"/>
    <w:rsid w:val="2CCD79B8"/>
    <w:rsid w:val="2CD34C71"/>
    <w:rsid w:val="2CF26382"/>
    <w:rsid w:val="2D016259"/>
    <w:rsid w:val="2D157655"/>
    <w:rsid w:val="2D1759B5"/>
    <w:rsid w:val="2D1E4F96"/>
    <w:rsid w:val="2D1E6D44"/>
    <w:rsid w:val="2D4315DB"/>
    <w:rsid w:val="2D4F49B8"/>
    <w:rsid w:val="2D51162C"/>
    <w:rsid w:val="2D5664DE"/>
    <w:rsid w:val="2D5938BF"/>
    <w:rsid w:val="2D5A7975"/>
    <w:rsid w:val="2D7828F8"/>
    <w:rsid w:val="2D7D5D8E"/>
    <w:rsid w:val="2D9929A7"/>
    <w:rsid w:val="2DBE5AC1"/>
    <w:rsid w:val="2DCC2C44"/>
    <w:rsid w:val="2DCC3BFB"/>
    <w:rsid w:val="2DD6761F"/>
    <w:rsid w:val="2DE33AEA"/>
    <w:rsid w:val="2E0C4DEE"/>
    <w:rsid w:val="2E144AF6"/>
    <w:rsid w:val="2E4D668F"/>
    <w:rsid w:val="2E56250D"/>
    <w:rsid w:val="2E5A0250"/>
    <w:rsid w:val="2E5F48D3"/>
    <w:rsid w:val="2E7B1F74"/>
    <w:rsid w:val="2E7D7A9A"/>
    <w:rsid w:val="2E8A529E"/>
    <w:rsid w:val="2E8F75F7"/>
    <w:rsid w:val="2E983779"/>
    <w:rsid w:val="2E9D638E"/>
    <w:rsid w:val="2E9E2912"/>
    <w:rsid w:val="2EA65243"/>
    <w:rsid w:val="2EAB0BC2"/>
    <w:rsid w:val="2EBF4557"/>
    <w:rsid w:val="2ECA38BB"/>
    <w:rsid w:val="2ED20D19"/>
    <w:rsid w:val="2ED750B4"/>
    <w:rsid w:val="2EE31576"/>
    <w:rsid w:val="2F2523C4"/>
    <w:rsid w:val="2F313090"/>
    <w:rsid w:val="2F33339B"/>
    <w:rsid w:val="2F3D13A7"/>
    <w:rsid w:val="2F546A4D"/>
    <w:rsid w:val="2F726A97"/>
    <w:rsid w:val="2F8D75E8"/>
    <w:rsid w:val="2F972DDE"/>
    <w:rsid w:val="2F9918EA"/>
    <w:rsid w:val="2FA12F82"/>
    <w:rsid w:val="2FAE669D"/>
    <w:rsid w:val="2FD23E16"/>
    <w:rsid w:val="2FE16336"/>
    <w:rsid w:val="2FE2499D"/>
    <w:rsid w:val="2FEA1732"/>
    <w:rsid w:val="2FFB6E45"/>
    <w:rsid w:val="30073ABF"/>
    <w:rsid w:val="301733EF"/>
    <w:rsid w:val="30191A45"/>
    <w:rsid w:val="303A59F5"/>
    <w:rsid w:val="30544CD1"/>
    <w:rsid w:val="305D7B83"/>
    <w:rsid w:val="30681907"/>
    <w:rsid w:val="3075518C"/>
    <w:rsid w:val="307A27DB"/>
    <w:rsid w:val="30836B9C"/>
    <w:rsid w:val="308415B4"/>
    <w:rsid w:val="30923F76"/>
    <w:rsid w:val="30924E1A"/>
    <w:rsid w:val="30B62DE3"/>
    <w:rsid w:val="30C44FB9"/>
    <w:rsid w:val="30CD2F5B"/>
    <w:rsid w:val="30D2604A"/>
    <w:rsid w:val="30E42053"/>
    <w:rsid w:val="30E974E0"/>
    <w:rsid w:val="310145EA"/>
    <w:rsid w:val="311961A0"/>
    <w:rsid w:val="312E60E1"/>
    <w:rsid w:val="313703D4"/>
    <w:rsid w:val="314B2253"/>
    <w:rsid w:val="31556AAC"/>
    <w:rsid w:val="31774C75"/>
    <w:rsid w:val="31880729"/>
    <w:rsid w:val="31934B43"/>
    <w:rsid w:val="31AA115B"/>
    <w:rsid w:val="31B93FD6"/>
    <w:rsid w:val="31E97269"/>
    <w:rsid w:val="31EF6F01"/>
    <w:rsid w:val="32003AE1"/>
    <w:rsid w:val="32100EC2"/>
    <w:rsid w:val="32193F7E"/>
    <w:rsid w:val="321B7040"/>
    <w:rsid w:val="321C6B40"/>
    <w:rsid w:val="322272D6"/>
    <w:rsid w:val="322E6936"/>
    <w:rsid w:val="32340DB8"/>
    <w:rsid w:val="32373F07"/>
    <w:rsid w:val="3239012D"/>
    <w:rsid w:val="323B0398"/>
    <w:rsid w:val="325170BA"/>
    <w:rsid w:val="325829EC"/>
    <w:rsid w:val="326571C3"/>
    <w:rsid w:val="326E5D1B"/>
    <w:rsid w:val="32773638"/>
    <w:rsid w:val="327966B1"/>
    <w:rsid w:val="32847649"/>
    <w:rsid w:val="32A63BA0"/>
    <w:rsid w:val="32B257F0"/>
    <w:rsid w:val="32ED1692"/>
    <w:rsid w:val="331210F9"/>
    <w:rsid w:val="33142830"/>
    <w:rsid w:val="33280828"/>
    <w:rsid w:val="336D52DB"/>
    <w:rsid w:val="33B201E6"/>
    <w:rsid w:val="33B37802"/>
    <w:rsid w:val="33BA709B"/>
    <w:rsid w:val="33C24F23"/>
    <w:rsid w:val="33C749D9"/>
    <w:rsid w:val="33CD6DCE"/>
    <w:rsid w:val="33E81E5A"/>
    <w:rsid w:val="33F22ACC"/>
    <w:rsid w:val="34050C5E"/>
    <w:rsid w:val="340D0017"/>
    <w:rsid w:val="341D2465"/>
    <w:rsid w:val="342E247E"/>
    <w:rsid w:val="34311B60"/>
    <w:rsid w:val="34411C1B"/>
    <w:rsid w:val="34433534"/>
    <w:rsid w:val="3454514D"/>
    <w:rsid w:val="345D63A4"/>
    <w:rsid w:val="345E211C"/>
    <w:rsid w:val="34687E1F"/>
    <w:rsid w:val="346B063A"/>
    <w:rsid w:val="347E77E2"/>
    <w:rsid w:val="347E7BEB"/>
    <w:rsid w:val="348E578D"/>
    <w:rsid w:val="34A33016"/>
    <w:rsid w:val="34CC177B"/>
    <w:rsid w:val="34D944A4"/>
    <w:rsid w:val="35030EA4"/>
    <w:rsid w:val="35260E8C"/>
    <w:rsid w:val="35266F2A"/>
    <w:rsid w:val="3530314A"/>
    <w:rsid w:val="35647580"/>
    <w:rsid w:val="357716E7"/>
    <w:rsid w:val="35780D1C"/>
    <w:rsid w:val="35793EE8"/>
    <w:rsid w:val="357B6ABC"/>
    <w:rsid w:val="357D571E"/>
    <w:rsid w:val="357D65D2"/>
    <w:rsid w:val="358E07DF"/>
    <w:rsid w:val="35A90EA2"/>
    <w:rsid w:val="35D2691D"/>
    <w:rsid w:val="35F15BE6"/>
    <w:rsid w:val="36107F83"/>
    <w:rsid w:val="36111D6D"/>
    <w:rsid w:val="361433DA"/>
    <w:rsid w:val="361C5DEB"/>
    <w:rsid w:val="364041CF"/>
    <w:rsid w:val="364D4DB0"/>
    <w:rsid w:val="366652B8"/>
    <w:rsid w:val="36723C5D"/>
    <w:rsid w:val="36761848"/>
    <w:rsid w:val="369B31B3"/>
    <w:rsid w:val="36BB4EF2"/>
    <w:rsid w:val="36CC5345"/>
    <w:rsid w:val="36D85DF7"/>
    <w:rsid w:val="36E0367C"/>
    <w:rsid w:val="36E20393"/>
    <w:rsid w:val="36F56D67"/>
    <w:rsid w:val="36FE3E1F"/>
    <w:rsid w:val="37054AD1"/>
    <w:rsid w:val="37160A8C"/>
    <w:rsid w:val="371C0638"/>
    <w:rsid w:val="373908CB"/>
    <w:rsid w:val="37425D25"/>
    <w:rsid w:val="37477E7E"/>
    <w:rsid w:val="376C68FE"/>
    <w:rsid w:val="37773C20"/>
    <w:rsid w:val="37B07132"/>
    <w:rsid w:val="37B76DDE"/>
    <w:rsid w:val="37DE751A"/>
    <w:rsid w:val="380F63E1"/>
    <w:rsid w:val="38106D99"/>
    <w:rsid w:val="3811655F"/>
    <w:rsid w:val="381F2758"/>
    <w:rsid w:val="38231033"/>
    <w:rsid w:val="3824537B"/>
    <w:rsid w:val="38471845"/>
    <w:rsid w:val="385E26EA"/>
    <w:rsid w:val="388365F5"/>
    <w:rsid w:val="389205E6"/>
    <w:rsid w:val="389E342F"/>
    <w:rsid w:val="38BB2051"/>
    <w:rsid w:val="38D97115"/>
    <w:rsid w:val="38DA2828"/>
    <w:rsid w:val="38EB7927"/>
    <w:rsid w:val="38ED3A6E"/>
    <w:rsid w:val="38F41A28"/>
    <w:rsid w:val="38FD0155"/>
    <w:rsid w:val="390C2146"/>
    <w:rsid w:val="391842A9"/>
    <w:rsid w:val="392959C3"/>
    <w:rsid w:val="394308F3"/>
    <w:rsid w:val="3951224F"/>
    <w:rsid w:val="3954653D"/>
    <w:rsid w:val="395C2CB1"/>
    <w:rsid w:val="39665CFB"/>
    <w:rsid w:val="397877DC"/>
    <w:rsid w:val="397D7375"/>
    <w:rsid w:val="399F0461"/>
    <w:rsid w:val="39A168BC"/>
    <w:rsid w:val="39B33F22"/>
    <w:rsid w:val="39B86DB6"/>
    <w:rsid w:val="39EA0E72"/>
    <w:rsid w:val="39F15BE0"/>
    <w:rsid w:val="39F71135"/>
    <w:rsid w:val="39FB3B47"/>
    <w:rsid w:val="3A015536"/>
    <w:rsid w:val="3A096720"/>
    <w:rsid w:val="3A0E7F76"/>
    <w:rsid w:val="3A1A2D1A"/>
    <w:rsid w:val="3A3A6F8C"/>
    <w:rsid w:val="3A3C69E7"/>
    <w:rsid w:val="3A505EFA"/>
    <w:rsid w:val="3A564BB6"/>
    <w:rsid w:val="3A6164C2"/>
    <w:rsid w:val="3A944E2B"/>
    <w:rsid w:val="3A973DDE"/>
    <w:rsid w:val="3A9E14C4"/>
    <w:rsid w:val="3AA751DF"/>
    <w:rsid w:val="3AA82343"/>
    <w:rsid w:val="3ACE7FFB"/>
    <w:rsid w:val="3AE81D4D"/>
    <w:rsid w:val="3AFB132E"/>
    <w:rsid w:val="3B111C96"/>
    <w:rsid w:val="3B255741"/>
    <w:rsid w:val="3B3D0CDD"/>
    <w:rsid w:val="3B4C2CCE"/>
    <w:rsid w:val="3B5F7A63"/>
    <w:rsid w:val="3B6811D2"/>
    <w:rsid w:val="3B6C511E"/>
    <w:rsid w:val="3B7364AD"/>
    <w:rsid w:val="3B762441"/>
    <w:rsid w:val="3B9F6712"/>
    <w:rsid w:val="3BA64AD4"/>
    <w:rsid w:val="3C065573"/>
    <w:rsid w:val="3C090BBF"/>
    <w:rsid w:val="3C0C3366"/>
    <w:rsid w:val="3C0E61D6"/>
    <w:rsid w:val="3C1360BC"/>
    <w:rsid w:val="3C2D6FA3"/>
    <w:rsid w:val="3C2F401B"/>
    <w:rsid w:val="3C320116"/>
    <w:rsid w:val="3C355E58"/>
    <w:rsid w:val="3C486CB6"/>
    <w:rsid w:val="3C5812CB"/>
    <w:rsid w:val="3C5E14E7"/>
    <w:rsid w:val="3C6E7976"/>
    <w:rsid w:val="3C890B1C"/>
    <w:rsid w:val="3CAD3734"/>
    <w:rsid w:val="3CAD59EE"/>
    <w:rsid w:val="3CB11983"/>
    <w:rsid w:val="3CBB45AF"/>
    <w:rsid w:val="3CEA023A"/>
    <w:rsid w:val="3CF16833"/>
    <w:rsid w:val="3CF7075F"/>
    <w:rsid w:val="3D05506B"/>
    <w:rsid w:val="3D1D5CE6"/>
    <w:rsid w:val="3D200372"/>
    <w:rsid w:val="3D322F67"/>
    <w:rsid w:val="3D3E3CA4"/>
    <w:rsid w:val="3D467C2F"/>
    <w:rsid w:val="3D474095"/>
    <w:rsid w:val="3D484481"/>
    <w:rsid w:val="3D5D7415"/>
    <w:rsid w:val="3D6307DC"/>
    <w:rsid w:val="3D734E8A"/>
    <w:rsid w:val="3D85696B"/>
    <w:rsid w:val="3D9271A9"/>
    <w:rsid w:val="3DA821F1"/>
    <w:rsid w:val="3DAB63D2"/>
    <w:rsid w:val="3DAE5EC2"/>
    <w:rsid w:val="3DE47B36"/>
    <w:rsid w:val="3DEA1C65"/>
    <w:rsid w:val="3E0E6752"/>
    <w:rsid w:val="3E166E49"/>
    <w:rsid w:val="3E1B553A"/>
    <w:rsid w:val="3E2570B8"/>
    <w:rsid w:val="3E264312"/>
    <w:rsid w:val="3E433AC3"/>
    <w:rsid w:val="3E491C4F"/>
    <w:rsid w:val="3E772B2E"/>
    <w:rsid w:val="3E8B2C33"/>
    <w:rsid w:val="3E941390"/>
    <w:rsid w:val="3E944C27"/>
    <w:rsid w:val="3EB33165"/>
    <w:rsid w:val="3EC62D97"/>
    <w:rsid w:val="3EC86B10"/>
    <w:rsid w:val="3ED943A1"/>
    <w:rsid w:val="3F0A35CC"/>
    <w:rsid w:val="3F1A33BE"/>
    <w:rsid w:val="3F316DAB"/>
    <w:rsid w:val="3F454604"/>
    <w:rsid w:val="3F4F7586"/>
    <w:rsid w:val="3F56521C"/>
    <w:rsid w:val="3F5A5177"/>
    <w:rsid w:val="3F7D6F72"/>
    <w:rsid w:val="3F9747BB"/>
    <w:rsid w:val="3F9B0C9B"/>
    <w:rsid w:val="3FA457B5"/>
    <w:rsid w:val="3FB248A8"/>
    <w:rsid w:val="3FD4280B"/>
    <w:rsid w:val="3FDB0AC5"/>
    <w:rsid w:val="3FF31021"/>
    <w:rsid w:val="40064419"/>
    <w:rsid w:val="40093CA0"/>
    <w:rsid w:val="400E6FA6"/>
    <w:rsid w:val="4011053F"/>
    <w:rsid w:val="40115983"/>
    <w:rsid w:val="4017606A"/>
    <w:rsid w:val="402E5098"/>
    <w:rsid w:val="404200B4"/>
    <w:rsid w:val="40570731"/>
    <w:rsid w:val="407949D7"/>
    <w:rsid w:val="407C52E0"/>
    <w:rsid w:val="407D6482"/>
    <w:rsid w:val="409A272E"/>
    <w:rsid w:val="40A315E2"/>
    <w:rsid w:val="40A57B6A"/>
    <w:rsid w:val="40A67324"/>
    <w:rsid w:val="40AD53D6"/>
    <w:rsid w:val="40AF61D9"/>
    <w:rsid w:val="40DC5C17"/>
    <w:rsid w:val="40F21C7A"/>
    <w:rsid w:val="40F41E3E"/>
    <w:rsid w:val="40F54BF5"/>
    <w:rsid w:val="40FB34D0"/>
    <w:rsid w:val="410A1661"/>
    <w:rsid w:val="410D2189"/>
    <w:rsid w:val="411775E8"/>
    <w:rsid w:val="41724312"/>
    <w:rsid w:val="41795880"/>
    <w:rsid w:val="4182569C"/>
    <w:rsid w:val="41894C7C"/>
    <w:rsid w:val="41923405"/>
    <w:rsid w:val="41931657"/>
    <w:rsid w:val="419A2C86"/>
    <w:rsid w:val="41AC7C24"/>
    <w:rsid w:val="41AE376E"/>
    <w:rsid w:val="41AE46E3"/>
    <w:rsid w:val="41BC2712"/>
    <w:rsid w:val="41C91AB7"/>
    <w:rsid w:val="41DA017D"/>
    <w:rsid w:val="41EB78A8"/>
    <w:rsid w:val="41F479FE"/>
    <w:rsid w:val="41FD2F74"/>
    <w:rsid w:val="420852D1"/>
    <w:rsid w:val="420C1409"/>
    <w:rsid w:val="420C4BAF"/>
    <w:rsid w:val="42240113"/>
    <w:rsid w:val="424E35B6"/>
    <w:rsid w:val="42561764"/>
    <w:rsid w:val="427841B6"/>
    <w:rsid w:val="42786A9F"/>
    <w:rsid w:val="428B7E52"/>
    <w:rsid w:val="42957651"/>
    <w:rsid w:val="429B1CAF"/>
    <w:rsid w:val="429D60F8"/>
    <w:rsid w:val="42B570F5"/>
    <w:rsid w:val="42B9333F"/>
    <w:rsid w:val="42D00689"/>
    <w:rsid w:val="42DC7D8B"/>
    <w:rsid w:val="42DE3A88"/>
    <w:rsid w:val="42F75EA4"/>
    <w:rsid w:val="43144A19"/>
    <w:rsid w:val="431E31A2"/>
    <w:rsid w:val="43284021"/>
    <w:rsid w:val="4346094B"/>
    <w:rsid w:val="434E521D"/>
    <w:rsid w:val="436B21C5"/>
    <w:rsid w:val="436C0FC0"/>
    <w:rsid w:val="43725F61"/>
    <w:rsid w:val="438C45B0"/>
    <w:rsid w:val="439A62FF"/>
    <w:rsid w:val="43AD2778"/>
    <w:rsid w:val="43BF6A1E"/>
    <w:rsid w:val="43C63EF7"/>
    <w:rsid w:val="43FA3C0F"/>
    <w:rsid w:val="44024872"/>
    <w:rsid w:val="44027C20"/>
    <w:rsid w:val="441F4BE9"/>
    <w:rsid w:val="44241459"/>
    <w:rsid w:val="442E7CC8"/>
    <w:rsid w:val="445661AB"/>
    <w:rsid w:val="446C706E"/>
    <w:rsid w:val="44805C4F"/>
    <w:rsid w:val="44940C50"/>
    <w:rsid w:val="449432F8"/>
    <w:rsid w:val="44AC5F62"/>
    <w:rsid w:val="44C00384"/>
    <w:rsid w:val="44C949C9"/>
    <w:rsid w:val="44D22414"/>
    <w:rsid w:val="44EF72F7"/>
    <w:rsid w:val="44FA19ED"/>
    <w:rsid w:val="44FA7C3F"/>
    <w:rsid w:val="450067F1"/>
    <w:rsid w:val="45062140"/>
    <w:rsid w:val="451328D0"/>
    <w:rsid w:val="45180634"/>
    <w:rsid w:val="452D2150"/>
    <w:rsid w:val="453B3BB1"/>
    <w:rsid w:val="4566744D"/>
    <w:rsid w:val="459B3501"/>
    <w:rsid w:val="459C2AA4"/>
    <w:rsid w:val="45A01FC9"/>
    <w:rsid w:val="45B002FD"/>
    <w:rsid w:val="45C02C36"/>
    <w:rsid w:val="45C100D1"/>
    <w:rsid w:val="45E401D9"/>
    <w:rsid w:val="45E8729D"/>
    <w:rsid w:val="45EE1AFF"/>
    <w:rsid w:val="46050649"/>
    <w:rsid w:val="46084C62"/>
    <w:rsid w:val="460B66D2"/>
    <w:rsid w:val="464F120E"/>
    <w:rsid w:val="46715557"/>
    <w:rsid w:val="468A085A"/>
    <w:rsid w:val="468A6DA0"/>
    <w:rsid w:val="468B19E1"/>
    <w:rsid w:val="468B7336"/>
    <w:rsid w:val="46902C8E"/>
    <w:rsid w:val="46A61A32"/>
    <w:rsid w:val="46A9191C"/>
    <w:rsid w:val="46B875D4"/>
    <w:rsid w:val="46C27125"/>
    <w:rsid w:val="46D42B4A"/>
    <w:rsid w:val="46E04EC0"/>
    <w:rsid w:val="46E74AD1"/>
    <w:rsid w:val="46EB5A91"/>
    <w:rsid w:val="46EE1D33"/>
    <w:rsid w:val="46F00A25"/>
    <w:rsid w:val="46F25071"/>
    <w:rsid w:val="46FE3738"/>
    <w:rsid w:val="471072A6"/>
    <w:rsid w:val="471D2C61"/>
    <w:rsid w:val="472176DE"/>
    <w:rsid w:val="475313F7"/>
    <w:rsid w:val="47605B12"/>
    <w:rsid w:val="478B0EA0"/>
    <w:rsid w:val="47911A05"/>
    <w:rsid w:val="4799373F"/>
    <w:rsid w:val="479F062A"/>
    <w:rsid w:val="47A424AF"/>
    <w:rsid w:val="47BC268C"/>
    <w:rsid w:val="47D2008B"/>
    <w:rsid w:val="47D46525"/>
    <w:rsid w:val="47DD7AD0"/>
    <w:rsid w:val="47E0136E"/>
    <w:rsid w:val="47E50732"/>
    <w:rsid w:val="47E728AB"/>
    <w:rsid w:val="481357A1"/>
    <w:rsid w:val="481903DC"/>
    <w:rsid w:val="483861C0"/>
    <w:rsid w:val="484B05F1"/>
    <w:rsid w:val="484E277B"/>
    <w:rsid w:val="48596C84"/>
    <w:rsid w:val="48657AC5"/>
    <w:rsid w:val="486A50DB"/>
    <w:rsid w:val="48914416"/>
    <w:rsid w:val="48981FDB"/>
    <w:rsid w:val="48AB197C"/>
    <w:rsid w:val="48C36DF9"/>
    <w:rsid w:val="48D22655"/>
    <w:rsid w:val="48E6297A"/>
    <w:rsid w:val="48EE2429"/>
    <w:rsid w:val="48F046E9"/>
    <w:rsid w:val="48F05F97"/>
    <w:rsid w:val="48F344BE"/>
    <w:rsid w:val="48F7410B"/>
    <w:rsid w:val="48FE4D73"/>
    <w:rsid w:val="48FF7168"/>
    <w:rsid w:val="490B241B"/>
    <w:rsid w:val="4910358D"/>
    <w:rsid w:val="49132FFB"/>
    <w:rsid w:val="49237B00"/>
    <w:rsid w:val="492D2391"/>
    <w:rsid w:val="49380D36"/>
    <w:rsid w:val="49400937"/>
    <w:rsid w:val="49453881"/>
    <w:rsid w:val="49492F43"/>
    <w:rsid w:val="494F522F"/>
    <w:rsid w:val="49515355"/>
    <w:rsid w:val="49520026"/>
    <w:rsid w:val="49594A41"/>
    <w:rsid w:val="495F5636"/>
    <w:rsid w:val="496A6B63"/>
    <w:rsid w:val="49AF7D41"/>
    <w:rsid w:val="49B20AE8"/>
    <w:rsid w:val="49CF4BBD"/>
    <w:rsid w:val="49D5151B"/>
    <w:rsid w:val="49E66CDF"/>
    <w:rsid w:val="49EF0B77"/>
    <w:rsid w:val="4A1279A4"/>
    <w:rsid w:val="4A24584E"/>
    <w:rsid w:val="4A405962"/>
    <w:rsid w:val="4A56325F"/>
    <w:rsid w:val="4A851D59"/>
    <w:rsid w:val="4A8678C0"/>
    <w:rsid w:val="4A9326C8"/>
    <w:rsid w:val="4AB80380"/>
    <w:rsid w:val="4ACF1226"/>
    <w:rsid w:val="4AD17C6A"/>
    <w:rsid w:val="4AD90ECA"/>
    <w:rsid w:val="4AE61FD9"/>
    <w:rsid w:val="4AEB7414"/>
    <w:rsid w:val="4AFD42C5"/>
    <w:rsid w:val="4B1355B6"/>
    <w:rsid w:val="4B1853D9"/>
    <w:rsid w:val="4B1872D0"/>
    <w:rsid w:val="4B4C0AC8"/>
    <w:rsid w:val="4B5B5BC3"/>
    <w:rsid w:val="4B623810"/>
    <w:rsid w:val="4B632DA9"/>
    <w:rsid w:val="4B6B6E2B"/>
    <w:rsid w:val="4B8579C8"/>
    <w:rsid w:val="4BAD70DA"/>
    <w:rsid w:val="4BC863A1"/>
    <w:rsid w:val="4BE200E7"/>
    <w:rsid w:val="4BE868A5"/>
    <w:rsid w:val="4BEB208F"/>
    <w:rsid w:val="4BEB5B86"/>
    <w:rsid w:val="4BF70A34"/>
    <w:rsid w:val="4C1128E6"/>
    <w:rsid w:val="4C273A88"/>
    <w:rsid w:val="4C2D13FC"/>
    <w:rsid w:val="4C3724EA"/>
    <w:rsid w:val="4C532AA9"/>
    <w:rsid w:val="4C733652"/>
    <w:rsid w:val="4C7A0B36"/>
    <w:rsid w:val="4CAD608B"/>
    <w:rsid w:val="4CC7520F"/>
    <w:rsid w:val="4CC823D1"/>
    <w:rsid w:val="4CC93E90"/>
    <w:rsid w:val="4CD60FE5"/>
    <w:rsid w:val="4CE46266"/>
    <w:rsid w:val="4CE5708F"/>
    <w:rsid w:val="4CF558F2"/>
    <w:rsid w:val="4CF64775"/>
    <w:rsid w:val="4CFA3165"/>
    <w:rsid w:val="4CFB2C48"/>
    <w:rsid w:val="4D176377"/>
    <w:rsid w:val="4D2A094E"/>
    <w:rsid w:val="4D447719"/>
    <w:rsid w:val="4D461C73"/>
    <w:rsid w:val="4D4B4CC0"/>
    <w:rsid w:val="4D6E77F8"/>
    <w:rsid w:val="4D774EFE"/>
    <w:rsid w:val="4D7A36CB"/>
    <w:rsid w:val="4D852B6C"/>
    <w:rsid w:val="4DAD1175"/>
    <w:rsid w:val="4DE95A5C"/>
    <w:rsid w:val="4E044E9A"/>
    <w:rsid w:val="4E107AE7"/>
    <w:rsid w:val="4E4A0AAE"/>
    <w:rsid w:val="4E4B7F19"/>
    <w:rsid w:val="4E600B13"/>
    <w:rsid w:val="4E612CA1"/>
    <w:rsid w:val="4E745EC6"/>
    <w:rsid w:val="4E922C96"/>
    <w:rsid w:val="4EC1082B"/>
    <w:rsid w:val="4EC32F39"/>
    <w:rsid w:val="4ECC3E22"/>
    <w:rsid w:val="4ED06ACC"/>
    <w:rsid w:val="4ED827F0"/>
    <w:rsid w:val="4EF20E88"/>
    <w:rsid w:val="4EF46EAF"/>
    <w:rsid w:val="4EF851EF"/>
    <w:rsid w:val="4F0D500E"/>
    <w:rsid w:val="4F5064C5"/>
    <w:rsid w:val="4F55619D"/>
    <w:rsid w:val="4F674123"/>
    <w:rsid w:val="4F760F2B"/>
    <w:rsid w:val="4F8E345D"/>
    <w:rsid w:val="4FA136E4"/>
    <w:rsid w:val="4FB16AE9"/>
    <w:rsid w:val="4FB21A7F"/>
    <w:rsid w:val="4FBA06F6"/>
    <w:rsid w:val="4FD53C81"/>
    <w:rsid w:val="4FD95DE6"/>
    <w:rsid w:val="4FF0701A"/>
    <w:rsid w:val="4FF410C0"/>
    <w:rsid w:val="500100D3"/>
    <w:rsid w:val="50067498"/>
    <w:rsid w:val="50122C50"/>
    <w:rsid w:val="504F52E3"/>
    <w:rsid w:val="50577CF3"/>
    <w:rsid w:val="50590665"/>
    <w:rsid w:val="50740CB5"/>
    <w:rsid w:val="50764990"/>
    <w:rsid w:val="50852AB2"/>
    <w:rsid w:val="509F552A"/>
    <w:rsid w:val="50B05655"/>
    <w:rsid w:val="50D607BD"/>
    <w:rsid w:val="50DF6404"/>
    <w:rsid w:val="50E579F5"/>
    <w:rsid w:val="510936BB"/>
    <w:rsid w:val="510C4F82"/>
    <w:rsid w:val="51185BDB"/>
    <w:rsid w:val="51185C21"/>
    <w:rsid w:val="514209A3"/>
    <w:rsid w:val="514A30BD"/>
    <w:rsid w:val="51696903"/>
    <w:rsid w:val="517174DB"/>
    <w:rsid w:val="517C0CB4"/>
    <w:rsid w:val="51820895"/>
    <w:rsid w:val="518B2B02"/>
    <w:rsid w:val="519566D2"/>
    <w:rsid w:val="519578A6"/>
    <w:rsid w:val="51A90027"/>
    <w:rsid w:val="51B00003"/>
    <w:rsid w:val="51CE13AC"/>
    <w:rsid w:val="51DF2696"/>
    <w:rsid w:val="51E341EA"/>
    <w:rsid w:val="51ED2F38"/>
    <w:rsid w:val="52121538"/>
    <w:rsid w:val="52173BDE"/>
    <w:rsid w:val="52306C85"/>
    <w:rsid w:val="5235319A"/>
    <w:rsid w:val="5251699B"/>
    <w:rsid w:val="52532C9B"/>
    <w:rsid w:val="52777322"/>
    <w:rsid w:val="528154FB"/>
    <w:rsid w:val="528F1AE6"/>
    <w:rsid w:val="52974D1F"/>
    <w:rsid w:val="52990A97"/>
    <w:rsid w:val="52A116FA"/>
    <w:rsid w:val="52A336C4"/>
    <w:rsid w:val="52B64C15"/>
    <w:rsid w:val="52BC550C"/>
    <w:rsid w:val="52C350E6"/>
    <w:rsid w:val="52DD4AA0"/>
    <w:rsid w:val="52EB0CEB"/>
    <w:rsid w:val="53086DE6"/>
    <w:rsid w:val="5316459C"/>
    <w:rsid w:val="531751F8"/>
    <w:rsid w:val="53285BE5"/>
    <w:rsid w:val="53334E5E"/>
    <w:rsid w:val="533B1B4E"/>
    <w:rsid w:val="53803A05"/>
    <w:rsid w:val="538C5F06"/>
    <w:rsid w:val="53BB67EB"/>
    <w:rsid w:val="53BE22AE"/>
    <w:rsid w:val="53D0132B"/>
    <w:rsid w:val="53DA1367"/>
    <w:rsid w:val="53E53995"/>
    <w:rsid w:val="53FC61C5"/>
    <w:rsid w:val="540B7773"/>
    <w:rsid w:val="540E7263"/>
    <w:rsid w:val="542725A2"/>
    <w:rsid w:val="54537219"/>
    <w:rsid w:val="546302BC"/>
    <w:rsid w:val="54632C97"/>
    <w:rsid w:val="54747913"/>
    <w:rsid w:val="547B6E87"/>
    <w:rsid w:val="547D5910"/>
    <w:rsid w:val="548337AD"/>
    <w:rsid w:val="548B409E"/>
    <w:rsid w:val="548B4F72"/>
    <w:rsid w:val="54912D99"/>
    <w:rsid w:val="549540B5"/>
    <w:rsid w:val="549637E7"/>
    <w:rsid w:val="54A336BA"/>
    <w:rsid w:val="54AD082A"/>
    <w:rsid w:val="54C55B73"/>
    <w:rsid w:val="54CE39B8"/>
    <w:rsid w:val="54D538DD"/>
    <w:rsid w:val="54E1002C"/>
    <w:rsid w:val="54F2623D"/>
    <w:rsid w:val="550329D2"/>
    <w:rsid w:val="550860CF"/>
    <w:rsid w:val="550B5550"/>
    <w:rsid w:val="55146366"/>
    <w:rsid w:val="552D3F4B"/>
    <w:rsid w:val="5538045F"/>
    <w:rsid w:val="5560764A"/>
    <w:rsid w:val="55716323"/>
    <w:rsid w:val="55741347"/>
    <w:rsid w:val="557E1B89"/>
    <w:rsid w:val="557E4D7D"/>
    <w:rsid w:val="5582771F"/>
    <w:rsid w:val="558A46C7"/>
    <w:rsid w:val="55942700"/>
    <w:rsid w:val="55A51C67"/>
    <w:rsid w:val="55AC288F"/>
    <w:rsid w:val="55B42A2F"/>
    <w:rsid w:val="55D50231"/>
    <w:rsid w:val="55D85327"/>
    <w:rsid w:val="55EA1C7F"/>
    <w:rsid w:val="55EA63F9"/>
    <w:rsid w:val="55F1262A"/>
    <w:rsid w:val="55FE3F38"/>
    <w:rsid w:val="562403AC"/>
    <w:rsid w:val="56292132"/>
    <w:rsid w:val="562A4C57"/>
    <w:rsid w:val="56424968"/>
    <w:rsid w:val="564B148D"/>
    <w:rsid w:val="564F7C22"/>
    <w:rsid w:val="56526FBC"/>
    <w:rsid w:val="565A1AED"/>
    <w:rsid w:val="56620710"/>
    <w:rsid w:val="56651E10"/>
    <w:rsid w:val="56755377"/>
    <w:rsid w:val="56794E67"/>
    <w:rsid w:val="567D422C"/>
    <w:rsid w:val="56822EB5"/>
    <w:rsid w:val="568315AE"/>
    <w:rsid w:val="568B4B9B"/>
    <w:rsid w:val="56AB6ED8"/>
    <w:rsid w:val="56B17AF5"/>
    <w:rsid w:val="56C1680E"/>
    <w:rsid w:val="56CD0D0F"/>
    <w:rsid w:val="56D05FA4"/>
    <w:rsid w:val="56E01D3E"/>
    <w:rsid w:val="56EE0C86"/>
    <w:rsid w:val="56FD2335"/>
    <w:rsid w:val="570143F5"/>
    <w:rsid w:val="570404A9"/>
    <w:rsid w:val="57243FF4"/>
    <w:rsid w:val="57315742"/>
    <w:rsid w:val="57326937"/>
    <w:rsid w:val="574B7E86"/>
    <w:rsid w:val="575907F5"/>
    <w:rsid w:val="576F0018"/>
    <w:rsid w:val="5782432C"/>
    <w:rsid w:val="578A4E52"/>
    <w:rsid w:val="578F06BB"/>
    <w:rsid w:val="57916E51"/>
    <w:rsid w:val="57C02622"/>
    <w:rsid w:val="57D03495"/>
    <w:rsid w:val="57EB305C"/>
    <w:rsid w:val="58071C81"/>
    <w:rsid w:val="581706E5"/>
    <w:rsid w:val="58360B36"/>
    <w:rsid w:val="583A0709"/>
    <w:rsid w:val="583F5C3D"/>
    <w:rsid w:val="58467355"/>
    <w:rsid w:val="587D632D"/>
    <w:rsid w:val="58906498"/>
    <w:rsid w:val="58B71A46"/>
    <w:rsid w:val="58D77C23"/>
    <w:rsid w:val="5913326A"/>
    <w:rsid w:val="591C364A"/>
    <w:rsid w:val="591C7D2C"/>
    <w:rsid w:val="593F3A1A"/>
    <w:rsid w:val="594A661D"/>
    <w:rsid w:val="594B4AB9"/>
    <w:rsid w:val="594D25DB"/>
    <w:rsid w:val="595219A0"/>
    <w:rsid w:val="596414F5"/>
    <w:rsid w:val="596420AC"/>
    <w:rsid w:val="5966544B"/>
    <w:rsid w:val="59853FBC"/>
    <w:rsid w:val="59877723"/>
    <w:rsid w:val="599908EE"/>
    <w:rsid w:val="59B85CA7"/>
    <w:rsid w:val="59C259AE"/>
    <w:rsid w:val="59C912B0"/>
    <w:rsid w:val="59C93497"/>
    <w:rsid w:val="59CE4896"/>
    <w:rsid w:val="59D10B16"/>
    <w:rsid w:val="59D40607"/>
    <w:rsid w:val="59D625D1"/>
    <w:rsid w:val="59D8305B"/>
    <w:rsid w:val="5A025E0F"/>
    <w:rsid w:val="5A0529AB"/>
    <w:rsid w:val="5A0A5DD6"/>
    <w:rsid w:val="5A355549"/>
    <w:rsid w:val="5A5D23AA"/>
    <w:rsid w:val="5A6E7F5E"/>
    <w:rsid w:val="5A755946"/>
    <w:rsid w:val="5A8B6AB0"/>
    <w:rsid w:val="5A8E4743"/>
    <w:rsid w:val="5AB218B5"/>
    <w:rsid w:val="5AD86DE3"/>
    <w:rsid w:val="5ADA1903"/>
    <w:rsid w:val="5AE0316D"/>
    <w:rsid w:val="5AE04E05"/>
    <w:rsid w:val="5AE96334"/>
    <w:rsid w:val="5B040A09"/>
    <w:rsid w:val="5B04316E"/>
    <w:rsid w:val="5B0B1117"/>
    <w:rsid w:val="5B101B12"/>
    <w:rsid w:val="5B2C467C"/>
    <w:rsid w:val="5B363095"/>
    <w:rsid w:val="5B3C70FF"/>
    <w:rsid w:val="5B5639C9"/>
    <w:rsid w:val="5B5A2C59"/>
    <w:rsid w:val="5B5C2543"/>
    <w:rsid w:val="5B5C6B06"/>
    <w:rsid w:val="5B5D11B8"/>
    <w:rsid w:val="5B657854"/>
    <w:rsid w:val="5B6634E0"/>
    <w:rsid w:val="5B6E5512"/>
    <w:rsid w:val="5B8272E2"/>
    <w:rsid w:val="5B8432C4"/>
    <w:rsid w:val="5BB029AE"/>
    <w:rsid w:val="5BB10BE9"/>
    <w:rsid w:val="5BD22052"/>
    <w:rsid w:val="5BE82147"/>
    <w:rsid w:val="5BED357F"/>
    <w:rsid w:val="5BFC5BF3"/>
    <w:rsid w:val="5C0164B4"/>
    <w:rsid w:val="5C141ED4"/>
    <w:rsid w:val="5C207B33"/>
    <w:rsid w:val="5C44033C"/>
    <w:rsid w:val="5C471564"/>
    <w:rsid w:val="5C4A4BB0"/>
    <w:rsid w:val="5C657C3C"/>
    <w:rsid w:val="5C8A5924"/>
    <w:rsid w:val="5C986CB3"/>
    <w:rsid w:val="5C9B365E"/>
    <w:rsid w:val="5CA24E91"/>
    <w:rsid w:val="5CC93D27"/>
    <w:rsid w:val="5CFF2F48"/>
    <w:rsid w:val="5D0F6CD8"/>
    <w:rsid w:val="5D303DA6"/>
    <w:rsid w:val="5D3B2BE5"/>
    <w:rsid w:val="5D3F21C6"/>
    <w:rsid w:val="5D437F7D"/>
    <w:rsid w:val="5D86691C"/>
    <w:rsid w:val="5D8A795A"/>
    <w:rsid w:val="5D8D5EB6"/>
    <w:rsid w:val="5D99194B"/>
    <w:rsid w:val="5DA36C6E"/>
    <w:rsid w:val="5DA87DE0"/>
    <w:rsid w:val="5DBA7B13"/>
    <w:rsid w:val="5DBD67DF"/>
    <w:rsid w:val="5DCA5FA9"/>
    <w:rsid w:val="5DDD2180"/>
    <w:rsid w:val="5DE14450"/>
    <w:rsid w:val="5E015742"/>
    <w:rsid w:val="5E08087F"/>
    <w:rsid w:val="5E0A45F7"/>
    <w:rsid w:val="5E0D5F20"/>
    <w:rsid w:val="5E1A6D03"/>
    <w:rsid w:val="5E2E29DB"/>
    <w:rsid w:val="5E402661"/>
    <w:rsid w:val="5E677C9B"/>
    <w:rsid w:val="5E711C45"/>
    <w:rsid w:val="5E794F62"/>
    <w:rsid w:val="5E806055"/>
    <w:rsid w:val="5E8720EC"/>
    <w:rsid w:val="5EAA766C"/>
    <w:rsid w:val="5EBB7FE7"/>
    <w:rsid w:val="5EDD1D0C"/>
    <w:rsid w:val="5EE832F7"/>
    <w:rsid w:val="5EEE52A3"/>
    <w:rsid w:val="5EF05EE3"/>
    <w:rsid w:val="5F101B71"/>
    <w:rsid w:val="5F2423C8"/>
    <w:rsid w:val="5F3F727E"/>
    <w:rsid w:val="5F456F62"/>
    <w:rsid w:val="5F4A0C6E"/>
    <w:rsid w:val="5F585836"/>
    <w:rsid w:val="5F6B6A5C"/>
    <w:rsid w:val="5F73441E"/>
    <w:rsid w:val="5F743C93"/>
    <w:rsid w:val="5F776C24"/>
    <w:rsid w:val="5F795ED8"/>
    <w:rsid w:val="5F93061C"/>
    <w:rsid w:val="5F9A4B67"/>
    <w:rsid w:val="5FBC5DC5"/>
    <w:rsid w:val="5FDA7209"/>
    <w:rsid w:val="5FDD5C2D"/>
    <w:rsid w:val="5FE5772D"/>
    <w:rsid w:val="5FF444A7"/>
    <w:rsid w:val="5FF83660"/>
    <w:rsid w:val="6000513A"/>
    <w:rsid w:val="60055654"/>
    <w:rsid w:val="600A6A54"/>
    <w:rsid w:val="600F27F7"/>
    <w:rsid w:val="60126860"/>
    <w:rsid w:val="60171DAE"/>
    <w:rsid w:val="601B7BD2"/>
    <w:rsid w:val="60275934"/>
    <w:rsid w:val="60450699"/>
    <w:rsid w:val="60791A14"/>
    <w:rsid w:val="60976B1C"/>
    <w:rsid w:val="609D1752"/>
    <w:rsid w:val="60A056E7"/>
    <w:rsid w:val="60EA79B7"/>
    <w:rsid w:val="60FD0443"/>
    <w:rsid w:val="60FD6695"/>
    <w:rsid w:val="610D2B3E"/>
    <w:rsid w:val="611F660B"/>
    <w:rsid w:val="61283560"/>
    <w:rsid w:val="612A05C3"/>
    <w:rsid w:val="6131070B"/>
    <w:rsid w:val="61722BDF"/>
    <w:rsid w:val="617A5D6B"/>
    <w:rsid w:val="617D1706"/>
    <w:rsid w:val="618F0AB1"/>
    <w:rsid w:val="61905B49"/>
    <w:rsid w:val="61932461"/>
    <w:rsid w:val="61A34DC2"/>
    <w:rsid w:val="61A60ADB"/>
    <w:rsid w:val="61A916D3"/>
    <w:rsid w:val="61B62D1A"/>
    <w:rsid w:val="61BB4206"/>
    <w:rsid w:val="61C1023F"/>
    <w:rsid w:val="61C45941"/>
    <w:rsid w:val="61C55405"/>
    <w:rsid w:val="61CE307B"/>
    <w:rsid w:val="61F75337"/>
    <w:rsid w:val="61FB6D3F"/>
    <w:rsid w:val="62092E18"/>
    <w:rsid w:val="622548F0"/>
    <w:rsid w:val="62363AC4"/>
    <w:rsid w:val="623F45BB"/>
    <w:rsid w:val="62584FC6"/>
    <w:rsid w:val="62590FAB"/>
    <w:rsid w:val="62850216"/>
    <w:rsid w:val="628A06AE"/>
    <w:rsid w:val="628E4EE1"/>
    <w:rsid w:val="62A01EA2"/>
    <w:rsid w:val="62A60A36"/>
    <w:rsid w:val="62A96AD4"/>
    <w:rsid w:val="62D653F0"/>
    <w:rsid w:val="630379EA"/>
    <w:rsid w:val="63111051"/>
    <w:rsid w:val="63166B8D"/>
    <w:rsid w:val="63196594"/>
    <w:rsid w:val="632411E5"/>
    <w:rsid w:val="63495696"/>
    <w:rsid w:val="63576530"/>
    <w:rsid w:val="63701F0F"/>
    <w:rsid w:val="63877449"/>
    <w:rsid w:val="63954C99"/>
    <w:rsid w:val="63B619DA"/>
    <w:rsid w:val="63BC7B85"/>
    <w:rsid w:val="63BF6FD1"/>
    <w:rsid w:val="63C30CF3"/>
    <w:rsid w:val="63CE67B5"/>
    <w:rsid w:val="63D556A5"/>
    <w:rsid w:val="63D95197"/>
    <w:rsid w:val="63DD630A"/>
    <w:rsid w:val="63EF49BB"/>
    <w:rsid w:val="63F61F52"/>
    <w:rsid w:val="64183E80"/>
    <w:rsid w:val="644B5969"/>
    <w:rsid w:val="647C5CAD"/>
    <w:rsid w:val="64976D20"/>
    <w:rsid w:val="64BD5616"/>
    <w:rsid w:val="64C03BEB"/>
    <w:rsid w:val="64D37AD0"/>
    <w:rsid w:val="64D81563"/>
    <w:rsid w:val="64EC4A56"/>
    <w:rsid w:val="64FD34D8"/>
    <w:rsid w:val="653E102A"/>
    <w:rsid w:val="654523B9"/>
    <w:rsid w:val="6575025D"/>
    <w:rsid w:val="657D7DA4"/>
    <w:rsid w:val="657F58CB"/>
    <w:rsid w:val="658729D1"/>
    <w:rsid w:val="658B0082"/>
    <w:rsid w:val="65960642"/>
    <w:rsid w:val="65AB2B63"/>
    <w:rsid w:val="65B348B5"/>
    <w:rsid w:val="65BD2897"/>
    <w:rsid w:val="65C131A1"/>
    <w:rsid w:val="65CB0B10"/>
    <w:rsid w:val="65D42E42"/>
    <w:rsid w:val="65D774B5"/>
    <w:rsid w:val="661C5F1B"/>
    <w:rsid w:val="662F5543"/>
    <w:rsid w:val="664B6D15"/>
    <w:rsid w:val="66616B07"/>
    <w:rsid w:val="66652D12"/>
    <w:rsid w:val="66711576"/>
    <w:rsid w:val="667F21A8"/>
    <w:rsid w:val="66883DA8"/>
    <w:rsid w:val="6688653B"/>
    <w:rsid w:val="66980C3B"/>
    <w:rsid w:val="66AF7666"/>
    <w:rsid w:val="66B23A7E"/>
    <w:rsid w:val="66C768F4"/>
    <w:rsid w:val="66CB4B3F"/>
    <w:rsid w:val="66CE6A9B"/>
    <w:rsid w:val="66D336B1"/>
    <w:rsid w:val="66D35938"/>
    <w:rsid w:val="66E37557"/>
    <w:rsid w:val="670C13E0"/>
    <w:rsid w:val="6717175A"/>
    <w:rsid w:val="67197437"/>
    <w:rsid w:val="672A6364"/>
    <w:rsid w:val="672E75A8"/>
    <w:rsid w:val="672F1AF3"/>
    <w:rsid w:val="673D459B"/>
    <w:rsid w:val="673E5A70"/>
    <w:rsid w:val="674622CC"/>
    <w:rsid w:val="674E1B29"/>
    <w:rsid w:val="676034DA"/>
    <w:rsid w:val="679259FF"/>
    <w:rsid w:val="67A42374"/>
    <w:rsid w:val="67B11F87"/>
    <w:rsid w:val="67B176A0"/>
    <w:rsid w:val="67C47F0C"/>
    <w:rsid w:val="67D11A02"/>
    <w:rsid w:val="67D34C54"/>
    <w:rsid w:val="67D47735"/>
    <w:rsid w:val="67F55137"/>
    <w:rsid w:val="67FA1B80"/>
    <w:rsid w:val="67FA3AFE"/>
    <w:rsid w:val="680A1918"/>
    <w:rsid w:val="68273787"/>
    <w:rsid w:val="683D1427"/>
    <w:rsid w:val="684921C0"/>
    <w:rsid w:val="68674C64"/>
    <w:rsid w:val="68707078"/>
    <w:rsid w:val="688E4E0F"/>
    <w:rsid w:val="688F2A25"/>
    <w:rsid w:val="68930A07"/>
    <w:rsid w:val="6893101A"/>
    <w:rsid w:val="68993C3E"/>
    <w:rsid w:val="689F6284"/>
    <w:rsid w:val="68DC3034"/>
    <w:rsid w:val="68DE4FFE"/>
    <w:rsid w:val="68EC5C0B"/>
    <w:rsid w:val="68ED5527"/>
    <w:rsid w:val="68F3472C"/>
    <w:rsid w:val="68F378C5"/>
    <w:rsid w:val="69030542"/>
    <w:rsid w:val="69252C2D"/>
    <w:rsid w:val="6953417A"/>
    <w:rsid w:val="69831701"/>
    <w:rsid w:val="699062D7"/>
    <w:rsid w:val="69951B60"/>
    <w:rsid w:val="69CA730B"/>
    <w:rsid w:val="69D0743B"/>
    <w:rsid w:val="69D51D1B"/>
    <w:rsid w:val="69DB371F"/>
    <w:rsid w:val="69F75461"/>
    <w:rsid w:val="69FD399A"/>
    <w:rsid w:val="6A0E1913"/>
    <w:rsid w:val="6A160EF5"/>
    <w:rsid w:val="6A3B2DF5"/>
    <w:rsid w:val="6A6B1E54"/>
    <w:rsid w:val="6A786D8C"/>
    <w:rsid w:val="6A8E3953"/>
    <w:rsid w:val="6A952309"/>
    <w:rsid w:val="6A9A6D03"/>
    <w:rsid w:val="6AAB7162"/>
    <w:rsid w:val="6AB8228E"/>
    <w:rsid w:val="6AC7669E"/>
    <w:rsid w:val="6ACA19F6"/>
    <w:rsid w:val="6AE308C1"/>
    <w:rsid w:val="6AF26049"/>
    <w:rsid w:val="6AFE1987"/>
    <w:rsid w:val="6B0625EA"/>
    <w:rsid w:val="6B0F09DD"/>
    <w:rsid w:val="6B284350"/>
    <w:rsid w:val="6B2F1B41"/>
    <w:rsid w:val="6B3F277C"/>
    <w:rsid w:val="6B677B39"/>
    <w:rsid w:val="6B7739CC"/>
    <w:rsid w:val="6B8900DD"/>
    <w:rsid w:val="6B9D486E"/>
    <w:rsid w:val="6BAD0D11"/>
    <w:rsid w:val="6BAD14F3"/>
    <w:rsid w:val="6BAF228A"/>
    <w:rsid w:val="6BBB33D4"/>
    <w:rsid w:val="6BC009EB"/>
    <w:rsid w:val="6BCB5B9F"/>
    <w:rsid w:val="6BE97F42"/>
    <w:rsid w:val="6BEC0728"/>
    <w:rsid w:val="6BF54256"/>
    <w:rsid w:val="6BFC0357"/>
    <w:rsid w:val="6C015224"/>
    <w:rsid w:val="6C0E6061"/>
    <w:rsid w:val="6C116AA3"/>
    <w:rsid w:val="6C156F89"/>
    <w:rsid w:val="6C1D408F"/>
    <w:rsid w:val="6C435FB6"/>
    <w:rsid w:val="6C474C68"/>
    <w:rsid w:val="6C4C35F0"/>
    <w:rsid w:val="6C531EB5"/>
    <w:rsid w:val="6C5F1FB2"/>
    <w:rsid w:val="6C672B7C"/>
    <w:rsid w:val="6C7114CC"/>
    <w:rsid w:val="6C7A309E"/>
    <w:rsid w:val="6C893FB5"/>
    <w:rsid w:val="6CC60D01"/>
    <w:rsid w:val="6CEE0FBB"/>
    <w:rsid w:val="6CF43042"/>
    <w:rsid w:val="6D107750"/>
    <w:rsid w:val="6D1879A1"/>
    <w:rsid w:val="6D237483"/>
    <w:rsid w:val="6D280C5B"/>
    <w:rsid w:val="6D4A0EB4"/>
    <w:rsid w:val="6D531B4E"/>
    <w:rsid w:val="6D54680C"/>
    <w:rsid w:val="6D57537F"/>
    <w:rsid w:val="6D5D0BE7"/>
    <w:rsid w:val="6D6C2FAB"/>
    <w:rsid w:val="6D8551BE"/>
    <w:rsid w:val="6D98176A"/>
    <w:rsid w:val="6D9A6518"/>
    <w:rsid w:val="6DA72722"/>
    <w:rsid w:val="6DC5053A"/>
    <w:rsid w:val="6DCF4F15"/>
    <w:rsid w:val="6DD10C8D"/>
    <w:rsid w:val="6DE03A7F"/>
    <w:rsid w:val="6DE85FD7"/>
    <w:rsid w:val="6E076DA5"/>
    <w:rsid w:val="6E0C1CB1"/>
    <w:rsid w:val="6E7855AD"/>
    <w:rsid w:val="6E7F4B8D"/>
    <w:rsid w:val="6E925A9E"/>
    <w:rsid w:val="6E9F7E2D"/>
    <w:rsid w:val="6EAB7730"/>
    <w:rsid w:val="6EB658EE"/>
    <w:rsid w:val="6EC2038C"/>
    <w:rsid w:val="6EED2DAA"/>
    <w:rsid w:val="6EED58A5"/>
    <w:rsid w:val="6F094457"/>
    <w:rsid w:val="6F0A027C"/>
    <w:rsid w:val="6F1F1ECC"/>
    <w:rsid w:val="6F3239AE"/>
    <w:rsid w:val="6F366AC7"/>
    <w:rsid w:val="6F413BF1"/>
    <w:rsid w:val="6F453E6D"/>
    <w:rsid w:val="6F6D3A82"/>
    <w:rsid w:val="6F7B5355"/>
    <w:rsid w:val="6FAA7810"/>
    <w:rsid w:val="6FB4799B"/>
    <w:rsid w:val="6FC46BC5"/>
    <w:rsid w:val="6FD06719"/>
    <w:rsid w:val="6FD40F09"/>
    <w:rsid w:val="6FF6185F"/>
    <w:rsid w:val="6FF83B2A"/>
    <w:rsid w:val="70875F7B"/>
    <w:rsid w:val="709D4BC6"/>
    <w:rsid w:val="70A47AAD"/>
    <w:rsid w:val="70C26FB3"/>
    <w:rsid w:val="70DA4CC5"/>
    <w:rsid w:val="70F3716D"/>
    <w:rsid w:val="70FA48CF"/>
    <w:rsid w:val="70FC20C7"/>
    <w:rsid w:val="70FE623D"/>
    <w:rsid w:val="710F2A1D"/>
    <w:rsid w:val="711137D6"/>
    <w:rsid w:val="712D1B1F"/>
    <w:rsid w:val="7131572E"/>
    <w:rsid w:val="71324139"/>
    <w:rsid w:val="7141437C"/>
    <w:rsid w:val="71527F65"/>
    <w:rsid w:val="715A570D"/>
    <w:rsid w:val="715B5CC1"/>
    <w:rsid w:val="71990E99"/>
    <w:rsid w:val="71A32941"/>
    <w:rsid w:val="71B2527A"/>
    <w:rsid w:val="71CC633B"/>
    <w:rsid w:val="71DC5E53"/>
    <w:rsid w:val="71E4217F"/>
    <w:rsid w:val="71E47649"/>
    <w:rsid w:val="71EC078C"/>
    <w:rsid w:val="71EF3DD8"/>
    <w:rsid w:val="720427E6"/>
    <w:rsid w:val="72084E9A"/>
    <w:rsid w:val="720908EA"/>
    <w:rsid w:val="72186426"/>
    <w:rsid w:val="7226713A"/>
    <w:rsid w:val="723143F0"/>
    <w:rsid w:val="724A7260"/>
    <w:rsid w:val="725945A9"/>
    <w:rsid w:val="725A7D17"/>
    <w:rsid w:val="726A1369"/>
    <w:rsid w:val="72A0568E"/>
    <w:rsid w:val="72A43708"/>
    <w:rsid w:val="72D57472"/>
    <w:rsid w:val="72DB610A"/>
    <w:rsid w:val="72E476B5"/>
    <w:rsid w:val="72EB511F"/>
    <w:rsid w:val="72EB6629"/>
    <w:rsid w:val="7301124E"/>
    <w:rsid w:val="731E086D"/>
    <w:rsid w:val="73264694"/>
    <w:rsid w:val="732D4BB8"/>
    <w:rsid w:val="73566E94"/>
    <w:rsid w:val="73591E51"/>
    <w:rsid w:val="737B6038"/>
    <w:rsid w:val="73840550"/>
    <w:rsid w:val="73860A7A"/>
    <w:rsid w:val="738C67F5"/>
    <w:rsid w:val="7399049F"/>
    <w:rsid w:val="739A7D73"/>
    <w:rsid w:val="73A330CC"/>
    <w:rsid w:val="73A73EA6"/>
    <w:rsid w:val="73B76B77"/>
    <w:rsid w:val="73CE3214"/>
    <w:rsid w:val="73CF5B6F"/>
    <w:rsid w:val="73DA4614"/>
    <w:rsid w:val="740677AB"/>
    <w:rsid w:val="741B2C62"/>
    <w:rsid w:val="74251D33"/>
    <w:rsid w:val="742D6E39"/>
    <w:rsid w:val="743004C1"/>
    <w:rsid w:val="743D2439"/>
    <w:rsid w:val="746D7236"/>
    <w:rsid w:val="74707C53"/>
    <w:rsid w:val="748079C9"/>
    <w:rsid w:val="74831772"/>
    <w:rsid w:val="749018A2"/>
    <w:rsid w:val="74A0760B"/>
    <w:rsid w:val="74B167B4"/>
    <w:rsid w:val="74D848F1"/>
    <w:rsid w:val="74EB0859"/>
    <w:rsid w:val="75121D07"/>
    <w:rsid w:val="751B2C51"/>
    <w:rsid w:val="75220020"/>
    <w:rsid w:val="75387844"/>
    <w:rsid w:val="75436915"/>
    <w:rsid w:val="754B7577"/>
    <w:rsid w:val="755E305D"/>
    <w:rsid w:val="755F5E8B"/>
    <w:rsid w:val="75712F63"/>
    <w:rsid w:val="758F6705"/>
    <w:rsid w:val="75957E47"/>
    <w:rsid w:val="7596337E"/>
    <w:rsid w:val="75D26689"/>
    <w:rsid w:val="75F4010A"/>
    <w:rsid w:val="75F401CA"/>
    <w:rsid w:val="75F6407C"/>
    <w:rsid w:val="76225A50"/>
    <w:rsid w:val="76257DC8"/>
    <w:rsid w:val="76275F27"/>
    <w:rsid w:val="76283D55"/>
    <w:rsid w:val="76326989"/>
    <w:rsid w:val="766C1E9B"/>
    <w:rsid w:val="76745F22"/>
    <w:rsid w:val="76762246"/>
    <w:rsid w:val="76A71125"/>
    <w:rsid w:val="76AD048A"/>
    <w:rsid w:val="76B455F0"/>
    <w:rsid w:val="76C94E50"/>
    <w:rsid w:val="76CF0B1B"/>
    <w:rsid w:val="76E9481B"/>
    <w:rsid w:val="76ED390B"/>
    <w:rsid w:val="76F45266"/>
    <w:rsid w:val="76F53C3E"/>
    <w:rsid w:val="76F73CF0"/>
    <w:rsid w:val="77040325"/>
    <w:rsid w:val="77185B7F"/>
    <w:rsid w:val="772E0EFE"/>
    <w:rsid w:val="773330BD"/>
    <w:rsid w:val="773D55E5"/>
    <w:rsid w:val="776667C1"/>
    <w:rsid w:val="7782440B"/>
    <w:rsid w:val="778951F7"/>
    <w:rsid w:val="77896A79"/>
    <w:rsid w:val="77912588"/>
    <w:rsid w:val="779470D1"/>
    <w:rsid w:val="77AA32F3"/>
    <w:rsid w:val="77D31AA6"/>
    <w:rsid w:val="77F53A38"/>
    <w:rsid w:val="77F9150C"/>
    <w:rsid w:val="781E5D2E"/>
    <w:rsid w:val="78455928"/>
    <w:rsid w:val="785179EF"/>
    <w:rsid w:val="785250C1"/>
    <w:rsid w:val="785901FD"/>
    <w:rsid w:val="785E23CE"/>
    <w:rsid w:val="78654DF4"/>
    <w:rsid w:val="78705999"/>
    <w:rsid w:val="787D76B6"/>
    <w:rsid w:val="78812A67"/>
    <w:rsid w:val="78882890"/>
    <w:rsid w:val="78A04172"/>
    <w:rsid w:val="78BC766D"/>
    <w:rsid w:val="78DE6954"/>
    <w:rsid w:val="78EE6B97"/>
    <w:rsid w:val="78FA2174"/>
    <w:rsid w:val="78FB2B01"/>
    <w:rsid w:val="79022643"/>
    <w:rsid w:val="790F76AC"/>
    <w:rsid w:val="79256331"/>
    <w:rsid w:val="79444563"/>
    <w:rsid w:val="794567D1"/>
    <w:rsid w:val="795C1D84"/>
    <w:rsid w:val="797658DE"/>
    <w:rsid w:val="797D2514"/>
    <w:rsid w:val="799539AD"/>
    <w:rsid w:val="79A61ABF"/>
    <w:rsid w:val="79BF1783"/>
    <w:rsid w:val="79C43D9C"/>
    <w:rsid w:val="79E3182A"/>
    <w:rsid w:val="79F521A7"/>
    <w:rsid w:val="79F71A7C"/>
    <w:rsid w:val="79F94010"/>
    <w:rsid w:val="7A0443B4"/>
    <w:rsid w:val="7A140880"/>
    <w:rsid w:val="7A1E34AC"/>
    <w:rsid w:val="7A2111EE"/>
    <w:rsid w:val="7A222BE3"/>
    <w:rsid w:val="7A230AC3"/>
    <w:rsid w:val="7A2605B3"/>
    <w:rsid w:val="7A4805DF"/>
    <w:rsid w:val="7A5073DE"/>
    <w:rsid w:val="7A544595"/>
    <w:rsid w:val="7A5944E4"/>
    <w:rsid w:val="7A5F74BC"/>
    <w:rsid w:val="7A9D50A2"/>
    <w:rsid w:val="7AA11B1E"/>
    <w:rsid w:val="7AA43547"/>
    <w:rsid w:val="7AC1208A"/>
    <w:rsid w:val="7AEF721F"/>
    <w:rsid w:val="7B2450CC"/>
    <w:rsid w:val="7B265DF5"/>
    <w:rsid w:val="7B354F51"/>
    <w:rsid w:val="7B3B7A9B"/>
    <w:rsid w:val="7B412788"/>
    <w:rsid w:val="7B542225"/>
    <w:rsid w:val="7B573F15"/>
    <w:rsid w:val="7B6458A8"/>
    <w:rsid w:val="7B7C6A2F"/>
    <w:rsid w:val="7BA21EBB"/>
    <w:rsid w:val="7BB21BA2"/>
    <w:rsid w:val="7BD1454E"/>
    <w:rsid w:val="7BD5403F"/>
    <w:rsid w:val="7BDE7397"/>
    <w:rsid w:val="7BFA3ED2"/>
    <w:rsid w:val="7C0D37D8"/>
    <w:rsid w:val="7C193CEE"/>
    <w:rsid w:val="7C313DE6"/>
    <w:rsid w:val="7C3A4CE7"/>
    <w:rsid w:val="7C3D2E64"/>
    <w:rsid w:val="7C3E14FB"/>
    <w:rsid w:val="7C533081"/>
    <w:rsid w:val="7C5C2232"/>
    <w:rsid w:val="7C6929D9"/>
    <w:rsid w:val="7C6F7FEF"/>
    <w:rsid w:val="7C7400FF"/>
    <w:rsid w:val="7C760316"/>
    <w:rsid w:val="7C866B33"/>
    <w:rsid w:val="7C8F7635"/>
    <w:rsid w:val="7C977546"/>
    <w:rsid w:val="7CA103C5"/>
    <w:rsid w:val="7CB31ABD"/>
    <w:rsid w:val="7CBF2D2F"/>
    <w:rsid w:val="7CC32FFD"/>
    <w:rsid w:val="7CC61BD9"/>
    <w:rsid w:val="7CE02C9B"/>
    <w:rsid w:val="7CE27A4E"/>
    <w:rsid w:val="7CE35ECE"/>
    <w:rsid w:val="7CE65DD7"/>
    <w:rsid w:val="7CF41DD4"/>
    <w:rsid w:val="7D133473"/>
    <w:rsid w:val="7D1943FF"/>
    <w:rsid w:val="7D2A2168"/>
    <w:rsid w:val="7D37431A"/>
    <w:rsid w:val="7D3D00ED"/>
    <w:rsid w:val="7D5471E5"/>
    <w:rsid w:val="7D741635"/>
    <w:rsid w:val="7D9B5C69"/>
    <w:rsid w:val="7DA55C93"/>
    <w:rsid w:val="7DA92B7C"/>
    <w:rsid w:val="7DB90450"/>
    <w:rsid w:val="7DCD1FAC"/>
    <w:rsid w:val="7DCE4049"/>
    <w:rsid w:val="7DE467BB"/>
    <w:rsid w:val="7DF32EA2"/>
    <w:rsid w:val="7E10135E"/>
    <w:rsid w:val="7E15723B"/>
    <w:rsid w:val="7E1D6CDB"/>
    <w:rsid w:val="7E201113"/>
    <w:rsid w:val="7E2B43EA"/>
    <w:rsid w:val="7E3860B0"/>
    <w:rsid w:val="7E7B6FE3"/>
    <w:rsid w:val="7E8A55B4"/>
    <w:rsid w:val="7E991353"/>
    <w:rsid w:val="7EA4501F"/>
    <w:rsid w:val="7EAD12A3"/>
    <w:rsid w:val="7EC210C0"/>
    <w:rsid w:val="7EC9664C"/>
    <w:rsid w:val="7ED30AD2"/>
    <w:rsid w:val="7EDA6BFA"/>
    <w:rsid w:val="7EE04A9D"/>
    <w:rsid w:val="7EE11BC0"/>
    <w:rsid w:val="7F0005FE"/>
    <w:rsid w:val="7F1135E0"/>
    <w:rsid w:val="7F1A6219"/>
    <w:rsid w:val="7F2012BC"/>
    <w:rsid w:val="7F2159D0"/>
    <w:rsid w:val="7F27768E"/>
    <w:rsid w:val="7F2E2C0C"/>
    <w:rsid w:val="7F414098"/>
    <w:rsid w:val="7F672F55"/>
    <w:rsid w:val="7F871AF4"/>
    <w:rsid w:val="7F930F50"/>
    <w:rsid w:val="7FA72AEE"/>
    <w:rsid w:val="7FC05006"/>
    <w:rsid w:val="7FC22B2C"/>
    <w:rsid w:val="7FC51FC5"/>
    <w:rsid w:val="7FDA3549"/>
    <w:rsid w:val="7FE871C3"/>
    <w:rsid w:val="7FF3203B"/>
    <w:rsid w:val="7FFE3B8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autoSpaceDE w:val="0"/>
      <w:autoSpaceDN w:val="0"/>
      <w:adjustRightInd w:val="0"/>
      <w:jc w:val="left"/>
      <w:outlineLvl w:val="1"/>
    </w:pPr>
    <w:rPr>
      <w:kern w:val="0"/>
      <w:sz w:val="24"/>
    </w:rPr>
  </w:style>
  <w:style w:type="paragraph" w:styleId="5">
    <w:name w:val="heading 3"/>
    <w:basedOn w:val="6"/>
    <w:next w:val="6"/>
    <w:qFormat/>
    <w:uiPriority w:val="0"/>
    <w:pPr>
      <w:keepNext/>
      <w:keepLines/>
      <w:spacing w:before="120" w:beforeLines="0" w:beforeAutospacing="0" w:after="120" w:afterLines="0" w:afterAutospacing="0"/>
      <w:jc w:val="center"/>
      <w:outlineLvl w:val="2"/>
    </w:pPr>
    <w:rPr>
      <w:sz w:val="24"/>
    </w:rPr>
  </w:style>
  <w:style w:type="paragraph" w:styleId="7">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34">
    <w:name w:val="Default Paragraph Font"/>
    <w:qFormat/>
    <w:uiPriority w:val="0"/>
  </w:style>
  <w:style w:type="table" w:default="1" w:styleId="3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qFormat/>
    <w:uiPriority w:val="0"/>
    <w:pPr>
      <w:ind w:firstLine="200" w:firstLineChars="200"/>
    </w:pPr>
    <w:rPr>
      <w:rFonts w:ascii="宋体" w:hAnsi="Courier New"/>
      <w:szCs w:val="21"/>
    </w:rPr>
  </w:style>
  <w:style w:type="paragraph" w:styleId="6">
    <w:name w:val="Normal Indent"/>
    <w:basedOn w:val="1"/>
    <w:qFormat/>
    <w:uiPriority w:val="0"/>
    <w:pPr>
      <w:widowControl/>
      <w:ind w:firstLine="420"/>
      <w:jc w:val="left"/>
    </w:pPr>
    <w:rPr>
      <w:kern w:val="0"/>
      <w:sz w:val="20"/>
    </w:rPr>
  </w:style>
  <w:style w:type="paragraph" w:styleId="8">
    <w:name w:val="toc 7"/>
    <w:basedOn w:val="1"/>
    <w:next w:val="1"/>
    <w:qFormat/>
    <w:uiPriority w:val="0"/>
    <w:pPr>
      <w:ind w:left="1680"/>
      <w:jc w:val="left"/>
    </w:pPr>
  </w:style>
  <w:style w:type="paragraph" w:styleId="9">
    <w:name w:val="table of authorities"/>
    <w:basedOn w:val="1"/>
    <w:next w:val="1"/>
    <w:qFormat/>
    <w:uiPriority w:val="0"/>
    <w:pPr>
      <w:ind w:left="420" w:leftChars="200"/>
    </w:pPr>
  </w:style>
  <w:style w:type="paragraph" w:styleId="10">
    <w:name w:val="Document Map"/>
    <w:basedOn w:val="1"/>
    <w:qFormat/>
    <w:uiPriority w:val="0"/>
    <w:pPr>
      <w:shd w:val="clear" w:color="auto" w:fill="000080"/>
    </w:pPr>
  </w:style>
  <w:style w:type="paragraph" w:styleId="11">
    <w:name w:val="annotation text"/>
    <w:basedOn w:val="1"/>
    <w:next w:val="1"/>
    <w:qFormat/>
    <w:uiPriority w:val="0"/>
    <w:pPr>
      <w:adjustRightInd w:val="0"/>
      <w:spacing w:line="360" w:lineRule="atLeast"/>
      <w:jc w:val="left"/>
      <w:textAlignment w:val="baseline"/>
    </w:pPr>
    <w:rPr>
      <w:rFonts w:ascii="宋体"/>
      <w:kern w:val="0"/>
      <w:sz w:val="24"/>
    </w:rPr>
  </w:style>
  <w:style w:type="paragraph" w:styleId="12">
    <w:name w:val="Body Text"/>
    <w:basedOn w:val="1"/>
    <w:link w:val="40"/>
    <w:qFormat/>
    <w:uiPriority w:val="0"/>
    <w:pPr>
      <w:spacing w:after="120" w:afterLines="0" w:afterAutospacing="0"/>
    </w:pPr>
  </w:style>
  <w:style w:type="paragraph" w:styleId="13">
    <w:name w:val="Body Text Indent"/>
    <w:basedOn w:val="1"/>
    <w:next w:val="14"/>
    <w:link w:val="41"/>
    <w:qFormat/>
    <w:uiPriority w:val="0"/>
    <w:pPr>
      <w:ind w:firstLine="560" w:firstLineChars="200"/>
    </w:pPr>
  </w:style>
  <w:style w:type="paragraph" w:styleId="14">
    <w:name w:val="envelope return"/>
    <w:basedOn w:val="1"/>
    <w:qFormat/>
    <w:uiPriority w:val="99"/>
    <w:pPr>
      <w:snapToGrid w:val="0"/>
    </w:pPr>
    <w:rPr>
      <w:rFonts w:ascii="Arial" w:hAnsi="Arial"/>
    </w:rPr>
  </w:style>
  <w:style w:type="paragraph" w:styleId="15">
    <w:name w:val="toc 5"/>
    <w:basedOn w:val="1"/>
    <w:next w:val="1"/>
    <w:qFormat/>
    <w:uiPriority w:val="0"/>
    <w:pPr>
      <w:ind w:left="1120"/>
      <w:jc w:val="left"/>
    </w:pPr>
  </w:style>
  <w:style w:type="paragraph" w:styleId="16">
    <w:name w:val="toc 3"/>
    <w:basedOn w:val="1"/>
    <w:next w:val="1"/>
    <w:qFormat/>
    <w:uiPriority w:val="39"/>
    <w:pPr>
      <w:ind w:left="561"/>
      <w:jc w:val="left"/>
    </w:pPr>
    <w:rPr>
      <w:sz w:val="24"/>
    </w:rPr>
  </w:style>
  <w:style w:type="paragraph" w:styleId="17">
    <w:name w:val="toc 8"/>
    <w:basedOn w:val="1"/>
    <w:next w:val="1"/>
    <w:qFormat/>
    <w:uiPriority w:val="0"/>
    <w:pPr>
      <w:ind w:left="1960"/>
      <w:jc w:val="left"/>
    </w:pPr>
  </w:style>
  <w:style w:type="paragraph" w:styleId="18">
    <w:name w:val="Body Text Indent 2"/>
    <w:basedOn w:val="1"/>
    <w:qFormat/>
    <w:uiPriority w:val="0"/>
    <w:pPr>
      <w:spacing w:line="480" w:lineRule="auto"/>
      <w:ind w:firstLine="561"/>
    </w:pPr>
    <w:rPr>
      <w:rFonts w:ascii="宋体"/>
    </w:rPr>
  </w:style>
  <w:style w:type="paragraph" w:styleId="19">
    <w:name w:val="Balloon Text"/>
    <w:basedOn w:val="1"/>
    <w:qFormat/>
    <w:uiPriority w:val="0"/>
    <w:rPr>
      <w:sz w:val="18"/>
      <w:szCs w:val="18"/>
    </w:rPr>
  </w:style>
  <w:style w:type="paragraph" w:styleId="20">
    <w:name w:val="footer"/>
    <w:basedOn w:val="1"/>
    <w:qFormat/>
    <w:uiPriority w:val="0"/>
    <w:pPr>
      <w:widowControl/>
      <w:tabs>
        <w:tab w:val="center" w:pos="4153"/>
        <w:tab w:val="right" w:pos="8306"/>
      </w:tabs>
      <w:snapToGrid w:val="0"/>
      <w:jc w:val="left"/>
    </w:pPr>
    <w:rPr>
      <w:kern w:val="0"/>
      <w:sz w:val="18"/>
    </w:rPr>
  </w:style>
  <w:style w:type="paragraph" w:styleId="21">
    <w:name w:val="header"/>
    <w:basedOn w:val="1"/>
    <w:qFormat/>
    <w:uiPriority w:val="0"/>
    <w:pPr>
      <w:widowControl/>
      <w:pBdr>
        <w:bottom w:val="single" w:color="auto" w:sz="6" w:space="1"/>
      </w:pBdr>
      <w:tabs>
        <w:tab w:val="center" w:pos="4153"/>
        <w:tab w:val="right" w:pos="8306"/>
      </w:tabs>
      <w:snapToGrid w:val="0"/>
      <w:jc w:val="center"/>
    </w:pPr>
    <w:rPr>
      <w:kern w:val="0"/>
      <w:sz w:val="18"/>
    </w:rPr>
  </w:style>
  <w:style w:type="paragraph" w:styleId="22">
    <w:name w:val="toc 1"/>
    <w:basedOn w:val="1"/>
    <w:next w:val="1"/>
    <w:qFormat/>
    <w:uiPriority w:val="39"/>
    <w:pPr>
      <w:spacing w:before="120" w:beforeLines="0" w:beforeAutospacing="0" w:after="120" w:afterLines="0" w:afterAutospacing="0"/>
      <w:jc w:val="left"/>
    </w:pPr>
    <w:rPr>
      <w:caps/>
      <w:sz w:val="24"/>
    </w:rPr>
  </w:style>
  <w:style w:type="paragraph" w:styleId="23">
    <w:name w:val="toc 4"/>
    <w:basedOn w:val="1"/>
    <w:next w:val="1"/>
    <w:qFormat/>
    <w:uiPriority w:val="0"/>
    <w:pPr>
      <w:ind w:left="840"/>
      <w:jc w:val="left"/>
    </w:pPr>
  </w:style>
  <w:style w:type="paragraph" w:styleId="24">
    <w:name w:val="toc 6"/>
    <w:basedOn w:val="1"/>
    <w:next w:val="1"/>
    <w:qFormat/>
    <w:uiPriority w:val="0"/>
    <w:pPr>
      <w:ind w:left="1400"/>
      <w:jc w:val="left"/>
    </w:pPr>
  </w:style>
  <w:style w:type="paragraph" w:styleId="25">
    <w:name w:val="Body Text Indent 3"/>
    <w:basedOn w:val="1"/>
    <w:link w:val="42"/>
    <w:qFormat/>
    <w:uiPriority w:val="0"/>
    <w:pPr>
      <w:ind w:firstLine="560"/>
    </w:pPr>
    <w:rPr>
      <w:color w:val="FF0000"/>
    </w:rPr>
  </w:style>
  <w:style w:type="paragraph" w:styleId="26">
    <w:name w:val="toc 2"/>
    <w:basedOn w:val="1"/>
    <w:next w:val="1"/>
    <w:qFormat/>
    <w:uiPriority w:val="39"/>
    <w:pPr>
      <w:ind w:left="278"/>
      <w:jc w:val="left"/>
    </w:pPr>
    <w:rPr>
      <w:smallCaps/>
      <w:sz w:val="24"/>
    </w:rPr>
  </w:style>
  <w:style w:type="paragraph" w:styleId="27">
    <w:name w:val="toc 9"/>
    <w:basedOn w:val="1"/>
    <w:next w:val="1"/>
    <w:qFormat/>
    <w:uiPriority w:val="0"/>
    <w:pPr>
      <w:ind w:left="2240"/>
      <w:jc w:val="left"/>
    </w:pPr>
  </w:style>
  <w:style w:type="paragraph" w:styleId="28">
    <w:name w:val="Body Text 2"/>
    <w:basedOn w:val="1"/>
    <w:next w:val="12"/>
    <w:link w:val="43"/>
    <w:qFormat/>
    <w:uiPriority w:val="0"/>
    <w:pPr>
      <w:spacing w:line="500" w:lineRule="exact"/>
    </w:pPr>
    <w:rPr>
      <w:rFonts w:ascii="宋体"/>
      <w:sz w:val="24"/>
    </w:rPr>
  </w:style>
  <w:style w:type="paragraph" w:styleId="29">
    <w:name w:val="Normal (Web)"/>
    <w:basedOn w:val="1"/>
    <w:unhideWhenUsed/>
    <w:qFormat/>
    <w:uiPriority w:val="99"/>
    <w:pPr>
      <w:widowControl/>
      <w:spacing w:before="100" w:beforeAutospacing="1" w:after="100" w:afterAutospacing="1" w:line="240" w:lineRule="auto"/>
      <w:jc w:val="left"/>
    </w:pPr>
    <w:rPr>
      <w:rFonts w:hAnsi="宋体" w:cs="宋体"/>
      <w:kern w:val="0"/>
      <w:szCs w:val="24"/>
    </w:rPr>
  </w:style>
  <w:style w:type="paragraph" w:styleId="30">
    <w:name w:val="Title"/>
    <w:basedOn w:val="1"/>
    <w:next w:val="1"/>
    <w:qFormat/>
    <w:uiPriority w:val="0"/>
    <w:pPr>
      <w:spacing w:line="480" w:lineRule="atLeast"/>
      <w:jc w:val="center"/>
    </w:pPr>
    <w:rPr>
      <w:sz w:val="32"/>
    </w:rPr>
  </w:style>
  <w:style w:type="paragraph" w:styleId="31">
    <w:name w:val="annotation subject"/>
    <w:basedOn w:val="11"/>
    <w:next w:val="11"/>
    <w:qFormat/>
    <w:uiPriority w:val="0"/>
    <w:pPr>
      <w:adjustRightInd/>
      <w:spacing w:line="360" w:lineRule="auto"/>
      <w:textAlignment w:val="auto"/>
    </w:pPr>
    <w:rPr>
      <w:b/>
      <w:bCs/>
      <w:kern w:val="2"/>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bCs/>
    </w:rPr>
  </w:style>
  <w:style w:type="character" w:styleId="36">
    <w:name w:val="page number"/>
    <w:qFormat/>
    <w:uiPriority w:val="0"/>
  </w:style>
  <w:style w:type="character" w:styleId="37">
    <w:name w:val="FollowedHyperlink"/>
    <w:qFormat/>
    <w:uiPriority w:val="0"/>
    <w:rPr>
      <w:color w:val="800080"/>
      <w:u w:val="single"/>
    </w:rPr>
  </w:style>
  <w:style w:type="character" w:styleId="38">
    <w:name w:val="Hyperlink"/>
    <w:qFormat/>
    <w:uiPriority w:val="99"/>
    <w:rPr>
      <w:color w:val="0000FF"/>
      <w:u w:val="single"/>
    </w:rPr>
  </w:style>
  <w:style w:type="character" w:styleId="39">
    <w:name w:val="annotation reference"/>
    <w:qFormat/>
    <w:uiPriority w:val="0"/>
    <w:rPr>
      <w:sz w:val="21"/>
    </w:rPr>
  </w:style>
  <w:style w:type="character" w:customStyle="1" w:styleId="40">
    <w:name w:val="正文文本 Char"/>
    <w:link w:val="12"/>
    <w:qFormat/>
    <w:uiPriority w:val="0"/>
    <w:rPr>
      <w:rFonts w:ascii="宋体"/>
      <w:kern w:val="2"/>
      <w:sz w:val="24"/>
    </w:rPr>
  </w:style>
  <w:style w:type="character" w:customStyle="1" w:styleId="41">
    <w:name w:val="正文文本缩进 Char"/>
    <w:link w:val="13"/>
    <w:qFormat/>
    <w:uiPriority w:val="0"/>
    <w:rPr>
      <w:rFonts w:ascii="宋体"/>
      <w:kern w:val="2"/>
      <w:sz w:val="24"/>
    </w:rPr>
  </w:style>
  <w:style w:type="character" w:customStyle="1" w:styleId="42">
    <w:name w:val="正文文本缩进 3 Char"/>
    <w:link w:val="25"/>
    <w:qFormat/>
    <w:uiPriority w:val="0"/>
    <w:rPr>
      <w:rFonts w:ascii="宋体" w:eastAsia="宋体"/>
      <w:color w:val="FF0000"/>
      <w:kern w:val="2"/>
      <w:sz w:val="24"/>
      <w:lang w:val="en-US" w:eastAsia="zh-CN" w:bidi="ar-SA"/>
    </w:rPr>
  </w:style>
  <w:style w:type="character" w:customStyle="1" w:styleId="43">
    <w:name w:val="正文文本 2 Char"/>
    <w:basedOn w:val="34"/>
    <w:link w:val="28"/>
    <w:qFormat/>
    <w:uiPriority w:val="0"/>
    <w:rPr>
      <w:rFonts w:ascii="宋体"/>
      <w:kern w:val="2"/>
      <w:sz w:val="24"/>
    </w:rPr>
  </w:style>
  <w:style w:type="paragraph" w:customStyle="1" w:styleId="44">
    <w:name w:val="Normal Indent"/>
    <w:basedOn w:val="1"/>
    <w:qFormat/>
    <w:uiPriority w:val="0"/>
    <w:pPr>
      <w:widowControl/>
      <w:spacing w:line="360" w:lineRule="auto"/>
      <w:ind w:firstLine="420"/>
      <w:jc w:val="left"/>
    </w:pPr>
    <w:rPr>
      <w:rFonts w:ascii="宋体" w:hAnsi="Times New Roman" w:eastAsia="宋体" w:cs="Times New Roman"/>
      <w:kern w:val="0"/>
      <w:sz w:val="20"/>
      <w:szCs w:val="20"/>
    </w:rPr>
  </w:style>
  <w:style w:type="paragraph" w:customStyle="1" w:styleId="45">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46">
    <w:name w:val="Normal Indent1"/>
    <w:basedOn w:val="1"/>
    <w:qFormat/>
    <w:uiPriority w:val="0"/>
    <w:pPr>
      <w:widowControl/>
      <w:spacing w:line="360" w:lineRule="auto"/>
      <w:ind w:firstLine="420"/>
      <w:jc w:val="left"/>
    </w:pPr>
    <w:rPr>
      <w:rFonts w:ascii="宋体" w:hAnsi="Times New Roman" w:cs="Times New Roman"/>
      <w:kern w:val="0"/>
      <w:sz w:val="20"/>
      <w:szCs w:val="20"/>
    </w:rPr>
  </w:style>
  <w:style w:type="character" w:customStyle="1" w:styleId="47">
    <w:name w:val="页码 New"/>
    <w:qFormat/>
    <w:uiPriority w:val="0"/>
    <w:rPr>
      <w:rFonts w:eastAsia="宋体"/>
      <w:kern w:val="2"/>
      <w:sz w:val="24"/>
      <w:szCs w:val="24"/>
      <w:lang w:val="en-US" w:eastAsia="zh-CN" w:bidi="ar-SA"/>
    </w:rPr>
  </w:style>
  <w:style w:type="character" w:customStyle="1" w:styleId="48">
    <w:name w:val="NormalCharacter"/>
    <w:semiHidden/>
    <w:qFormat/>
    <w:uiPriority w:val="0"/>
    <w:rPr>
      <w:rFonts w:ascii="宋体"/>
      <w:kern w:val="2"/>
      <w:sz w:val="24"/>
      <w:lang w:val="en-US" w:eastAsia="zh-CN" w:bidi="ar-SA"/>
    </w:rPr>
  </w:style>
  <w:style w:type="character" w:customStyle="1" w:styleId="49">
    <w:name w:val="标题 3 New New Char"/>
    <w:link w:val="50"/>
    <w:qFormat/>
    <w:uiPriority w:val="0"/>
    <w:rPr>
      <w:sz w:val="24"/>
    </w:rPr>
  </w:style>
  <w:style w:type="paragraph" w:customStyle="1" w:styleId="50">
    <w:name w:val="标题 3 New New"/>
    <w:basedOn w:val="51"/>
    <w:next w:val="51"/>
    <w:link w:val="49"/>
    <w:qFormat/>
    <w:uiPriority w:val="0"/>
    <w:pPr>
      <w:keepNext/>
      <w:keepLines/>
      <w:spacing w:before="120" w:beforeLines="0" w:beforeAutospacing="0" w:after="120" w:afterLines="0" w:afterAutospacing="0"/>
      <w:jc w:val="center"/>
      <w:outlineLvl w:val="2"/>
    </w:pPr>
    <w:rPr>
      <w:rFonts w:ascii="Times New Roman"/>
      <w:sz w:val="24"/>
    </w:rPr>
  </w:style>
  <w:style w:type="paragraph" w:customStyle="1" w:styleId="51">
    <w:name w:val="正文缩进 New"/>
    <w:basedOn w:val="52"/>
    <w:qFormat/>
    <w:uiPriority w:val="0"/>
    <w:pPr>
      <w:widowControl/>
      <w:ind w:firstLine="420"/>
      <w:jc w:val="left"/>
    </w:pPr>
    <w:rPr>
      <w:kern w:val="0"/>
      <w:sz w:val="20"/>
    </w:rPr>
  </w:style>
  <w:style w:type="paragraph" w:customStyle="1" w:styleId="52">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3">
    <w:name w:val="超链接 New New"/>
    <w:qFormat/>
    <w:uiPriority w:val="0"/>
    <w:rPr>
      <w:color w:val="000000"/>
      <w:sz w:val="18"/>
      <w:szCs w:val="18"/>
      <w:u w:val="none"/>
    </w:rPr>
  </w:style>
  <w:style w:type="character" w:customStyle="1" w:styleId="54">
    <w:name w:val="页码 New New New"/>
    <w:qFormat/>
    <w:uiPriority w:val="0"/>
    <w:rPr>
      <w:rFonts w:eastAsia="宋体"/>
      <w:kern w:val="2"/>
      <w:sz w:val="24"/>
      <w:szCs w:val="24"/>
      <w:lang w:val="en-US" w:eastAsia="zh-CN" w:bidi="ar-SA"/>
    </w:rPr>
  </w:style>
  <w:style w:type="character" w:customStyle="1" w:styleId="55">
    <w:name w:val="超链接 New"/>
    <w:qFormat/>
    <w:uiPriority w:val="0"/>
    <w:rPr>
      <w:color w:val="000000"/>
      <w:sz w:val="18"/>
      <w:szCs w:val="18"/>
      <w:u w:val="none"/>
    </w:rPr>
  </w:style>
  <w:style w:type="character" w:customStyle="1" w:styleId="56">
    <w:name w:val="默认段落字体 New New"/>
    <w:link w:val="57"/>
    <w:qFormat/>
    <w:uiPriority w:val="0"/>
    <w:rPr>
      <w:rFonts w:ascii="Tahoma" w:hAnsi="Tahoma"/>
      <w:szCs w:val="24"/>
    </w:rPr>
  </w:style>
  <w:style w:type="paragraph" w:customStyle="1" w:styleId="57">
    <w:name w:val=" Char New New"/>
    <w:basedOn w:val="1"/>
    <w:link w:val="56"/>
    <w:qFormat/>
    <w:uiPriority w:val="0"/>
    <w:pPr>
      <w:spacing w:line="240" w:lineRule="auto"/>
    </w:pPr>
    <w:rPr>
      <w:rFonts w:ascii="Tahoma" w:hAnsi="Tahoma"/>
      <w:kern w:val="0"/>
      <w:sz w:val="20"/>
      <w:szCs w:val="24"/>
    </w:rPr>
  </w:style>
  <w:style w:type="character" w:customStyle="1" w:styleId="58">
    <w:name w:val="页码 New New"/>
    <w:qFormat/>
    <w:uiPriority w:val="0"/>
    <w:rPr>
      <w:rFonts w:eastAsia="宋体"/>
      <w:kern w:val="2"/>
      <w:sz w:val="24"/>
      <w:szCs w:val="24"/>
      <w:lang w:val="en-US" w:eastAsia="zh-CN" w:bidi="ar-SA"/>
    </w:rPr>
  </w:style>
  <w:style w:type="character" w:customStyle="1" w:styleId="59">
    <w:name w:val=" Char Char1"/>
    <w:qFormat/>
    <w:uiPriority w:val="0"/>
    <w:rPr>
      <w:rFonts w:ascii="宋体" w:eastAsia="宋体"/>
      <w:color w:val="FF0000"/>
      <w:kern w:val="2"/>
      <w:sz w:val="24"/>
      <w:lang w:val="en-US" w:eastAsia="zh-CN" w:bidi="ar-SA"/>
    </w:rPr>
  </w:style>
  <w:style w:type="character" w:customStyle="1" w:styleId="60">
    <w:name w:val="sugg-loading"/>
    <w:basedOn w:val="34"/>
    <w:qFormat/>
    <w:uiPriority w:val="0"/>
  </w:style>
  <w:style w:type="character" w:customStyle="1" w:styleId="61">
    <w:name w:val="默认段落字体 New"/>
    <w:link w:val="62"/>
    <w:qFormat/>
    <w:uiPriority w:val="0"/>
    <w:rPr>
      <w:rFonts w:ascii="Tahoma" w:hAnsi="Tahoma"/>
      <w:szCs w:val="24"/>
    </w:rPr>
  </w:style>
  <w:style w:type="paragraph" w:customStyle="1" w:styleId="62">
    <w:name w:val=" Char New"/>
    <w:basedOn w:val="1"/>
    <w:link w:val="61"/>
    <w:qFormat/>
    <w:uiPriority w:val="0"/>
    <w:pPr>
      <w:spacing w:line="240" w:lineRule="auto"/>
    </w:pPr>
    <w:rPr>
      <w:rFonts w:ascii="Tahoma" w:hAnsi="Tahoma"/>
      <w:kern w:val="0"/>
      <w:sz w:val="20"/>
      <w:szCs w:val="24"/>
    </w:rPr>
  </w:style>
  <w:style w:type="character" w:customStyle="1" w:styleId="63">
    <w:name w:val="正文文本 (2) + 间距 0 pt3"/>
    <w:basedOn w:val="34"/>
    <w:qFormat/>
    <w:uiPriority w:val="99"/>
    <w:rPr>
      <w:rFonts w:ascii="MingLiU" w:eastAsia="MingLiU" w:cs="MingLiU"/>
      <w:spacing w:val="0"/>
      <w:sz w:val="22"/>
      <w:szCs w:val="22"/>
      <w:u w:val="none"/>
    </w:rPr>
  </w:style>
  <w:style w:type="character" w:customStyle="1" w:styleId="64">
    <w:name w:val="Default Paragraph Font"/>
    <w:qFormat/>
    <w:uiPriority w:val="0"/>
    <w:rPr>
      <w:rFonts w:hint="default"/>
    </w:rPr>
  </w:style>
  <w:style w:type="paragraph" w:customStyle="1" w:styleId="6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6"/>
    <w:qFormat/>
    <w:uiPriority w:val="0"/>
    <w:pPr>
      <w:widowControl w:val="0"/>
      <w:jc w:val="both"/>
    </w:pPr>
    <w:rPr>
      <w:rFonts w:ascii="Calibri" w:hAnsi="Calibri" w:eastAsia="宋体" w:cs="黑体"/>
      <w:kern w:val="2"/>
      <w:sz w:val="21"/>
      <w:szCs w:val="24"/>
      <w:lang w:val="en-US" w:eastAsia="zh-CN" w:bidi="ar-SA"/>
    </w:rPr>
  </w:style>
  <w:style w:type="paragraph" w:customStyle="1" w:styleId="66">
    <w:name w:val="样式 宋体 行距: 1.5 倍行距"/>
    <w:basedOn w:val="65"/>
    <w:next w:val="1"/>
    <w:qFormat/>
    <w:uiPriority w:val="0"/>
    <w:pPr>
      <w:jc w:val="center"/>
    </w:pPr>
    <w:rPr>
      <w:rFonts w:ascii="Times New Roman"/>
      <w:b/>
    </w:rPr>
  </w:style>
  <w:style w:type="paragraph" w:customStyle="1" w:styleId="67">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8">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页脚 New New New New New New New New New New"/>
    <w:basedOn w:val="70"/>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70">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71">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正文文本缩进 New"/>
    <w:basedOn w:val="52"/>
    <w:qFormat/>
    <w:uiPriority w:val="0"/>
    <w:pPr>
      <w:ind w:firstLine="560" w:firstLineChars="200"/>
    </w:pPr>
    <w:rPr>
      <w:rFonts w:ascii="宋体"/>
      <w:kern w:val="2"/>
      <w:sz w:val="24"/>
    </w:rPr>
  </w:style>
  <w:style w:type="paragraph" w:customStyle="1" w:styleId="73">
    <w:name w:val="页脚 New New New New New New"/>
    <w:basedOn w:val="74"/>
    <w:qFormat/>
    <w:uiPriority w:val="0"/>
    <w:pPr>
      <w:tabs>
        <w:tab w:val="center" w:pos="4153"/>
        <w:tab w:val="right" w:pos="8306"/>
      </w:tabs>
      <w:snapToGrid w:val="0"/>
      <w:jc w:val="left"/>
    </w:pPr>
    <w:rPr>
      <w:sz w:val="18"/>
    </w:rPr>
  </w:style>
  <w:style w:type="paragraph" w:customStyle="1" w:styleId="74">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5">
    <w:name w:val="普通(网站) New"/>
    <w:basedOn w:val="74"/>
    <w:qFormat/>
    <w:uiPriority w:val="0"/>
    <w:rPr>
      <w:sz w:val="24"/>
    </w:rPr>
  </w:style>
  <w:style w:type="paragraph" w:customStyle="1" w:styleId="76">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7">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78">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9">
    <w:name w:val="页脚 New New New New New New New New New"/>
    <w:basedOn w:val="80"/>
    <w:qFormat/>
    <w:uiPriority w:val="0"/>
    <w:pPr>
      <w:tabs>
        <w:tab w:val="center" w:pos="4153"/>
        <w:tab w:val="right" w:pos="8306"/>
      </w:tabs>
      <w:snapToGrid w:val="0"/>
      <w:jc w:val="left"/>
    </w:pPr>
    <w:rPr>
      <w:kern w:val="2"/>
      <w:sz w:val="18"/>
      <w:szCs w:val="18"/>
    </w:rPr>
  </w:style>
  <w:style w:type="paragraph" w:customStyle="1" w:styleId="80">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页眉 New New New New New"/>
    <w:basedOn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82">
    <w:name w:val=" Char Char2"/>
    <w:basedOn w:val="10"/>
    <w:qFormat/>
    <w:uiPriority w:val="0"/>
    <w:pPr>
      <w:spacing w:line="240" w:lineRule="auto"/>
    </w:pPr>
  </w:style>
  <w:style w:type="paragraph" w:customStyle="1" w:styleId="83">
    <w:name w:val="_Style 130"/>
    <w:basedOn w:val="10"/>
    <w:qFormat/>
    <w:uiPriority w:val="0"/>
    <w:pPr>
      <w:spacing w:line="240" w:lineRule="auto"/>
    </w:pPr>
    <w:rPr>
      <w:rFonts w:ascii="Times New Roman"/>
      <w:sz w:val="21"/>
    </w:rPr>
  </w:style>
  <w:style w:type="paragraph" w:customStyle="1" w:styleId="84">
    <w:name w:val="正文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5">
    <w:name w:val="正文缩进1"/>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86">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8">
    <w:name w:val="页脚 New New New New New New New New New New New New"/>
    <w:basedOn w:val="84"/>
    <w:qFormat/>
    <w:uiPriority w:val="0"/>
    <w:pPr>
      <w:tabs>
        <w:tab w:val="center" w:pos="4153"/>
        <w:tab w:val="right" w:pos="8306"/>
      </w:tabs>
      <w:snapToGrid w:val="0"/>
      <w:jc w:val="left"/>
    </w:pPr>
    <w:rPr>
      <w:rFonts w:eastAsia="楷体_GB2312"/>
      <w:kern w:val="2"/>
      <w:sz w:val="18"/>
      <w:szCs w:val="18"/>
    </w:rPr>
  </w:style>
  <w:style w:type="paragraph" w:customStyle="1" w:styleId="89">
    <w:name w:val="纯文本 New New"/>
    <w:basedOn w:val="90"/>
    <w:qFormat/>
    <w:uiPriority w:val="0"/>
    <w:rPr>
      <w:rFonts w:ascii="宋体" w:hAnsi="Courier New" w:eastAsia="楷体_GB2312"/>
      <w:kern w:val="2"/>
      <w:sz w:val="21"/>
      <w:szCs w:val="24"/>
      <w:lang w:val="en-US" w:eastAsia="zh-CN" w:bidi="ar-SA"/>
    </w:rPr>
  </w:style>
  <w:style w:type="paragraph" w:customStyle="1" w:styleId="90">
    <w:name w:val="正文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1">
    <w:name w:val="页眉 New New New New New New New New"/>
    <w:basedOn w:val="92"/>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92">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页眉 New New New New New New"/>
    <w:basedOn w:val="95"/>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95">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6">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7">
    <w:name w:val="标题 3 New"/>
    <w:basedOn w:val="6"/>
    <w:next w:val="6"/>
    <w:qFormat/>
    <w:uiPriority w:val="0"/>
    <w:pPr>
      <w:keepNext/>
      <w:keepLines/>
      <w:spacing w:before="120" w:beforeLines="0" w:after="120" w:afterLines="0"/>
      <w:jc w:val="center"/>
      <w:outlineLvl w:val="2"/>
    </w:pPr>
    <w:rPr>
      <w:sz w:val="24"/>
    </w:rPr>
  </w:style>
  <w:style w:type="paragraph" w:customStyle="1" w:styleId="98">
    <w:name w:val="Normal"/>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99">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0">
    <w:name w:val="页脚 New New New New"/>
    <w:basedOn w:val="101"/>
    <w:qFormat/>
    <w:uiPriority w:val="0"/>
    <w:pPr>
      <w:tabs>
        <w:tab w:val="center" w:pos="4153"/>
        <w:tab w:val="right" w:pos="8306"/>
      </w:tabs>
      <w:snapToGrid w:val="0"/>
      <w:jc w:val="left"/>
    </w:pPr>
    <w:rPr>
      <w:sz w:val="18"/>
      <w:szCs w:val="18"/>
    </w:rPr>
  </w:style>
  <w:style w:type="paragraph" w:customStyle="1" w:styleId="101">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3">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p0"/>
    <w:basedOn w:val="106"/>
    <w:qFormat/>
    <w:uiPriority w:val="0"/>
    <w:pPr>
      <w:widowControl/>
      <w:spacing w:line="360" w:lineRule="auto"/>
    </w:pPr>
    <w:rPr>
      <w:rFonts w:ascii="宋体" w:hAnsi="宋体" w:eastAsia="宋体" w:cs="宋体"/>
      <w:kern w:val="0"/>
      <w:sz w:val="24"/>
      <w:szCs w:val="24"/>
    </w:rPr>
  </w:style>
  <w:style w:type="paragraph" w:customStyle="1" w:styleId="106">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7">
    <w:name w:val="_Style 1"/>
    <w:basedOn w:val="1"/>
    <w:qFormat/>
    <w:uiPriority w:val="0"/>
    <w:pPr>
      <w:spacing w:line="240" w:lineRule="auto"/>
      <w:ind w:firstLine="420" w:firstLineChars="200"/>
    </w:pPr>
    <w:rPr>
      <w:rFonts w:ascii="Calibri" w:hAnsi="Calibri"/>
      <w:sz w:val="21"/>
      <w:szCs w:val="22"/>
    </w:rPr>
  </w:style>
  <w:style w:type="paragraph" w:customStyle="1" w:styleId="108">
    <w:name w:val="页脚 New New New New New New New New New New New New New"/>
    <w:basedOn w:val="109"/>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09">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10">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页脚 New New New New New New New New"/>
    <w:basedOn w:val="104"/>
    <w:qFormat/>
    <w:uiPriority w:val="0"/>
    <w:pPr>
      <w:tabs>
        <w:tab w:val="center" w:pos="4153"/>
        <w:tab w:val="right" w:pos="8306"/>
      </w:tabs>
      <w:snapToGrid w:val="0"/>
      <w:jc w:val="left"/>
    </w:pPr>
    <w:rPr>
      <w:kern w:val="2"/>
      <w:sz w:val="18"/>
      <w:szCs w:val="18"/>
    </w:rPr>
  </w:style>
  <w:style w:type="paragraph" w:customStyle="1" w:styleId="112">
    <w:name w:val="正文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3">
    <w:name w:val="正文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4">
    <w:name w:val="样式2"/>
    <w:basedOn w:val="22"/>
    <w:qFormat/>
    <w:uiPriority w:val="0"/>
    <w:pPr>
      <w:tabs>
        <w:tab w:val="right" w:leader="dot" w:pos="9345"/>
      </w:tabs>
    </w:pPr>
    <w:rPr>
      <w:rFonts w:ascii="宋体" w:hAnsi="宋体"/>
      <w:b/>
      <w:color w:val="0000FF"/>
      <w:u w:val="single"/>
    </w:rPr>
  </w:style>
  <w:style w:type="paragraph" w:customStyle="1" w:styleId="115">
    <w:name w:val="页脚 New New New"/>
    <w:basedOn w:val="90"/>
    <w:qFormat/>
    <w:uiPriority w:val="0"/>
    <w:pPr>
      <w:tabs>
        <w:tab w:val="center" w:pos="4153"/>
        <w:tab w:val="right" w:pos="8306"/>
      </w:tabs>
      <w:snapToGrid w:val="0"/>
      <w:jc w:val="left"/>
    </w:pPr>
    <w:rPr>
      <w:sz w:val="18"/>
      <w:szCs w:val="18"/>
    </w:rPr>
  </w:style>
  <w:style w:type="paragraph" w:customStyle="1" w:styleId="116">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8">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0">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21">
    <w:name w:val="正文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3">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4">
    <w:name w:val="页眉 New New"/>
    <w:basedOn w:val="87"/>
    <w:qFormat/>
    <w:uiPriority w:val="0"/>
    <w:pPr>
      <w:pBdr>
        <w:bottom w:val="single" w:color="auto" w:sz="6" w:space="1"/>
      </w:pBdr>
      <w:tabs>
        <w:tab w:val="center" w:pos="4153"/>
        <w:tab w:val="right" w:pos="8306"/>
      </w:tabs>
      <w:snapToGrid w:val="0"/>
      <w:jc w:val="center"/>
    </w:pPr>
    <w:rPr>
      <w:sz w:val="18"/>
      <w:szCs w:val="18"/>
    </w:rPr>
  </w:style>
  <w:style w:type="paragraph" w:customStyle="1" w:styleId="125">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6">
    <w:name w:val="标题 2 New"/>
    <w:basedOn w:val="93"/>
    <w:qFormat/>
    <w:uiPriority w:val="0"/>
    <w:pPr>
      <w:widowControl/>
      <w:spacing w:before="100" w:beforeLines="0" w:beforeAutospacing="1" w:after="100" w:afterLines="0" w:afterAutospacing="1"/>
      <w:jc w:val="left"/>
      <w:outlineLvl w:val="1"/>
    </w:pPr>
    <w:rPr>
      <w:rFonts w:ascii="宋体" w:hAnsi="宋体" w:cs="宋体"/>
      <w:b/>
      <w:bCs/>
      <w:kern w:val="0"/>
      <w:sz w:val="36"/>
      <w:szCs w:val="36"/>
    </w:rPr>
  </w:style>
  <w:style w:type="paragraph" w:customStyle="1" w:styleId="127">
    <w:name w:val="正文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8">
    <w:name w:val="样式1"/>
    <w:basedOn w:val="7"/>
    <w:qFormat/>
    <w:uiPriority w:val="0"/>
    <w:pPr>
      <w:tabs>
        <w:tab w:val="right" w:leader="dot" w:pos="9345"/>
      </w:tabs>
    </w:pPr>
    <w:rPr>
      <w:rFonts w:ascii="宋体" w:hAnsi="宋体" w:eastAsia="宋体"/>
      <w:b/>
      <w:caps/>
      <w:sz w:val="24"/>
      <w:u w:val="single"/>
    </w:rPr>
  </w:style>
  <w:style w:type="paragraph" w:customStyle="1" w:styleId="129">
    <w:name w:val="页眉 New New New New"/>
    <w:basedOn w:val="7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30">
    <w:name w:val="页眉 New New New New New New New New New"/>
    <w:basedOn w:val="109"/>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131">
    <w:name w:val="页眉 New"/>
    <w:basedOn w:val="132"/>
    <w:qFormat/>
    <w:uiPriority w:val="0"/>
    <w:pPr>
      <w:pBdr>
        <w:bottom w:val="single" w:color="auto" w:sz="6" w:space="1"/>
      </w:pBdr>
      <w:tabs>
        <w:tab w:val="center" w:pos="4153"/>
        <w:tab w:val="right" w:pos="8306"/>
      </w:tabs>
      <w:snapToGrid w:val="0"/>
      <w:jc w:val="center"/>
    </w:pPr>
    <w:rPr>
      <w:sz w:val="18"/>
      <w:szCs w:val="18"/>
    </w:rPr>
  </w:style>
  <w:style w:type="paragraph" w:customStyle="1" w:styleId="132">
    <w:name w:val="正文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3">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4">
    <w:name w:val="页脚 New"/>
    <w:basedOn w:val="132"/>
    <w:qFormat/>
    <w:uiPriority w:val="0"/>
    <w:pPr>
      <w:tabs>
        <w:tab w:val="center" w:pos="4153"/>
        <w:tab w:val="right" w:pos="8306"/>
      </w:tabs>
      <w:snapToGrid w:val="0"/>
      <w:jc w:val="left"/>
    </w:pPr>
    <w:rPr>
      <w:sz w:val="18"/>
      <w:szCs w:val="18"/>
    </w:rPr>
  </w:style>
  <w:style w:type="paragraph" w:customStyle="1" w:styleId="135">
    <w:name w:val="页眉 New New New"/>
    <w:basedOn w:val="90"/>
    <w:qFormat/>
    <w:uiPriority w:val="0"/>
    <w:pPr>
      <w:pBdr>
        <w:bottom w:val="single" w:color="auto" w:sz="6" w:space="1"/>
      </w:pBdr>
      <w:tabs>
        <w:tab w:val="center" w:pos="4153"/>
        <w:tab w:val="right" w:pos="8306"/>
      </w:tabs>
      <w:snapToGrid w:val="0"/>
      <w:jc w:val="center"/>
    </w:pPr>
    <w:rPr>
      <w:sz w:val="18"/>
      <w:szCs w:val="18"/>
    </w:rPr>
  </w:style>
  <w:style w:type="paragraph" w:customStyle="1" w:styleId="13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7">
    <w:name w:val="p18"/>
    <w:qFormat/>
    <w:uiPriority w:val="0"/>
    <w:pPr>
      <w:spacing w:after="120" w:line="360" w:lineRule="auto"/>
    </w:pPr>
    <w:rPr>
      <w:rFonts w:ascii="宋体" w:hAnsi="宋体" w:eastAsia="宋体" w:cs="宋体"/>
      <w:sz w:val="24"/>
      <w:szCs w:val="24"/>
      <w:lang w:val="en-US" w:eastAsia="zh-CN" w:bidi="ar-SA"/>
    </w:rPr>
  </w:style>
  <w:style w:type="paragraph" w:customStyle="1" w:styleId="138">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9">
    <w:name w:val="页脚 New New"/>
    <w:basedOn w:val="87"/>
    <w:qFormat/>
    <w:uiPriority w:val="0"/>
    <w:pPr>
      <w:tabs>
        <w:tab w:val="center" w:pos="4153"/>
        <w:tab w:val="right" w:pos="8306"/>
      </w:tabs>
      <w:snapToGrid w:val="0"/>
      <w:jc w:val="left"/>
    </w:pPr>
    <w:rPr>
      <w:sz w:val="18"/>
      <w:szCs w:val="18"/>
    </w:rPr>
  </w:style>
  <w:style w:type="paragraph" w:customStyle="1" w:styleId="140">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1">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2">
    <w:name w:val="Normal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43">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4">
    <w:name w:val="页脚 New New New New New"/>
    <w:basedOn w:val="78"/>
    <w:qFormat/>
    <w:uiPriority w:val="0"/>
    <w:pPr>
      <w:tabs>
        <w:tab w:val="center" w:pos="4153"/>
        <w:tab w:val="right" w:pos="8306"/>
      </w:tabs>
      <w:snapToGrid w:val="0"/>
      <w:jc w:val="left"/>
    </w:pPr>
    <w:rPr>
      <w:sz w:val="18"/>
    </w:rPr>
  </w:style>
  <w:style w:type="paragraph" w:customStyle="1" w:styleId="145">
    <w:name w:val="纯文本 New"/>
    <w:basedOn w:val="87"/>
    <w:qFormat/>
    <w:uiPriority w:val="0"/>
    <w:rPr>
      <w:rFonts w:ascii="宋体" w:hAnsi="Courier New" w:eastAsia="楷体_GB2312"/>
      <w:kern w:val="2"/>
      <w:sz w:val="21"/>
      <w:szCs w:val="24"/>
      <w:lang w:val="en-US" w:eastAsia="zh-CN" w:bidi="ar-SA"/>
    </w:rPr>
  </w:style>
  <w:style w:type="paragraph" w:customStyle="1" w:styleId="146">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7">
    <w:name w:val=" Char"/>
    <w:basedOn w:val="10"/>
    <w:qFormat/>
    <w:uiPriority w:val="0"/>
    <w:pPr>
      <w:spacing w:line="240" w:lineRule="auto"/>
    </w:pPr>
  </w:style>
  <w:style w:type="paragraph" w:customStyle="1" w:styleId="148">
    <w:name w:val=" Char Char3"/>
    <w:basedOn w:val="10"/>
    <w:qFormat/>
    <w:uiPriority w:val="0"/>
    <w:pPr>
      <w:spacing w:line="240" w:lineRule="auto"/>
    </w:pPr>
  </w:style>
  <w:style w:type="paragraph" w:customStyle="1" w:styleId="149">
    <w:name w:val="正文文本 New New New New New New New"/>
    <w:basedOn w:val="1"/>
    <w:qFormat/>
    <w:uiPriority w:val="0"/>
    <w:pPr>
      <w:spacing w:after="120"/>
    </w:pPr>
  </w:style>
  <w:style w:type="paragraph" w:customStyle="1" w:styleId="150">
    <w:name w:val="页眉 New New New New New New New"/>
    <w:basedOn w:val="70"/>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151">
    <w:name w:val="页脚 New New New New New New New New New New New"/>
    <w:basedOn w:val="92"/>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52">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53">
    <w:name w:val="footer"/>
    <w:basedOn w:val="98"/>
    <w:qFormat/>
    <w:uiPriority w:val="0"/>
    <w:pPr>
      <w:widowControl/>
      <w:tabs>
        <w:tab w:val="center" w:pos="4153"/>
        <w:tab w:val="right" w:pos="8306"/>
      </w:tabs>
      <w:snapToGrid w:val="0"/>
      <w:jc w:val="left"/>
    </w:pPr>
    <w:rPr>
      <w:rFonts w:hint="eastAsia"/>
      <w:kern w:val="0"/>
      <w:sz w:val="18"/>
    </w:rPr>
  </w:style>
  <w:style w:type="paragraph" w:customStyle="1" w:styleId="154">
    <w:name w:val="页脚 New New New New New New New"/>
    <w:basedOn w:val="95"/>
    <w:qFormat/>
    <w:uiPriority w:val="0"/>
    <w:pPr>
      <w:widowControl/>
      <w:tabs>
        <w:tab w:val="center" w:pos="4153"/>
        <w:tab w:val="right" w:pos="8306"/>
      </w:tabs>
      <w:snapToGrid w:val="0"/>
      <w:jc w:val="left"/>
    </w:pPr>
    <w:rPr>
      <w:kern w:val="0"/>
      <w:sz w:val="18"/>
      <w:szCs w:val="20"/>
    </w:rPr>
  </w:style>
  <w:style w:type="paragraph" w:customStyle="1" w:styleId="155">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56">
    <w:name w:val="blockquote"/>
    <w:basedOn w:val="1"/>
    <w:qFormat/>
    <w:uiPriority w:val="0"/>
    <w:pPr>
      <w:widowControl/>
      <w:spacing w:before="100" w:beforeLines="0" w:beforeAutospacing="1" w:after="100" w:afterLines="0" w:afterAutospacing="1" w:line="240" w:lineRule="auto"/>
      <w:jc w:val="left"/>
    </w:pPr>
    <w:rPr>
      <w:rFonts w:hAnsi="宋体"/>
      <w:kern w:val="0"/>
    </w:rPr>
  </w:style>
  <w:style w:type="paragraph" w:customStyle="1" w:styleId="157">
    <w:name w:val="正文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58">
    <w:name w:val="toc 3"/>
    <w:basedOn w:val="98"/>
    <w:next w:val="98"/>
    <w:qFormat/>
    <w:uiPriority w:val="0"/>
    <w:pPr>
      <w:ind w:left="561"/>
      <w:jc w:val="left"/>
    </w:pPr>
    <w:rPr>
      <w:rFonts w:hint="eastAsia"/>
    </w:rPr>
  </w:style>
  <w:style w:type="paragraph" w:customStyle="1" w:styleId="159">
    <w:name w:val="正文文本缩进 New New New New"/>
    <w:basedOn w:val="157"/>
    <w:qFormat/>
    <w:uiPriority w:val="0"/>
    <w:pPr>
      <w:ind w:firstLine="560" w:firstLineChars="200"/>
    </w:pPr>
    <w:rPr>
      <w:rFonts w:ascii="宋体"/>
      <w:kern w:val="2"/>
      <w:sz w:val="24"/>
      <w:szCs w:val="28"/>
    </w:rPr>
  </w:style>
  <w:style w:type="paragraph" w:customStyle="1" w:styleId="160">
    <w:name w:val="正文文本 New New"/>
    <w:basedOn w:val="1"/>
    <w:qFormat/>
    <w:uiPriority w:val="0"/>
    <w:pPr>
      <w:spacing w:after="120"/>
    </w:pPr>
  </w:style>
  <w:style w:type="paragraph" w:customStyle="1" w:styleId="161">
    <w:name w:val="UserStyle_90"/>
    <w:basedOn w:val="1"/>
    <w:qFormat/>
    <w:uiPriority w:val="99"/>
    <w:pPr>
      <w:topLinePunct/>
      <w:ind w:firstLine="420" w:firstLineChars="200"/>
    </w:pPr>
    <w:rPr>
      <w:rFonts w:hAnsi="宋体"/>
    </w:rPr>
  </w:style>
  <w:style w:type="paragraph" w:customStyle="1" w:styleId="162">
    <w:name w:val="正文文本 New"/>
    <w:basedOn w:val="1"/>
    <w:qFormat/>
    <w:uiPriority w:val="0"/>
    <w:pPr>
      <w:spacing w:after="120"/>
    </w:pPr>
  </w:style>
  <w:style w:type="paragraph" w:customStyle="1" w:styleId="163">
    <w:name w:val="Table Text"/>
    <w:basedOn w:val="1"/>
    <w:semiHidden/>
    <w:qFormat/>
    <w:uiPriority w:val="0"/>
    <w:rPr>
      <w:rFonts w:ascii="宋体" w:hAnsi="宋体" w:eastAsia="宋体" w:cs="宋体"/>
      <w:sz w:val="24"/>
      <w:szCs w:val="24"/>
      <w:lang w:val="en-US" w:eastAsia="en-US" w:bidi="ar-SA"/>
    </w:rPr>
  </w:style>
  <w:style w:type="table" w:customStyle="1" w:styleId="16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16.png"/><Relationship Id="rId40" Type="http://schemas.openxmlformats.org/officeDocument/2006/relationships/image" Target="media/image15.png"/><Relationship Id="rId4" Type="http://schemas.openxmlformats.org/officeDocument/2006/relationships/endnotes" Target="endnotes.xml"/><Relationship Id="rId39" Type="http://schemas.openxmlformats.org/officeDocument/2006/relationships/image" Target="media/image14.png"/><Relationship Id="rId38" Type="http://schemas.openxmlformats.org/officeDocument/2006/relationships/image" Target="media/image13.wmf"/><Relationship Id="rId37" Type="http://schemas.openxmlformats.org/officeDocument/2006/relationships/oleObject" Target="embeddings/oleObject12.bin"/><Relationship Id="rId36" Type="http://schemas.openxmlformats.org/officeDocument/2006/relationships/image" Target="media/image12.wmf"/><Relationship Id="rId35" Type="http://schemas.openxmlformats.org/officeDocument/2006/relationships/oleObject" Target="embeddings/oleObject11.bin"/><Relationship Id="rId34" Type="http://schemas.openxmlformats.org/officeDocument/2006/relationships/image" Target="media/image11.wmf"/><Relationship Id="rId33" Type="http://schemas.openxmlformats.org/officeDocument/2006/relationships/oleObject" Target="embeddings/oleObject10.bin"/><Relationship Id="rId32" Type="http://schemas.openxmlformats.org/officeDocument/2006/relationships/image" Target="media/image10.wmf"/><Relationship Id="rId31" Type="http://schemas.openxmlformats.org/officeDocument/2006/relationships/oleObject" Target="embeddings/oleObject9.bin"/><Relationship Id="rId30" Type="http://schemas.openxmlformats.org/officeDocument/2006/relationships/image" Target="media/image9.wmf"/><Relationship Id="rId3" Type="http://schemas.openxmlformats.org/officeDocument/2006/relationships/footnotes" Target="footnotes.xml"/><Relationship Id="rId29" Type="http://schemas.openxmlformats.org/officeDocument/2006/relationships/oleObject" Target="embeddings/oleObject8.bin"/><Relationship Id="rId28" Type="http://schemas.openxmlformats.org/officeDocument/2006/relationships/image" Target="media/image8.wmf"/><Relationship Id="rId27" Type="http://schemas.openxmlformats.org/officeDocument/2006/relationships/oleObject" Target="embeddings/oleObject7.bin"/><Relationship Id="rId26" Type="http://schemas.openxmlformats.org/officeDocument/2006/relationships/image" Target="media/image7.wmf"/><Relationship Id="rId25" Type="http://schemas.openxmlformats.org/officeDocument/2006/relationships/oleObject" Target="embeddings/oleObject6.bin"/><Relationship Id="rId24" Type="http://schemas.openxmlformats.org/officeDocument/2006/relationships/image" Target="media/image6.wmf"/><Relationship Id="rId23" Type="http://schemas.openxmlformats.org/officeDocument/2006/relationships/oleObject" Target="embeddings/oleObject5.bin"/><Relationship Id="rId22" Type="http://schemas.openxmlformats.org/officeDocument/2006/relationships/image" Target="media/image5.wmf"/><Relationship Id="rId21" Type="http://schemas.openxmlformats.org/officeDocument/2006/relationships/oleObject" Target="embeddings/oleObject4.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3.wmf"/><Relationship Id="rId17" Type="http://schemas.openxmlformats.org/officeDocument/2006/relationships/oleObject" Target="embeddings/oleObject2.bin"/><Relationship Id="rId16" Type="http://schemas.openxmlformats.org/officeDocument/2006/relationships/image" Target="media/image2.wmf"/><Relationship Id="rId15" Type="http://schemas.openxmlformats.org/officeDocument/2006/relationships/oleObject" Target="embeddings/oleObject1.bin"/><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Norma3</Template>
  <Company>1</Company>
  <Pages>85</Pages>
  <Words>58507</Words>
  <Characters>62499</Characters>
  <Lines>1</Lines>
  <Paragraphs>1</Paragraphs>
  <TotalTime>14</TotalTime>
  <ScaleCrop>false</ScaleCrop>
  <LinksUpToDate>false</LinksUpToDate>
  <CharactersWithSpaces>65960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2020-12-31T08:16:00Z</dcterms:created>
  <dc:creator>kingsons</dc:creator>
  <cp:lastModifiedBy>晴子小姐</cp:lastModifiedBy>
  <cp:lastPrinted>2023-05-23T01:54:00Z</cp:lastPrinted>
  <dcterms:modified xsi:type="dcterms:W3CDTF">2025-08-29T06:45:38Z</dcterms:modified>
  <dc:title>广东省韶关学院第三期学生公寓第一、二组团工程施工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ribbonExt">
    <vt:lpwstr>{"WPSExtOfficeTab":{"OnGetEnabled":false,"OnGetVisible":false}}</vt:lpwstr>
  </property>
  <property fmtid="{D5CDD505-2E9C-101B-9397-08002B2CF9AE}" pid="4" name="ICV">
    <vt:lpwstr>1C41A04D0F4C40E3B49C7A2A2B312E63_13</vt:lpwstr>
  </property>
  <property fmtid="{D5CDD505-2E9C-101B-9397-08002B2CF9AE}" pid="5" name="commondata">
    <vt:lpwstr>eyJoZGlkIjoiNWRhNjQzOTM5ODVmOTQ2MzY2NGJhMTM3NzA1ZWM3NTYifQ==</vt:lpwstr>
  </property>
  <property fmtid="{D5CDD505-2E9C-101B-9397-08002B2CF9AE}" pid="6" name="KSOTemplateDocerSaveRecord">
    <vt:lpwstr>eyJoZGlkIjoiZjIwYTdiMzgyMmRiYjAxYWM1YTgyOTE0NTE3Y2EyMjgiLCJ1c2VySWQiOiIyNDY5MTQ4MTEifQ==</vt:lpwstr>
  </property>
</Properties>
</file>