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DDA9F">
      <w:pPr>
        <w:jc w:val="center"/>
        <w:rPr>
          <w:rFonts w:hint="eastAsia" w:asciiTheme="minorEastAsia" w:hAnsiTheme="minorEastAsia" w:cstheme="minorEastAsia"/>
          <w:b/>
          <w:bCs/>
          <w:sz w:val="36"/>
          <w:szCs w:val="36"/>
        </w:rPr>
      </w:pPr>
      <w:r>
        <w:rPr>
          <w:rFonts w:hint="eastAsia" w:asciiTheme="minorEastAsia" w:hAnsiTheme="minorEastAsia" w:cstheme="minorEastAsia"/>
          <w:b/>
          <w:bCs/>
          <w:sz w:val="36"/>
          <w:szCs w:val="36"/>
        </w:rPr>
        <w:t>工程量清单说明</w:t>
      </w:r>
    </w:p>
    <w:p w14:paraId="4DB4ED87">
      <w:pPr>
        <w:ind w:firstLine="562" w:firstLineChars="200"/>
        <w:jc w:val="left"/>
        <w:rPr>
          <w:rFonts w:hint="eastAsia" w:asciiTheme="minorEastAsia" w:hAnsiTheme="minorEastAsia" w:cstheme="minorEastAsia"/>
          <w:b/>
          <w:bCs/>
          <w:sz w:val="28"/>
          <w:szCs w:val="28"/>
          <w:lang w:val="en-US" w:eastAsia="zh-CN"/>
        </w:rPr>
      </w:pPr>
    </w:p>
    <w:p w14:paraId="79921AE5">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1、工程量清单说明</w:t>
      </w:r>
    </w:p>
    <w:p w14:paraId="36BCA90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rPr>
        <w:t>1</w:t>
      </w: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、本工程量清单是根据招标文件中包括的、有</w:t>
      </w:r>
      <w:r>
        <w:rPr>
          <w:rFonts w:hint="eastAsia" w:asciiTheme="minorEastAsia" w:hAnsiTheme="minorEastAsia" w:cstheme="minorEastAsia"/>
          <w:sz w:val="28"/>
          <w:szCs w:val="28"/>
          <w:lang w:val="en-US" w:eastAsia="zh-CN"/>
        </w:rPr>
        <w:t>合同</w:t>
      </w:r>
      <w:r>
        <w:rPr>
          <w:rFonts w:hint="eastAsia" w:asciiTheme="minorEastAsia" w:hAnsiTheme="minorEastAsia" w:cstheme="minorEastAsia"/>
          <w:sz w:val="28"/>
          <w:szCs w:val="28"/>
        </w:rPr>
        <w:t>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2100A637">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2、本工程量清单应与招标文件中的投标人须知、通用合同条款、专业合同条款、技术规范及图纸等一起阅读和理解。</w:t>
      </w:r>
    </w:p>
    <w:p w14:paraId="50EBE853">
      <w:pPr>
        <w:keepNext w:val="0"/>
        <w:keepLines w:val="0"/>
        <w:pageBreakBefore w:val="0"/>
        <w:widowControl w:val="0"/>
        <w:kinsoku/>
        <w:wordWrap/>
        <w:overflowPunct/>
        <w:topLinePunct w:val="0"/>
        <w:autoSpaceDE/>
        <w:autoSpaceDN/>
        <w:bidi w:val="0"/>
        <w:snapToGrid/>
        <w:spacing w:line="600" w:lineRule="exact"/>
        <w:ind w:firstLine="560" w:firstLineChars="200"/>
        <w:rPr>
          <w:rFonts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3、本工程量清单中所列工程数量是估算的或设计的预计数量，仅作为投标报价的共同基础，不能作为最终结算与支付的依据。实际支付应按实际完成的工程量，由承包人按计量支付规则规定的计量方法，以监理人认可的尺寸、断面计量，按本工程量清单的单价或总额价计算支付金额</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或者，根据具体情况，按合同条款第15.4款的规定，由监理人确定的单价或总额价计算支付额。</w:t>
      </w:r>
    </w:p>
    <w:p w14:paraId="0B8211D6">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1.4、</w:t>
      </w:r>
      <w:r>
        <w:rPr>
          <w:rFonts w:hint="eastAsia" w:asciiTheme="minorEastAsia" w:hAnsiTheme="minorEastAsia" w:cstheme="minorEastAsia"/>
          <w:sz w:val="28"/>
          <w:szCs w:val="28"/>
        </w:rPr>
        <w:t>本工程量清单各章是按“计量支付规则”的相应章次编号的，因此，工程量清单中各章的工程子目的范围与计量等应与“计量支付规则”相应章节的范围、计量与支付条款结合起来理解或解释。各章内子目号、子目名称、单位根据我省的实际情况进行调整、补充和修改，编号的基本规则如下:</w:t>
      </w:r>
    </w:p>
    <w:p w14:paraId="4CBB8DF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(1)子目号全部使用数字，子目名称所对应的子目号具有唯一性。</w:t>
      </w:r>
    </w:p>
    <w:p w14:paraId="26FDB353">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(2)子目在不同章、节之间调整的，按照调整后所属的章、节重新编排;补充同一级子目的，接续原同级子目号依次增加;补充下一级子目的，自阿拉伯数字“1”始开始依次增加。</w:t>
      </w:r>
    </w:p>
    <w:p w14:paraId="4C03C36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(3)补充下一级子目的，首先按结构类型、部位、厚度等划分子目，在已按结构类型、部位、厚度等确定的子目下再补充下一级子目的，则按混凝土(或钢筋、浆砌体等)标号、直径、型号、规格、种类等划分。</w:t>
      </w:r>
    </w:p>
    <w:p w14:paraId="4CBF6C3B">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rPr>
        <w:t>(4)名称中具有数字的子目应自上至下由小到大编排。</w:t>
      </w:r>
    </w:p>
    <w:p w14:paraId="672BE4CF">
      <w:pPr>
        <w:keepNext w:val="0"/>
        <w:keepLines w:val="0"/>
        <w:pageBreakBefore w:val="0"/>
        <w:widowControl w:val="0"/>
        <w:kinsoku/>
        <w:wordWrap/>
        <w:overflowPunct/>
        <w:topLinePunct w:val="0"/>
        <w:autoSpaceDE/>
        <w:autoSpaceDN/>
        <w:bidi w:val="0"/>
        <w:snapToGrid/>
        <w:spacing w:line="600" w:lineRule="exact"/>
        <w:rPr>
          <w:rFonts w:hint="eastAsia" w:asciiTheme="minorEastAsia" w:hAnsiTheme="minorEastAsia" w:cstheme="minorEastAsia"/>
          <w:sz w:val="28"/>
          <w:szCs w:val="28"/>
        </w:rPr>
      </w:pPr>
      <w:r>
        <w:rPr>
          <w:rFonts w:hint="eastAsia" w:asciiTheme="minorEastAsia" w:hAnsiTheme="minorEastAsia" w:cstheme="minorEastAsia"/>
          <w:sz w:val="28"/>
          <w:szCs w:val="28"/>
        </w:rPr>
        <w:t>具体划分可参考工程量清单标准格式中“备注栏”中的说明。</w:t>
      </w:r>
    </w:p>
    <w:p w14:paraId="7F0FC684">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cstheme="minorEastAsia"/>
          <w:sz w:val="28"/>
          <w:szCs w:val="28"/>
        </w:rPr>
        <w:t>5</w:t>
      </w:r>
      <w:r>
        <w:rPr>
          <w:rFonts w:hint="eastAsia" w:asciiTheme="minorEastAsia" w:hAnsiTheme="minorEastAsia" w:cstheme="minorEastAsia"/>
          <w:sz w:val="28"/>
          <w:szCs w:val="28"/>
          <w:lang w:eastAsia="zh-CN"/>
        </w:rPr>
        <w:t>、</w:t>
      </w:r>
      <w:r>
        <w:rPr>
          <w:rFonts w:hint="eastAsia" w:asciiTheme="minorEastAsia" w:hAnsiTheme="minorEastAsia" w:cstheme="minorEastAsia"/>
          <w:sz w:val="28"/>
          <w:szCs w:val="28"/>
        </w:rPr>
        <w:t>对作业和材料的一般说明或规定，未重复写人工程量清单内，在给工程量清单各子目标价前，应参阅“计量支付规则”的有关内容。</w:t>
      </w:r>
    </w:p>
    <w:p w14:paraId="231822DC">
      <w:pPr>
        <w:keepNext w:val="0"/>
        <w:keepLines w:val="0"/>
        <w:pageBreakBefore w:val="0"/>
        <w:widowControl w:val="0"/>
        <w:kinsoku/>
        <w:wordWrap/>
        <w:overflowPunct/>
        <w:topLinePunct w:val="0"/>
        <w:autoSpaceDE/>
        <w:autoSpaceDN/>
        <w:bidi w:val="0"/>
        <w:snapToGrid/>
        <w:spacing w:line="600" w:lineRule="exact"/>
        <w:ind w:firstLine="560" w:firstLineChars="200"/>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1.6、</w:t>
      </w:r>
      <w:r>
        <w:rPr>
          <w:rFonts w:hint="eastAsia" w:asciiTheme="minorEastAsia" w:hAnsiTheme="minorEastAsia" w:cstheme="minorEastAsia"/>
          <w:sz w:val="28"/>
          <w:szCs w:val="28"/>
        </w:rPr>
        <w:t>程量清单中所列工程量的变动，丝毫不会降低或影响合同条款的效力，也不免除承包人按规定的标准进行施工和修复缺陷的责任。</w:t>
      </w:r>
    </w:p>
    <w:p w14:paraId="1ADBE9AF">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rPr>
      </w:pPr>
      <w:r>
        <w:rPr>
          <w:rFonts w:hint="eastAsia" w:asciiTheme="minorEastAsia" w:hAnsiTheme="minorEastAsia" w:cstheme="minorEastAsia"/>
          <w:sz w:val="28"/>
          <w:szCs w:val="28"/>
          <w:lang w:val="en-US" w:eastAsia="zh-CN"/>
        </w:rPr>
        <w:t>1.7、</w:t>
      </w:r>
      <w:r>
        <w:rPr>
          <w:rFonts w:hint="eastAsia" w:asciiTheme="minorEastAsia" w:hAnsiTheme="minorEastAsia" w:cstheme="minorEastAsia"/>
          <w:sz w:val="28"/>
          <w:szCs w:val="28"/>
        </w:rPr>
        <w:t>图纸中所列的工程数量表及数量汇总表仅是提供资料，不是工程量清单的外延。当图纸与工程量清单所列数量不一致时，以工程量清单所列数量作为报价的依据。</w:t>
      </w:r>
    </w:p>
    <w:p w14:paraId="73DF2C40">
      <w:pPr>
        <w:keepNext w:val="0"/>
        <w:keepLines w:val="0"/>
        <w:pageBreakBefore w:val="0"/>
        <w:widowControl w:val="0"/>
        <w:kinsoku/>
        <w:wordWrap/>
        <w:overflowPunct/>
        <w:topLinePunct w:val="0"/>
        <w:autoSpaceDE/>
        <w:autoSpaceDN/>
        <w:bidi w:val="0"/>
        <w:snapToGrid/>
        <w:spacing w:line="600" w:lineRule="exact"/>
        <w:ind w:firstLine="562" w:firstLineChars="200"/>
        <w:jc w:val="left"/>
        <w:rPr>
          <w:rFonts w:hint="eastAsia" w:asciiTheme="minorEastAsia" w:hAnsiTheme="minorEastAsia" w:cstheme="minorEastAsia"/>
          <w:b/>
          <w:bCs/>
          <w:sz w:val="28"/>
          <w:szCs w:val="28"/>
          <w:lang w:eastAsia="zh-CN"/>
        </w:rPr>
      </w:pPr>
      <w:r>
        <w:rPr>
          <w:rFonts w:hint="eastAsia" w:asciiTheme="minorEastAsia" w:hAnsiTheme="minorEastAsia" w:cstheme="minorEastAsia"/>
          <w:b/>
          <w:bCs/>
          <w:sz w:val="28"/>
          <w:szCs w:val="28"/>
          <w:lang w:eastAsia="zh-CN"/>
        </w:rPr>
        <w:t>2投标报价说明</w:t>
      </w:r>
    </w:p>
    <w:p w14:paraId="2776391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2.1工程量清单中的每一子目须填入单价或价格，且只允许有一个报价。</w:t>
      </w:r>
    </w:p>
    <w:p w14:paraId="7B775463">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2.2除非合同另有规定，工程量清单中有标价的单价和总额价均已包括了为实施和完成合同工程所需的劳务、材料、机械、质检(自检)、安装、缺陷修复、管理、保险、税费、利润等费用，以及合同明示或暗示的所有责任、义务和一般风险。</w:t>
      </w:r>
    </w:p>
    <w:p w14:paraId="131CE8E7">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2.3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14:paraId="6677F39C">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2.4符合合同条款规定的全部费用应认为已被计人有标价的工程量清单所列各子目之中，未列子目不予计量的工作，其费用应视为已分摊在本合同工程的有关子目的单价或总额价之中。</w:t>
      </w:r>
    </w:p>
    <w:p w14:paraId="33579E2B">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2.5承包人用于本合同工程的各类装备的提供、运输、维护、拆卸、拼装等支付的费用，已包括在工程量清单的单价与总额价之中。</w:t>
      </w:r>
    </w:p>
    <w:p w14:paraId="74320D95">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eastAsia" w:ascii="宋体" w:hAnsi="宋体" w:eastAsia="宋体" w:cs="宋体"/>
          <w:color w:val="auto"/>
          <w:sz w:val="28"/>
          <w:szCs w:val="28"/>
          <w:lang w:val="en-US" w:eastAsia="zh-CN"/>
        </w:rPr>
      </w:pPr>
      <w:r>
        <w:rPr>
          <w:rFonts w:hint="eastAsia" w:asciiTheme="minorEastAsia" w:hAnsiTheme="minorEastAsia" w:cstheme="minorEastAsia"/>
          <w:sz w:val="28"/>
          <w:szCs w:val="28"/>
          <w:lang w:val="en-US" w:eastAsia="zh-CN"/>
        </w:rPr>
        <w:t>2.6</w:t>
      </w:r>
      <w:r>
        <w:rPr>
          <w:rFonts w:hint="eastAsia" w:ascii="宋体" w:hAnsi="宋体" w:eastAsia="宋体" w:cs="宋体"/>
          <w:color w:val="auto"/>
          <w:sz w:val="28"/>
          <w:szCs w:val="28"/>
          <w:lang w:val="en-US" w:eastAsia="zh-CN"/>
        </w:rPr>
        <w:t>施工场地建设费：投标时统一报价</w:t>
      </w:r>
      <w:r>
        <w:rPr>
          <w:rFonts w:hint="eastAsia" w:ascii="宋体" w:hAnsi="宋体" w:eastAsia="宋体" w:cs="宋体"/>
          <w:color w:val="auto"/>
          <w:sz w:val="28"/>
          <w:szCs w:val="28"/>
          <w:u w:val="single"/>
          <w:lang w:val="en-US" w:eastAsia="zh-CN"/>
        </w:rPr>
        <w:t>贰万捌仟零捌拾贰元整（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28082.00元）</w:t>
      </w:r>
      <w:r>
        <w:rPr>
          <w:rFonts w:hint="eastAsia" w:ascii="宋体" w:hAnsi="宋体" w:eastAsia="宋体" w:cs="宋体"/>
          <w:color w:val="auto"/>
          <w:sz w:val="28"/>
          <w:szCs w:val="28"/>
          <w:lang w:val="en-US" w:eastAsia="zh-CN"/>
        </w:rPr>
        <w:t>结算时根据业主及监理批复的施工组织设计方案按签证并提供相应的佐证材料进行结算，且不高于此统一报价。</w:t>
      </w:r>
    </w:p>
    <w:p w14:paraId="6EEA11B2">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560" w:firstLineChars="200"/>
        <w:jc w:val="left"/>
        <w:textAlignment w:val="auto"/>
        <w:rPr>
          <w:rFonts w:hint="default" w:asciiTheme="minorEastAsia" w:hAnsiTheme="minorEastAsia" w:eastAsiaTheme="minorEastAsia" w:cstheme="minorEastAsia"/>
          <w:kern w:val="2"/>
          <w:sz w:val="28"/>
          <w:szCs w:val="28"/>
          <w:lang w:val="en-US" w:eastAsia="zh-CN" w:bidi="ar-SA"/>
        </w:rPr>
      </w:pPr>
      <w:r>
        <w:rPr>
          <w:rFonts w:hint="eastAsia" w:ascii="宋体" w:hAnsi="宋体" w:eastAsia="宋体" w:cs="宋体"/>
          <w:color w:val="auto"/>
          <w:sz w:val="28"/>
          <w:szCs w:val="28"/>
          <w:lang w:val="en-US" w:eastAsia="zh-CN"/>
        </w:rPr>
        <w:t>2.7安</w:t>
      </w:r>
      <w:r>
        <w:rPr>
          <w:rFonts w:hint="eastAsia" w:asciiTheme="minorEastAsia" w:hAnsiTheme="minorEastAsia" w:eastAsiaTheme="minorEastAsia" w:cstheme="minorEastAsia"/>
          <w:kern w:val="2"/>
          <w:sz w:val="28"/>
          <w:szCs w:val="28"/>
          <w:lang w:val="en-US" w:eastAsia="zh-CN" w:bidi="ar-SA"/>
        </w:rPr>
        <w:t>全生产费</w:t>
      </w:r>
      <w:r>
        <w:rPr>
          <w:rFonts w:hint="eastAsia" w:asciiTheme="minorEastAsia" w:hAnsiTheme="minorEastAsia" w:cstheme="minorEastAsia"/>
          <w:kern w:val="2"/>
          <w:sz w:val="28"/>
          <w:szCs w:val="28"/>
          <w:lang w:val="en-US" w:eastAsia="zh-CN" w:bidi="ar-SA"/>
        </w:rPr>
        <w:t>：</w:t>
      </w:r>
      <w:r>
        <w:rPr>
          <w:rFonts w:hint="eastAsia" w:ascii="宋体" w:hAnsi="宋体" w:eastAsia="宋体" w:cs="宋体"/>
          <w:color w:val="auto"/>
          <w:sz w:val="28"/>
          <w:szCs w:val="28"/>
          <w:lang w:val="en-US" w:eastAsia="zh-CN"/>
        </w:rPr>
        <w:t>投标时统一报价</w:t>
      </w:r>
      <w:r>
        <w:rPr>
          <w:rFonts w:hint="eastAsia" w:ascii="宋体" w:hAnsi="宋体" w:eastAsia="宋体" w:cs="宋体"/>
          <w:color w:val="auto"/>
          <w:sz w:val="28"/>
          <w:szCs w:val="28"/>
          <w:u w:val="single"/>
          <w:lang w:val="en-US" w:eastAsia="zh-CN"/>
        </w:rPr>
        <w:t>壹万玖仟叁佰壹拾玖元整（</w:t>
      </w:r>
      <w:r>
        <w:rPr>
          <w:rFonts w:hint="eastAsia" w:ascii="Times New Roman" w:hAnsi="Times New Roman" w:eastAsia="宋体" w:cs="Times New Roman"/>
          <w:b w:val="0"/>
          <w:bCs w:val="0"/>
          <w:sz w:val="28"/>
          <w:szCs w:val="28"/>
          <w:u w:val="single"/>
          <w:lang w:val="en-US" w:eastAsia="zh-CN"/>
        </w:rPr>
        <w:t>￥</w:t>
      </w:r>
      <w:r>
        <w:rPr>
          <w:rFonts w:hint="eastAsia" w:ascii="宋体" w:hAnsi="宋体" w:eastAsia="宋体" w:cs="宋体"/>
          <w:color w:val="auto"/>
          <w:sz w:val="28"/>
          <w:szCs w:val="28"/>
          <w:u w:val="single"/>
          <w:lang w:val="en-US" w:eastAsia="zh-CN"/>
        </w:rPr>
        <w:t>19319.00元）</w:t>
      </w:r>
      <w:r>
        <w:rPr>
          <w:rFonts w:hint="eastAsia" w:ascii="宋体" w:hAnsi="宋体" w:eastAsia="宋体" w:cs="宋体"/>
          <w:color w:val="auto"/>
          <w:sz w:val="28"/>
          <w:szCs w:val="28"/>
          <w:lang w:val="en-US" w:eastAsia="zh-CN"/>
        </w:rPr>
        <w:t>，</w:t>
      </w:r>
      <w:r>
        <w:rPr>
          <w:rFonts w:hint="eastAsia" w:asciiTheme="minorEastAsia" w:hAnsiTheme="minorEastAsia" w:eastAsiaTheme="minorEastAsia" w:cstheme="minorEastAsia"/>
          <w:kern w:val="2"/>
          <w:sz w:val="28"/>
          <w:szCs w:val="28"/>
          <w:lang w:val="en-US" w:eastAsia="zh-CN" w:bidi="ar-SA"/>
        </w:rPr>
        <w:t>结算根据广东省交通运输厅关于印发粤交〔2021〕6号《广东省交通运输厅关于</w:t>
      </w:r>
      <w:bookmarkStart w:id="0" w:name="_GoBack"/>
      <w:bookmarkEnd w:id="0"/>
      <w:r>
        <w:rPr>
          <w:rFonts w:hint="eastAsia" w:asciiTheme="minorEastAsia" w:hAnsiTheme="minorEastAsia" w:eastAsiaTheme="minorEastAsia" w:cstheme="minorEastAsia"/>
          <w:kern w:val="2"/>
          <w:sz w:val="28"/>
          <w:szCs w:val="28"/>
          <w:lang w:val="en-US" w:eastAsia="zh-CN" w:bidi="ar-SA"/>
        </w:rPr>
        <w:t>公路水运建设工程安全生产费用的管理办法》的通知规定执行。</w:t>
      </w:r>
    </w:p>
    <w:p w14:paraId="181C21C6">
      <w:pPr>
        <w:keepNext w:val="0"/>
        <w:keepLines w:val="0"/>
        <w:pageBreakBefore w:val="0"/>
        <w:widowControl w:val="0"/>
        <w:kinsoku/>
        <w:wordWrap/>
        <w:overflowPunct/>
        <w:topLinePunct w:val="0"/>
        <w:autoSpaceDE/>
        <w:autoSpaceDN/>
        <w:bidi w:val="0"/>
        <w:snapToGrid/>
        <w:spacing w:line="600" w:lineRule="exact"/>
        <w:ind w:firstLine="560" w:firstLineChars="200"/>
        <w:jc w:val="left"/>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val="en-US" w:eastAsia="zh-CN"/>
        </w:rPr>
        <w:t>2.8</w:t>
      </w:r>
      <w:r>
        <w:rPr>
          <w:rFonts w:hint="eastAsia" w:asciiTheme="minorEastAsia" w:hAnsiTheme="minorEastAsia" w:cstheme="minorEastAsia"/>
          <w:sz w:val="28"/>
          <w:szCs w:val="28"/>
          <w:lang w:eastAsia="zh-CN"/>
        </w:rPr>
        <w:t>工程量清单中各项金额均以人民币(元)</w:t>
      </w:r>
      <w:r>
        <w:rPr>
          <w:rFonts w:hint="eastAsia" w:asciiTheme="minorEastAsia" w:hAnsiTheme="minorEastAsia" w:cstheme="minorEastAsia"/>
          <w:sz w:val="28"/>
          <w:szCs w:val="28"/>
          <w:lang w:val="en-US" w:eastAsia="zh-CN"/>
        </w:rPr>
        <w:t>计</w:t>
      </w:r>
      <w:r>
        <w:rPr>
          <w:rFonts w:hint="eastAsia" w:asciiTheme="minorEastAsia" w:hAnsiTheme="minorEastAsia" w:cstheme="minorEastAsia"/>
          <w:sz w:val="28"/>
          <w:szCs w:val="28"/>
          <w:lang w:eastAsia="zh-CN"/>
        </w:rPr>
        <w:t>算。</w:t>
      </w:r>
    </w:p>
    <w:p w14:paraId="45DAFC50">
      <w:pPr>
        <w:pStyle w:val="2"/>
        <w:ind w:firstLine="480" w:firstLineChars="200"/>
        <w:rPr>
          <w:rFonts w:hint="default"/>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QxZTQ5ZDgzYjlkYTM3NGRjMzExNDY1MDRmZjQxZmMifQ=="/>
  </w:docVars>
  <w:rsids>
    <w:rsidRoot w:val="00AB7070"/>
    <w:rsid w:val="001E2CF2"/>
    <w:rsid w:val="003857E1"/>
    <w:rsid w:val="006A007F"/>
    <w:rsid w:val="00A9010C"/>
    <w:rsid w:val="00AB7070"/>
    <w:rsid w:val="00CC2F9A"/>
    <w:rsid w:val="00E726C6"/>
    <w:rsid w:val="01EF3E9F"/>
    <w:rsid w:val="03FA0C2B"/>
    <w:rsid w:val="0737093B"/>
    <w:rsid w:val="07E51640"/>
    <w:rsid w:val="089D5EE4"/>
    <w:rsid w:val="0B520AF2"/>
    <w:rsid w:val="0BD44E50"/>
    <w:rsid w:val="0E6776A3"/>
    <w:rsid w:val="0EE97B3D"/>
    <w:rsid w:val="1737106A"/>
    <w:rsid w:val="189E691F"/>
    <w:rsid w:val="18C37AAF"/>
    <w:rsid w:val="1A8D7383"/>
    <w:rsid w:val="1ECB7DD3"/>
    <w:rsid w:val="26BF0015"/>
    <w:rsid w:val="276E4DA5"/>
    <w:rsid w:val="27B756FB"/>
    <w:rsid w:val="2D4B715E"/>
    <w:rsid w:val="2D9B0395"/>
    <w:rsid w:val="2ECF5E84"/>
    <w:rsid w:val="2F5D759F"/>
    <w:rsid w:val="33005A76"/>
    <w:rsid w:val="33EA3094"/>
    <w:rsid w:val="368C2F70"/>
    <w:rsid w:val="36FD5E0C"/>
    <w:rsid w:val="393B57C7"/>
    <w:rsid w:val="3CC50F8A"/>
    <w:rsid w:val="3CCC3BC5"/>
    <w:rsid w:val="3D460FB8"/>
    <w:rsid w:val="3D804F53"/>
    <w:rsid w:val="3F1401FA"/>
    <w:rsid w:val="3FB264A7"/>
    <w:rsid w:val="43921071"/>
    <w:rsid w:val="440D0EB7"/>
    <w:rsid w:val="45CC7EA2"/>
    <w:rsid w:val="4A275BF7"/>
    <w:rsid w:val="4B5034C3"/>
    <w:rsid w:val="4CCB2E55"/>
    <w:rsid w:val="4E273509"/>
    <w:rsid w:val="4E50644D"/>
    <w:rsid w:val="51413E55"/>
    <w:rsid w:val="516D6EDF"/>
    <w:rsid w:val="53FD3E70"/>
    <w:rsid w:val="540070A4"/>
    <w:rsid w:val="54752E3E"/>
    <w:rsid w:val="54890D0F"/>
    <w:rsid w:val="55E62A9C"/>
    <w:rsid w:val="5AAE0E58"/>
    <w:rsid w:val="5CC242AD"/>
    <w:rsid w:val="5F626B29"/>
    <w:rsid w:val="654244CD"/>
    <w:rsid w:val="66002339"/>
    <w:rsid w:val="69E1557E"/>
    <w:rsid w:val="6D3F306F"/>
    <w:rsid w:val="72141A90"/>
    <w:rsid w:val="72B959DA"/>
    <w:rsid w:val="759826CF"/>
    <w:rsid w:val="75BC1C32"/>
    <w:rsid w:val="76B72301"/>
    <w:rsid w:val="7AD76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autoRedefine/>
    <w:semiHidden/>
    <w:qFormat/>
    <w:uiPriority w:val="0"/>
    <w:pPr>
      <w:adjustRightInd w:val="0"/>
      <w:spacing w:line="360" w:lineRule="atLeast"/>
      <w:jc w:val="left"/>
      <w:textAlignment w:val="baseline"/>
    </w:pPr>
    <w:rPr>
      <w:kern w:val="0"/>
      <w:sz w:val="24"/>
    </w:rPr>
  </w:style>
  <w:style w:type="paragraph" w:styleId="3">
    <w:name w:val="footer"/>
    <w:basedOn w:val="1"/>
    <w:link w:val="8"/>
    <w:autoRedefine/>
    <w:qFormat/>
    <w:uiPriority w:val="0"/>
    <w:pPr>
      <w:tabs>
        <w:tab w:val="center" w:pos="4153"/>
        <w:tab w:val="right" w:pos="8306"/>
      </w:tabs>
      <w:snapToGrid w:val="0"/>
      <w:jc w:val="left"/>
    </w:pPr>
    <w:rPr>
      <w:sz w:val="18"/>
      <w:szCs w:val="18"/>
    </w:rPr>
  </w:style>
  <w:style w:type="paragraph" w:styleId="4">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autoRedefine/>
    <w:qFormat/>
    <w:uiPriority w:val="0"/>
    <w:rPr>
      <w:kern w:val="2"/>
      <w:sz w:val="18"/>
      <w:szCs w:val="18"/>
    </w:rPr>
  </w:style>
  <w:style w:type="character" w:customStyle="1" w:styleId="8">
    <w:name w:val="页脚 Char"/>
    <w:basedOn w:val="6"/>
    <w:link w:val="3"/>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1504</Words>
  <Characters>1562</Characters>
  <Lines>4</Lines>
  <Paragraphs>1</Paragraphs>
  <TotalTime>0</TotalTime>
  <ScaleCrop>false</ScaleCrop>
  <LinksUpToDate>false</LinksUpToDate>
  <CharactersWithSpaces>1562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木森</cp:lastModifiedBy>
  <cp:lastPrinted>2024-08-29T05:00:00Z</cp:lastPrinted>
  <dcterms:modified xsi:type="dcterms:W3CDTF">2026-07-03T07:21:23Z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9969B48EF0CC43C1B6B9ED96485294D3_13</vt:lpwstr>
  </property>
  <property fmtid="{D5CDD505-2E9C-101B-9397-08002B2CF9AE}" pid="4" name="KSOTemplateDocerSaveRecord">
    <vt:lpwstr>eyJoZGlkIjoiZTZjYjdhYzQ4MWZkNjRjOTAzNjIwZmVlMTZhZTk1Y2QiLCJ1c2VySWQiOiIyNzk2OTk4MTAifQ==</vt:lpwstr>
  </property>
</Properties>
</file>